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600" w:lineRule="exact"/>
        <w:jc w:val="left"/>
        <w:outlineLvl w:val="9"/>
        <w:rPr>
          <w:rFonts w:ascii="方正小标宋简体" w:hAnsi="宋体" w:eastAsia="方正小标宋简体"/>
          <w:color w:val="auto"/>
          <w:sz w:val="21"/>
          <w:szCs w:val="21"/>
          <w:highlight w:val="none"/>
        </w:rPr>
      </w:pPr>
      <w:bookmarkStart w:id="0" w:name="_Toc15306267"/>
    </w:p>
    <w:p>
      <w:pPr>
        <w:shd w:val="clear"/>
        <w:spacing w:line="600" w:lineRule="exact"/>
        <w:jc w:val="center"/>
        <w:outlineLvl w:val="9"/>
        <w:rPr>
          <w:rFonts w:ascii="方正小标宋简体" w:hAnsi="宋体" w:eastAsia="方正小标宋简体"/>
          <w:color w:val="auto"/>
          <w:sz w:val="72"/>
          <w:szCs w:val="72"/>
          <w:highlight w:val="none"/>
        </w:rPr>
      </w:pPr>
    </w:p>
    <w:p>
      <w:pPr>
        <w:shd w:val="clear"/>
        <w:spacing w:line="600" w:lineRule="exact"/>
        <w:jc w:val="center"/>
        <w:outlineLvl w:val="9"/>
        <w:rPr>
          <w:rFonts w:ascii="方正小标宋简体" w:hAnsi="宋体" w:eastAsia="方正小标宋简体"/>
          <w:color w:val="auto"/>
          <w:sz w:val="72"/>
          <w:szCs w:val="72"/>
          <w:highlight w:val="none"/>
        </w:rPr>
      </w:pPr>
    </w:p>
    <w:p>
      <w:pPr>
        <w:shd w:val="clear"/>
        <w:adjustRightInd w:val="0"/>
        <w:snapToGrid w:val="0"/>
        <w:spacing w:line="360" w:lineRule="auto"/>
        <w:jc w:val="center"/>
        <w:outlineLvl w:val="0"/>
        <w:rPr>
          <w:rFonts w:hint="eastAsia" w:ascii="黑体" w:hAnsi="黑体" w:eastAsia="黑体" w:cs="黑体"/>
          <w:color w:val="auto"/>
          <w:sz w:val="52"/>
          <w:szCs w:val="52"/>
          <w:highlight w:val="none"/>
        </w:rPr>
      </w:pPr>
      <w:bookmarkStart w:id="1" w:name="_Toc15396597"/>
      <w:bookmarkStart w:id="2" w:name="_Toc15377425"/>
      <w:bookmarkStart w:id="3" w:name="_Toc15378441"/>
      <w:bookmarkStart w:id="4" w:name="_Toc15396475"/>
      <w:bookmarkStart w:id="5" w:name="_Toc15377193"/>
      <w:bookmarkStart w:id="6" w:name="_Toc2731"/>
      <w:r>
        <w:rPr>
          <w:rFonts w:hint="eastAsia" w:ascii="黑体" w:hAnsi="黑体" w:eastAsia="黑体" w:cs="黑体"/>
          <w:color w:val="auto"/>
          <w:sz w:val="52"/>
          <w:szCs w:val="52"/>
          <w:highlight w:val="none"/>
        </w:rPr>
        <w:t>20</w:t>
      </w:r>
      <w:r>
        <w:rPr>
          <w:rFonts w:hint="eastAsia" w:ascii="黑体" w:hAnsi="黑体" w:eastAsia="黑体" w:cs="黑体"/>
          <w:color w:val="auto"/>
          <w:sz w:val="52"/>
          <w:szCs w:val="52"/>
          <w:highlight w:val="none"/>
          <w:lang w:val="en-US" w:eastAsia="zh-CN"/>
        </w:rPr>
        <w:t>22</w:t>
      </w:r>
      <w:r>
        <w:rPr>
          <w:rFonts w:hint="eastAsia" w:ascii="黑体" w:hAnsi="黑体" w:eastAsia="黑体" w:cs="黑体"/>
          <w:color w:val="auto"/>
          <w:sz w:val="52"/>
          <w:szCs w:val="52"/>
          <w:highlight w:val="none"/>
        </w:rPr>
        <w:t>年度</w:t>
      </w:r>
      <w:bookmarkEnd w:id="1"/>
      <w:bookmarkEnd w:id="2"/>
      <w:bookmarkEnd w:id="3"/>
      <w:bookmarkEnd w:id="4"/>
      <w:bookmarkEnd w:id="5"/>
      <w:bookmarkEnd w:id="6"/>
    </w:p>
    <w:p>
      <w:pPr>
        <w:shd w:val="clear"/>
        <w:adjustRightInd w:val="0"/>
        <w:snapToGrid w:val="0"/>
        <w:spacing w:line="360" w:lineRule="auto"/>
        <w:jc w:val="center"/>
        <w:outlineLvl w:val="0"/>
        <w:rPr>
          <w:rFonts w:hint="eastAsia" w:ascii="黑体" w:hAnsi="黑体" w:eastAsia="黑体" w:cs="黑体"/>
          <w:color w:val="auto"/>
          <w:sz w:val="52"/>
          <w:szCs w:val="52"/>
          <w:highlight w:val="none"/>
          <w:lang w:val="en-US" w:eastAsia="zh-CN"/>
        </w:rPr>
      </w:pPr>
      <w:bookmarkStart w:id="7" w:name="_Toc2454"/>
      <w:bookmarkStart w:id="8" w:name="_Toc15396476"/>
      <w:bookmarkStart w:id="9" w:name="_Toc15378442"/>
      <w:bookmarkStart w:id="10" w:name="_Toc15377426"/>
      <w:bookmarkStart w:id="11" w:name="_Toc15396598"/>
      <w:bookmarkStart w:id="12" w:name="_Toc15377194"/>
      <w:r>
        <w:rPr>
          <w:rFonts w:hint="eastAsia" w:ascii="黑体" w:hAnsi="黑体" w:eastAsia="黑体" w:cs="黑体"/>
          <w:color w:val="auto"/>
          <w:sz w:val="52"/>
          <w:szCs w:val="52"/>
          <w:highlight w:val="none"/>
          <w:lang w:eastAsia="zh-CN"/>
        </w:rPr>
        <w:t>广元市</w:t>
      </w:r>
      <w:bookmarkEnd w:id="0"/>
      <w:bookmarkStart w:id="13" w:name="_Toc15306268"/>
      <w:r>
        <w:rPr>
          <w:rFonts w:hint="eastAsia" w:ascii="黑体" w:hAnsi="黑体" w:eastAsia="黑体" w:cs="黑体"/>
          <w:color w:val="auto"/>
          <w:sz w:val="52"/>
          <w:szCs w:val="52"/>
          <w:highlight w:val="none"/>
          <w:lang w:val="en-US" w:eastAsia="zh-CN"/>
        </w:rPr>
        <w:t>人民政府驻成都办事处</w:t>
      </w:r>
      <w:bookmarkEnd w:id="7"/>
    </w:p>
    <w:p>
      <w:pPr>
        <w:shd w:val="clear"/>
        <w:adjustRightInd w:val="0"/>
        <w:snapToGrid w:val="0"/>
        <w:spacing w:line="360" w:lineRule="auto"/>
        <w:jc w:val="center"/>
        <w:outlineLvl w:val="0"/>
        <w:rPr>
          <w:rFonts w:hint="eastAsia" w:ascii="黑体" w:hAnsi="黑体" w:eastAsia="黑体" w:cs="黑体"/>
          <w:color w:val="auto"/>
          <w:sz w:val="52"/>
          <w:szCs w:val="52"/>
          <w:highlight w:val="none"/>
        </w:rPr>
      </w:pPr>
      <w:bookmarkStart w:id="14" w:name="_Toc17183"/>
      <w:r>
        <w:rPr>
          <w:rFonts w:hint="eastAsia" w:ascii="黑体" w:hAnsi="黑体" w:eastAsia="黑体" w:cs="黑体"/>
          <w:color w:val="auto"/>
          <w:sz w:val="52"/>
          <w:szCs w:val="52"/>
          <w:highlight w:val="none"/>
          <w:lang w:eastAsia="zh-CN"/>
        </w:rPr>
        <w:t>单位</w:t>
      </w:r>
      <w:r>
        <w:rPr>
          <w:rFonts w:hint="eastAsia" w:ascii="黑体" w:hAnsi="黑体" w:eastAsia="黑体" w:cs="黑体"/>
          <w:color w:val="auto"/>
          <w:sz w:val="52"/>
          <w:szCs w:val="52"/>
          <w:highlight w:val="none"/>
        </w:rPr>
        <w:t>决算</w:t>
      </w:r>
      <w:bookmarkEnd w:id="8"/>
      <w:bookmarkEnd w:id="9"/>
      <w:bookmarkEnd w:id="10"/>
      <w:bookmarkEnd w:id="11"/>
      <w:bookmarkEnd w:id="12"/>
      <w:bookmarkEnd w:id="13"/>
      <w:bookmarkEnd w:id="14"/>
    </w:p>
    <w:p>
      <w:pPr>
        <w:widowControl/>
        <w:shd w:val="clear"/>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0"/>
        <w:shd w:val="clear"/>
        <w:adjustRightInd w:val="0"/>
        <w:snapToGrid w:val="0"/>
        <w:spacing w:before="0" w:line="440" w:lineRule="exact"/>
        <w:jc w:val="center"/>
        <w:rPr>
          <w:rFonts w:hint="eastAsia"/>
          <w:color w:val="auto"/>
          <w:sz w:val="32"/>
          <w:szCs w:val="32"/>
          <w:highlight w:val="none"/>
        </w:rPr>
      </w:pPr>
      <w:r>
        <w:rPr>
          <w:rFonts w:hint="eastAsia"/>
          <w:color w:val="auto"/>
          <w:sz w:val="32"/>
          <w:szCs w:val="32"/>
          <w:highlight w:val="none"/>
        </w:rPr>
        <w:t>公开时间：20</w:t>
      </w:r>
      <w:r>
        <w:rPr>
          <w:rFonts w:hint="eastAsia"/>
          <w:color w:val="auto"/>
          <w:sz w:val="32"/>
          <w:szCs w:val="32"/>
          <w:highlight w:val="none"/>
          <w:lang w:val="en-US" w:eastAsia="zh-CN"/>
        </w:rPr>
        <w:t>23</w:t>
      </w:r>
      <w:r>
        <w:rPr>
          <w:rFonts w:hint="eastAsia"/>
          <w:color w:val="auto"/>
          <w:sz w:val="32"/>
          <w:szCs w:val="32"/>
          <w:highlight w:val="none"/>
        </w:rPr>
        <w:t>年</w:t>
      </w:r>
      <w:r>
        <w:rPr>
          <w:rFonts w:hint="eastAsia"/>
          <w:color w:val="auto"/>
          <w:sz w:val="32"/>
          <w:szCs w:val="32"/>
          <w:highlight w:val="none"/>
          <w:lang w:val="en-US" w:eastAsia="zh-CN"/>
        </w:rPr>
        <w:t>10</w:t>
      </w:r>
      <w:r>
        <w:rPr>
          <w:rFonts w:hint="eastAsia"/>
          <w:color w:val="auto"/>
          <w:sz w:val="32"/>
          <w:szCs w:val="32"/>
          <w:highlight w:val="none"/>
        </w:rPr>
        <w:t>月</w:t>
      </w:r>
      <w:r>
        <w:rPr>
          <w:rFonts w:hint="eastAsia"/>
          <w:color w:val="auto"/>
          <w:sz w:val="32"/>
          <w:szCs w:val="32"/>
          <w:highlight w:val="none"/>
          <w:lang w:val="en-US" w:eastAsia="zh-CN"/>
        </w:rPr>
        <w:t>16</w:t>
      </w:r>
      <w:r>
        <w:rPr>
          <w:rFonts w:hint="eastAsia"/>
          <w:color w:val="auto"/>
          <w:sz w:val="32"/>
          <w:szCs w:val="32"/>
          <w:highlight w:val="none"/>
        </w:rPr>
        <w:t>日</w:t>
      </w:r>
    </w:p>
    <w:sdt>
      <w:sdtPr>
        <w:rPr>
          <w:rFonts w:ascii="宋体" w:hAnsi="宋体" w:eastAsia="宋体" w:cs="Times New Roman"/>
          <w:color w:val="auto"/>
          <w:kern w:val="2"/>
          <w:sz w:val="21"/>
          <w:szCs w:val="24"/>
          <w:highlight w:val="none"/>
          <w:lang w:val="en-US" w:eastAsia="zh-CN" w:bidi="ar-SA"/>
        </w:rPr>
        <w:id w:val="147481945"/>
        <w15:color w:val="DBDBDB"/>
        <w:docPartObj>
          <w:docPartGallery w:val="Table of Contents"/>
          <w:docPartUnique/>
        </w:docPartObj>
      </w:sdtPr>
      <w:sdtEndPr>
        <w:rPr>
          <w:rFonts w:ascii="宋体" w:hAnsi="宋体" w:eastAsia="宋体" w:cs="Times New Roman"/>
          <w:b/>
          <w:color w:val="auto"/>
          <w:kern w:val="2"/>
          <w:sz w:val="21"/>
          <w:szCs w:val="24"/>
          <w:highlight w:val="none"/>
          <w:lang w:val="en-US" w:eastAsia="zh-CN" w:bidi="ar-SA"/>
        </w:rPr>
      </w:sdtEndPr>
      <w:sdtContent>
        <w:p>
          <w:pPr>
            <w:shd w:val="clear"/>
            <w:spacing w:before="0" w:beforeLines="0" w:after="0" w:afterLines="0" w:line="240" w:lineRule="auto"/>
            <w:ind w:left="0" w:leftChars="0" w:right="0" w:rightChars="0" w:firstLine="0" w:firstLineChars="0"/>
            <w:jc w:val="center"/>
            <w:rPr>
              <w:b/>
              <w:color w:val="auto"/>
              <w:highlight w:val="none"/>
            </w:rPr>
          </w:pPr>
          <w:bookmarkStart w:id="15" w:name="_Toc15377196"/>
          <w:bookmarkStart w:id="16" w:name="_Toc15396599"/>
          <w:r>
            <w:rPr>
              <w:color w:val="auto"/>
              <w:highlight w:val="none"/>
            </w:rPr>
            <w:fldChar w:fldCharType="begin"/>
          </w:r>
          <w:r>
            <w:rPr>
              <w:color w:val="auto"/>
              <w:highlight w:val="none"/>
            </w:rPr>
            <w:instrText xml:space="preserve">TOC \o "1-2" \h \u </w:instrText>
          </w:r>
          <w:r>
            <w:rPr>
              <w:color w:val="auto"/>
              <w:highlight w:val="none"/>
            </w:rPr>
            <w:fldChar w:fldCharType="separate"/>
          </w:r>
        </w:p>
        <w:p>
          <w:pPr>
            <w:pStyle w:val="33"/>
            <w:shd w:val="clear"/>
            <w:tabs>
              <w:tab w:val="right" w:leader="dot" w:pos="8306"/>
            </w:tabs>
            <w:rPr>
              <w:b/>
              <w:color w:val="auto"/>
              <w:highlight w:val="none"/>
            </w:rPr>
          </w:pPr>
          <w:r>
            <w:rPr>
              <w:b/>
              <w:color w:val="auto"/>
              <w:highlight w:val="none"/>
            </w:rPr>
            <w:fldChar w:fldCharType="begin"/>
          </w:r>
          <w:r>
            <w:rPr>
              <w:b/>
              <w:color w:val="auto"/>
              <w:highlight w:val="none"/>
            </w:rPr>
            <w:instrText xml:space="preserve"> HYPERLINK \l _Toc26457 </w:instrText>
          </w:r>
          <w:r>
            <w:rPr>
              <w:b/>
              <w:color w:val="auto"/>
              <w:highlight w:val="none"/>
            </w:rPr>
            <w:fldChar w:fldCharType="separate"/>
          </w:r>
          <w:r>
            <w:rPr>
              <w:rFonts w:hint="eastAsia" w:ascii="黑体" w:hAnsi="黑体" w:eastAsia="黑体"/>
              <w:b/>
              <w:color w:val="auto"/>
              <w:highlight w:val="none"/>
            </w:rPr>
            <w:t>第一部分</w:t>
          </w:r>
          <w:r>
            <w:rPr>
              <w:rFonts w:hint="eastAsia" w:ascii="黑体" w:hAnsi="黑体" w:eastAsia="黑体"/>
              <w:b/>
              <w:color w:val="auto"/>
              <w:highlight w:val="none"/>
              <w:lang w:eastAsia="zh-CN"/>
            </w:rPr>
            <w:t>单位</w:t>
          </w:r>
          <w:r>
            <w:rPr>
              <w:rFonts w:hint="eastAsia" w:ascii="黑体" w:hAnsi="黑体" w:eastAsia="黑体"/>
              <w:b/>
              <w:bCs w:val="0"/>
              <w:color w:val="auto"/>
              <w:highlight w:val="none"/>
            </w:rPr>
            <w:t>概况</w:t>
          </w:r>
          <w:r>
            <w:rPr>
              <w:b/>
              <w:color w:val="auto"/>
              <w:highlight w:val="none"/>
            </w:rPr>
            <w:tab/>
          </w:r>
          <w:r>
            <w:rPr>
              <w:b/>
              <w:color w:val="auto"/>
              <w:highlight w:val="none"/>
            </w:rPr>
            <w:fldChar w:fldCharType="begin"/>
          </w:r>
          <w:r>
            <w:rPr>
              <w:b/>
              <w:color w:val="auto"/>
              <w:highlight w:val="none"/>
            </w:rPr>
            <w:instrText xml:space="preserve"> PAGEREF _Toc26457 \h </w:instrText>
          </w:r>
          <w:r>
            <w:rPr>
              <w:b/>
              <w:color w:val="auto"/>
              <w:highlight w:val="none"/>
            </w:rPr>
            <w:fldChar w:fldCharType="separate"/>
          </w:r>
          <w:r>
            <w:rPr>
              <w:b/>
              <w:color w:val="auto"/>
              <w:highlight w:val="none"/>
            </w:rPr>
            <w:t>1</w:t>
          </w:r>
          <w:r>
            <w:rPr>
              <w:b/>
              <w:color w:val="auto"/>
              <w:highlight w:val="none"/>
            </w:rPr>
            <w:fldChar w:fldCharType="end"/>
          </w:r>
          <w:r>
            <w:rPr>
              <w:b/>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_Toc27933 </w:instrText>
          </w:r>
          <w:r>
            <w:rPr>
              <w:color w:val="auto"/>
              <w:highlight w:val="none"/>
            </w:rPr>
            <w:fldChar w:fldCharType="separate"/>
          </w:r>
          <w:r>
            <w:rPr>
              <w:rFonts w:hint="eastAsia" w:ascii="黑体" w:hAnsi="黑体" w:eastAsia="黑体"/>
              <w:bCs w:val="0"/>
              <w:color w:val="auto"/>
              <w:highlight w:val="none"/>
              <w:lang w:val="en-US" w:eastAsia="zh-CN"/>
            </w:rPr>
            <w:t>一、</w:t>
          </w:r>
          <w:r>
            <w:rPr>
              <w:rFonts w:hint="eastAsia" w:ascii="黑体" w:hAnsi="黑体" w:eastAsia="黑体"/>
              <w:bCs w:val="0"/>
              <w:color w:val="auto"/>
              <w:highlight w:val="none"/>
              <w:lang w:eastAsia="zh-CN"/>
            </w:rPr>
            <w:t>主要职责</w:t>
          </w:r>
          <w:r>
            <w:rPr>
              <w:color w:val="auto"/>
              <w:highlight w:val="none"/>
            </w:rPr>
            <w:tab/>
          </w:r>
          <w:r>
            <w:rPr>
              <w:color w:val="auto"/>
              <w:highlight w:val="none"/>
            </w:rPr>
            <w:fldChar w:fldCharType="begin"/>
          </w:r>
          <w:r>
            <w:rPr>
              <w:color w:val="auto"/>
              <w:highlight w:val="none"/>
            </w:rPr>
            <w:instrText xml:space="preserve"> PAGEREF _Toc27933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_Toc5544 </w:instrText>
          </w:r>
          <w:r>
            <w:rPr>
              <w:color w:val="auto"/>
              <w:highlight w:val="none"/>
            </w:rPr>
            <w:fldChar w:fldCharType="separate"/>
          </w:r>
          <w:r>
            <w:rPr>
              <w:rFonts w:hint="eastAsia" w:ascii="黑体" w:hAnsi="黑体" w:eastAsia="黑体"/>
              <w:color w:val="auto"/>
              <w:highlight w:val="none"/>
              <w:lang w:val="en-US" w:eastAsia="zh-CN"/>
            </w:rPr>
            <w:t>二、机构设置</w:t>
          </w:r>
          <w:r>
            <w:rPr>
              <w:color w:val="auto"/>
              <w:highlight w:val="none"/>
            </w:rPr>
            <w:tab/>
          </w:r>
          <w:r>
            <w:rPr>
              <w:color w:val="auto"/>
              <w:highlight w:val="none"/>
            </w:rPr>
            <w:fldChar w:fldCharType="begin"/>
          </w:r>
          <w:r>
            <w:rPr>
              <w:color w:val="auto"/>
              <w:highlight w:val="none"/>
            </w:rPr>
            <w:instrText xml:space="preserve"> PAGEREF _Toc5544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33"/>
            <w:shd w:val="clear"/>
            <w:tabs>
              <w:tab w:val="right" w:leader="dot" w:pos="8306"/>
            </w:tabs>
            <w:rPr>
              <w:b/>
              <w:color w:val="auto"/>
              <w:highlight w:val="none"/>
            </w:rPr>
          </w:pPr>
          <w:r>
            <w:rPr>
              <w:b/>
              <w:color w:val="auto"/>
              <w:highlight w:val="none"/>
            </w:rPr>
            <w:fldChar w:fldCharType="begin"/>
          </w:r>
          <w:r>
            <w:rPr>
              <w:b/>
              <w:color w:val="auto"/>
              <w:highlight w:val="none"/>
            </w:rPr>
            <w:instrText xml:space="preserve"> HYPERLINK \l _Toc31471 </w:instrText>
          </w:r>
          <w:r>
            <w:rPr>
              <w:b/>
              <w:color w:val="auto"/>
              <w:highlight w:val="none"/>
            </w:rPr>
            <w:fldChar w:fldCharType="separate"/>
          </w:r>
          <w:r>
            <w:rPr>
              <w:rFonts w:hint="eastAsia" w:ascii="黑体" w:hAnsi="黑体" w:eastAsia="黑体"/>
              <w:b/>
              <w:bCs/>
              <w:color w:val="auto"/>
              <w:highlight w:val="none"/>
            </w:rPr>
            <w:t>第二部分</w:t>
          </w:r>
          <w:r>
            <w:rPr>
              <w:rFonts w:hint="eastAsia" w:ascii="黑体" w:hAnsi="黑体" w:eastAsia="黑体"/>
              <w:b/>
              <w:bCs/>
              <w:color w:val="auto"/>
              <w:highlight w:val="none"/>
              <w:lang w:val="en-US" w:eastAsia="zh-CN"/>
            </w:rPr>
            <w:t>2022年度</w:t>
          </w:r>
          <w:r>
            <w:rPr>
              <w:rFonts w:hint="eastAsia" w:ascii="黑体" w:hAnsi="黑体" w:eastAsia="黑体"/>
              <w:b/>
              <w:bCs/>
              <w:color w:val="auto"/>
              <w:highlight w:val="none"/>
              <w:lang w:eastAsia="zh-CN"/>
            </w:rPr>
            <w:t>单位</w:t>
          </w:r>
          <w:r>
            <w:rPr>
              <w:rFonts w:hint="eastAsia" w:ascii="黑体" w:hAnsi="黑体" w:eastAsia="黑体"/>
              <w:b/>
              <w:bCs/>
              <w:color w:val="auto"/>
              <w:highlight w:val="none"/>
            </w:rPr>
            <w:t>决算情况说明</w:t>
          </w:r>
          <w:r>
            <w:rPr>
              <w:b/>
              <w:color w:val="auto"/>
              <w:highlight w:val="none"/>
            </w:rPr>
            <w:tab/>
          </w:r>
          <w:r>
            <w:rPr>
              <w:b/>
              <w:color w:val="auto"/>
              <w:highlight w:val="none"/>
            </w:rPr>
            <w:fldChar w:fldCharType="begin"/>
          </w:r>
          <w:r>
            <w:rPr>
              <w:b/>
              <w:color w:val="auto"/>
              <w:highlight w:val="none"/>
            </w:rPr>
            <w:instrText xml:space="preserve"> PAGEREF _Toc31471 \h </w:instrText>
          </w:r>
          <w:r>
            <w:rPr>
              <w:b/>
              <w:color w:val="auto"/>
              <w:highlight w:val="none"/>
            </w:rPr>
            <w:fldChar w:fldCharType="separate"/>
          </w:r>
          <w:r>
            <w:rPr>
              <w:b/>
              <w:color w:val="auto"/>
              <w:highlight w:val="none"/>
            </w:rPr>
            <w:t>3</w:t>
          </w:r>
          <w:r>
            <w:rPr>
              <w:b/>
              <w:color w:val="auto"/>
              <w:highlight w:val="none"/>
            </w:rPr>
            <w:fldChar w:fldCharType="end"/>
          </w:r>
          <w:r>
            <w:rPr>
              <w:b/>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_Toc18711 </w:instrText>
          </w:r>
          <w:r>
            <w:rPr>
              <w:color w:val="auto"/>
              <w:highlight w:val="none"/>
            </w:rPr>
            <w:fldChar w:fldCharType="separate"/>
          </w:r>
          <w:r>
            <w:rPr>
              <w:rFonts w:hint="default" w:ascii="黑体" w:hAnsi="黑体" w:eastAsia="黑体"/>
              <w:color w:val="auto"/>
              <w:highlight w:val="none"/>
            </w:rPr>
            <w:t>一、</w:t>
          </w:r>
          <w:r>
            <w:rPr>
              <w:rFonts w:hint="eastAsia" w:ascii="黑体" w:hAnsi="黑体" w:eastAsia="黑体"/>
              <w:color w:val="auto"/>
              <w:szCs w:val="32"/>
              <w:highlight w:val="none"/>
            </w:rPr>
            <w:t>收</w:t>
          </w:r>
          <w:r>
            <w:rPr>
              <w:rFonts w:hint="eastAsia" w:ascii="黑体" w:hAnsi="黑体" w:eastAsia="黑体"/>
              <w:color w:val="auto"/>
              <w:highlight w:val="none"/>
            </w:rPr>
            <w:t>入支出决算总体情况说明</w:t>
          </w:r>
          <w:r>
            <w:rPr>
              <w:color w:val="auto"/>
              <w:highlight w:val="none"/>
            </w:rPr>
            <w:tab/>
          </w:r>
          <w:r>
            <w:rPr>
              <w:color w:val="auto"/>
              <w:highlight w:val="none"/>
            </w:rPr>
            <w:fldChar w:fldCharType="begin"/>
          </w:r>
          <w:r>
            <w:rPr>
              <w:color w:val="auto"/>
              <w:highlight w:val="none"/>
            </w:rPr>
            <w:instrText xml:space="preserve"> PAGEREF _Toc18711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_Toc21661 </w:instrText>
          </w:r>
          <w:r>
            <w:rPr>
              <w:color w:val="auto"/>
              <w:highlight w:val="none"/>
            </w:rPr>
            <w:fldChar w:fldCharType="separate"/>
          </w:r>
          <w:r>
            <w:rPr>
              <w:rFonts w:hint="default" w:ascii="黑体" w:hAnsi="黑体" w:eastAsia="黑体"/>
              <w:color w:val="auto"/>
              <w:highlight w:val="none"/>
            </w:rPr>
            <w:t>二、</w:t>
          </w:r>
          <w:r>
            <w:rPr>
              <w:rFonts w:hint="eastAsia" w:ascii="黑体" w:hAnsi="黑体" w:eastAsia="黑体"/>
              <w:color w:val="auto"/>
              <w:szCs w:val="32"/>
              <w:highlight w:val="none"/>
            </w:rPr>
            <w:t>收</w:t>
          </w:r>
          <w:r>
            <w:rPr>
              <w:rFonts w:hint="eastAsia" w:ascii="黑体" w:hAnsi="黑体" w:eastAsia="黑体"/>
              <w:color w:val="auto"/>
              <w:highlight w:val="none"/>
            </w:rPr>
            <w:t>入决算情况说明</w:t>
          </w:r>
          <w:r>
            <w:rPr>
              <w:color w:val="auto"/>
              <w:highlight w:val="none"/>
            </w:rPr>
            <w:tab/>
          </w:r>
          <w:r>
            <w:rPr>
              <w:color w:val="auto"/>
              <w:highlight w:val="none"/>
            </w:rPr>
            <w:fldChar w:fldCharType="begin"/>
          </w:r>
          <w:r>
            <w:rPr>
              <w:color w:val="auto"/>
              <w:highlight w:val="none"/>
            </w:rPr>
            <w:instrText xml:space="preserve"> PAGEREF _Toc21661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_Toc16938 </w:instrText>
          </w:r>
          <w:r>
            <w:rPr>
              <w:color w:val="auto"/>
              <w:highlight w:val="none"/>
            </w:rPr>
            <w:fldChar w:fldCharType="separate"/>
          </w:r>
          <w:r>
            <w:rPr>
              <w:rFonts w:hint="default" w:ascii="黑体" w:hAnsi="黑体" w:eastAsia="黑体"/>
              <w:color w:val="auto"/>
              <w:highlight w:val="none"/>
            </w:rPr>
            <w:t>三、</w:t>
          </w:r>
          <w:r>
            <w:rPr>
              <w:rFonts w:hint="eastAsia" w:ascii="黑体" w:hAnsi="黑体" w:eastAsia="黑体"/>
              <w:color w:val="auto"/>
              <w:szCs w:val="32"/>
              <w:highlight w:val="none"/>
            </w:rPr>
            <w:t>支</w:t>
          </w:r>
          <w:r>
            <w:rPr>
              <w:rFonts w:hint="eastAsia" w:ascii="黑体" w:hAnsi="黑体" w:eastAsia="黑体"/>
              <w:color w:val="auto"/>
              <w:highlight w:val="none"/>
            </w:rPr>
            <w:t>出决算情况说明</w:t>
          </w:r>
          <w:r>
            <w:rPr>
              <w:color w:val="auto"/>
              <w:highlight w:val="none"/>
            </w:rPr>
            <w:tab/>
          </w:r>
          <w:r>
            <w:rPr>
              <w:color w:val="auto"/>
              <w:highlight w:val="none"/>
            </w:rPr>
            <w:fldChar w:fldCharType="begin"/>
          </w:r>
          <w:r>
            <w:rPr>
              <w:color w:val="auto"/>
              <w:highlight w:val="none"/>
            </w:rPr>
            <w:instrText xml:space="preserve"> PAGEREF _Toc16938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_Toc2152 </w:instrText>
          </w:r>
          <w:r>
            <w:rPr>
              <w:color w:val="auto"/>
              <w:highlight w:val="none"/>
            </w:rPr>
            <w:fldChar w:fldCharType="separate"/>
          </w:r>
          <w:r>
            <w:rPr>
              <w:rFonts w:hint="eastAsia" w:ascii="黑体" w:hAnsi="黑体" w:eastAsia="黑体"/>
              <w:color w:val="auto"/>
              <w:szCs w:val="32"/>
              <w:highlight w:val="none"/>
            </w:rPr>
            <w:t>四、财</w:t>
          </w:r>
          <w:r>
            <w:rPr>
              <w:rFonts w:hint="eastAsia" w:ascii="黑体" w:hAnsi="黑体" w:eastAsia="黑体"/>
              <w:color w:val="auto"/>
              <w:highlight w:val="none"/>
            </w:rPr>
            <w:t>政拨款收入支出决算总体情况说明</w:t>
          </w:r>
          <w:r>
            <w:rPr>
              <w:color w:val="auto"/>
              <w:highlight w:val="none"/>
            </w:rPr>
            <w:tab/>
          </w:r>
          <w:r>
            <w:rPr>
              <w:color w:val="auto"/>
              <w:highlight w:val="none"/>
            </w:rPr>
            <w:fldChar w:fldCharType="begin"/>
          </w:r>
          <w:r>
            <w:rPr>
              <w:color w:val="auto"/>
              <w:highlight w:val="none"/>
            </w:rPr>
            <w:instrText xml:space="preserve"> PAGEREF _Toc2152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_Toc2479 </w:instrText>
          </w:r>
          <w:r>
            <w:rPr>
              <w:color w:val="auto"/>
              <w:highlight w:val="none"/>
            </w:rPr>
            <w:fldChar w:fldCharType="separate"/>
          </w:r>
          <w:r>
            <w:rPr>
              <w:rFonts w:hint="eastAsia" w:ascii="黑体" w:hAnsi="黑体" w:eastAsia="黑体"/>
              <w:color w:val="auto"/>
              <w:szCs w:val="32"/>
              <w:highlight w:val="none"/>
            </w:rPr>
            <w:t>五、一</w:t>
          </w:r>
          <w:r>
            <w:rPr>
              <w:rFonts w:hint="eastAsia" w:ascii="黑体" w:hAnsi="黑体" w:eastAsia="黑体"/>
              <w:color w:val="auto"/>
              <w:highlight w:val="none"/>
            </w:rPr>
            <w:t>般公共预算财政拨款支出决算情况说明</w:t>
          </w:r>
          <w:r>
            <w:rPr>
              <w:color w:val="auto"/>
              <w:highlight w:val="none"/>
            </w:rPr>
            <w:tab/>
          </w:r>
          <w:r>
            <w:rPr>
              <w:color w:val="auto"/>
              <w:highlight w:val="none"/>
            </w:rPr>
            <w:fldChar w:fldCharType="begin"/>
          </w:r>
          <w:r>
            <w:rPr>
              <w:color w:val="auto"/>
              <w:highlight w:val="none"/>
            </w:rPr>
            <w:instrText xml:space="preserve"> PAGEREF _Toc2479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_Toc31526 </w:instrText>
          </w:r>
          <w:r>
            <w:rPr>
              <w:color w:val="auto"/>
              <w:highlight w:val="none"/>
            </w:rPr>
            <w:fldChar w:fldCharType="separate"/>
          </w:r>
          <w:r>
            <w:rPr>
              <w:rFonts w:hint="eastAsia" w:ascii="黑体" w:eastAsia="黑体"/>
              <w:color w:val="auto"/>
              <w:szCs w:val="32"/>
              <w:highlight w:val="none"/>
            </w:rPr>
            <w:t>六、</w:t>
          </w:r>
          <w:r>
            <w:rPr>
              <w:rFonts w:hint="eastAsia" w:ascii="黑体" w:hAnsi="黑体" w:eastAsia="黑体"/>
              <w:color w:val="auto"/>
              <w:szCs w:val="32"/>
              <w:highlight w:val="none"/>
            </w:rPr>
            <w:t>一</w:t>
          </w:r>
          <w:r>
            <w:rPr>
              <w:rFonts w:hint="eastAsia" w:ascii="黑体" w:hAnsi="黑体" w:eastAsia="黑体"/>
              <w:color w:val="auto"/>
              <w:highlight w:val="none"/>
            </w:rPr>
            <w:t>般公共预算财政拨款基本支出决算情况说明</w:t>
          </w:r>
          <w:r>
            <w:rPr>
              <w:color w:val="auto"/>
              <w:highlight w:val="none"/>
            </w:rPr>
            <w:tab/>
          </w:r>
          <w:r>
            <w:rPr>
              <w:color w:val="auto"/>
              <w:highlight w:val="none"/>
            </w:rPr>
            <w:fldChar w:fldCharType="begin"/>
          </w:r>
          <w:r>
            <w:rPr>
              <w:color w:val="auto"/>
              <w:highlight w:val="none"/>
            </w:rPr>
            <w:instrText xml:space="preserve"> PAGEREF _Toc31526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_Toc17523 </w:instrText>
          </w:r>
          <w:r>
            <w:rPr>
              <w:color w:val="auto"/>
              <w:highlight w:val="none"/>
            </w:rPr>
            <w:fldChar w:fldCharType="separate"/>
          </w:r>
          <w:r>
            <w:rPr>
              <w:rFonts w:hint="eastAsia" w:ascii="黑体" w:eastAsia="黑体"/>
              <w:color w:val="auto"/>
              <w:szCs w:val="32"/>
              <w:highlight w:val="none"/>
            </w:rPr>
            <w:t>七、</w:t>
          </w:r>
          <w:r>
            <w:rPr>
              <w:rFonts w:hint="eastAsia" w:ascii="黑体" w:hAnsi="黑体" w:eastAsia="黑体"/>
              <w:color w:val="auto"/>
              <w:highlight w:val="none"/>
            </w:rPr>
            <w:t>财政拨款“三公”经费支出决算情况说明</w:t>
          </w:r>
          <w:r>
            <w:rPr>
              <w:color w:val="auto"/>
              <w:highlight w:val="none"/>
            </w:rPr>
            <w:tab/>
          </w:r>
          <w:r>
            <w:rPr>
              <w:color w:val="auto"/>
              <w:highlight w:val="none"/>
            </w:rPr>
            <w:fldChar w:fldCharType="begin"/>
          </w:r>
          <w:r>
            <w:rPr>
              <w:color w:val="auto"/>
              <w:highlight w:val="none"/>
            </w:rPr>
            <w:instrText xml:space="preserve"> PAGEREF _Toc17523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_Toc5642 </w:instrText>
          </w:r>
          <w:r>
            <w:rPr>
              <w:color w:val="auto"/>
              <w:highlight w:val="none"/>
            </w:rPr>
            <w:fldChar w:fldCharType="separate"/>
          </w:r>
          <w:r>
            <w:rPr>
              <w:rFonts w:hint="eastAsia" w:ascii="黑体" w:eastAsia="黑体"/>
              <w:color w:val="auto"/>
              <w:szCs w:val="32"/>
              <w:highlight w:val="none"/>
            </w:rPr>
            <w:t>八、</w:t>
          </w:r>
          <w:r>
            <w:rPr>
              <w:rFonts w:hint="eastAsia" w:ascii="黑体" w:hAnsi="黑体" w:eastAsia="黑体"/>
              <w:color w:val="auto"/>
              <w:highlight w:val="none"/>
            </w:rPr>
            <w:t>政府性基金预算支出决算情况说明</w:t>
          </w:r>
          <w:r>
            <w:rPr>
              <w:color w:val="auto"/>
              <w:highlight w:val="none"/>
            </w:rPr>
            <w:tab/>
          </w:r>
          <w:r>
            <w:rPr>
              <w:color w:val="auto"/>
              <w:highlight w:val="none"/>
            </w:rPr>
            <w:fldChar w:fldCharType="begin"/>
          </w:r>
          <w:r>
            <w:rPr>
              <w:color w:val="auto"/>
              <w:highlight w:val="none"/>
            </w:rPr>
            <w:instrText xml:space="preserve"> PAGEREF _Toc5642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_Toc5862 </w:instrText>
          </w:r>
          <w:r>
            <w:rPr>
              <w:color w:val="auto"/>
              <w:highlight w:val="none"/>
            </w:rPr>
            <w:fldChar w:fldCharType="separate"/>
          </w:r>
          <w:r>
            <w:rPr>
              <w:rFonts w:hint="eastAsia" w:ascii="黑体" w:hAnsi="黑体" w:eastAsia="黑体"/>
              <w:color w:val="auto"/>
              <w:highlight w:val="none"/>
            </w:rPr>
            <w:t>九、国有资本经营预算支出决算情况说明</w:t>
          </w:r>
          <w:r>
            <w:rPr>
              <w:color w:val="auto"/>
              <w:highlight w:val="none"/>
            </w:rPr>
            <w:tab/>
          </w:r>
          <w:r>
            <w:rPr>
              <w:color w:val="auto"/>
              <w:highlight w:val="none"/>
            </w:rPr>
            <w:fldChar w:fldCharType="begin"/>
          </w:r>
          <w:r>
            <w:rPr>
              <w:color w:val="auto"/>
              <w:highlight w:val="none"/>
            </w:rPr>
            <w:instrText xml:space="preserve"> PAGEREF _Toc5862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_Toc25639 </w:instrText>
          </w:r>
          <w:r>
            <w:rPr>
              <w:color w:val="auto"/>
              <w:highlight w:val="none"/>
            </w:rPr>
            <w:fldChar w:fldCharType="separate"/>
          </w:r>
          <w:r>
            <w:rPr>
              <w:rFonts w:hint="eastAsia" w:ascii="黑体" w:hAnsi="黑体" w:eastAsia="黑体"/>
              <w:color w:val="auto"/>
              <w:highlight w:val="none"/>
            </w:rPr>
            <w:t>十、其他重要事项的情况说明</w:t>
          </w:r>
          <w:r>
            <w:rPr>
              <w:color w:val="auto"/>
              <w:highlight w:val="none"/>
            </w:rPr>
            <w:tab/>
          </w:r>
          <w:r>
            <w:rPr>
              <w:color w:val="auto"/>
              <w:highlight w:val="none"/>
            </w:rPr>
            <w:fldChar w:fldCharType="begin"/>
          </w:r>
          <w:r>
            <w:rPr>
              <w:color w:val="auto"/>
              <w:highlight w:val="none"/>
            </w:rPr>
            <w:instrText xml:space="preserve"> PAGEREF _Toc25639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33"/>
            <w:shd w:val="clear"/>
            <w:tabs>
              <w:tab w:val="right" w:leader="dot" w:pos="8306"/>
            </w:tabs>
            <w:rPr>
              <w:b/>
              <w:color w:val="auto"/>
              <w:highlight w:val="none"/>
            </w:rPr>
          </w:pPr>
          <w:r>
            <w:rPr>
              <w:b/>
              <w:color w:val="auto"/>
              <w:highlight w:val="none"/>
            </w:rPr>
            <w:fldChar w:fldCharType="begin"/>
          </w:r>
          <w:r>
            <w:rPr>
              <w:b/>
              <w:color w:val="auto"/>
              <w:highlight w:val="none"/>
            </w:rPr>
            <w:instrText xml:space="preserve"> HYPERLINK \l _Toc9106 </w:instrText>
          </w:r>
          <w:r>
            <w:rPr>
              <w:b/>
              <w:color w:val="auto"/>
              <w:highlight w:val="none"/>
            </w:rPr>
            <w:fldChar w:fldCharType="separate"/>
          </w:r>
          <w:r>
            <w:rPr>
              <w:rFonts w:hint="eastAsia" w:ascii="黑体" w:hAnsi="黑体" w:eastAsia="黑体" w:cs="黑体"/>
              <w:b/>
              <w:color w:val="auto"/>
              <w:szCs w:val="44"/>
              <w:highlight w:val="none"/>
            </w:rPr>
            <w:t>第三部分</w:t>
          </w:r>
          <w:r>
            <w:rPr>
              <w:rFonts w:hint="eastAsia" w:ascii="黑体" w:hAnsi="黑体" w:eastAsia="黑体"/>
              <w:b/>
              <w:color w:val="auto"/>
              <w:szCs w:val="44"/>
              <w:highlight w:val="none"/>
            </w:rPr>
            <w:t>名</w:t>
          </w:r>
          <w:r>
            <w:rPr>
              <w:rFonts w:hint="eastAsia" w:ascii="黑体" w:hAnsi="黑体" w:eastAsia="黑体"/>
              <w:b/>
              <w:color w:val="auto"/>
              <w:highlight w:val="none"/>
            </w:rPr>
            <w:t>词解释</w:t>
          </w:r>
          <w:r>
            <w:rPr>
              <w:b/>
              <w:color w:val="auto"/>
              <w:highlight w:val="none"/>
            </w:rPr>
            <w:tab/>
          </w:r>
          <w:r>
            <w:rPr>
              <w:b/>
              <w:color w:val="auto"/>
              <w:highlight w:val="none"/>
            </w:rPr>
            <w:fldChar w:fldCharType="begin"/>
          </w:r>
          <w:r>
            <w:rPr>
              <w:b/>
              <w:color w:val="auto"/>
              <w:highlight w:val="none"/>
            </w:rPr>
            <w:instrText xml:space="preserve"> PAGEREF _Toc9106 \h </w:instrText>
          </w:r>
          <w:r>
            <w:rPr>
              <w:b/>
              <w:color w:val="auto"/>
              <w:highlight w:val="none"/>
            </w:rPr>
            <w:fldChar w:fldCharType="separate"/>
          </w:r>
          <w:r>
            <w:rPr>
              <w:b/>
              <w:color w:val="auto"/>
              <w:highlight w:val="none"/>
            </w:rPr>
            <w:t>12</w:t>
          </w:r>
          <w:r>
            <w:rPr>
              <w:b/>
              <w:color w:val="auto"/>
              <w:highlight w:val="none"/>
            </w:rPr>
            <w:fldChar w:fldCharType="end"/>
          </w:r>
          <w:r>
            <w:rPr>
              <w:b/>
              <w:color w:val="auto"/>
              <w:highlight w:val="none"/>
            </w:rPr>
            <w:fldChar w:fldCharType="end"/>
          </w:r>
        </w:p>
        <w:p>
          <w:pPr>
            <w:pStyle w:val="33"/>
            <w:shd w:val="clear"/>
            <w:tabs>
              <w:tab w:val="right" w:leader="dot" w:pos="8306"/>
            </w:tabs>
            <w:rPr>
              <w:b/>
              <w:color w:val="auto"/>
              <w:highlight w:val="none"/>
            </w:rPr>
          </w:pPr>
          <w:r>
            <w:rPr>
              <w:b/>
              <w:color w:val="auto"/>
              <w:highlight w:val="none"/>
            </w:rPr>
            <w:fldChar w:fldCharType="begin"/>
          </w:r>
          <w:r>
            <w:rPr>
              <w:b/>
              <w:color w:val="auto"/>
              <w:highlight w:val="none"/>
            </w:rPr>
            <w:instrText xml:space="preserve"> HYPERLINK \l _Toc27575 </w:instrText>
          </w:r>
          <w:r>
            <w:rPr>
              <w:b/>
              <w:color w:val="auto"/>
              <w:highlight w:val="none"/>
            </w:rPr>
            <w:fldChar w:fldCharType="separate"/>
          </w:r>
          <w:r>
            <w:rPr>
              <w:rFonts w:hint="eastAsia" w:ascii="黑体" w:hAnsi="黑体" w:eastAsia="黑体"/>
              <w:b/>
              <w:color w:val="auto"/>
              <w:szCs w:val="44"/>
              <w:highlight w:val="none"/>
            </w:rPr>
            <w:t>第</w:t>
          </w:r>
          <w:r>
            <w:rPr>
              <w:rFonts w:hint="eastAsia" w:ascii="黑体" w:hAnsi="黑体" w:eastAsia="黑体"/>
              <w:b/>
              <w:color w:val="auto"/>
              <w:highlight w:val="none"/>
            </w:rPr>
            <w:t>四部分附件</w:t>
          </w:r>
          <w:r>
            <w:rPr>
              <w:b/>
              <w:color w:val="auto"/>
              <w:highlight w:val="none"/>
            </w:rPr>
            <w:tab/>
          </w:r>
          <w:r>
            <w:rPr>
              <w:b/>
              <w:color w:val="auto"/>
              <w:highlight w:val="none"/>
            </w:rPr>
            <w:fldChar w:fldCharType="begin"/>
          </w:r>
          <w:r>
            <w:rPr>
              <w:b/>
              <w:color w:val="auto"/>
              <w:highlight w:val="none"/>
            </w:rPr>
            <w:instrText xml:space="preserve"> PAGEREF _Toc27575 \h </w:instrText>
          </w:r>
          <w:r>
            <w:rPr>
              <w:b/>
              <w:color w:val="auto"/>
              <w:highlight w:val="none"/>
            </w:rPr>
            <w:fldChar w:fldCharType="separate"/>
          </w:r>
          <w:r>
            <w:rPr>
              <w:b/>
              <w:color w:val="auto"/>
              <w:highlight w:val="none"/>
            </w:rPr>
            <w:t>15</w:t>
          </w:r>
          <w:r>
            <w:rPr>
              <w:b/>
              <w:color w:val="auto"/>
              <w:highlight w:val="none"/>
            </w:rPr>
            <w:fldChar w:fldCharType="end"/>
          </w:r>
          <w:r>
            <w:rPr>
              <w:b/>
              <w:color w:val="auto"/>
              <w:highlight w:val="none"/>
            </w:rPr>
            <w:fldChar w:fldCharType="end"/>
          </w:r>
        </w:p>
        <w:p>
          <w:pPr>
            <w:pStyle w:val="33"/>
            <w:shd w:val="clear"/>
            <w:tabs>
              <w:tab w:val="right" w:leader="dot" w:pos="8306"/>
            </w:tabs>
            <w:rPr>
              <w:b/>
              <w:color w:val="auto"/>
              <w:highlight w:val="none"/>
            </w:rPr>
          </w:pPr>
          <w:r>
            <w:rPr>
              <w:b/>
              <w:color w:val="auto"/>
              <w:highlight w:val="none"/>
            </w:rPr>
            <w:fldChar w:fldCharType="begin"/>
          </w:r>
          <w:r>
            <w:rPr>
              <w:b/>
              <w:color w:val="auto"/>
              <w:highlight w:val="none"/>
            </w:rPr>
            <w:instrText xml:space="preserve"> HYPERLINK \l _Toc23298 </w:instrText>
          </w:r>
          <w:r>
            <w:rPr>
              <w:b/>
              <w:color w:val="auto"/>
              <w:highlight w:val="none"/>
            </w:rPr>
            <w:fldChar w:fldCharType="separate"/>
          </w:r>
          <w:r>
            <w:rPr>
              <w:rFonts w:hint="eastAsia" w:ascii="黑体" w:hAnsi="黑体" w:eastAsia="黑体"/>
              <w:b/>
              <w:color w:val="auto"/>
              <w:szCs w:val="44"/>
              <w:highlight w:val="none"/>
            </w:rPr>
            <w:t>第</w:t>
          </w:r>
          <w:r>
            <w:rPr>
              <w:rFonts w:hint="eastAsia" w:ascii="黑体" w:hAnsi="黑体" w:eastAsia="黑体"/>
              <w:b/>
              <w:color w:val="auto"/>
              <w:highlight w:val="none"/>
            </w:rPr>
            <w:t>五部分附表</w:t>
          </w:r>
          <w:r>
            <w:rPr>
              <w:b/>
              <w:color w:val="auto"/>
              <w:highlight w:val="none"/>
            </w:rPr>
            <w:tab/>
          </w:r>
          <w:r>
            <w:rPr>
              <w:b/>
              <w:color w:val="auto"/>
              <w:highlight w:val="none"/>
            </w:rPr>
            <w:fldChar w:fldCharType="begin"/>
          </w:r>
          <w:r>
            <w:rPr>
              <w:b/>
              <w:color w:val="auto"/>
              <w:highlight w:val="none"/>
            </w:rPr>
            <w:instrText xml:space="preserve"> PAGEREF _Toc23298 \h </w:instrText>
          </w:r>
          <w:r>
            <w:rPr>
              <w:b/>
              <w:color w:val="auto"/>
              <w:highlight w:val="none"/>
            </w:rPr>
            <w:fldChar w:fldCharType="separate"/>
          </w:r>
          <w:r>
            <w:rPr>
              <w:b/>
              <w:color w:val="auto"/>
              <w:highlight w:val="none"/>
            </w:rPr>
            <w:t>35</w:t>
          </w:r>
          <w:r>
            <w:rPr>
              <w:b/>
              <w:color w:val="auto"/>
              <w:highlight w:val="none"/>
            </w:rPr>
            <w:fldChar w:fldCharType="end"/>
          </w:r>
          <w:r>
            <w:rPr>
              <w:b/>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_Toc19255 </w:instrText>
          </w:r>
          <w:r>
            <w:rPr>
              <w:color w:val="auto"/>
              <w:highlight w:val="none"/>
            </w:rPr>
            <w:fldChar w:fldCharType="separate"/>
          </w:r>
          <w:r>
            <w:rPr>
              <w:rFonts w:hint="eastAsia" w:ascii="仿宋" w:hAnsi="仿宋" w:eastAsia="仿宋"/>
              <w:color w:val="auto"/>
              <w:highlight w:val="none"/>
            </w:rPr>
            <w:t>一、收</w:t>
          </w:r>
          <w:r>
            <w:rPr>
              <w:rFonts w:hint="eastAsia" w:ascii="仿宋" w:hAnsi="仿宋" w:eastAsia="仿宋"/>
              <w:bCs w:val="0"/>
              <w:color w:val="auto"/>
              <w:highlight w:val="none"/>
            </w:rPr>
            <w:t>入支出决算总表</w:t>
          </w:r>
          <w:r>
            <w:rPr>
              <w:color w:val="auto"/>
              <w:highlight w:val="none"/>
            </w:rPr>
            <w:tab/>
          </w:r>
          <w:r>
            <w:rPr>
              <w:color w:val="auto"/>
              <w:highlight w:val="none"/>
            </w:rPr>
            <w:fldChar w:fldCharType="begin"/>
          </w:r>
          <w:r>
            <w:rPr>
              <w:color w:val="auto"/>
              <w:highlight w:val="none"/>
            </w:rPr>
            <w:instrText xml:space="preserve"> PAGEREF _Toc19255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_Toc23653 </w:instrText>
          </w:r>
          <w:r>
            <w:rPr>
              <w:color w:val="auto"/>
              <w:highlight w:val="none"/>
            </w:rPr>
            <w:fldChar w:fldCharType="separate"/>
          </w:r>
          <w:r>
            <w:rPr>
              <w:rFonts w:hint="eastAsia" w:ascii="仿宋" w:hAnsi="仿宋" w:eastAsia="仿宋"/>
              <w:color w:val="auto"/>
              <w:highlight w:val="none"/>
            </w:rPr>
            <w:t>二、收</w:t>
          </w:r>
          <w:r>
            <w:rPr>
              <w:rFonts w:hint="eastAsia" w:ascii="仿宋" w:hAnsi="仿宋" w:eastAsia="仿宋"/>
              <w:bCs w:val="0"/>
              <w:color w:val="auto"/>
              <w:highlight w:val="none"/>
            </w:rPr>
            <w:t>入决算表</w:t>
          </w:r>
          <w:r>
            <w:rPr>
              <w:color w:val="auto"/>
              <w:highlight w:val="none"/>
            </w:rPr>
            <w:tab/>
          </w:r>
          <w:r>
            <w:rPr>
              <w:color w:val="auto"/>
              <w:highlight w:val="none"/>
            </w:rPr>
            <w:fldChar w:fldCharType="begin"/>
          </w:r>
          <w:r>
            <w:rPr>
              <w:color w:val="auto"/>
              <w:highlight w:val="none"/>
            </w:rPr>
            <w:instrText xml:space="preserve"> PAGEREF _Toc23653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_Toc7845 </w:instrText>
          </w:r>
          <w:r>
            <w:rPr>
              <w:color w:val="auto"/>
              <w:highlight w:val="none"/>
            </w:rPr>
            <w:fldChar w:fldCharType="separate"/>
          </w:r>
          <w:r>
            <w:rPr>
              <w:rFonts w:hint="eastAsia" w:ascii="仿宋" w:hAnsi="仿宋" w:eastAsia="仿宋"/>
              <w:bCs w:val="0"/>
              <w:color w:val="auto"/>
              <w:highlight w:val="none"/>
            </w:rPr>
            <w:t>三、</w:t>
          </w:r>
          <w:r>
            <w:rPr>
              <w:rFonts w:hint="eastAsia" w:ascii="仿宋" w:hAnsi="仿宋" w:eastAsia="仿宋"/>
              <w:color w:val="auto"/>
              <w:highlight w:val="none"/>
            </w:rPr>
            <w:t>支</w:t>
          </w:r>
          <w:r>
            <w:rPr>
              <w:rFonts w:hint="eastAsia" w:ascii="仿宋" w:hAnsi="仿宋" w:eastAsia="仿宋"/>
              <w:bCs w:val="0"/>
              <w:color w:val="auto"/>
              <w:highlight w:val="none"/>
            </w:rPr>
            <w:t>出决算表</w:t>
          </w:r>
          <w:r>
            <w:rPr>
              <w:color w:val="auto"/>
              <w:highlight w:val="none"/>
            </w:rPr>
            <w:tab/>
          </w:r>
          <w:r>
            <w:rPr>
              <w:color w:val="auto"/>
              <w:highlight w:val="none"/>
            </w:rPr>
            <w:fldChar w:fldCharType="begin"/>
          </w:r>
          <w:r>
            <w:rPr>
              <w:color w:val="auto"/>
              <w:highlight w:val="none"/>
            </w:rPr>
            <w:instrText xml:space="preserve"> PAGEREF _Toc7845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_Toc25852 </w:instrText>
          </w:r>
          <w:r>
            <w:rPr>
              <w:color w:val="auto"/>
              <w:highlight w:val="none"/>
            </w:rPr>
            <w:fldChar w:fldCharType="separate"/>
          </w:r>
          <w:r>
            <w:rPr>
              <w:rFonts w:hint="eastAsia" w:ascii="仿宋" w:hAnsi="仿宋" w:eastAsia="仿宋"/>
              <w:bCs w:val="0"/>
              <w:color w:val="auto"/>
              <w:highlight w:val="none"/>
            </w:rPr>
            <w:t>四、</w:t>
          </w:r>
          <w:r>
            <w:rPr>
              <w:rFonts w:hint="eastAsia" w:ascii="仿宋" w:hAnsi="仿宋" w:eastAsia="仿宋"/>
              <w:color w:val="auto"/>
              <w:highlight w:val="none"/>
            </w:rPr>
            <w:t>财</w:t>
          </w:r>
          <w:r>
            <w:rPr>
              <w:rFonts w:hint="eastAsia" w:ascii="仿宋" w:hAnsi="仿宋" w:eastAsia="仿宋"/>
              <w:bCs w:val="0"/>
              <w:color w:val="auto"/>
              <w:highlight w:val="none"/>
            </w:rPr>
            <w:t>政拨款收入支出决算总表</w:t>
          </w:r>
          <w:r>
            <w:rPr>
              <w:color w:val="auto"/>
              <w:highlight w:val="none"/>
            </w:rPr>
            <w:tab/>
          </w:r>
          <w:r>
            <w:rPr>
              <w:color w:val="auto"/>
              <w:highlight w:val="none"/>
            </w:rPr>
            <w:fldChar w:fldCharType="begin"/>
          </w:r>
          <w:r>
            <w:rPr>
              <w:color w:val="auto"/>
              <w:highlight w:val="none"/>
            </w:rPr>
            <w:instrText xml:space="preserve"> PAGEREF _Toc25852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_Toc24423 </w:instrText>
          </w:r>
          <w:r>
            <w:rPr>
              <w:color w:val="auto"/>
              <w:highlight w:val="none"/>
            </w:rPr>
            <w:fldChar w:fldCharType="separate"/>
          </w:r>
          <w:r>
            <w:rPr>
              <w:rFonts w:hint="eastAsia" w:ascii="仿宋" w:hAnsi="仿宋" w:eastAsia="仿宋"/>
              <w:bCs w:val="0"/>
              <w:color w:val="auto"/>
              <w:highlight w:val="none"/>
            </w:rPr>
            <w:t>五、</w:t>
          </w:r>
          <w:r>
            <w:rPr>
              <w:rFonts w:hint="eastAsia" w:ascii="仿宋" w:hAnsi="仿宋" w:eastAsia="仿宋"/>
              <w:color w:val="auto"/>
              <w:highlight w:val="none"/>
            </w:rPr>
            <w:t>财</w:t>
          </w:r>
          <w:r>
            <w:rPr>
              <w:rFonts w:hint="eastAsia" w:ascii="仿宋" w:hAnsi="仿宋" w:eastAsia="仿宋"/>
              <w:bCs w:val="0"/>
              <w:color w:val="auto"/>
              <w:highlight w:val="none"/>
            </w:rPr>
            <w:t>政拨款支出决算明细表</w:t>
          </w:r>
          <w:r>
            <w:rPr>
              <w:color w:val="auto"/>
              <w:highlight w:val="none"/>
            </w:rPr>
            <w:tab/>
          </w:r>
          <w:r>
            <w:rPr>
              <w:color w:val="auto"/>
              <w:highlight w:val="none"/>
            </w:rPr>
            <w:fldChar w:fldCharType="begin"/>
          </w:r>
          <w:r>
            <w:rPr>
              <w:color w:val="auto"/>
              <w:highlight w:val="none"/>
            </w:rPr>
            <w:instrText xml:space="preserve"> PAGEREF _Toc24423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_Toc27077 </w:instrText>
          </w:r>
          <w:r>
            <w:rPr>
              <w:color w:val="auto"/>
              <w:highlight w:val="none"/>
            </w:rPr>
            <w:fldChar w:fldCharType="separate"/>
          </w:r>
          <w:r>
            <w:rPr>
              <w:rFonts w:hint="eastAsia" w:ascii="仿宋" w:hAnsi="仿宋" w:eastAsia="仿宋"/>
              <w:bCs w:val="0"/>
              <w:color w:val="auto"/>
              <w:highlight w:val="none"/>
            </w:rPr>
            <w:t>六、</w:t>
          </w:r>
          <w:r>
            <w:rPr>
              <w:rFonts w:hint="eastAsia" w:ascii="仿宋" w:hAnsi="仿宋" w:eastAsia="仿宋"/>
              <w:color w:val="auto"/>
              <w:highlight w:val="none"/>
            </w:rPr>
            <w:t>一</w:t>
          </w:r>
          <w:r>
            <w:rPr>
              <w:rFonts w:hint="eastAsia" w:ascii="仿宋" w:hAnsi="仿宋" w:eastAsia="仿宋"/>
              <w:bCs w:val="0"/>
              <w:color w:val="auto"/>
              <w:highlight w:val="none"/>
            </w:rPr>
            <w:t>般公共预算财政拨款支出决算表</w:t>
          </w:r>
          <w:r>
            <w:rPr>
              <w:color w:val="auto"/>
              <w:highlight w:val="none"/>
            </w:rPr>
            <w:tab/>
          </w:r>
          <w:r>
            <w:rPr>
              <w:color w:val="auto"/>
              <w:highlight w:val="none"/>
            </w:rPr>
            <w:fldChar w:fldCharType="begin"/>
          </w:r>
          <w:r>
            <w:rPr>
              <w:color w:val="auto"/>
              <w:highlight w:val="none"/>
            </w:rPr>
            <w:instrText xml:space="preserve"> PAGEREF _Toc27077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_Toc30712 </w:instrText>
          </w:r>
          <w:r>
            <w:rPr>
              <w:color w:val="auto"/>
              <w:highlight w:val="none"/>
            </w:rPr>
            <w:fldChar w:fldCharType="separate"/>
          </w:r>
          <w:r>
            <w:rPr>
              <w:rFonts w:hint="eastAsia" w:ascii="仿宋" w:hAnsi="仿宋" w:eastAsia="仿宋"/>
              <w:bCs w:val="0"/>
              <w:color w:val="auto"/>
              <w:highlight w:val="none"/>
            </w:rPr>
            <w:t>七、</w:t>
          </w:r>
          <w:r>
            <w:rPr>
              <w:rFonts w:hint="eastAsia" w:ascii="仿宋" w:hAnsi="仿宋" w:eastAsia="仿宋"/>
              <w:color w:val="auto"/>
              <w:highlight w:val="none"/>
            </w:rPr>
            <w:t>一</w:t>
          </w:r>
          <w:r>
            <w:rPr>
              <w:rFonts w:hint="eastAsia" w:ascii="仿宋" w:hAnsi="仿宋" w:eastAsia="仿宋"/>
              <w:bCs w:val="0"/>
              <w:color w:val="auto"/>
              <w:highlight w:val="none"/>
            </w:rPr>
            <w:t>般公共预算财政拨款支出决算明细表</w:t>
          </w:r>
          <w:r>
            <w:rPr>
              <w:color w:val="auto"/>
              <w:highlight w:val="none"/>
            </w:rPr>
            <w:tab/>
          </w:r>
          <w:r>
            <w:rPr>
              <w:color w:val="auto"/>
              <w:highlight w:val="none"/>
            </w:rPr>
            <w:fldChar w:fldCharType="begin"/>
          </w:r>
          <w:r>
            <w:rPr>
              <w:color w:val="auto"/>
              <w:highlight w:val="none"/>
            </w:rPr>
            <w:instrText xml:space="preserve"> PAGEREF _Toc30712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_Toc14056 </w:instrText>
          </w:r>
          <w:r>
            <w:rPr>
              <w:color w:val="auto"/>
              <w:highlight w:val="none"/>
            </w:rPr>
            <w:fldChar w:fldCharType="separate"/>
          </w:r>
          <w:r>
            <w:rPr>
              <w:rFonts w:hint="eastAsia" w:ascii="仿宋" w:hAnsi="仿宋" w:eastAsia="仿宋"/>
              <w:bCs w:val="0"/>
              <w:color w:val="auto"/>
              <w:highlight w:val="none"/>
            </w:rPr>
            <w:t>八、</w:t>
          </w:r>
          <w:r>
            <w:rPr>
              <w:rFonts w:hint="eastAsia" w:ascii="仿宋" w:hAnsi="仿宋" w:eastAsia="仿宋"/>
              <w:color w:val="auto"/>
              <w:highlight w:val="none"/>
            </w:rPr>
            <w:t>一</w:t>
          </w:r>
          <w:r>
            <w:rPr>
              <w:rFonts w:hint="eastAsia" w:ascii="仿宋" w:hAnsi="仿宋" w:eastAsia="仿宋"/>
              <w:bCs w:val="0"/>
              <w:color w:val="auto"/>
              <w:highlight w:val="none"/>
            </w:rPr>
            <w:t>般公共预算财政拨款基本支出决算表</w:t>
          </w:r>
          <w:r>
            <w:rPr>
              <w:color w:val="auto"/>
              <w:highlight w:val="none"/>
            </w:rPr>
            <w:tab/>
          </w:r>
          <w:r>
            <w:rPr>
              <w:color w:val="auto"/>
              <w:highlight w:val="none"/>
            </w:rPr>
            <w:fldChar w:fldCharType="begin"/>
          </w:r>
          <w:r>
            <w:rPr>
              <w:color w:val="auto"/>
              <w:highlight w:val="none"/>
            </w:rPr>
            <w:instrText xml:space="preserve"> PAGEREF _Toc14056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_Toc10547 </w:instrText>
          </w:r>
          <w:r>
            <w:rPr>
              <w:color w:val="auto"/>
              <w:highlight w:val="none"/>
            </w:rPr>
            <w:fldChar w:fldCharType="separate"/>
          </w:r>
          <w:r>
            <w:rPr>
              <w:rFonts w:hint="eastAsia" w:ascii="仿宋" w:hAnsi="仿宋" w:eastAsia="仿宋"/>
              <w:bCs w:val="0"/>
              <w:color w:val="auto"/>
              <w:highlight w:val="none"/>
            </w:rPr>
            <w:t>九、</w:t>
          </w:r>
          <w:r>
            <w:rPr>
              <w:rFonts w:hint="eastAsia" w:ascii="仿宋" w:hAnsi="仿宋" w:eastAsia="仿宋"/>
              <w:color w:val="auto"/>
              <w:highlight w:val="none"/>
            </w:rPr>
            <w:t>一</w:t>
          </w:r>
          <w:r>
            <w:rPr>
              <w:rFonts w:hint="eastAsia" w:ascii="仿宋" w:hAnsi="仿宋" w:eastAsia="仿宋"/>
              <w:bCs w:val="0"/>
              <w:color w:val="auto"/>
              <w:highlight w:val="none"/>
            </w:rPr>
            <w:t>般公共预算财政拨款项目支出决算表</w:t>
          </w:r>
          <w:r>
            <w:rPr>
              <w:color w:val="auto"/>
              <w:highlight w:val="none"/>
            </w:rPr>
            <w:tab/>
          </w:r>
          <w:r>
            <w:rPr>
              <w:color w:val="auto"/>
              <w:highlight w:val="none"/>
            </w:rPr>
            <w:fldChar w:fldCharType="begin"/>
          </w:r>
          <w:r>
            <w:rPr>
              <w:color w:val="auto"/>
              <w:highlight w:val="none"/>
            </w:rPr>
            <w:instrText xml:space="preserve"> PAGEREF _Toc10547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_Toc16881 </w:instrText>
          </w:r>
          <w:r>
            <w:rPr>
              <w:color w:val="auto"/>
              <w:highlight w:val="none"/>
            </w:rPr>
            <w:fldChar w:fldCharType="separate"/>
          </w:r>
          <w:r>
            <w:rPr>
              <w:rFonts w:hint="eastAsia" w:ascii="仿宋" w:hAnsi="仿宋" w:eastAsia="仿宋"/>
              <w:bCs w:val="0"/>
              <w:color w:val="auto"/>
              <w:highlight w:val="none"/>
            </w:rPr>
            <w:t>十、</w:t>
          </w:r>
          <w:r>
            <w:rPr>
              <w:rFonts w:hint="eastAsia" w:ascii="仿宋" w:hAnsi="仿宋" w:eastAsia="仿宋"/>
              <w:color w:val="auto"/>
              <w:highlight w:val="none"/>
            </w:rPr>
            <w:t>政</w:t>
          </w:r>
          <w:r>
            <w:rPr>
              <w:rFonts w:hint="eastAsia" w:ascii="仿宋" w:hAnsi="仿宋" w:eastAsia="仿宋"/>
              <w:bCs w:val="0"/>
              <w:color w:val="auto"/>
              <w:highlight w:val="none"/>
            </w:rPr>
            <w:t>府性基金预算财政拨款收入支出决算表</w:t>
          </w:r>
          <w:r>
            <w:rPr>
              <w:color w:val="auto"/>
              <w:highlight w:val="none"/>
            </w:rPr>
            <w:tab/>
          </w:r>
          <w:r>
            <w:rPr>
              <w:color w:val="auto"/>
              <w:highlight w:val="none"/>
            </w:rPr>
            <w:fldChar w:fldCharType="begin"/>
          </w:r>
          <w:r>
            <w:rPr>
              <w:color w:val="auto"/>
              <w:highlight w:val="none"/>
            </w:rPr>
            <w:instrText xml:space="preserve"> PAGEREF _Toc16881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_Toc29189 </w:instrText>
          </w:r>
          <w:r>
            <w:rPr>
              <w:color w:val="auto"/>
              <w:highlight w:val="none"/>
            </w:rPr>
            <w:fldChar w:fldCharType="separate"/>
          </w:r>
          <w:r>
            <w:rPr>
              <w:rFonts w:hint="eastAsia" w:ascii="仿宋" w:hAnsi="仿宋" w:eastAsia="仿宋"/>
              <w:bCs w:val="0"/>
              <w:color w:val="auto"/>
              <w:highlight w:val="none"/>
            </w:rPr>
            <w:t>十一、</w:t>
          </w:r>
          <w:r>
            <w:rPr>
              <w:rFonts w:hint="eastAsia" w:ascii="仿宋" w:hAnsi="仿宋" w:eastAsia="仿宋"/>
              <w:color w:val="auto"/>
              <w:highlight w:val="none"/>
            </w:rPr>
            <w:t>国</w:t>
          </w:r>
          <w:r>
            <w:rPr>
              <w:rFonts w:hint="eastAsia" w:ascii="仿宋" w:hAnsi="仿宋" w:eastAsia="仿宋"/>
              <w:bCs w:val="0"/>
              <w:color w:val="auto"/>
              <w:highlight w:val="none"/>
            </w:rPr>
            <w:t>有资本经营预算</w:t>
          </w:r>
          <w:r>
            <w:rPr>
              <w:rFonts w:hint="eastAsia" w:ascii="仿宋" w:hAnsi="仿宋" w:eastAsia="仿宋"/>
              <w:bCs w:val="0"/>
              <w:color w:val="auto"/>
              <w:highlight w:val="none"/>
              <w:lang w:eastAsia="zh-CN"/>
            </w:rPr>
            <w:t>财政拨款收入</w:t>
          </w:r>
          <w:r>
            <w:rPr>
              <w:rFonts w:hint="eastAsia" w:ascii="仿宋" w:hAnsi="仿宋" w:eastAsia="仿宋"/>
              <w:bCs w:val="0"/>
              <w:color w:val="auto"/>
              <w:highlight w:val="none"/>
            </w:rPr>
            <w:t>支出决算表</w:t>
          </w:r>
          <w:r>
            <w:rPr>
              <w:color w:val="auto"/>
              <w:highlight w:val="none"/>
            </w:rPr>
            <w:tab/>
          </w:r>
          <w:r>
            <w:rPr>
              <w:color w:val="auto"/>
              <w:highlight w:val="none"/>
            </w:rPr>
            <w:fldChar w:fldCharType="begin"/>
          </w:r>
          <w:r>
            <w:rPr>
              <w:color w:val="auto"/>
              <w:highlight w:val="none"/>
            </w:rPr>
            <w:instrText xml:space="preserve"> PAGEREF _Toc29189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_Toc22350 </w:instrText>
          </w:r>
          <w:r>
            <w:rPr>
              <w:color w:val="auto"/>
              <w:highlight w:val="none"/>
            </w:rPr>
            <w:fldChar w:fldCharType="separate"/>
          </w:r>
          <w:r>
            <w:rPr>
              <w:rFonts w:hint="eastAsia" w:ascii="仿宋" w:hAnsi="仿宋" w:eastAsia="仿宋"/>
              <w:bCs w:val="0"/>
              <w:color w:val="auto"/>
              <w:highlight w:val="none"/>
            </w:rPr>
            <w:t>十二、</w:t>
          </w:r>
          <w:r>
            <w:rPr>
              <w:rFonts w:hint="eastAsia" w:ascii="仿宋" w:hAnsi="仿宋" w:eastAsia="仿宋"/>
              <w:bCs w:val="0"/>
              <w:color w:val="auto"/>
              <w:highlight w:val="none"/>
              <w:lang w:eastAsia="zh-CN"/>
            </w:rPr>
            <w:t>国有资本经营预算财政拨款支出决算表</w:t>
          </w:r>
          <w:r>
            <w:rPr>
              <w:color w:val="auto"/>
              <w:highlight w:val="none"/>
            </w:rPr>
            <w:tab/>
          </w:r>
          <w:r>
            <w:rPr>
              <w:color w:val="auto"/>
              <w:highlight w:val="none"/>
            </w:rPr>
            <w:fldChar w:fldCharType="begin"/>
          </w:r>
          <w:r>
            <w:rPr>
              <w:color w:val="auto"/>
              <w:highlight w:val="none"/>
            </w:rPr>
            <w:instrText xml:space="preserve"> PAGEREF _Toc22350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pPr>
            <w:pStyle w:val="34"/>
            <w:shd w:val="clear"/>
            <w:tabs>
              <w:tab w:val="right" w:leader="dot" w:pos="8306"/>
            </w:tabs>
            <w:rPr>
              <w:color w:val="auto"/>
              <w:highlight w:val="none"/>
            </w:rPr>
          </w:pPr>
          <w:r>
            <w:rPr>
              <w:color w:val="auto"/>
              <w:highlight w:val="none"/>
            </w:rPr>
            <w:fldChar w:fldCharType="begin"/>
          </w:r>
          <w:r>
            <w:rPr>
              <w:color w:val="auto"/>
              <w:highlight w:val="none"/>
            </w:rPr>
            <w:instrText xml:space="preserve"> HYPERLINK \l _Toc22932 </w:instrText>
          </w:r>
          <w:r>
            <w:rPr>
              <w:color w:val="auto"/>
              <w:highlight w:val="none"/>
            </w:rPr>
            <w:fldChar w:fldCharType="separate"/>
          </w:r>
          <w:r>
            <w:rPr>
              <w:rFonts w:hint="eastAsia" w:ascii="仿宋" w:hAnsi="仿宋" w:eastAsia="仿宋"/>
              <w:bCs w:val="0"/>
              <w:color w:val="auto"/>
              <w:highlight w:val="none"/>
            </w:rPr>
            <w:t>十三、</w:t>
          </w:r>
          <w:r>
            <w:rPr>
              <w:rFonts w:hint="eastAsia" w:ascii="仿宋" w:hAnsi="仿宋" w:eastAsia="仿宋"/>
              <w:bCs w:val="0"/>
              <w:color w:val="auto"/>
              <w:highlight w:val="none"/>
              <w:lang w:eastAsia="zh-CN"/>
            </w:rPr>
            <w:t>财政拨款“三公”经费支出决算表</w:t>
          </w:r>
          <w:r>
            <w:rPr>
              <w:color w:val="auto"/>
              <w:highlight w:val="none"/>
            </w:rPr>
            <w:tab/>
          </w:r>
          <w:r>
            <w:rPr>
              <w:color w:val="auto"/>
              <w:highlight w:val="none"/>
            </w:rPr>
            <w:fldChar w:fldCharType="begin"/>
          </w:r>
          <w:r>
            <w:rPr>
              <w:color w:val="auto"/>
              <w:highlight w:val="none"/>
            </w:rPr>
            <w:instrText xml:space="preserve"> PAGEREF _Toc22932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pPr>
            <w:shd w:val="clear"/>
            <w:rPr>
              <w:color w:val="auto"/>
              <w:highlight w:val="none"/>
            </w:rPr>
          </w:pPr>
          <w:r>
            <w:rPr>
              <w:b/>
              <w:color w:val="auto"/>
              <w:highlight w:val="none"/>
            </w:rPr>
            <w:fldChar w:fldCharType="end"/>
          </w:r>
        </w:p>
      </w:sdtContent>
    </w:sdt>
    <w:p>
      <w:pPr>
        <w:pStyle w:val="3"/>
        <w:shd w:val="clear"/>
        <w:jc w:val="center"/>
        <w:rPr>
          <w:rFonts w:hint="eastAsia" w:ascii="黑体" w:hAnsi="黑体" w:eastAsia="黑体"/>
          <w:b w:val="0"/>
          <w:color w:val="auto"/>
          <w:highlight w:val="none"/>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7" w:name="_Toc26457"/>
    </w:p>
    <w:p>
      <w:pPr>
        <w:pStyle w:val="3"/>
        <w:shd w:val="clear"/>
        <w:jc w:val="center"/>
        <w:rPr>
          <w:rFonts w:ascii="黑体" w:eastAsia="黑体"/>
          <w:color w:val="auto"/>
          <w:sz w:val="32"/>
          <w:szCs w:val="32"/>
          <w:highlight w:val="none"/>
        </w:rPr>
      </w:pPr>
      <w:r>
        <w:rPr>
          <w:rFonts w:hint="eastAsia" w:ascii="黑体" w:hAnsi="黑体" w:eastAsia="黑体"/>
          <w:b w:val="0"/>
          <w:color w:val="auto"/>
          <w:highlight w:val="none"/>
        </w:rPr>
        <w:t>第一部分</w:t>
      </w:r>
      <w:r>
        <w:rPr>
          <w:rFonts w:hint="eastAsia" w:ascii="黑体" w:hAnsi="黑体" w:eastAsia="黑体"/>
          <w:b w:val="0"/>
          <w:color w:val="auto"/>
          <w:highlight w:val="none"/>
          <w:lang w:eastAsia="zh-CN"/>
        </w:rPr>
        <w:t>单位</w:t>
      </w:r>
      <w:r>
        <w:rPr>
          <w:rStyle w:val="18"/>
          <w:rFonts w:hint="eastAsia" w:ascii="黑体" w:hAnsi="黑体" w:eastAsia="黑体"/>
          <w:b w:val="0"/>
          <w:bCs w:val="0"/>
          <w:color w:val="auto"/>
          <w:highlight w:val="none"/>
        </w:rPr>
        <w:t>概况</w:t>
      </w:r>
      <w:bookmarkEnd w:id="15"/>
      <w:bookmarkEnd w:id="16"/>
      <w:bookmarkEnd w:id="17"/>
    </w:p>
    <w:p>
      <w:pPr>
        <w:pStyle w:val="4"/>
        <w:numPr>
          <w:ilvl w:val="0"/>
          <w:numId w:val="0"/>
        </w:numPr>
        <w:shd w:val="clear"/>
        <w:ind w:firstLine="640" w:firstLineChars="200"/>
        <w:rPr>
          <w:rStyle w:val="19"/>
          <w:rFonts w:hint="eastAsia" w:ascii="黑体" w:hAnsi="黑体" w:eastAsia="黑体"/>
          <w:b w:val="0"/>
          <w:bCs w:val="0"/>
          <w:color w:val="auto"/>
          <w:highlight w:val="none"/>
          <w:lang w:eastAsia="zh-CN"/>
        </w:rPr>
      </w:pPr>
      <w:bookmarkStart w:id="18" w:name="_Toc27933"/>
      <w:bookmarkStart w:id="19" w:name="_Toc15377197"/>
      <w:bookmarkStart w:id="20" w:name="_Toc15396600"/>
      <w:r>
        <w:rPr>
          <w:rStyle w:val="19"/>
          <w:rFonts w:hint="eastAsia" w:ascii="黑体" w:hAnsi="黑体" w:eastAsia="黑体"/>
          <w:b w:val="0"/>
          <w:bCs w:val="0"/>
          <w:color w:val="auto"/>
          <w:highlight w:val="none"/>
          <w:lang w:val="en-US" w:eastAsia="zh-CN"/>
        </w:rPr>
        <w:t>一、</w:t>
      </w:r>
      <w:r>
        <w:rPr>
          <w:rStyle w:val="19"/>
          <w:rFonts w:hint="eastAsia" w:ascii="黑体" w:hAnsi="黑体" w:eastAsia="黑体"/>
          <w:b w:val="0"/>
          <w:bCs w:val="0"/>
          <w:color w:val="auto"/>
          <w:highlight w:val="none"/>
          <w:lang w:eastAsia="zh-CN"/>
        </w:rPr>
        <w:t>主要职责</w:t>
      </w:r>
      <w:bookmarkEnd w:id="18"/>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580" w:lineRule="atLeast"/>
        <w:ind w:right="0" w:firstLine="640" w:firstLineChars="200"/>
        <w:jc w:val="both"/>
        <w:rPr>
          <w:rFonts w:hint="eastAsia" w:ascii="仿宋" w:hAnsi="仿宋" w:eastAsia="仿宋" w:cs="仿宋"/>
          <w:b w:val="0"/>
          <w:bCs/>
          <w:i w:val="0"/>
          <w:caps w:val="0"/>
          <w:color w:val="auto"/>
          <w:spacing w:val="0"/>
          <w:sz w:val="32"/>
          <w:szCs w:val="32"/>
          <w:highlight w:val="none"/>
          <w:shd w:val="clear" w:color="auto" w:fill="FFFFFF"/>
          <w:lang w:val="en-US" w:eastAsia="zh-Hans"/>
        </w:rPr>
      </w:pPr>
      <w:r>
        <w:rPr>
          <w:rFonts w:hint="eastAsia" w:ascii="仿宋" w:hAnsi="仿宋" w:eastAsia="仿宋" w:cs="仿宋"/>
          <w:b w:val="0"/>
          <w:bCs/>
          <w:i w:val="0"/>
          <w:caps w:val="0"/>
          <w:color w:val="auto"/>
          <w:spacing w:val="0"/>
          <w:sz w:val="32"/>
          <w:szCs w:val="32"/>
          <w:highlight w:val="none"/>
          <w:shd w:val="clear" w:color="auto" w:fill="FFFFFF"/>
          <w:lang w:val="en-US" w:eastAsia="zh-CN"/>
        </w:rPr>
        <w:t>1</w:t>
      </w:r>
      <w:r>
        <w:rPr>
          <w:rFonts w:hint="eastAsia" w:ascii="仿宋" w:hAnsi="仿宋" w:eastAsia="仿宋" w:cs="仿宋"/>
          <w:b w:val="0"/>
          <w:bCs/>
          <w:i w:val="0"/>
          <w:caps w:val="0"/>
          <w:color w:val="auto"/>
          <w:spacing w:val="0"/>
          <w:sz w:val="32"/>
          <w:szCs w:val="32"/>
          <w:highlight w:val="none"/>
          <w:shd w:val="clear" w:color="auto" w:fill="FFFFFF"/>
          <w:lang w:val="en-US" w:eastAsia="zh-Hans"/>
        </w:rPr>
        <w:t>、服务区域间经济合作。服务投资促进，加大对广元的宣传推介力度，促进广元和成都之间的资源合理流动，积极参与对口合作相关服务工作。强化对商会的指导和服务。</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580" w:lineRule="atLeast"/>
        <w:ind w:right="0" w:firstLine="640" w:firstLineChars="200"/>
        <w:jc w:val="both"/>
        <w:rPr>
          <w:rFonts w:hint="eastAsia" w:ascii="仿宋" w:hAnsi="仿宋" w:eastAsia="仿宋" w:cs="仿宋"/>
          <w:b w:val="0"/>
          <w:bCs/>
          <w:i w:val="0"/>
          <w:caps w:val="0"/>
          <w:color w:val="auto"/>
          <w:spacing w:val="0"/>
          <w:sz w:val="32"/>
          <w:szCs w:val="32"/>
          <w:highlight w:val="none"/>
          <w:shd w:val="clear" w:color="auto" w:fill="FFFFFF"/>
          <w:lang w:val="en-US" w:eastAsia="zh-Hans"/>
        </w:rPr>
      </w:pPr>
      <w:r>
        <w:rPr>
          <w:rFonts w:hint="eastAsia" w:ascii="仿宋" w:hAnsi="仿宋" w:eastAsia="仿宋" w:cs="仿宋"/>
          <w:b w:val="0"/>
          <w:bCs/>
          <w:i w:val="0"/>
          <w:caps w:val="0"/>
          <w:color w:val="auto"/>
          <w:spacing w:val="0"/>
          <w:sz w:val="32"/>
          <w:szCs w:val="32"/>
          <w:highlight w:val="none"/>
          <w:shd w:val="clear" w:color="auto" w:fill="FFFFFF"/>
          <w:lang w:val="en-US" w:eastAsia="zh-CN"/>
        </w:rPr>
        <w:t>2</w:t>
      </w:r>
      <w:r>
        <w:rPr>
          <w:rFonts w:hint="eastAsia" w:ascii="仿宋" w:hAnsi="仿宋" w:eastAsia="仿宋" w:cs="仿宋"/>
          <w:b w:val="0"/>
          <w:bCs/>
          <w:i w:val="0"/>
          <w:caps w:val="0"/>
          <w:color w:val="auto"/>
          <w:spacing w:val="0"/>
          <w:sz w:val="32"/>
          <w:szCs w:val="32"/>
          <w:highlight w:val="none"/>
          <w:shd w:val="clear" w:color="auto" w:fill="FFFFFF"/>
          <w:lang w:val="en-US" w:eastAsia="zh-Hans"/>
        </w:rPr>
        <w:t>、参与社会管理和公共服务。加强与四川省、成都市有关职能部门的沟通协调，为广元的外出务工人员提供服务，协助办理民族事务，协助处置突发事件，协助做好信访工作，调解纠纷，化解矛盾，维护社会稳定。</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580" w:lineRule="atLeast"/>
        <w:ind w:right="0" w:firstLine="640" w:firstLineChars="200"/>
        <w:jc w:val="both"/>
        <w:rPr>
          <w:rFonts w:hint="eastAsia" w:ascii="仿宋" w:hAnsi="仿宋" w:eastAsia="仿宋" w:cs="仿宋"/>
          <w:b w:val="0"/>
          <w:bCs/>
          <w:i w:val="0"/>
          <w:caps w:val="0"/>
          <w:color w:val="auto"/>
          <w:spacing w:val="0"/>
          <w:sz w:val="32"/>
          <w:szCs w:val="32"/>
          <w:highlight w:val="none"/>
          <w:shd w:val="clear" w:color="auto" w:fill="FFFFFF"/>
          <w:lang w:val="en-US" w:eastAsia="zh-Hans"/>
        </w:rPr>
      </w:pPr>
      <w:r>
        <w:rPr>
          <w:rFonts w:hint="eastAsia" w:ascii="仿宋" w:hAnsi="仿宋" w:eastAsia="仿宋" w:cs="仿宋"/>
          <w:b w:val="0"/>
          <w:bCs/>
          <w:i w:val="0"/>
          <w:caps w:val="0"/>
          <w:color w:val="auto"/>
          <w:spacing w:val="0"/>
          <w:sz w:val="32"/>
          <w:szCs w:val="32"/>
          <w:highlight w:val="none"/>
          <w:shd w:val="clear" w:color="auto" w:fill="FFFFFF"/>
          <w:lang w:val="en-US" w:eastAsia="zh-CN"/>
        </w:rPr>
        <w:t>3</w:t>
      </w:r>
      <w:r>
        <w:rPr>
          <w:rFonts w:hint="eastAsia" w:ascii="仿宋" w:hAnsi="仿宋" w:eastAsia="仿宋" w:cs="仿宋"/>
          <w:b w:val="0"/>
          <w:bCs/>
          <w:i w:val="0"/>
          <w:caps w:val="0"/>
          <w:color w:val="auto"/>
          <w:spacing w:val="0"/>
          <w:sz w:val="32"/>
          <w:szCs w:val="32"/>
          <w:highlight w:val="none"/>
          <w:shd w:val="clear" w:color="auto" w:fill="FFFFFF"/>
          <w:lang w:val="en-US" w:eastAsia="zh-Hans"/>
        </w:rPr>
        <w:t>、加强流动党员管理服务。协助做好流动党员的管理服务工作，建立健全流动党员党组织，积极为流动党员提供组织生活、教育培训、关爱帮扶、权益保障等服务。　　</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580" w:lineRule="atLeast"/>
        <w:ind w:right="0" w:firstLine="640" w:firstLineChars="200"/>
        <w:jc w:val="both"/>
        <w:rPr>
          <w:rFonts w:hint="eastAsia" w:ascii="仿宋" w:hAnsi="仿宋" w:eastAsia="仿宋" w:cs="仿宋"/>
          <w:b w:val="0"/>
          <w:bCs/>
          <w:i w:val="0"/>
          <w:caps w:val="0"/>
          <w:color w:val="auto"/>
          <w:spacing w:val="0"/>
          <w:sz w:val="32"/>
          <w:szCs w:val="32"/>
          <w:highlight w:val="none"/>
          <w:shd w:val="clear" w:color="auto" w:fill="FFFFFF"/>
          <w:lang w:val="en-US" w:eastAsia="zh-Hans"/>
        </w:rPr>
      </w:pPr>
      <w:r>
        <w:rPr>
          <w:rFonts w:hint="eastAsia" w:ascii="仿宋" w:hAnsi="仿宋" w:eastAsia="仿宋" w:cs="仿宋"/>
          <w:b w:val="0"/>
          <w:bCs/>
          <w:i w:val="0"/>
          <w:caps w:val="0"/>
          <w:color w:val="auto"/>
          <w:spacing w:val="0"/>
          <w:sz w:val="32"/>
          <w:szCs w:val="32"/>
          <w:highlight w:val="none"/>
          <w:shd w:val="clear" w:color="auto" w:fill="FFFFFF"/>
          <w:lang w:val="en-US" w:eastAsia="zh-CN"/>
        </w:rPr>
        <w:t>4</w:t>
      </w:r>
      <w:r>
        <w:rPr>
          <w:rFonts w:hint="eastAsia" w:ascii="仿宋" w:hAnsi="仿宋" w:eastAsia="仿宋" w:cs="仿宋"/>
          <w:b w:val="0"/>
          <w:bCs/>
          <w:i w:val="0"/>
          <w:caps w:val="0"/>
          <w:color w:val="auto"/>
          <w:spacing w:val="0"/>
          <w:sz w:val="32"/>
          <w:szCs w:val="32"/>
          <w:highlight w:val="none"/>
          <w:shd w:val="clear" w:color="auto" w:fill="FFFFFF"/>
          <w:lang w:val="en-US" w:eastAsia="zh-Hans"/>
        </w:rPr>
        <w:t>、改进政务联络和信息沟通。加强与四川省、成都市的政务联络，促进广元与成都间的友好来往，收集、研究、传送成都经济社会发展的政策、经验等信息，参与我市在成都进行的有关重大活动的组织协调和服务工作。</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580" w:lineRule="atLeast"/>
        <w:ind w:right="0" w:firstLine="640" w:firstLineChars="200"/>
        <w:jc w:val="both"/>
        <w:rPr>
          <w:rFonts w:hint="eastAsia" w:ascii="仿宋" w:hAnsi="仿宋" w:eastAsia="仿宋" w:cs="仿宋"/>
          <w:b w:val="0"/>
          <w:bCs/>
          <w:i w:val="0"/>
          <w:caps w:val="0"/>
          <w:color w:val="auto"/>
          <w:spacing w:val="0"/>
          <w:sz w:val="32"/>
          <w:szCs w:val="32"/>
          <w:highlight w:val="none"/>
          <w:shd w:val="clear" w:color="auto" w:fill="FFFFFF"/>
          <w:lang w:val="en-US" w:eastAsia="zh-Hans"/>
        </w:rPr>
      </w:pPr>
      <w:r>
        <w:rPr>
          <w:rFonts w:hint="eastAsia" w:ascii="仿宋" w:hAnsi="仿宋" w:eastAsia="仿宋" w:cs="仿宋"/>
          <w:b w:val="0"/>
          <w:bCs/>
          <w:i w:val="0"/>
          <w:caps w:val="0"/>
          <w:color w:val="auto"/>
          <w:spacing w:val="0"/>
          <w:sz w:val="32"/>
          <w:szCs w:val="32"/>
          <w:highlight w:val="none"/>
          <w:shd w:val="clear" w:color="auto" w:fill="FFFFFF"/>
          <w:lang w:val="en-US" w:eastAsia="zh-CN"/>
        </w:rPr>
        <w:t>5</w:t>
      </w:r>
      <w:r>
        <w:rPr>
          <w:rFonts w:hint="eastAsia" w:ascii="仿宋" w:hAnsi="仿宋" w:eastAsia="仿宋" w:cs="仿宋"/>
          <w:b w:val="0"/>
          <w:bCs/>
          <w:i w:val="0"/>
          <w:caps w:val="0"/>
          <w:color w:val="auto"/>
          <w:spacing w:val="0"/>
          <w:sz w:val="32"/>
          <w:szCs w:val="32"/>
          <w:highlight w:val="none"/>
          <w:shd w:val="clear" w:color="auto" w:fill="FFFFFF"/>
          <w:lang w:val="en-US" w:eastAsia="zh-Hans"/>
        </w:rPr>
        <w:t>、负责市四大班子领导在蓉的政务服务、联络、接待工作。</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580" w:lineRule="atLeast"/>
        <w:ind w:right="0" w:firstLine="640" w:firstLineChars="200"/>
        <w:jc w:val="both"/>
        <w:rPr>
          <w:rFonts w:hint="eastAsia" w:ascii="仿宋" w:hAnsi="仿宋" w:eastAsia="仿宋" w:cs="仿宋"/>
          <w:b w:val="0"/>
          <w:bCs/>
          <w:i w:val="0"/>
          <w:caps w:val="0"/>
          <w:color w:val="auto"/>
          <w:spacing w:val="0"/>
          <w:sz w:val="32"/>
          <w:szCs w:val="32"/>
          <w:highlight w:val="none"/>
          <w:shd w:val="clear" w:color="auto" w:fill="FFFFFF"/>
          <w:lang w:val="en-US" w:eastAsia="zh-Hans"/>
        </w:rPr>
      </w:pPr>
      <w:r>
        <w:rPr>
          <w:rFonts w:hint="eastAsia" w:ascii="仿宋" w:hAnsi="仿宋" w:eastAsia="仿宋" w:cs="仿宋"/>
          <w:b w:val="0"/>
          <w:bCs/>
          <w:i w:val="0"/>
          <w:caps w:val="0"/>
          <w:color w:val="auto"/>
          <w:spacing w:val="0"/>
          <w:sz w:val="32"/>
          <w:szCs w:val="32"/>
          <w:highlight w:val="none"/>
          <w:shd w:val="clear" w:color="auto" w:fill="FFFFFF"/>
          <w:lang w:val="en-US" w:eastAsia="zh-CN"/>
        </w:rPr>
        <w:t>6</w:t>
      </w:r>
      <w:r>
        <w:rPr>
          <w:rFonts w:hint="eastAsia" w:ascii="仿宋" w:hAnsi="仿宋" w:eastAsia="仿宋" w:cs="仿宋"/>
          <w:b w:val="0"/>
          <w:bCs/>
          <w:i w:val="0"/>
          <w:caps w:val="0"/>
          <w:color w:val="auto"/>
          <w:spacing w:val="0"/>
          <w:sz w:val="32"/>
          <w:szCs w:val="32"/>
          <w:highlight w:val="none"/>
          <w:shd w:val="clear" w:color="auto" w:fill="FFFFFF"/>
          <w:lang w:val="en-US" w:eastAsia="zh-Hans"/>
        </w:rPr>
        <w:t>、经营好办事处代管企业，确保国有资产保值、增值。</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580" w:lineRule="atLeast"/>
        <w:ind w:right="0"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b w:val="0"/>
          <w:bCs/>
          <w:i w:val="0"/>
          <w:caps w:val="0"/>
          <w:color w:val="auto"/>
          <w:spacing w:val="0"/>
          <w:sz w:val="32"/>
          <w:szCs w:val="32"/>
          <w:highlight w:val="none"/>
          <w:shd w:val="clear" w:color="auto" w:fill="FFFFFF"/>
          <w:lang w:val="en-US" w:eastAsia="zh-CN"/>
        </w:rPr>
        <w:t>7</w:t>
      </w:r>
      <w:r>
        <w:rPr>
          <w:rFonts w:hint="eastAsia" w:ascii="仿宋" w:hAnsi="仿宋" w:eastAsia="仿宋" w:cs="仿宋"/>
          <w:b w:val="0"/>
          <w:bCs/>
          <w:i w:val="0"/>
          <w:caps w:val="0"/>
          <w:color w:val="auto"/>
          <w:spacing w:val="0"/>
          <w:sz w:val="32"/>
          <w:szCs w:val="32"/>
          <w:highlight w:val="none"/>
          <w:shd w:val="clear" w:color="auto" w:fill="FFFFFF"/>
          <w:lang w:val="en-US" w:eastAsia="zh-Hans"/>
        </w:rPr>
        <w:t>、承办市委、市政府交办的其他工作。</w:t>
      </w:r>
    </w:p>
    <w:p>
      <w:pPr>
        <w:pStyle w:val="4"/>
        <w:numPr>
          <w:ilvl w:val="0"/>
          <w:numId w:val="0"/>
        </w:numPr>
        <w:shd w:val="clear"/>
        <w:ind w:firstLine="640" w:firstLineChars="200"/>
        <w:rPr>
          <w:rFonts w:hint="eastAsia" w:ascii="黑体" w:hAnsi="黑体" w:eastAsia="黑体"/>
          <w:b w:val="0"/>
          <w:color w:val="auto"/>
          <w:highlight w:val="none"/>
          <w:lang w:val="en-US" w:eastAsia="zh-CN"/>
        </w:rPr>
      </w:pPr>
      <w:bookmarkStart w:id="21" w:name="_Toc5544"/>
      <w:r>
        <w:rPr>
          <w:rFonts w:hint="eastAsia" w:ascii="黑体" w:hAnsi="黑体" w:eastAsia="黑体"/>
          <w:b w:val="0"/>
          <w:color w:val="auto"/>
          <w:highlight w:val="none"/>
          <w:lang w:val="en-US" w:eastAsia="zh-CN"/>
        </w:rPr>
        <w:t>二、机构设置</w:t>
      </w:r>
      <w:bookmarkEnd w:id="21"/>
    </w:p>
    <w:bookmarkEnd w:id="19"/>
    <w:bookmarkEnd w:id="20"/>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580" w:lineRule="atLeast"/>
        <w:ind w:right="0" w:firstLine="640" w:firstLineChars="200"/>
        <w:jc w:val="both"/>
        <w:rPr>
          <w:rFonts w:hint="eastAsia" w:ascii="仿宋" w:hAnsi="仿宋" w:eastAsia="仿宋" w:cs="仿宋"/>
          <w:b w:val="0"/>
          <w:bCs/>
          <w:i w:val="0"/>
          <w:caps w:val="0"/>
          <w:color w:val="auto"/>
          <w:spacing w:val="0"/>
          <w:sz w:val="32"/>
          <w:szCs w:val="32"/>
          <w:highlight w:val="none"/>
          <w:shd w:val="clear" w:color="auto" w:fill="FFFFFF"/>
          <w:lang w:val="en-US" w:eastAsia="zh-CN"/>
        </w:rPr>
      </w:pPr>
      <w:r>
        <w:rPr>
          <w:rFonts w:hint="eastAsia" w:ascii="仿宋" w:hAnsi="仿宋" w:eastAsia="仿宋" w:cs="仿宋"/>
          <w:b w:val="0"/>
          <w:bCs/>
          <w:i w:val="0"/>
          <w:caps w:val="0"/>
          <w:color w:val="auto"/>
          <w:spacing w:val="0"/>
          <w:sz w:val="32"/>
          <w:szCs w:val="32"/>
          <w:highlight w:val="none"/>
          <w:shd w:val="clear" w:color="auto" w:fill="FFFFFF"/>
          <w:lang w:val="en-US" w:eastAsia="zh-CN"/>
        </w:rPr>
        <w:t>广元市人民政府驻成都办事处属于广元市人民政府办公室下属的二级预算单位，下设独立机构</w:t>
      </w:r>
      <w:r>
        <w:rPr>
          <w:rFonts w:hint="default" w:ascii="仿宋" w:hAnsi="仿宋" w:eastAsia="仿宋" w:cs="仿宋"/>
          <w:b w:val="0"/>
          <w:bCs/>
          <w:i w:val="0"/>
          <w:caps w:val="0"/>
          <w:color w:val="auto"/>
          <w:spacing w:val="0"/>
          <w:sz w:val="32"/>
          <w:szCs w:val="32"/>
          <w:highlight w:val="none"/>
          <w:shd w:val="clear" w:color="auto" w:fill="FFFFFF"/>
          <w:lang w:eastAsia="zh-CN"/>
        </w:rPr>
        <w:t>1</w:t>
      </w:r>
      <w:r>
        <w:rPr>
          <w:rFonts w:hint="eastAsia" w:ascii="仿宋" w:hAnsi="仿宋" w:eastAsia="仿宋" w:cs="仿宋"/>
          <w:b w:val="0"/>
          <w:bCs/>
          <w:i w:val="0"/>
          <w:caps w:val="0"/>
          <w:color w:val="auto"/>
          <w:spacing w:val="0"/>
          <w:sz w:val="32"/>
          <w:szCs w:val="32"/>
          <w:highlight w:val="none"/>
          <w:shd w:val="clear" w:color="auto" w:fill="FFFFFF"/>
          <w:lang w:val="en-US" w:eastAsia="zh-CN"/>
        </w:rPr>
        <w:t>个，其中行政机构0个，参照公务员法管理的事业单位机构</w:t>
      </w:r>
      <w:r>
        <w:rPr>
          <w:rFonts w:hint="default" w:ascii="仿宋" w:hAnsi="仿宋" w:eastAsia="仿宋" w:cs="仿宋"/>
          <w:b w:val="0"/>
          <w:bCs/>
          <w:i w:val="0"/>
          <w:caps w:val="0"/>
          <w:color w:val="auto"/>
          <w:spacing w:val="0"/>
          <w:sz w:val="32"/>
          <w:szCs w:val="32"/>
          <w:highlight w:val="none"/>
          <w:shd w:val="clear" w:color="auto" w:fill="FFFFFF"/>
          <w:lang w:eastAsia="zh-CN"/>
        </w:rPr>
        <w:t>1</w:t>
      </w:r>
      <w:r>
        <w:rPr>
          <w:rFonts w:hint="eastAsia" w:ascii="仿宋" w:hAnsi="仿宋" w:eastAsia="仿宋" w:cs="仿宋"/>
          <w:b w:val="0"/>
          <w:bCs/>
          <w:i w:val="0"/>
          <w:caps w:val="0"/>
          <w:color w:val="auto"/>
          <w:spacing w:val="0"/>
          <w:sz w:val="32"/>
          <w:szCs w:val="32"/>
          <w:highlight w:val="none"/>
          <w:shd w:val="clear" w:color="auto" w:fill="FFFFFF"/>
          <w:lang w:val="en-US" w:eastAsia="zh-CN"/>
        </w:rPr>
        <w:t>个，其他事业机构0个。</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580" w:lineRule="atLeast"/>
        <w:ind w:right="0" w:firstLine="640" w:firstLineChars="200"/>
        <w:jc w:val="both"/>
        <w:rPr>
          <w:rFonts w:hint="eastAsia" w:ascii="仿宋" w:hAnsi="仿宋" w:eastAsia="仿宋" w:cs="仿宋"/>
          <w:b w:val="0"/>
          <w:bCs/>
          <w:i w:val="0"/>
          <w:caps w:val="0"/>
          <w:color w:val="auto"/>
          <w:spacing w:val="0"/>
          <w:sz w:val="32"/>
          <w:szCs w:val="32"/>
          <w:highlight w:val="none"/>
          <w:shd w:val="clear" w:color="auto" w:fill="FFFFFF"/>
          <w:lang w:val="en-US" w:eastAsia="zh-CN"/>
        </w:rPr>
      </w:pPr>
      <w:r>
        <w:rPr>
          <w:rFonts w:hint="eastAsia" w:ascii="仿宋" w:hAnsi="仿宋" w:eastAsia="仿宋" w:cs="仿宋"/>
          <w:b w:val="0"/>
          <w:bCs/>
          <w:i w:val="0"/>
          <w:caps w:val="0"/>
          <w:color w:val="auto"/>
          <w:spacing w:val="0"/>
          <w:sz w:val="32"/>
          <w:szCs w:val="32"/>
          <w:highlight w:val="none"/>
          <w:shd w:val="clear" w:color="auto" w:fill="FFFFFF"/>
          <w:lang w:val="en-US" w:eastAsia="zh-CN"/>
        </w:rPr>
        <w:t>纳入2022年单位决算编制范围的独立编制机构包括广元市人民政府驻成都办事处本级。</w:t>
      </w:r>
    </w:p>
    <w:p>
      <w:pPr>
        <w:pStyle w:val="3"/>
        <w:shd w:val="clear"/>
        <w:ind w:right="440"/>
        <w:jc w:val="center"/>
        <w:outlineLvl w:val="9"/>
        <w:rPr>
          <w:rFonts w:hint="eastAsia" w:ascii="黑体" w:hAnsi="黑体" w:eastAsia="黑体"/>
          <w:b w:val="0"/>
          <w:bCs/>
          <w:color w:val="auto"/>
          <w:highlight w:val="none"/>
        </w:rPr>
      </w:pPr>
      <w:bookmarkStart w:id="22" w:name="_Toc15377204"/>
      <w:bookmarkStart w:id="23" w:name="_Toc15396602"/>
    </w:p>
    <w:p>
      <w:pPr>
        <w:pStyle w:val="3"/>
        <w:shd w:val="clear"/>
        <w:ind w:right="440"/>
        <w:jc w:val="center"/>
        <w:outlineLvl w:val="9"/>
        <w:rPr>
          <w:rFonts w:hint="eastAsia" w:ascii="黑体" w:hAnsi="黑体" w:eastAsia="黑体"/>
          <w:b w:val="0"/>
          <w:bCs/>
          <w:color w:val="auto"/>
          <w:highlight w:val="none"/>
        </w:rPr>
      </w:pPr>
    </w:p>
    <w:p>
      <w:pPr>
        <w:pStyle w:val="3"/>
        <w:shd w:val="clear"/>
        <w:ind w:right="440"/>
        <w:jc w:val="center"/>
        <w:outlineLvl w:val="9"/>
        <w:rPr>
          <w:rFonts w:hint="eastAsia" w:ascii="黑体" w:hAnsi="黑体" w:eastAsia="黑体"/>
          <w:b w:val="0"/>
          <w:bCs/>
          <w:color w:val="auto"/>
          <w:highlight w:val="none"/>
        </w:rPr>
      </w:pPr>
    </w:p>
    <w:p>
      <w:pPr>
        <w:pStyle w:val="3"/>
        <w:shd w:val="clear"/>
        <w:ind w:right="440"/>
        <w:jc w:val="center"/>
        <w:outlineLvl w:val="9"/>
        <w:rPr>
          <w:rFonts w:hint="eastAsia" w:ascii="黑体" w:hAnsi="黑体" w:eastAsia="黑体"/>
          <w:b w:val="0"/>
          <w:bCs/>
          <w:color w:val="auto"/>
          <w:highlight w:val="none"/>
        </w:rPr>
      </w:pPr>
    </w:p>
    <w:p>
      <w:pPr>
        <w:pStyle w:val="3"/>
        <w:shd w:val="clear"/>
        <w:ind w:right="440"/>
        <w:jc w:val="center"/>
        <w:outlineLvl w:val="9"/>
        <w:rPr>
          <w:rFonts w:hint="eastAsia" w:ascii="黑体" w:hAnsi="黑体" w:eastAsia="黑体"/>
          <w:b w:val="0"/>
          <w:bCs/>
          <w:color w:val="auto"/>
          <w:highlight w:val="none"/>
        </w:rPr>
      </w:pPr>
    </w:p>
    <w:p>
      <w:pPr>
        <w:pStyle w:val="3"/>
        <w:shd w:val="clear"/>
        <w:ind w:right="440"/>
        <w:jc w:val="center"/>
        <w:outlineLvl w:val="9"/>
        <w:rPr>
          <w:rFonts w:hint="eastAsia" w:ascii="黑体" w:hAnsi="黑体" w:eastAsia="黑体"/>
          <w:b w:val="0"/>
          <w:bCs/>
          <w:color w:val="auto"/>
          <w:highlight w:val="none"/>
        </w:rPr>
      </w:pPr>
    </w:p>
    <w:p>
      <w:pPr>
        <w:pStyle w:val="3"/>
        <w:shd w:val="clear"/>
        <w:ind w:right="440"/>
        <w:jc w:val="both"/>
        <w:outlineLvl w:val="9"/>
        <w:rPr>
          <w:rFonts w:hint="eastAsia" w:ascii="黑体" w:hAnsi="黑体" w:eastAsia="黑体"/>
          <w:b w:val="0"/>
          <w:bCs/>
          <w:color w:val="auto"/>
          <w:highlight w:val="none"/>
        </w:rPr>
      </w:pPr>
    </w:p>
    <w:p>
      <w:pPr>
        <w:shd w:val="clear"/>
        <w:rPr>
          <w:rFonts w:hint="eastAsia" w:ascii="黑体" w:hAnsi="黑体" w:eastAsia="黑体"/>
          <w:b w:val="0"/>
          <w:bCs/>
          <w:color w:val="auto"/>
          <w:highlight w:val="none"/>
        </w:rPr>
      </w:pPr>
    </w:p>
    <w:p>
      <w:pPr>
        <w:pStyle w:val="11"/>
        <w:shd w:val="clear"/>
        <w:rPr>
          <w:rFonts w:hint="eastAsia" w:ascii="黑体" w:hAnsi="黑体" w:eastAsia="黑体"/>
          <w:b w:val="0"/>
          <w:bCs/>
          <w:color w:val="auto"/>
          <w:highlight w:val="none"/>
        </w:rPr>
      </w:pPr>
    </w:p>
    <w:p>
      <w:pPr>
        <w:shd w:val="clear"/>
        <w:rPr>
          <w:rFonts w:hint="eastAsia" w:ascii="黑体" w:hAnsi="黑体" w:eastAsia="黑体"/>
          <w:b w:val="0"/>
          <w:bCs/>
          <w:color w:val="auto"/>
          <w:highlight w:val="none"/>
        </w:rPr>
      </w:pPr>
    </w:p>
    <w:p>
      <w:pPr>
        <w:pStyle w:val="3"/>
        <w:shd w:val="clear"/>
        <w:ind w:right="440"/>
        <w:jc w:val="center"/>
        <w:rPr>
          <w:rStyle w:val="18"/>
          <w:rFonts w:ascii="黑体" w:hAnsi="黑体" w:eastAsia="黑体"/>
          <w:b w:val="0"/>
          <w:bCs/>
          <w:color w:val="auto"/>
          <w:highlight w:val="none"/>
        </w:rPr>
      </w:pPr>
      <w:bookmarkStart w:id="24" w:name="_Toc31471"/>
      <w:r>
        <w:rPr>
          <w:rFonts w:hint="eastAsia" w:ascii="黑体" w:hAnsi="黑体" w:eastAsia="黑体"/>
          <w:b w:val="0"/>
          <w:bCs/>
          <w:color w:val="auto"/>
          <w:highlight w:val="none"/>
        </w:rPr>
        <w:t>第二部分</w:t>
      </w:r>
      <w:r>
        <w:rPr>
          <w:rFonts w:hint="eastAsia" w:ascii="黑体" w:hAnsi="黑体" w:eastAsia="黑体"/>
          <w:b w:val="0"/>
          <w:bCs/>
          <w:color w:val="auto"/>
          <w:highlight w:val="none"/>
          <w:lang w:val="en-US" w:eastAsia="zh-CN"/>
        </w:rPr>
        <w:t>2022年度</w:t>
      </w:r>
      <w:r>
        <w:rPr>
          <w:rStyle w:val="18"/>
          <w:rFonts w:hint="eastAsia" w:ascii="黑体" w:hAnsi="黑体" w:eastAsia="黑体"/>
          <w:b w:val="0"/>
          <w:bCs/>
          <w:color w:val="auto"/>
          <w:highlight w:val="none"/>
          <w:lang w:eastAsia="zh-CN"/>
        </w:rPr>
        <w:t>单位</w:t>
      </w:r>
      <w:r>
        <w:rPr>
          <w:rStyle w:val="18"/>
          <w:rFonts w:hint="eastAsia" w:ascii="黑体" w:hAnsi="黑体" w:eastAsia="黑体"/>
          <w:b w:val="0"/>
          <w:bCs/>
          <w:color w:val="auto"/>
          <w:highlight w:val="none"/>
        </w:rPr>
        <w:t>决算情况说明</w:t>
      </w:r>
      <w:bookmarkEnd w:id="22"/>
      <w:bookmarkEnd w:id="23"/>
      <w:bookmarkEnd w:id="24"/>
    </w:p>
    <w:p>
      <w:pPr>
        <w:shd w:val="clear"/>
        <w:rPr>
          <w:color w:val="auto"/>
          <w:highlight w:val="none"/>
        </w:rPr>
      </w:pPr>
    </w:p>
    <w:p>
      <w:pPr>
        <w:pStyle w:val="28"/>
        <w:numPr>
          <w:ilvl w:val="0"/>
          <w:numId w:val="1"/>
        </w:numPr>
        <w:shd w:val="clear"/>
        <w:spacing w:line="600" w:lineRule="exact"/>
        <w:ind w:firstLineChars="0"/>
        <w:outlineLvl w:val="1"/>
        <w:rPr>
          <w:rStyle w:val="19"/>
          <w:rFonts w:ascii="黑体" w:hAnsi="黑体" w:eastAsia="黑体"/>
          <w:b w:val="0"/>
          <w:color w:val="auto"/>
          <w:highlight w:val="none"/>
        </w:rPr>
      </w:pPr>
      <w:bookmarkStart w:id="25" w:name="_Toc15396603"/>
      <w:bookmarkStart w:id="26" w:name="_Toc15377205"/>
      <w:bookmarkStart w:id="27" w:name="_Toc18711"/>
      <w:r>
        <w:rPr>
          <w:rFonts w:hint="eastAsia" w:ascii="黑体" w:hAnsi="黑体" w:eastAsia="黑体"/>
          <w:color w:val="auto"/>
          <w:sz w:val="32"/>
          <w:szCs w:val="32"/>
          <w:highlight w:val="none"/>
        </w:rPr>
        <w:t>收</w:t>
      </w:r>
      <w:r>
        <w:rPr>
          <w:rStyle w:val="19"/>
          <w:rFonts w:hint="eastAsia" w:ascii="黑体" w:hAnsi="黑体" w:eastAsia="黑体"/>
          <w:b w:val="0"/>
          <w:color w:val="auto"/>
          <w:highlight w:val="none"/>
        </w:rPr>
        <w:t>入支出决算总体情况说明</w:t>
      </w:r>
      <w:bookmarkEnd w:id="25"/>
      <w:bookmarkEnd w:id="26"/>
      <w:bookmarkEnd w:id="27"/>
    </w:p>
    <w:p>
      <w:pPr>
        <w:shd w:val="clea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1111.80</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年相比，收、支总计增加</w:t>
      </w:r>
      <w:r>
        <w:rPr>
          <w:rFonts w:hint="eastAsia" w:ascii="仿宋" w:hAnsi="仿宋" w:eastAsia="仿宋"/>
          <w:color w:val="auto"/>
          <w:sz w:val="32"/>
          <w:szCs w:val="32"/>
          <w:highlight w:val="none"/>
          <w:lang w:val="en-US" w:eastAsia="zh-CN"/>
        </w:rPr>
        <w:t>404.13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57.11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根据工作需要，增加了成都荷花池十四交易区A区改造项目等3个预算项目支出</w:t>
      </w:r>
      <w:r>
        <w:rPr>
          <w:rFonts w:hint="eastAsia" w:ascii="仿宋" w:hAnsi="仿宋" w:eastAsia="仿宋"/>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600" w:lineRule="exact"/>
        <w:ind w:firstLine="420" w:firstLineChars="200"/>
        <w:textAlignment w:val="auto"/>
        <w:rPr>
          <w:rFonts w:hint="eastAsia" w:ascii="仿宋" w:hAnsi="仿宋" w:eastAsia="仿宋"/>
          <w:color w:val="auto"/>
          <w:sz w:val="32"/>
          <w:szCs w:val="32"/>
          <w:highlight w:val="none"/>
        </w:rPr>
      </w:pPr>
      <w:r>
        <w:rPr>
          <w:color w:val="auto"/>
          <w:highlight w:val="none"/>
        </w:rPr>
        <w:drawing>
          <wp:inline distT="0" distB="0" distL="114300" distR="114300">
            <wp:extent cx="4572000" cy="2743200"/>
            <wp:effectExtent l="4445" t="4445" r="14605" b="1460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hd w:val="clea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shd w:val="clear"/>
        <w:spacing w:line="600" w:lineRule="exact"/>
        <w:ind w:firstLine="640" w:firstLineChars="200"/>
        <w:jc w:val="left"/>
        <w:rPr>
          <w:rFonts w:ascii="仿宋_GB2312" w:eastAsia="仿宋_GB2312"/>
          <w:color w:val="auto"/>
          <w:sz w:val="32"/>
          <w:szCs w:val="32"/>
          <w:highlight w:val="none"/>
        </w:rPr>
      </w:pPr>
    </w:p>
    <w:p>
      <w:pPr>
        <w:pStyle w:val="28"/>
        <w:numPr>
          <w:ilvl w:val="0"/>
          <w:numId w:val="1"/>
        </w:numPr>
        <w:shd w:val="clear"/>
        <w:spacing w:line="600" w:lineRule="exact"/>
        <w:ind w:firstLineChars="0"/>
        <w:outlineLvl w:val="1"/>
        <w:rPr>
          <w:rStyle w:val="19"/>
          <w:rFonts w:ascii="黑体" w:hAnsi="黑体" w:eastAsia="黑体"/>
          <w:b w:val="0"/>
          <w:color w:val="auto"/>
          <w:highlight w:val="none"/>
        </w:rPr>
      </w:pPr>
      <w:bookmarkStart w:id="28" w:name="_Toc15377206"/>
      <w:bookmarkStart w:id="29" w:name="_Toc21661"/>
      <w:bookmarkStart w:id="30" w:name="_Toc15396604"/>
      <w:r>
        <w:rPr>
          <w:rFonts w:hint="eastAsia" w:ascii="黑体" w:hAnsi="黑体" w:eastAsia="黑体"/>
          <w:color w:val="auto"/>
          <w:sz w:val="32"/>
          <w:szCs w:val="32"/>
          <w:highlight w:val="none"/>
        </w:rPr>
        <w:t>收</w:t>
      </w:r>
      <w:r>
        <w:rPr>
          <w:rStyle w:val="19"/>
          <w:rFonts w:hint="eastAsia" w:ascii="黑体" w:hAnsi="黑体" w:eastAsia="黑体"/>
          <w:b w:val="0"/>
          <w:color w:val="auto"/>
          <w:highlight w:val="none"/>
        </w:rPr>
        <w:t>入决算情况说明</w:t>
      </w:r>
      <w:bookmarkEnd w:id="28"/>
      <w:bookmarkEnd w:id="29"/>
      <w:bookmarkEnd w:id="30"/>
    </w:p>
    <w:p>
      <w:pPr>
        <w:shd w:val="clear"/>
        <w:spacing w:line="600" w:lineRule="exact"/>
        <w:ind w:firstLine="640" w:firstLineChars="200"/>
        <w:outlineLvl w:val="1"/>
        <w:rPr>
          <w:rFonts w:ascii="仿宋" w:hAnsi="仿宋" w:eastAsia="仿宋"/>
          <w:color w:val="auto"/>
          <w:sz w:val="32"/>
          <w:szCs w:val="32"/>
          <w:highlight w:val="none"/>
        </w:rPr>
      </w:pPr>
      <w:bookmarkStart w:id="31" w:name="_Toc16447"/>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1111.80</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1103.80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99.28</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；其他收入</w:t>
      </w:r>
      <w:r>
        <w:rPr>
          <w:rFonts w:hint="eastAsia" w:ascii="仿宋" w:hAnsi="仿宋" w:eastAsia="仿宋"/>
          <w:color w:val="auto"/>
          <w:sz w:val="32"/>
          <w:szCs w:val="32"/>
          <w:highlight w:val="none"/>
          <w:lang w:val="en-US" w:eastAsia="zh-CN"/>
        </w:rPr>
        <w:t>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0.72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1"/>
    </w:p>
    <w:p>
      <w:pPr>
        <w:keepNext w:val="0"/>
        <w:keepLines w:val="0"/>
        <w:pageBreakBefore w:val="0"/>
        <w:widowControl w:val="0"/>
        <w:shd w:val="clear"/>
        <w:kinsoku/>
        <w:wordWrap/>
        <w:overflowPunct/>
        <w:topLinePunct w:val="0"/>
        <w:autoSpaceDE/>
        <w:autoSpaceDN/>
        <w:bidi w:val="0"/>
        <w:adjustRightInd/>
        <w:snapToGrid/>
        <w:spacing w:line="5600" w:lineRule="exact"/>
        <w:ind w:firstLine="420" w:firstLineChars="200"/>
        <w:textAlignment w:val="auto"/>
        <w:outlineLvl w:val="9"/>
        <w:rPr>
          <w:rFonts w:ascii="仿宋" w:hAnsi="仿宋" w:eastAsia="仿宋"/>
          <w:color w:val="auto"/>
          <w:sz w:val="32"/>
          <w:szCs w:val="32"/>
          <w:highlight w:val="none"/>
        </w:rPr>
      </w:pPr>
      <w:r>
        <w:rPr>
          <w:color w:val="auto"/>
          <w:highlight w:val="none"/>
        </w:rPr>
        <w:drawing>
          <wp:inline distT="0" distB="0" distL="114300" distR="114300">
            <wp:extent cx="4572000" cy="2743200"/>
            <wp:effectExtent l="4445" t="4445" r="14605" b="1460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hd w:val="clea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shd w:val="clear"/>
        <w:spacing w:line="600" w:lineRule="exact"/>
        <w:ind w:firstLine="640" w:firstLineChars="200"/>
        <w:rPr>
          <w:rFonts w:ascii="仿宋_GB2312" w:eastAsia="仿宋_GB2312"/>
          <w:color w:val="auto"/>
          <w:sz w:val="32"/>
          <w:szCs w:val="32"/>
          <w:highlight w:val="none"/>
        </w:rPr>
      </w:pPr>
    </w:p>
    <w:p>
      <w:pPr>
        <w:pStyle w:val="28"/>
        <w:numPr>
          <w:ilvl w:val="0"/>
          <w:numId w:val="1"/>
        </w:numPr>
        <w:shd w:val="clear"/>
        <w:spacing w:line="600" w:lineRule="exact"/>
        <w:ind w:firstLineChars="0"/>
        <w:outlineLvl w:val="1"/>
        <w:rPr>
          <w:rStyle w:val="19"/>
          <w:rFonts w:ascii="黑体" w:hAnsi="黑体" w:eastAsia="黑体"/>
          <w:b w:val="0"/>
          <w:color w:val="auto"/>
          <w:highlight w:val="none"/>
        </w:rPr>
      </w:pPr>
      <w:bookmarkStart w:id="32" w:name="_Toc15396605"/>
      <w:bookmarkStart w:id="33" w:name="_Toc15377207"/>
      <w:bookmarkStart w:id="34" w:name="_Toc16938"/>
      <w:r>
        <w:rPr>
          <w:rFonts w:hint="eastAsia" w:ascii="黑体" w:hAnsi="黑体" w:eastAsia="黑体"/>
          <w:color w:val="auto"/>
          <w:sz w:val="32"/>
          <w:szCs w:val="32"/>
          <w:highlight w:val="none"/>
        </w:rPr>
        <w:t>支</w:t>
      </w:r>
      <w:r>
        <w:rPr>
          <w:rStyle w:val="19"/>
          <w:rFonts w:hint="eastAsia" w:ascii="黑体" w:hAnsi="黑体" w:eastAsia="黑体"/>
          <w:b w:val="0"/>
          <w:color w:val="auto"/>
          <w:highlight w:val="none"/>
        </w:rPr>
        <w:t>出决算情况说明</w:t>
      </w:r>
      <w:bookmarkEnd w:id="32"/>
      <w:bookmarkEnd w:id="33"/>
      <w:bookmarkEnd w:id="34"/>
    </w:p>
    <w:p>
      <w:pPr>
        <w:shd w:val="clear"/>
        <w:spacing w:line="600" w:lineRule="exact"/>
        <w:ind w:firstLine="420" w:firstLineChars="200"/>
        <w:jc w:val="center"/>
        <w:outlineLvl w:val="1"/>
        <w:rPr>
          <w:rFonts w:hint="eastAsia" w:ascii="仿宋" w:hAnsi="仿宋" w:eastAsia="仿宋"/>
          <w:color w:val="auto"/>
          <w:sz w:val="32"/>
          <w:szCs w:val="32"/>
          <w:highlight w:val="none"/>
          <w:lang w:val="en-US" w:eastAsia="zh-CN"/>
        </w:rPr>
      </w:pPr>
      <w:bookmarkStart w:id="35" w:name="_Toc24486"/>
      <w:r>
        <w:rPr>
          <w:color w:val="auto"/>
          <w:highlight w:val="none"/>
        </w:rPr>
        <w:drawing>
          <wp:anchor distT="0" distB="0" distL="114300" distR="114300" simplePos="0" relativeHeight="251659264" behindDoc="1" locked="0" layoutInCell="1" allowOverlap="1">
            <wp:simplePos x="0" y="0"/>
            <wp:positionH relativeFrom="column">
              <wp:posOffset>287020</wp:posOffset>
            </wp:positionH>
            <wp:positionV relativeFrom="paragraph">
              <wp:posOffset>1156335</wp:posOffset>
            </wp:positionV>
            <wp:extent cx="4572000" cy="2743200"/>
            <wp:effectExtent l="4445" t="4445" r="14605" b="14605"/>
            <wp:wrapTight wrapText="bothSides">
              <wp:wrapPolygon>
                <wp:start x="-21" y="-35"/>
                <wp:lineTo x="-21" y="21565"/>
                <wp:lineTo x="21579" y="21565"/>
                <wp:lineTo x="21579" y="-35"/>
                <wp:lineTo x="-21" y="-35"/>
              </wp:wrapPolygon>
            </wp:wrapTight>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1111.80</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584.43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52.57</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527.37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47.43</w:t>
      </w:r>
      <w:bookmarkEnd w:id="35"/>
    </w:p>
    <w:p>
      <w:pPr>
        <w:shd w:val="clear"/>
        <w:spacing w:line="600" w:lineRule="exact"/>
        <w:ind w:firstLine="640" w:firstLineChars="200"/>
        <w:jc w:val="center"/>
        <w:outlineLvl w:val="1"/>
        <w:rPr>
          <w:rFonts w:hint="eastAsia" w:ascii="仿宋" w:hAnsi="仿宋" w:eastAsia="仿宋"/>
          <w:color w:val="auto"/>
          <w:sz w:val="32"/>
          <w:szCs w:val="32"/>
          <w:highlight w:val="none"/>
          <w:lang w:val="en-US" w:eastAsia="zh-CN"/>
        </w:rPr>
      </w:pPr>
    </w:p>
    <w:p>
      <w:pPr>
        <w:shd w:val="clear"/>
        <w:spacing w:line="600" w:lineRule="exact"/>
        <w:ind w:firstLine="640" w:firstLineChars="200"/>
        <w:jc w:val="center"/>
        <w:outlineLvl w:val="1"/>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（图3：支出决算结构图）（饼状图）</w:t>
      </w:r>
    </w:p>
    <w:p>
      <w:pPr>
        <w:shd w:val="clear"/>
        <w:spacing w:line="600" w:lineRule="exact"/>
        <w:ind w:firstLine="640" w:firstLineChars="200"/>
        <w:outlineLvl w:val="1"/>
        <w:rPr>
          <w:rStyle w:val="19"/>
          <w:rFonts w:ascii="黑体" w:hAnsi="黑体" w:eastAsia="黑体"/>
          <w:b w:val="0"/>
          <w:color w:val="auto"/>
          <w:highlight w:val="none"/>
        </w:rPr>
      </w:pPr>
      <w:bookmarkStart w:id="36" w:name="_Toc15396606"/>
      <w:bookmarkStart w:id="37" w:name="_Toc15377208"/>
      <w:bookmarkStart w:id="38" w:name="_Toc2152"/>
      <w:r>
        <w:rPr>
          <w:rFonts w:hint="eastAsia" w:ascii="黑体" w:hAnsi="黑体" w:eastAsia="黑体"/>
          <w:color w:val="auto"/>
          <w:sz w:val="32"/>
          <w:szCs w:val="32"/>
          <w:highlight w:val="none"/>
        </w:rPr>
        <w:t>四、财</w:t>
      </w:r>
      <w:r>
        <w:rPr>
          <w:rStyle w:val="19"/>
          <w:rFonts w:hint="eastAsia" w:ascii="黑体" w:hAnsi="黑体" w:eastAsia="黑体"/>
          <w:b w:val="0"/>
          <w:color w:val="auto"/>
          <w:highlight w:val="none"/>
        </w:rPr>
        <w:t>政拨款收入支出决算总体情况说明</w:t>
      </w:r>
      <w:bookmarkEnd w:id="36"/>
      <w:bookmarkEnd w:id="37"/>
      <w:bookmarkEnd w:id="38"/>
    </w:p>
    <w:p>
      <w:pPr>
        <w:shd w:val="clea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1103.80</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年相比，财政拨款收、支总计增加</w:t>
      </w:r>
      <w:r>
        <w:rPr>
          <w:rFonts w:hint="eastAsia" w:ascii="仿宋" w:hAnsi="仿宋" w:eastAsia="仿宋"/>
          <w:color w:val="auto"/>
          <w:sz w:val="32"/>
          <w:szCs w:val="32"/>
          <w:highlight w:val="none"/>
          <w:lang w:val="en-US" w:eastAsia="zh-CN"/>
        </w:rPr>
        <w:t>396.17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55.98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根据工作需要，增加了成都荷花池十四交易区A区改造项目等3个预算项目支出</w:t>
      </w:r>
      <w:r>
        <w:rPr>
          <w:rFonts w:hint="eastAsia" w:ascii="仿宋" w:hAnsi="仿宋" w:eastAsia="仿宋"/>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600" w:lineRule="exact"/>
        <w:textAlignment w:val="auto"/>
        <w:rPr>
          <w:color w:val="auto"/>
          <w:highlight w:val="none"/>
        </w:rPr>
      </w:pPr>
      <w:r>
        <w:rPr>
          <w:color w:val="auto"/>
          <w:highlight w:val="none"/>
        </w:rPr>
        <w:drawing>
          <wp:inline distT="0" distB="0" distL="114300" distR="114300">
            <wp:extent cx="4909820" cy="2839720"/>
            <wp:effectExtent l="4445" t="4445" r="19685" b="13335"/>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hd w:val="clear"/>
        <w:spacing w:line="600" w:lineRule="exact"/>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shd w:val="clear"/>
        <w:spacing w:line="600" w:lineRule="exact"/>
        <w:ind w:firstLine="640" w:firstLineChars="200"/>
        <w:outlineLvl w:val="1"/>
        <w:rPr>
          <w:rStyle w:val="19"/>
          <w:rFonts w:ascii="黑体" w:hAnsi="黑体" w:eastAsia="黑体"/>
          <w:b w:val="0"/>
          <w:color w:val="auto"/>
          <w:highlight w:val="none"/>
        </w:rPr>
      </w:pPr>
      <w:bookmarkStart w:id="39" w:name="_Toc15377209"/>
      <w:bookmarkStart w:id="40" w:name="_Toc2479"/>
      <w:bookmarkStart w:id="41"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9"/>
          <w:rFonts w:hint="eastAsia" w:ascii="黑体" w:hAnsi="黑体" w:eastAsia="黑体"/>
          <w:b w:val="0"/>
          <w:color w:val="auto"/>
          <w:highlight w:val="none"/>
        </w:rPr>
        <w:t>般公共预算财政拨款支出决算情况说明</w:t>
      </w:r>
      <w:bookmarkEnd w:id="39"/>
      <w:bookmarkEnd w:id="40"/>
      <w:bookmarkEnd w:id="41"/>
    </w:p>
    <w:p>
      <w:pPr>
        <w:shd w:val="clear"/>
        <w:spacing w:line="600" w:lineRule="exact"/>
        <w:ind w:firstLine="643" w:firstLineChars="200"/>
        <w:outlineLvl w:val="2"/>
        <w:rPr>
          <w:rFonts w:ascii="仿宋" w:hAnsi="仿宋" w:eastAsia="仿宋"/>
          <w:b/>
          <w:color w:val="auto"/>
          <w:sz w:val="32"/>
          <w:szCs w:val="32"/>
          <w:highlight w:val="none"/>
        </w:rPr>
      </w:pPr>
      <w:bookmarkStart w:id="42" w:name="_Toc15377210"/>
      <w:r>
        <w:rPr>
          <w:rFonts w:hint="eastAsia" w:ascii="仿宋" w:hAnsi="仿宋" w:eastAsia="仿宋"/>
          <w:b/>
          <w:color w:val="auto"/>
          <w:sz w:val="32"/>
          <w:szCs w:val="32"/>
          <w:highlight w:val="none"/>
        </w:rPr>
        <w:t>（一）一般公共预算财政拨款支出决算总体情况</w:t>
      </w:r>
      <w:bookmarkEnd w:id="42"/>
    </w:p>
    <w:p>
      <w:pPr>
        <w:shd w:val="clea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1103.80</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99.28</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396.17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55.98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根据工作需要，增加了成都荷花池十四交易区A区改造项目等3个预算项目支出</w:t>
      </w:r>
      <w:r>
        <w:rPr>
          <w:rFonts w:hint="eastAsia" w:ascii="仿宋" w:hAnsi="仿宋" w:eastAsia="仿宋"/>
          <w:color w:val="auto"/>
          <w:sz w:val="32"/>
          <w:szCs w:val="32"/>
          <w:highlight w:val="none"/>
          <w:lang w:eastAsia="zh-CN"/>
        </w:rPr>
        <w:t>。</w:t>
      </w:r>
    </w:p>
    <w:p>
      <w:pPr>
        <w:shd w:val="clear"/>
        <w:spacing w:line="600" w:lineRule="exact"/>
        <w:ind w:firstLine="640"/>
        <w:rPr>
          <w:rFonts w:ascii="仿宋" w:hAnsi="仿宋" w:eastAsia="仿宋"/>
          <w:b/>
          <w:color w:val="auto"/>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line="5600" w:lineRule="exact"/>
        <w:ind w:firstLine="420" w:firstLineChars="200"/>
        <w:textAlignment w:val="auto"/>
        <w:rPr>
          <w:rFonts w:ascii="仿宋" w:hAnsi="仿宋" w:eastAsia="仿宋"/>
          <w:color w:val="auto"/>
          <w:sz w:val="32"/>
          <w:szCs w:val="32"/>
          <w:highlight w:val="none"/>
        </w:rPr>
      </w:pPr>
      <w:r>
        <w:rPr>
          <w:color w:val="auto"/>
          <w:highlight w:val="none"/>
        </w:rPr>
        <w:drawing>
          <wp:inline distT="0" distB="0" distL="114300" distR="114300">
            <wp:extent cx="4813935" cy="2907665"/>
            <wp:effectExtent l="4445" t="4445" r="20320" b="21590"/>
            <wp:docPr id="11"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hd w:val="clea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shd w:val="clear"/>
        <w:spacing w:line="600" w:lineRule="exact"/>
        <w:ind w:firstLine="643" w:firstLineChars="200"/>
        <w:outlineLvl w:val="2"/>
        <w:rPr>
          <w:rFonts w:ascii="仿宋" w:hAnsi="仿宋" w:eastAsia="仿宋"/>
          <w:b/>
          <w:color w:val="auto"/>
          <w:sz w:val="32"/>
          <w:szCs w:val="32"/>
          <w:highlight w:val="none"/>
        </w:rPr>
      </w:pPr>
      <w:bookmarkStart w:id="43" w:name="_Toc15377211"/>
      <w:r>
        <w:rPr>
          <w:rFonts w:hint="eastAsia" w:ascii="仿宋" w:hAnsi="仿宋" w:eastAsia="仿宋"/>
          <w:b/>
          <w:color w:val="auto"/>
          <w:sz w:val="32"/>
          <w:szCs w:val="32"/>
          <w:highlight w:val="none"/>
        </w:rPr>
        <w:t>（二）一般公共预算财政拨款支出决算结构情况</w:t>
      </w:r>
      <w:bookmarkEnd w:id="43"/>
    </w:p>
    <w:p>
      <w:pPr>
        <w:shd w:val="clear"/>
        <w:spacing w:line="600" w:lineRule="exact"/>
        <w:ind w:firstLine="640"/>
        <w:rPr>
          <w:rFonts w:hint="eastAsia" w:ascii="仿宋" w:hAnsi="仿宋" w:eastAsia="仿宋"/>
          <w:b w:val="0"/>
          <w:bCs/>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1103.80</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val="0"/>
          <w:bCs/>
          <w:color w:val="auto"/>
          <w:sz w:val="32"/>
          <w:szCs w:val="32"/>
          <w:highlight w:val="none"/>
        </w:rPr>
        <w:t>一般公共服务支出</w:t>
      </w:r>
      <w:r>
        <w:rPr>
          <w:rFonts w:hint="eastAsia" w:ascii="仿宋" w:hAnsi="仿宋" w:eastAsia="仿宋"/>
          <w:color w:val="auto"/>
          <w:sz w:val="32"/>
          <w:szCs w:val="32"/>
          <w:highlight w:val="none"/>
          <w:lang w:val="en-US" w:eastAsia="zh-CN"/>
        </w:rPr>
        <w:t>989.73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89.66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val="0"/>
          <w:bCs/>
          <w:color w:val="auto"/>
          <w:sz w:val="32"/>
          <w:szCs w:val="32"/>
          <w:highlight w:val="none"/>
        </w:rPr>
        <w:t>社会保障和就业支出</w:t>
      </w:r>
      <w:r>
        <w:rPr>
          <w:rFonts w:hint="eastAsia" w:ascii="仿宋" w:hAnsi="仿宋" w:eastAsia="仿宋"/>
          <w:b w:val="0"/>
          <w:bCs/>
          <w:color w:val="auto"/>
          <w:sz w:val="32"/>
          <w:szCs w:val="32"/>
          <w:highlight w:val="none"/>
          <w:lang w:val="en-US" w:eastAsia="zh-CN"/>
        </w:rPr>
        <w:t>54.76</w:t>
      </w:r>
      <w:r>
        <w:rPr>
          <w:rFonts w:hint="eastAsia" w:ascii="仿宋" w:hAnsi="仿宋" w:eastAsia="仿宋"/>
          <w:b w:val="0"/>
          <w:bCs/>
          <w:color w:val="auto"/>
          <w:sz w:val="32"/>
          <w:szCs w:val="32"/>
          <w:highlight w:val="none"/>
        </w:rPr>
        <w:t>万元，占</w:t>
      </w:r>
      <w:r>
        <w:rPr>
          <w:rFonts w:hint="eastAsia" w:ascii="仿宋" w:hAnsi="仿宋" w:eastAsia="仿宋"/>
          <w:b w:val="0"/>
          <w:bCs/>
          <w:color w:val="auto"/>
          <w:sz w:val="32"/>
          <w:szCs w:val="32"/>
          <w:highlight w:val="none"/>
          <w:lang w:val="en-US" w:eastAsia="zh-CN"/>
        </w:rPr>
        <w:t>4.96</w:t>
      </w:r>
      <w:r>
        <w:rPr>
          <w:rFonts w:ascii="仿宋" w:hAnsi="仿宋" w:eastAsia="仿宋"/>
          <w:b w:val="0"/>
          <w:bCs/>
          <w:color w:val="auto"/>
          <w:sz w:val="32"/>
          <w:szCs w:val="32"/>
          <w:highlight w:val="none"/>
        </w:rPr>
        <w:t>%</w:t>
      </w:r>
      <w:r>
        <w:rPr>
          <w:rFonts w:hint="eastAsia" w:ascii="仿宋" w:hAnsi="仿宋" w:eastAsia="仿宋"/>
          <w:b w:val="0"/>
          <w:bCs/>
          <w:color w:val="auto"/>
          <w:sz w:val="32"/>
          <w:szCs w:val="32"/>
          <w:highlight w:val="none"/>
        </w:rPr>
        <w:t>；卫生健康支出</w:t>
      </w:r>
      <w:r>
        <w:rPr>
          <w:rFonts w:hint="eastAsia" w:ascii="仿宋" w:hAnsi="仿宋" w:eastAsia="仿宋"/>
          <w:b w:val="0"/>
          <w:bCs/>
          <w:color w:val="auto"/>
          <w:sz w:val="32"/>
          <w:szCs w:val="32"/>
          <w:highlight w:val="none"/>
          <w:lang w:val="en-US" w:eastAsia="zh-CN"/>
        </w:rPr>
        <w:t>18.99</w:t>
      </w:r>
      <w:r>
        <w:rPr>
          <w:rFonts w:hint="eastAsia" w:ascii="仿宋" w:hAnsi="仿宋" w:eastAsia="仿宋"/>
          <w:b w:val="0"/>
          <w:bCs/>
          <w:color w:val="auto"/>
          <w:sz w:val="32"/>
          <w:szCs w:val="32"/>
          <w:highlight w:val="none"/>
        </w:rPr>
        <w:t>万元，占</w:t>
      </w:r>
      <w:r>
        <w:rPr>
          <w:rFonts w:hint="eastAsia" w:ascii="仿宋" w:hAnsi="仿宋" w:eastAsia="仿宋"/>
          <w:b w:val="0"/>
          <w:bCs/>
          <w:color w:val="auto"/>
          <w:sz w:val="32"/>
          <w:szCs w:val="32"/>
          <w:highlight w:val="none"/>
          <w:lang w:val="en-US" w:eastAsia="zh-CN"/>
        </w:rPr>
        <w:t>1.72</w:t>
      </w:r>
      <w:r>
        <w:rPr>
          <w:rFonts w:ascii="仿宋" w:hAnsi="仿宋" w:eastAsia="仿宋"/>
          <w:b w:val="0"/>
          <w:bCs/>
          <w:color w:val="auto"/>
          <w:sz w:val="32"/>
          <w:szCs w:val="32"/>
          <w:highlight w:val="none"/>
        </w:rPr>
        <w:t>%</w:t>
      </w:r>
      <w:r>
        <w:rPr>
          <w:rFonts w:hint="eastAsia" w:ascii="仿宋" w:hAnsi="仿宋" w:eastAsia="仿宋"/>
          <w:b w:val="0"/>
          <w:bCs/>
          <w:color w:val="auto"/>
          <w:sz w:val="32"/>
          <w:szCs w:val="32"/>
          <w:highlight w:val="none"/>
        </w:rPr>
        <w:t>；住房保障支出</w:t>
      </w:r>
      <w:r>
        <w:rPr>
          <w:rFonts w:hint="eastAsia" w:ascii="仿宋" w:hAnsi="仿宋" w:eastAsia="仿宋"/>
          <w:b w:val="0"/>
          <w:bCs/>
          <w:color w:val="auto"/>
          <w:sz w:val="32"/>
          <w:szCs w:val="32"/>
          <w:highlight w:val="none"/>
          <w:lang w:val="en-US" w:eastAsia="zh-CN"/>
        </w:rPr>
        <w:t>40.32</w:t>
      </w:r>
      <w:r>
        <w:rPr>
          <w:rFonts w:hint="eastAsia" w:ascii="仿宋" w:hAnsi="仿宋" w:eastAsia="仿宋"/>
          <w:b w:val="0"/>
          <w:bCs/>
          <w:color w:val="auto"/>
          <w:sz w:val="32"/>
          <w:szCs w:val="32"/>
          <w:highlight w:val="none"/>
        </w:rPr>
        <w:t>万元，占</w:t>
      </w:r>
      <w:r>
        <w:rPr>
          <w:rFonts w:hint="eastAsia" w:ascii="仿宋" w:hAnsi="仿宋" w:eastAsia="仿宋"/>
          <w:b w:val="0"/>
          <w:bCs/>
          <w:color w:val="auto"/>
          <w:sz w:val="32"/>
          <w:szCs w:val="32"/>
          <w:highlight w:val="none"/>
          <w:lang w:val="en-US" w:eastAsia="zh-CN"/>
        </w:rPr>
        <w:t>3.65</w:t>
      </w:r>
      <w:r>
        <w:rPr>
          <w:rFonts w:ascii="仿宋" w:hAnsi="仿宋" w:eastAsia="仿宋"/>
          <w:b w:val="0"/>
          <w:bCs/>
          <w:color w:val="auto"/>
          <w:sz w:val="32"/>
          <w:szCs w:val="32"/>
          <w:highlight w:val="none"/>
        </w:rPr>
        <w:t>%</w:t>
      </w:r>
      <w:r>
        <w:rPr>
          <w:rFonts w:hint="eastAsia" w:ascii="仿宋" w:hAnsi="仿宋" w:eastAsia="仿宋"/>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600" w:lineRule="exact"/>
        <w:ind w:firstLine="641"/>
        <w:textAlignment w:val="auto"/>
        <w:rPr>
          <w:rFonts w:ascii="仿宋" w:hAnsi="仿宋" w:eastAsia="仿宋"/>
          <w:color w:val="auto"/>
          <w:sz w:val="32"/>
          <w:szCs w:val="32"/>
          <w:highlight w:val="none"/>
        </w:rPr>
      </w:pPr>
      <w:r>
        <w:rPr>
          <w:color w:val="auto"/>
          <w:highlight w:val="none"/>
        </w:rPr>
        <w:drawing>
          <wp:inline distT="0" distB="0" distL="114300" distR="114300">
            <wp:extent cx="4572000" cy="2743200"/>
            <wp:effectExtent l="4445" t="4445" r="14605" b="146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hd w:val="clear"/>
        <w:spacing w:line="60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shd w:val="clear"/>
        <w:spacing w:line="600" w:lineRule="exact"/>
        <w:ind w:firstLine="643" w:firstLineChars="200"/>
        <w:outlineLvl w:val="2"/>
        <w:rPr>
          <w:rFonts w:ascii="仿宋" w:hAnsi="仿宋" w:eastAsia="仿宋"/>
          <w:b/>
          <w:color w:val="auto"/>
          <w:sz w:val="32"/>
          <w:szCs w:val="32"/>
          <w:highlight w:val="none"/>
        </w:rPr>
      </w:pPr>
      <w:bookmarkStart w:id="44" w:name="_Toc15377212"/>
      <w:r>
        <w:rPr>
          <w:rFonts w:hint="eastAsia" w:ascii="仿宋" w:hAnsi="仿宋" w:eastAsia="仿宋"/>
          <w:b/>
          <w:color w:val="auto"/>
          <w:sz w:val="32"/>
          <w:szCs w:val="32"/>
          <w:highlight w:val="none"/>
        </w:rPr>
        <w:t>（三）一般公共预算财政拨款支出决算具体情况</w:t>
      </w:r>
      <w:bookmarkEnd w:id="44"/>
    </w:p>
    <w:p>
      <w:pPr>
        <w:shd w:val="clear"/>
        <w:spacing w:line="600" w:lineRule="exact"/>
        <w:ind w:firstLine="640" w:firstLineChars="200"/>
        <w:outlineLvl w:val="1"/>
        <w:rPr>
          <w:rFonts w:ascii="仿宋" w:hAnsi="仿宋" w:eastAsia="仿宋"/>
          <w:b w:val="0"/>
          <w:bCs/>
          <w:color w:val="auto"/>
          <w:sz w:val="32"/>
          <w:szCs w:val="32"/>
          <w:highlight w:val="none"/>
        </w:rPr>
      </w:pPr>
      <w:bookmarkStart w:id="45" w:name="_Toc15377444"/>
      <w:bookmarkStart w:id="46" w:name="_Toc21922"/>
      <w:bookmarkStart w:id="47" w:name="_Toc15378460"/>
      <w:bookmarkStart w:id="48" w:name="_Toc15377213"/>
      <w:r>
        <w:rPr>
          <w:rFonts w:hint="eastAsia" w:ascii="仿宋" w:hAnsi="仿宋" w:eastAsia="仿宋"/>
          <w:b w:val="0"/>
          <w:bCs/>
          <w:color w:val="auto"/>
          <w:sz w:val="32"/>
          <w:szCs w:val="32"/>
          <w:highlight w:val="none"/>
        </w:rPr>
        <w:t>20</w:t>
      </w:r>
      <w:r>
        <w:rPr>
          <w:rFonts w:hint="eastAsia" w:ascii="仿宋" w:hAnsi="仿宋" w:eastAsia="仿宋"/>
          <w:b w:val="0"/>
          <w:bCs/>
          <w:color w:val="auto"/>
          <w:sz w:val="32"/>
          <w:szCs w:val="32"/>
          <w:highlight w:val="none"/>
          <w:lang w:val="en-US" w:eastAsia="zh-CN"/>
        </w:rPr>
        <w:t>22</w:t>
      </w:r>
      <w:r>
        <w:rPr>
          <w:rFonts w:hint="eastAsia" w:ascii="仿宋" w:hAnsi="仿宋" w:eastAsia="仿宋"/>
          <w:b w:val="0"/>
          <w:bCs/>
          <w:color w:val="auto"/>
          <w:sz w:val="32"/>
          <w:szCs w:val="32"/>
          <w:highlight w:val="none"/>
        </w:rPr>
        <w:t>年</w:t>
      </w:r>
      <w:r>
        <w:rPr>
          <w:rFonts w:hint="eastAsia" w:ascii="仿宋" w:hAnsi="仿宋" w:eastAsia="仿宋"/>
          <w:b w:val="0"/>
          <w:bCs/>
          <w:color w:val="auto"/>
          <w:sz w:val="32"/>
          <w:szCs w:val="32"/>
          <w:highlight w:val="none"/>
          <w:lang w:eastAsia="zh-CN"/>
        </w:rPr>
        <w:t>一</w:t>
      </w:r>
      <w:r>
        <w:rPr>
          <w:rFonts w:hint="eastAsia" w:ascii="仿宋" w:hAnsi="仿宋" w:eastAsia="仿宋"/>
          <w:b w:val="0"/>
          <w:bCs/>
          <w:color w:val="auto"/>
          <w:sz w:val="32"/>
          <w:szCs w:val="32"/>
          <w:highlight w:val="none"/>
        </w:rPr>
        <w:t>般公共预算支出决算数为</w:t>
      </w:r>
      <w:r>
        <w:rPr>
          <w:rFonts w:hint="eastAsia" w:ascii="仿宋" w:hAnsi="仿宋" w:eastAsia="仿宋"/>
          <w:b w:val="0"/>
          <w:bCs/>
          <w:color w:val="auto"/>
          <w:sz w:val="32"/>
          <w:szCs w:val="32"/>
          <w:highlight w:val="none"/>
          <w:lang w:val="en-US" w:eastAsia="zh-CN"/>
        </w:rPr>
        <w:t>1103.80</w:t>
      </w:r>
      <w:r>
        <w:rPr>
          <w:rFonts w:hint="eastAsia"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。其中：</w:t>
      </w:r>
      <w:bookmarkEnd w:id="45"/>
      <w:bookmarkEnd w:id="46"/>
      <w:bookmarkEnd w:id="47"/>
      <w:bookmarkEnd w:id="48"/>
    </w:p>
    <w:p>
      <w:pPr>
        <w:shd w:val="clear"/>
        <w:spacing w:line="600" w:lineRule="exact"/>
        <w:ind w:firstLine="640" w:firstLineChars="200"/>
        <w:rPr>
          <w:rFonts w:hint="eastAsia" w:ascii="仿宋" w:hAnsi="仿宋" w:eastAsia="仿宋" w:cs="仿宋"/>
          <w:b/>
          <w:color w:val="auto"/>
          <w:sz w:val="32"/>
          <w:szCs w:val="32"/>
          <w:highlight w:val="none"/>
        </w:rPr>
      </w:pPr>
      <w:r>
        <w:rPr>
          <w:rStyle w:val="16"/>
          <w:rFonts w:ascii="仿宋" w:hAnsi="仿宋" w:eastAsia="仿宋"/>
          <w:b w:val="0"/>
          <w:bCs w:val="0"/>
          <w:color w:val="auto"/>
          <w:sz w:val="32"/>
          <w:szCs w:val="32"/>
          <w:highlight w:val="none"/>
        </w:rPr>
        <w:t>1.</w:t>
      </w:r>
      <w:r>
        <w:rPr>
          <w:rStyle w:val="16"/>
          <w:rFonts w:hint="eastAsia" w:ascii="仿宋" w:hAnsi="仿宋" w:eastAsia="仿宋" w:cs="仿宋"/>
          <w:b w:val="0"/>
          <w:bCs w:val="0"/>
          <w:color w:val="auto"/>
          <w:sz w:val="32"/>
          <w:szCs w:val="32"/>
          <w:highlight w:val="none"/>
        </w:rPr>
        <w:t>一般公共服务（类）</w:t>
      </w:r>
      <w:r>
        <w:rPr>
          <w:rStyle w:val="16"/>
          <w:rFonts w:hint="eastAsia" w:ascii="仿宋" w:hAnsi="仿宋" w:eastAsia="仿宋" w:cs="仿宋"/>
          <w:b w:val="0"/>
          <w:bCs/>
          <w:color w:val="auto"/>
          <w:sz w:val="32"/>
          <w:szCs w:val="32"/>
          <w:highlight w:val="none"/>
        </w:rPr>
        <w:t>政府办公厅（室）及相关机构事务（款）</w:t>
      </w:r>
      <w:r>
        <w:rPr>
          <w:rStyle w:val="16"/>
          <w:rFonts w:hint="eastAsia" w:ascii="仿宋" w:hAnsi="仿宋" w:eastAsia="仿宋" w:cs="仿宋"/>
          <w:b w:val="0"/>
          <w:bCs/>
          <w:color w:val="auto"/>
          <w:sz w:val="32"/>
          <w:szCs w:val="32"/>
          <w:highlight w:val="none"/>
          <w:lang w:eastAsia="zh-CN"/>
        </w:rPr>
        <w:t>行政</w:t>
      </w:r>
      <w:r>
        <w:rPr>
          <w:rStyle w:val="16"/>
          <w:rFonts w:hint="eastAsia" w:ascii="仿宋" w:hAnsi="仿宋" w:eastAsia="仿宋" w:cs="仿宋"/>
          <w:b w:val="0"/>
          <w:bCs/>
          <w:color w:val="auto"/>
          <w:sz w:val="32"/>
          <w:szCs w:val="32"/>
          <w:highlight w:val="none"/>
        </w:rPr>
        <w:t>运行（项）</w:t>
      </w:r>
      <w:r>
        <w:rPr>
          <w:rStyle w:val="16"/>
          <w:rFonts w:hint="eastAsia" w:ascii="仿宋" w:hAnsi="仿宋" w:eastAsia="仿宋" w:cs="仿宋"/>
          <w:bCs/>
          <w:color w:val="auto"/>
          <w:sz w:val="32"/>
          <w:szCs w:val="32"/>
          <w:highlight w:val="none"/>
        </w:rPr>
        <w:t>:</w:t>
      </w:r>
      <w:r>
        <w:rPr>
          <w:rStyle w:val="16"/>
          <w:rFonts w:hint="eastAsia" w:ascii="仿宋" w:hAnsi="仿宋" w:eastAsia="仿宋" w:cs="仿宋"/>
          <w:b w:val="0"/>
          <w:bCs/>
          <w:color w:val="auto"/>
          <w:sz w:val="32"/>
          <w:szCs w:val="32"/>
          <w:highlight w:val="none"/>
        </w:rPr>
        <w:t>支出决算为</w:t>
      </w:r>
      <w:r>
        <w:rPr>
          <w:rStyle w:val="16"/>
          <w:rFonts w:hint="eastAsia" w:ascii="仿宋" w:hAnsi="仿宋" w:eastAsia="仿宋" w:cs="仿宋"/>
          <w:b w:val="0"/>
          <w:bCs/>
          <w:color w:val="auto"/>
          <w:sz w:val="32"/>
          <w:szCs w:val="32"/>
          <w:highlight w:val="none"/>
          <w:lang w:val="en-US" w:eastAsia="zh-CN"/>
        </w:rPr>
        <w:t>478.38</w:t>
      </w:r>
      <w:r>
        <w:rPr>
          <w:rStyle w:val="16"/>
          <w:rFonts w:hint="eastAsia" w:ascii="仿宋" w:hAnsi="仿宋" w:eastAsia="仿宋" w:cs="仿宋"/>
          <w:b w:val="0"/>
          <w:bCs/>
          <w:color w:val="auto"/>
          <w:sz w:val="32"/>
          <w:szCs w:val="32"/>
          <w:highlight w:val="none"/>
        </w:rPr>
        <w:t>万元，完成预算</w:t>
      </w:r>
      <w:r>
        <w:rPr>
          <w:rStyle w:val="16"/>
          <w:rFonts w:hint="eastAsia" w:ascii="仿宋" w:hAnsi="仿宋" w:eastAsia="仿宋" w:cs="仿宋"/>
          <w:b w:val="0"/>
          <w:bCs/>
          <w:color w:val="auto"/>
          <w:sz w:val="32"/>
          <w:szCs w:val="32"/>
          <w:highlight w:val="none"/>
          <w:lang w:val="en-US" w:eastAsia="zh-CN"/>
        </w:rPr>
        <w:t>100</w:t>
      </w:r>
      <w:r>
        <w:rPr>
          <w:rStyle w:val="16"/>
          <w:rFonts w:hint="eastAsia" w:ascii="仿宋" w:hAnsi="仿宋" w:eastAsia="仿宋" w:cs="仿宋"/>
          <w:b w:val="0"/>
          <w:bCs/>
          <w:color w:val="auto"/>
          <w:sz w:val="32"/>
          <w:szCs w:val="32"/>
          <w:highlight w:val="none"/>
        </w:rPr>
        <w:t>%。</w:t>
      </w:r>
    </w:p>
    <w:p>
      <w:pPr>
        <w:shd w:val="clear"/>
        <w:spacing w:line="600" w:lineRule="exact"/>
        <w:ind w:firstLine="643" w:firstLineChars="200"/>
        <w:rPr>
          <w:rFonts w:hint="eastAsia" w:ascii="仿宋" w:hAnsi="仿宋" w:eastAsia="仿宋" w:cs="仿宋"/>
          <w:b/>
          <w:color w:val="auto"/>
          <w:sz w:val="32"/>
          <w:szCs w:val="32"/>
          <w:highlight w:val="none"/>
        </w:rPr>
      </w:pPr>
      <w:r>
        <w:rPr>
          <w:rStyle w:val="16"/>
          <w:rFonts w:hint="eastAsia" w:ascii="仿宋" w:hAnsi="仿宋" w:eastAsia="仿宋" w:cs="仿宋"/>
          <w:bCs/>
          <w:color w:val="auto"/>
          <w:sz w:val="32"/>
          <w:szCs w:val="32"/>
          <w:highlight w:val="none"/>
        </w:rPr>
        <w:t>2.</w:t>
      </w:r>
      <w:r>
        <w:rPr>
          <w:rStyle w:val="16"/>
          <w:rFonts w:hint="eastAsia" w:ascii="仿宋" w:hAnsi="仿宋" w:eastAsia="仿宋" w:cs="仿宋"/>
          <w:b w:val="0"/>
          <w:bCs/>
          <w:color w:val="auto"/>
          <w:sz w:val="32"/>
          <w:szCs w:val="32"/>
          <w:highlight w:val="none"/>
        </w:rPr>
        <w:t>一般公共服务（类）政府办公厅（室）及相关机构事务（款）其他政府办公厅（室）及相关机构事务支出（项）：支出决算为</w:t>
      </w:r>
      <w:r>
        <w:rPr>
          <w:rStyle w:val="16"/>
          <w:rFonts w:hint="eastAsia" w:ascii="仿宋" w:hAnsi="仿宋" w:eastAsia="仿宋" w:cs="仿宋"/>
          <w:b w:val="0"/>
          <w:bCs/>
          <w:color w:val="auto"/>
          <w:sz w:val="32"/>
          <w:szCs w:val="32"/>
          <w:highlight w:val="none"/>
          <w:lang w:val="en-US" w:eastAsia="zh-CN"/>
        </w:rPr>
        <w:t>511.35</w:t>
      </w:r>
      <w:r>
        <w:rPr>
          <w:rStyle w:val="16"/>
          <w:rFonts w:hint="eastAsia" w:ascii="仿宋" w:hAnsi="仿宋" w:eastAsia="仿宋" w:cs="仿宋"/>
          <w:b w:val="0"/>
          <w:bCs/>
          <w:color w:val="auto"/>
          <w:sz w:val="32"/>
          <w:szCs w:val="32"/>
          <w:highlight w:val="none"/>
        </w:rPr>
        <w:t>万元，完成预算100%。</w:t>
      </w:r>
    </w:p>
    <w:p>
      <w:pPr>
        <w:numPr>
          <w:ilvl w:val="0"/>
          <w:numId w:val="0"/>
        </w:numPr>
        <w:shd w:val="clear"/>
        <w:spacing w:line="600" w:lineRule="exact"/>
        <w:ind w:firstLine="640" w:firstLineChars="200"/>
        <w:rPr>
          <w:rStyle w:val="16"/>
          <w:rFonts w:hint="eastAsia" w:ascii="仿宋" w:hAnsi="仿宋" w:eastAsia="仿宋" w:cs="仿宋"/>
          <w:b w:val="0"/>
          <w:bCs/>
          <w:color w:val="auto"/>
          <w:sz w:val="32"/>
          <w:szCs w:val="32"/>
          <w:highlight w:val="none"/>
          <w:lang w:eastAsia="zh-CN"/>
        </w:rPr>
      </w:pPr>
      <w:r>
        <w:rPr>
          <w:rStyle w:val="16"/>
          <w:rFonts w:hint="eastAsia" w:ascii="仿宋" w:hAnsi="仿宋" w:eastAsia="仿宋" w:cs="仿宋"/>
          <w:b w:val="0"/>
          <w:bCs/>
          <w:color w:val="auto"/>
          <w:sz w:val="32"/>
          <w:szCs w:val="32"/>
          <w:highlight w:val="none"/>
          <w:lang w:val="en-US" w:eastAsia="zh-CN"/>
        </w:rPr>
        <w:t>3.</w:t>
      </w:r>
      <w:r>
        <w:rPr>
          <w:rStyle w:val="16"/>
          <w:rFonts w:hint="eastAsia" w:ascii="仿宋" w:hAnsi="仿宋" w:eastAsia="仿宋" w:cs="仿宋"/>
          <w:b w:val="0"/>
          <w:bCs/>
          <w:color w:val="auto"/>
          <w:sz w:val="32"/>
          <w:szCs w:val="32"/>
          <w:highlight w:val="none"/>
        </w:rPr>
        <w:t>社会保障和就业（类）</w:t>
      </w:r>
      <w:r>
        <w:rPr>
          <w:rStyle w:val="16"/>
          <w:rFonts w:hint="eastAsia" w:ascii="仿宋" w:hAnsi="仿宋" w:eastAsia="仿宋" w:cs="仿宋"/>
          <w:b w:val="0"/>
          <w:bCs/>
          <w:color w:val="auto"/>
          <w:sz w:val="32"/>
          <w:szCs w:val="32"/>
          <w:highlight w:val="none"/>
          <w:lang w:val="en-US" w:eastAsia="zh-CN"/>
        </w:rPr>
        <w:t>人力资源和社会保障管理事务</w:t>
      </w:r>
      <w:r>
        <w:rPr>
          <w:rStyle w:val="16"/>
          <w:rFonts w:hint="eastAsia" w:ascii="仿宋" w:hAnsi="仿宋" w:eastAsia="仿宋" w:cs="仿宋"/>
          <w:b w:val="0"/>
          <w:bCs/>
          <w:color w:val="auto"/>
          <w:sz w:val="32"/>
          <w:szCs w:val="32"/>
          <w:highlight w:val="none"/>
        </w:rPr>
        <w:t>（款）</w:t>
      </w:r>
      <w:r>
        <w:rPr>
          <w:rStyle w:val="16"/>
          <w:rFonts w:hint="eastAsia" w:ascii="仿宋" w:hAnsi="仿宋" w:eastAsia="仿宋" w:cs="仿宋"/>
          <w:b w:val="0"/>
          <w:bCs/>
          <w:color w:val="auto"/>
          <w:sz w:val="32"/>
          <w:szCs w:val="32"/>
          <w:highlight w:val="none"/>
          <w:lang w:val="en-US" w:eastAsia="zh-CN"/>
        </w:rPr>
        <w:t>其他人力资源和社会保障管理事务</w:t>
      </w:r>
      <w:r>
        <w:rPr>
          <w:rStyle w:val="16"/>
          <w:rFonts w:hint="eastAsia" w:ascii="仿宋" w:hAnsi="仿宋" w:eastAsia="仿宋" w:cs="仿宋"/>
          <w:b w:val="0"/>
          <w:bCs/>
          <w:color w:val="auto"/>
          <w:sz w:val="32"/>
          <w:szCs w:val="32"/>
          <w:highlight w:val="none"/>
        </w:rPr>
        <w:t>支出（项）:支出决算为</w:t>
      </w:r>
      <w:r>
        <w:rPr>
          <w:rStyle w:val="16"/>
          <w:rFonts w:hint="eastAsia" w:ascii="仿宋" w:hAnsi="仿宋" w:eastAsia="仿宋" w:cs="仿宋"/>
          <w:b w:val="0"/>
          <w:bCs/>
          <w:color w:val="auto"/>
          <w:sz w:val="32"/>
          <w:szCs w:val="32"/>
          <w:highlight w:val="none"/>
          <w:lang w:val="en-US" w:eastAsia="zh-CN"/>
        </w:rPr>
        <w:t>4</w:t>
      </w:r>
      <w:r>
        <w:rPr>
          <w:rStyle w:val="16"/>
          <w:rFonts w:hint="eastAsia" w:ascii="仿宋" w:hAnsi="仿宋" w:eastAsia="仿宋" w:cs="仿宋"/>
          <w:b w:val="0"/>
          <w:bCs/>
          <w:color w:val="auto"/>
          <w:sz w:val="32"/>
          <w:szCs w:val="32"/>
          <w:highlight w:val="none"/>
        </w:rPr>
        <w:t>万元，完成预算</w:t>
      </w:r>
      <w:r>
        <w:rPr>
          <w:rStyle w:val="16"/>
          <w:rFonts w:hint="eastAsia" w:ascii="仿宋" w:hAnsi="仿宋" w:eastAsia="仿宋" w:cs="仿宋"/>
          <w:b w:val="0"/>
          <w:bCs/>
          <w:color w:val="auto"/>
          <w:sz w:val="32"/>
          <w:szCs w:val="32"/>
          <w:highlight w:val="none"/>
          <w:lang w:val="en-US" w:eastAsia="zh-CN"/>
        </w:rPr>
        <w:t>100</w:t>
      </w:r>
      <w:r>
        <w:rPr>
          <w:rStyle w:val="16"/>
          <w:rFonts w:hint="eastAsia" w:ascii="仿宋" w:hAnsi="仿宋" w:eastAsia="仿宋" w:cs="仿宋"/>
          <w:b w:val="0"/>
          <w:bCs/>
          <w:color w:val="auto"/>
          <w:sz w:val="32"/>
          <w:szCs w:val="32"/>
          <w:highlight w:val="none"/>
        </w:rPr>
        <w:t>%</w:t>
      </w:r>
      <w:r>
        <w:rPr>
          <w:rStyle w:val="16"/>
          <w:rFonts w:hint="eastAsia" w:ascii="仿宋" w:hAnsi="仿宋" w:eastAsia="仿宋" w:cs="仿宋"/>
          <w:b w:val="0"/>
          <w:bCs/>
          <w:color w:val="auto"/>
          <w:sz w:val="32"/>
          <w:szCs w:val="32"/>
          <w:highlight w:val="none"/>
          <w:lang w:eastAsia="zh-CN"/>
        </w:rPr>
        <w:t>。</w:t>
      </w:r>
    </w:p>
    <w:p>
      <w:pPr>
        <w:numPr>
          <w:ilvl w:val="0"/>
          <w:numId w:val="0"/>
        </w:numPr>
        <w:shd w:val="clear"/>
        <w:spacing w:line="600" w:lineRule="exact"/>
        <w:ind w:firstLine="640" w:firstLineChars="200"/>
        <w:rPr>
          <w:rStyle w:val="16"/>
          <w:rFonts w:hint="eastAsia" w:ascii="仿宋" w:hAnsi="仿宋" w:eastAsia="仿宋" w:cs="仿宋"/>
          <w:b w:val="0"/>
          <w:bCs/>
          <w:color w:val="auto"/>
          <w:sz w:val="32"/>
          <w:szCs w:val="32"/>
          <w:highlight w:val="none"/>
          <w:lang w:eastAsia="zh-CN"/>
        </w:rPr>
      </w:pPr>
      <w:r>
        <w:rPr>
          <w:rStyle w:val="16"/>
          <w:rFonts w:hint="eastAsia" w:ascii="仿宋" w:hAnsi="仿宋" w:eastAsia="仿宋" w:cs="仿宋"/>
          <w:b w:val="0"/>
          <w:bCs/>
          <w:color w:val="auto"/>
          <w:sz w:val="32"/>
          <w:szCs w:val="32"/>
          <w:highlight w:val="none"/>
          <w:lang w:val="en-US" w:eastAsia="zh-CN"/>
        </w:rPr>
        <w:t>4.</w:t>
      </w:r>
      <w:r>
        <w:rPr>
          <w:rStyle w:val="16"/>
          <w:rFonts w:hint="eastAsia" w:ascii="仿宋" w:hAnsi="仿宋" w:eastAsia="仿宋" w:cs="仿宋"/>
          <w:b w:val="0"/>
          <w:bCs/>
          <w:color w:val="auto"/>
          <w:sz w:val="32"/>
          <w:szCs w:val="32"/>
          <w:highlight w:val="none"/>
        </w:rPr>
        <w:t>社会保障和就业（类）行政事业单位养老支出（款）机关事业单位基本养老保险缴费支出（项）:支出决算为</w:t>
      </w:r>
      <w:r>
        <w:rPr>
          <w:rStyle w:val="16"/>
          <w:rFonts w:hint="eastAsia" w:ascii="仿宋" w:hAnsi="仿宋" w:eastAsia="仿宋" w:cs="仿宋"/>
          <w:b w:val="0"/>
          <w:bCs/>
          <w:color w:val="auto"/>
          <w:sz w:val="32"/>
          <w:szCs w:val="32"/>
          <w:highlight w:val="none"/>
          <w:lang w:val="en-US" w:eastAsia="zh-CN"/>
        </w:rPr>
        <w:t>28.56</w:t>
      </w:r>
      <w:r>
        <w:rPr>
          <w:rStyle w:val="16"/>
          <w:rFonts w:hint="eastAsia" w:ascii="仿宋" w:hAnsi="仿宋" w:eastAsia="仿宋" w:cs="仿宋"/>
          <w:b w:val="0"/>
          <w:bCs/>
          <w:color w:val="auto"/>
          <w:sz w:val="32"/>
          <w:szCs w:val="32"/>
          <w:highlight w:val="none"/>
        </w:rPr>
        <w:t>万元，完成预算</w:t>
      </w:r>
      <w:r>
        <w:rPr>
          <w:rStyle w:val="16"/>
          <w:rFonts w:hint="eastAsia" w:ascii="仿宋" w:hAnsi="仿宋" w:eastAsia="仿宋" w:cs="仿宋"/>
          <w:b w:val="0"/>
          <w:bCs/>
          <w:color w:val="auto"/>
          <w:sz w:val="32"/>
          <w:szCs w:val="32"/>
          <w:highlight w:val="none"/>
          <w:lang w:val="en-US" w:eastAsia="zh-CN"/>
        </w:rPr>
        <w:t>100</w:t>
      </w:r>
      <w:r>
        <w:rPr>
          <w:rStyle w:val="16"/>
          <w:rFonts w:hint="eastAsia" w:ascii="仿宋" w:hAnsi="仿宋" w:eastAsia="仿宋" w:cs="仿宋"/>
          <w:b w:val="0"/>
          <w:bCs/>
          <w:color w:val="auto"/>
          <w:sz w:val="32"/>
          <w:szCs w:val="32"/>
          <w:highlight w:val="none"/>
        </w:rPr>
        <w:t>%</w:t>
      </w:r>
      <w:r>
        <w:rPr>
          <w:rStyle w:val="16"/>
          <w:rFonts w:hint="eastAsia" w:ascii="仿宋" w:hAnsi="仿宋" w:eastAsia="仿宋" w:cs="仿宋"/>
          <w:b w:val="0"/>
          <w:bCs/>
          <w:color w:val="auto"/>
          <w:sz w:val="32"/>
          <w:szCs w:val="32"/>
          <w:highlight w:val="none"/>
          <w:lang w:eastAsia="zh-CN"/>
        </w:rPr>
        <w:t>。</w:t>
      </w:r>
    </w:p>
    <w:p>
      <w:pPr>
        <w:numPr>
          <w:ilvl w:val="0"/>
          <w:numId w:val="0"/>
        </w:numPr>
        <w:shd w:val="clear"/>
        <w:spacing w:line="600" w:lineRule="exact"/>
        <w:ind w:firstLine="640" w:firstLineChars="200"/>
        <w:rPr>
          <w:rStyle w:val="16"/>
          <w:rFonts w:hint="eastAsia" w:ascii="仿宋" w:hAnsi="仿宋" w:eastAsia="仿宋" w:cs="仿宋"/>
          <w:b w:val="0"/>
          <w:bCs/>
          <w:color w:val="auto"/>
          <w:sz w:val="32"/>
          <w:szCs w:val="32"/>
          <w:highlight w:val="none"/>
          <w:lang w:eastAsia="zh-CN"/>
        </w:rPr>
      </w:pPr>
      <w:r>
        <w:rPr>
          <w:rStyle w:val="16"/>
          <w:rFonts w:hint="eastAsia" w:ascii="仿宋" w:hAnsi="仿宋" w:eastAsia="仿宋" w:cs="仿宋"/>
          <w:b w:val="0"/>
          <w:bCs/>
          <w:color w:val="auto"/>
          <w:sz w:val="32"/>
          <w:szCs w:val="32"/>
          <w:highlight w:val="none"/>
          <w:lang w:val="en-US" w:eastAsia="zh-CN"/>
        </w:rPr>
        <w:t>5.</w:t>
      </w:r>
      <w:r>
        <w:rPr>
          <w:rStyle w:val="16"/>
          <w:rFonts w:hint="eastAsia" w:ascii="仿宋" w:hAnsi="仿宋" w:eastAsia="仿宋" w:cs="仿宋"/>
          <w:b w:val="0"/>
          <w:bCs/>
          <w:color w:val="auto"/>
          <w:sz w:val="32"/>
          <w:szCs w:val="32"/>
          <w:highlight w:val="none"/>
        </w:rPr>
        <w:t>社会保障和就业（类）行政事业单位养老支出（款）机关事业单位职业年金缴费支出（项）</w:t>
      </w:r>
      <w:r>
        <w:rPr>
          <w:rStyle w:val="16"/>
          <w:rFonts w:hint="eastAsia" w:ascii="仿宋" w:hAnsi="仿宋" w:eastAsia="仿宋" w:cs="仿宋"/>
          <w:bCs/>
          <w:color w:val="auto"/>
          <w:sz w:val="32"/>
          <w:szCs w:val="32"/>
          <w:highlight w:val="none"/>
        </w:rPr>
        <w:t>:</w:t>
      </w:r>
      <w:r>
        <w:rPr>
          <w:rStyle w:val="16"/>
          <w:rFonts w:hint="eastAsia" w:ascii="仿宋" w:hAnsi="仿宋" w:eastAsia="仿宋" w:cs="仿宋"/>
          <w:b w:val="0"/>
          <w:bCs/>
          <w:color w:val="auto"/>
          <w:sz w:val="32"/>
          <w:szCs w:val="32"/>
          <w:highlight w:val="none"/>
        </w:rPr>
        <w:t>支出决算为</w:t>
      </w:r>
      <w:r>
        <w:rPr>
          <w:rStyle w:val="16"/>
          <w:rFonts w:hint="eastAsia" w:ascii="仿宋" w:hAnsi="仿宋" w:eastAsia="仿宋" w:cs="仿宋"/>
          <w:b w:val="0"/>
          <w:bCs/>
          <w:color w:val="auto"/>
          <w:sz w:val="32"/>
          <w:szCs w:val="32"/>
          <w:highlight w:val="none"/>
          <w:lang w:val="en-US" w:eastAsia="zh-CN"/>
        </w:rPr>
        <w:t>4.43</w:t>
      </w:r>
      <w:r>
        <w:rPr>
          <w:rStyle w:val="16"/>
          <w:rFonts w:hint="eastAsia" w:ascii="仿宋" w:hAnsi="仿宋" w:eastAsia="仿宋" w:cs="仿宋"/>
          <w:b w:val="0"/>
          <w:bCs/>
          <w:color w:val="auto"/>
          <w:sz w:val="32"/>
          <w:szCs w:val="32"/>
          <w:highlight w:val="none"/>
        </w:rPr>
        <w:t>万元，完成预算</w:t>
      </w:r>
      <w:r>
        <w:rPr>
          <w:rStyle w:val="16"/>
          <w:rFonts w:hint="eastAsia" w:ascii="仿宋" w:hAnsi="仿宋" w:eastAsia="仿宋" w:cs="仿宋"/>
          <w:b w:val="0"/>
          <w:bCs/>
          <w:color w:val="auto"/>
          <w:sz w:val="32"/>
          <w:szCs w:val="32"/>
          <w:highlight w:val="none"/>
          <w:lang w:val="en-US" w:eastAsia="zh-CN"/>
        </w:rPr>
        <w:t>100</w:t>
      </w:r>
      <w:r>
        <w:rPr>
          <w:rStyle w:val="16"/>
          <w:rFonts w:hint="eastAsia" w:ascii="仿宋" w:hAnsi="仿宋" w:eastAsia="仿宋" w:cs="仿宋"/>
          <w:b w:val="0"/>
          <w:bCs/>
          <w:color w:val="auto"/>
          <w:sz w:val="32"/>
          <w:szCs w:val="32"/>
          <w:highlight w:val="none"/>
        </w:rPr>
        <w:t>%</w:t>
      </w:r>
      <w:r>
        <w:rPr>
          <w:rStyle w:val="16"/>
          <w:rFonts w:hint="eastAsia" w:ascii="仿宋" w:hAnsi="仿宋" w:eastAsia="仿宋" w:cs="仿宋"/>
          <w:b w:val="0"/>
          <w:bCs/>
          <w:color w:val="auto"/>
          <w:sz w:val="32"/>
          <w:szCs w:val="32"/>
          <w:highlight w:val="none"/>
          <w:lang w:eastAsia="zh-CN"/>
        </w:rPr>
        <w:t>。</w:t>
      </w:r>
    </w:p>
    <w:p>
      <w:pPr>
        <w:numPr>
          <w:ilvl w:val="0"/>
          <w:numId w:val="0"/>
        </w:numPr>
        <w:shd w:val="clear"/>
        <w:spacing w:line="600" w:lineRule="exact"/>
        <w:ind w:firstLine="640" w:firstLineChars="200"/>
        <w:rPr>
          <w:rStyle w:val="16"/>
          <w:rFonts w:hint="eastAsia" w:ascii="仿宋" w:hAnsi="仿宋" w:eastAsia="仿宋" w:cs="仿宋"/>
          <w:b w:val="0"/>
          <w:bCs/>
          <w:color w:val="auto"/>
          <w:sz w:val="32"/>
          <w:szCs w:val="32"/>
          <w:highlight w:val="none"/>
          <w:lang w:eastAsia="zh-CN"/>
        </w:rPr>
      </w:pPr>
      <w:r>
        <w:rPr>
          <w:rStyle w:val="16"/>
          <w:rFonts w:hint="eastAsia" w:ascii="仿宋" w:hAnsi="仿宋" w:eastAsia="仿宋" w:cs="仿宋"/>
          <w:b w:val="0"/>
          <w:bCs/>
          <w:color w:val="auto"/>
          <w:sz w:val="32"/>
          <w:szCs w:val="32"/>
          <w:highlight w:val="none"/>
          <w:lang w:val="en-US" w:eastAsia="zh-CN"/>
        </w:rPr>
        <w:t>6.</w:t>
      </w:r>
      <w:r>
        <w:rPr>
          <w:rStyle w:val="16"/>
          <w:rFonts w:hint="eastAsia" w:ascii="仿宋" w:hAnsi="仿宋" w:eastAsia="仿宋" w:cs="仿宋"/>
          <w:b w:val="0"/>
          <w:bCs/>
          <w:color w:val="auto"/>
          <w:sz w:val="32"/>
          <w:szCs w:val="32"/>
          <w:highlight w:val="none"/>
        </w:rPr>
        <w:t>社会保障和就业（类）</w:t>
      </w:r>
      <w:r>
        <w:rPr>
          <w:rStyle w:val="16"/>
          <w:rFonts w:hint="eastAsia" w:ascii="仿宋" w:hAnsi="仿宋" w:eastAsia="仿宋" w:cs="仿宋"/>
          <w:b w:val="0"/>
          <w:bCs/>
          <w:color w:val="auto"/>
          <w:sz w:val="32"/>
          <w:szCs w:val="32"/>
          <w:highlight w:val="none"/>
          <w:lang w:val="en-US" w:eastAsia="zh-CN"/>
        </w:rPr>
        <w:t>抚恤</w:t>
      </w:r>
      <w:r>
        <w:rPr>
          <w:rStyle w:val="16"/>
          <w:rFonts w:hint="eastAsia" w:ascii="仿宋" w:hAnsi="仿宋" w:eastAsia="仿宋" w:cs="仿宋"/>
          <w:b w:val="0"/>
          <w:bCs/>
          <w:color w:val="auto"/>
          <w:sz w:val="32"/>
          <w:szCs w:val="32"/>
          <w:highlight w:val="none"/>
        </w:rPr>
        <w:t>（款）</w:t>
      </w:r>
      <w:r>
        <w:rPr>
          <w:rStyle w:val="16"/>
          <w:rFonts w:hint="eastAsia" w:ascii="仿宋" w:hAnsi="仿宋" w:eastAsia="仿宋" w:cs="仿宋"/>
          <w:b w:val="0"/>
          <w:bCs/>
          <w:color w:val="auto"/>
          <w:sz w:val="32"/>
          <w:szCs w:val="32"/>
          <w:highlight w:val="none"/>
          <w:lang w:val="en-US" w:eastAsia="zh-CN"/>
        </w:rPr>
        <w:t>死亡抚恤</w:t>
      </w:r>
      <w:r>
        <w:rPr>
          <w:rStyle w:val="16"/>
          <w:rFonts w:hint="eastAsia" w:ascii="仿宋" w:hAnsi="仿宋" w:eastAsia="仿宋" w:cs="仿宋"/>
          <w:b w:val="0"/>
          <w:bCs/>
          <w:color w:val="auto"/>
          <w:sz w:val="32"/>
          <w:szCs w:val="32"/>
          <w:highlight w:val="none"/>
        </w:rPr>
        <w:t>（项）</w:t>
      </w:r>
      <w:r>
        <w:rPr>
          <w:rStyle w:val="16"/>
          <w:rFonts w:hint="eastAsia" w:ascii="仿宋" w:hAnsi="仿宋" w:eastAsia="仿宋" w:cs="仿宋"/>
          <w:b w:val="0"/>
          <w:bCs/>
          <w:color w:val="auto"/>
          <w:sz w:val="32"/>
          <w:szCs w:val="32"/>
          <w:highlight w:val="none"/>
          <w:lang w:eastAsia="zh-CN"/>
        </w:rPr>
        <w:t>：</w:t>
      </w:r>
      <w:r>
        <w:rPr>
          <w:rStyle w:val="16"/>
          <w:rFonts w:hint="eastAsia" w:ascii="仿宋" w:hAnsi="仿宋" w:eastAsia="仿宋" w:cs="仿宋"/>
          <w:b w:val="0"/>
          <w:bCs/>
          <w:color w:val="auto"/>
          <w:sz w:val="32"/>
          <w:szCs w:val="32"/>
          <w:highlight w:val="none"/>
        </w:rPr>
        <w:t>支出决算为</w:t>
      </w:r>
      <w:r>
        <w:rPr>
          <w:rStyle w:val="16"/>
          <w:rFonts w:hint="eastAsia" w:ascii="仿宋" w:hAnsi="仿宋" w:eastAsia="仿宋" w:cs="仿宋"/>
          <w:b w:val="0"/>
          <w:bCs/>
          <w:color w:val="auto"/>
          <w:sz w:val="32"/>
          <w:szCs w:val="32"/>
          <w:highlight w:val="none"/>
          <w:lang w:val="en-US" w:eastAsia="zh-CN"/>
        </w:rPr>
        <w:t>17.78</w:t>
      </w:r>
      <w:r>
        <w:rPr>
          <w:rStyle w:val="16"/>
          <w:rFonts w:hint="eastAsia" w:ascii="仿宋" w:hAnsi="仿宋" w:eastAsia="仿宋" w:cs="仿宋"/>
          <w:b w:val="0"/>
          <w:bCs/>
          <w:color w:val="auto"/>
          <w:sz w:val="32"/>
          <w:szCs w:val="32"/>
          <w:highlight w:val="none"/>
        </w:rPr>
        <w:t>万元，完成预算</w:t>
      </w:r>
      <w:r>
        <w:rPr>
          <w:rStyle w:val="16"/>
          <w:rFonts w:hint="eastAsia" w:ascii="仿宋" w:hAnsi="仿宋" w:eastAsia="仿宋" w:cs="仿宋"/>
          <w:b w:val="0"/>
          <w:bCs/>
          <w:color w:val="auto"/>
          <w:sz w:val="32"/>
          <w:szCs w:val="32"/>
          <w:highlight w:val="none"/>
          <w:lang w:val="en-US" w:eastAsia="zh-CN"/>
        </w:rPr>
        <w:t>100</w:t>
      </w:r>
      <w:r>
        <w:rPr>
          <w:rStyle w:val="16"/>
          <w:rFonts w:hint="eastAsia" w:ascii="仿宋" w:hAnsi="仿宋" w:eastAsia="仿宋" w:cs="仿宋"/>
          <w:b w:val="0"/>
          <w:bCs/>
          <w:color w:val="auto"/>
          <w:sz w:val="32"/>
          <w:szCs w:val="32"/>
          <w:highlight w:val="none"/>
        </w:rPr>
        <w:t>%</w:t>
      </w:r>
      <w:r>
        <w:rPr>
          <w:rStyle w:val="16"/>
          <w:rFonts w:hint="eastAsia" w:ascii="仿宋" w:hAnsi="仿宋" w:eastAsia="仿宋" w:cs="仿宋"/>
          <w:b w:val="0"/>
          <w:bCs/>
          <w:color w:val="auto"/>
          <w:sz w:val="32"/>
          <w:szCs w:val="32"/>
          <w:highlight w:val="none"/>
          <w:lang w:eastAsia="zh-CN"/>
        </w:rPr>
        <w:t>。</w:t>
      </w:r>
    </w:p>
    <w:p>
      <w:pPr>
        <w:shd w:val="clear"/>
        <w:spacing w:line="600" w:lineRule="exact"/>
        <w:ind w:firstLine="640" w:firstLineChars="200"/>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lang w:val="en-US" w:eastAsia="zh-CN"/>
        </w:rPr>
        <w:t>7.</w:t>
      </w:r>
      <w:r>
        <w:rPr>
          <w:rFonts w:hint="eastAsia" w:ascii="仿宋" w:hAnsi="仿宋" w:eastAsia="仿宋" w:cs="仿宋"/>
          <w:bCs/>
          <w:color w:val="auto"/>
          <w:sz w:val="32"/>
          <w:szCs w:val="32"/>
          <w:highlight w:val="none"/>
        </w:rPr>
        <w:t>卫生健康</w:t>
      </w:r>
      <w:r>
        <w:rPr>
          <w:rStyle w:val="16"/>
          <w:rFonts w:hint="eastAsia" w:ascii="仿宋" w:hAnsi="仿宋" w:eastAsia="仿宋" w:cs="仿宋"/>
          <w:b w:val="0"/>
          <w:bCs/>
          <w:color w:val="auto"/>
          <w:sz w:val="32"/>
          <w:szCs w:val="32"/>
          <w:highlight w:val="none"/>
        </w:rPr>
        <w:t>（类）行政事业单位医疗（款）事业单位医疗（项）:支出决算为</w:t>
      </w:r>
      <w:r>
        <w:rPr>
          <w:rStyle w:val="16"/>
          <w:rFonts w:hint="eastAsia" w:ascii="仿宋" w:hAnsi="仿宋" w:eastAsia="仿宋" w:cs="仿宋"/>
          <w:b w:val="0"/>
          <w:bCs/>
          <w:color w:val="auto"/>
          <w:sz w:val="32"/>
          <w:szCs w:val="32"/>
          <w:highlight w:val="none"/>
          <w:lang w:val="en-US" w:eastAsia="zh-CN"/>
        </w:rPr>
        <w:t>18.99</w:t>
      </w:r>
      <w:r>
        <w:rPr>
          <w:rStyle w:val="16"/>
          <w:rFonts w:hint="eastAsia" w:ascii="仿宋" w:hAnsi="仿宋" w:eastAsia="仿宋" w:cs="仿宋"/>
          <w:b w:val="0"/>
          <w:bCs/>
          <w:color w:val="auto"/>
          <w:sz w:val="32"/>
          <w:szCs w:val="32"/>
          <w:highlight w:val="none"/>
        </w:rPr>
        <w:t>万元，完成预算100%。</w:t>
      </w:r>
    </w:p>
    <w:p>
      <w:pPr>
        <w:shd w:val="clear"/>
        <w:spacing w:line="600" w:lineRule="exact"/>
        <w:ind w:firstLine="640" w:firstLineChars="200"/>
        <w:rPr>
          <w:rFonts w:hint="eastAsia" w:ascii="仿宋" w:hAnsi="仿宋" w:eastAsia="仿宋" w:cs="仿宋"/>
          <w:b/>
          <w:color w:val="auto"/>
          <w:sz w:val="32"/>
          <w:szCs w:val="32"/>
          <w:highlight w:val="none"/>
        </w:rPr>
      </w:pPr>
      <w:r>
        <w:rPr>
          <w:rFonts w:hint="eastAsia" w:ascii="仿宋" w:hAnsi="仿宋" w:eastAsia="仿宋" w:cs="仿宋"/>
          <w:bCs/>
          <w:color w:val="auto"/>
          <w:sz w:val="32"/>
          <w:szCs w:val="32"/>
          <w:highlight w:val="none"/>
          <w:lang w:val="en-US" w:eastAsia="zh-CN"/>
        </w:rPr>
        <w:t>8.</w:t>
      </w:r>
      <w:r>
        <w:rPr>
          <w:rFonts w:hint="eastAsia" w:ascii="仿宋" w:hAnsi="仿宋" w:eastAsia="仿宋" w:cs="仿宋"/>
          <w:bCs/>
          <w:color w:val="auto"/>
          <w:sz w:val="32"/>
          <w:szCs w:val="32"/>
          <w:highlight w:val="none"/>
        </w:rPr>
        <w:t>住房保障（类）住房改革支出（款）住房公积金（项）：支出决算</w:t>
      </w:r>
      <w:r>
        <w:rPr>
          <w:rFonts w:hint="eastAsia" w:ascii="仿宋" w:hAnsi="仿宋" w:eastAsia="仿宋" w:cs="仿宋"/>
          <w:bCs/>
          <w:color w:val="auto"/>
          <w:sz w:val="32"/>
          <w:szCs w:val="32"/>
          <w:highlight w:val="none"/>
          <w:lang w:val="en-US" w:eastAsia="zh-CN"/>
        </w:rPr>
        <w:t>40.32</w:t>
      </w:r>
      <w:r>
        <w:rPr>
          <w:rFonts w:hint="eastAsia" w:ascii="仿宋" w:hAnsi="仿宋" w:eastAsia="仿宋" w:cs="仿宋"/>
          <w:bCs/>
          <w:color w:val="auto"/>
          <w:sz w:val="32"/>
          <w:szCs w:val="32"/>
          <w:highlight w:val="none"/>
        </w:rPr>
        <w:t>万元，完成预算100%。</w:t>
      </w:r>
    </w:p>
    <w:p>
      <w:pPr>
        <w:shd w:val="clear"/>
        <w:tabs>
          <w:tab w:val="right" w:pos="8306"/>
        </w:tabs>
        <w:spacing w:line="600" w:lineRule="exact"/>
        <w:ind w:firstLine="640"/>
        <w:outlineLvl w:val="1"/>
        <w:rPr>
          <w:rStyle w:val="19"/>
          <w:color w:val="auto"/>
          <w:highlight w:val="none"/>
        </w:rPr>
      </w:pPr>
      <w:bookmarkStart w:id="49" w:name="_Toc15396608"/>
      <w:bookmarkStart w:id="50" w:name="_Toc31526"/>
      <w:bookmarkStart w:id="51"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9"/>
          <w:rFonts w:hint="eastAsia" w:ascii="黑体" w:hAnsi="黑体" w:eastAsia="黑体"/>
          <w:b w:val="0"/>
          <w:color w:val="auto"/>
          <w:highlight w:val="none"/>
        </w:rPr>
        <w:t>般公共预算财政拨款基本支出决算情况说明</w:t>
      </w:r>
      <w:bookmarkEnd w:id="49"/>
      <w:bookmarkEnd w:id="50"/>
      <w:bookmarkEnd w:id="51"/>
      <w:r>
        <w:rPr>
          <w:rStyle w:val="19"/>
          <w:rFonts w:ascii="黑体" w:hAnsi="黑体" w:eastAsia="黑体"/>
          <w:b w:val="0"/>
          <w:color w:val="auto"/>
          <w:highlight w:val="none"/>
        </w:rPr>
        <w:tab/>
      </w:r>
    </w:p>
    <w:p>
      <w:pPr>
        <w:shd w:val="clear"/>
        <w:spacing w:line="600" w:lineRule="exact"/>
        <w:ind w:firstLine="640" w:firstLineChars="200"/>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20</w:t>
      </w:r>
      <w:r>
        <w:rPr>
          <w:rFonts w:hint="eastAsia" w:ascii="仿宋" w:hAnsi="仿宋" w:eastAsia="仿宋" w:cs="仿宋"/>
          <w:bCs/>
          <w:color w:val="auto"/>
          <w:sz w:val="32"/>
          <w:szCs w:val="32"/>
          <w:highlight w:val="none"/>
          <w:lang w:val="en-US" w:eastAsia="zh-CN"/>
        </w:rPr>
        <w:t>22</w:t>
      </w:r>
      <w:r>
        <w:rPr>
          <w:rFonts w:hint="eastAsia" w:ascii="仿宋" w:hAnsi="仿宋" w:eastAsia="仿宋" w:cs="仿宋"/>
          <w:bCs/>
          <w:color w:val="auto"/>
          <w:sz w:val="32"/>
          <w:szCs w:val="32"/>
          <w:highlight w:val="none"/>
        </w:rPr>
        <w:t>年一般公共预算财政拨款基本支出</w:t>
      </w:r>
      <w:r>
        <w:rPr>
          <w:rFonts w:hint="eastAsia" w:ascii="仿宋" w:hAnsi="仿宋" w:eastAsia="仿宋" w:cs="仿宋"/>
          <w:bCs/>
          <w:color w:val="auto"/>
          <w:sz w:val="32"/>
          <w:szCs w:val="32"/>
          <w:highlight w:val="none"/>
          <w:lang w:val="en-US" w:eastAsia="zh-CN"/>
        </w:rPr>
        <w:t>584.43</w:t>
      </w:r>
      <w:r>
        <w:rPr>
          <w:rFonts w:hint="eastAsia" w:ascii="仿宋" w:hAnsi="仿宋" w:eastAsia="仿宋" w:cs="仿宋"/>
          <w:bCs/>
          <w:color w:val="auto"/>
          <w:sz w:val="32"/>
          <w:szCs w:val="32"/>
          <w:highlight w:val="none"/>
        </w:rPr>
        <w:t>万元，其中：</w:t>
      </w:r>
    </w:p>
    <w:p>
      <w:pPr>
        <w:shd w:val="clear"/>
        <w:spacing w:line="600" w:lineRule="exact"/>
        <w:ind w:firstLine="640" w:firstLineChars="200"/>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人员经费</w:t>
      </w:r>
      <w:r>
        <w:rPr>
          <w:rFonts w:hint="eastAsia" w:ascii="仿宋" w:hAnsi="仿宋" w:eastAsia="仿宋" w:cs="仿宋"/>
          <w:bCs/>
          <w:color w:val="auto"/>
          <w:sz w:val="32"/>
          <w:szCs w:val="32"/>
          <w:highlight w:val="none"/>
          <w:lang w:val="en-US" w:eastAsia="zh-CN"/>
        </w:rPr>
        <w:t>513.81</w:t>
      </w:r>
      <w:r>
        <w:rPr>
          <w:rFonts w:hint="eastAsia" w:ascii="仿宋" w:hAnsi="仿宋" w:eastAsia="仿宋" w:cs="仿宋"/>
          <w:bCs/>
          <w:color w:val="auto"/>
          <w:sz w:val="32"/>
          <w:szCs w:val="32"/>
          <w:highlight w:val="none"/>
        </w:rPr>
        <w:t>万元，主要包括：基本工资、津贴补贴、奖金、机关事业单位基本养老保险缴费、职业年金缴费、</w:t>
      </w:r>
      <w:r>
        <w:rPr>
          <w:rFonts w:hint="eastAsia" w:ascii="仿宋" w:hAnsi="仿宋" w:eastAsia="仿宋" w:cs="仿宋"/>
          <w:bCs/>
          <w:color w:val="auto"/>
          <w:sz w:val="32"/>
          <w:szCs w:val="32"/>
          <w:highlight w:val="none"/>
          <w:lang w:val="en-US" w:eastAsia="zh-CN"/>
        </w:rPr>
        <w:t>职工基本医疗保险缴费、</w:t>
      </w:r>
      <w:r>
        <w:rPr>
          <w:rFonts w:hint="eastAsia" w:ascii="仿宋" w:hAnsi="仿宋" w:eastAsia="仿宋" w:cs="仿宋"/>
          <w:bCs/>
          <w:color w:val="auto"/>
          <w:sz w:val="32"/>
          <w:szCs w:val="32"/>
          <w:highlight w:val="none"/>
        </w:rPr>
        <w:t>其他社会保障缴费、住房公积金、其他工资福利支出、抚恤金、生活补助。</w:t>
      </w:r>
    </w:p>
    <w:p>
      <w:pPr>
        <w:shd w:val="clear"/>
        <w:spacing w:line="600" w:lineRule="exact"/>
        <w:ind w:firstLine="640" w:firstLineChars="200"/>
        <w:rPr>
          <w:rFonts w:hint="eastAsia" w:ascii="仿宋" w:hAnsi="仿宋" w:eastAsia="仿宋" w:cs="仿宋"/>
          <w:b/>
          <w:color w:val="auto"/>
          <w:sz w:val="32"/>
          <w:szCs w:val="32"/>
          <w:highlight w:val="none"/>
        </w:rPr>
      </w:pPr>
      <w:r>
        <w:rPr>
          <w:rFonts w:hint="eastAsia" w:ascii="仿宋" w:hAnsi="仿宋" w:eastAsia="仿宋" w:cs="仿宋"/>
          <w:bCs/>
          <w:color w:val="auto"/>
          <w:sz w:val="32"/>
          <w:szCs w:val="32"/>
          <w:highlight w:val="none"/>
        </w:rPr>
        <w:t>公用经费</w:t>
      </w:r>
      <w:r>
        <w:rPr>
          <w:rFonts w:hint="eastAsia" w:ascii="仿宋" w:hAnsi="仿宋" w:eastAsia="仿宋" w:cs="仿宋"/>
          <w:bCs/>
          <w:color w:val="auto"/>
          <w:sz w:val="32"/>
          <w:szCs w:val="32"/>
          <w:highlight w:val="none"/>
          <w:lang w:val="en-US" w:eastAsia="zh-CN"/>
        </w:rPr>
        <w:t>70.62</w:t>
      </w:r>
      <w:r>
        <w:rPr>
          <w:rFonts w:hint="eastAsia" w:ascii="仿宋" w:hAnsi="仿宋" w:eastAsia="仿宋" w:cs="仿宋"/>
          <w:bCs/>
          <w:color w:val="auto"/>
          <w:sz w:val="32"/>
          <w:szCs w:val="32"/>
          <w:highlight w:val="none"/>
        </w:rPr>
        <w:t>万元，主要包括：办公费、咨询费、手续费、邮电费、差旅费、维修（护）费、会议费、培训费、工会经费、福利费、公务用车运行维护费、其他交通费、其他商品和服务支出。</w:t>
      </w:r>
    </w:p>
    <w:p>
      <w:pPr>
        <w:shd w:val="clear"/>
        <w:spacing w:line="600" w:lineRule="exact"/>
        <w:ind w:firstLine="640"/>
        <w:outlineLvl w:val="1"/>
        <w:rPr>
          <w:rStyle w:val="19"/>
          <w:rFonts w:ascii="黑体" w:hAnsi="黑体" w:eastAsia="黑体"/>
          <w:b w:val="0"/>
          <w:color w:val="auto"/>
          <w:highlight w:val="none"/>
        </w:rPr>
      </w:pPr>
      <w:bookmarkStart w:id="52" w:name="_Toc17523"/>
      <w:bookmarkStart w:id="53" w:name="_Toc15396609"/>
      <w:bookmarkStart w:id="54" w:name="_Toc15377215"/>
      <w:r>
        <w:rPr>
          <w:rFonts w:hint="eastAsia" w:ascii="黑体" w:eastAsia="黑体"/>
          <w:color w:val="auto"/>
          <w:sz w:val="32"/>
          <w:szCs w:val="32"/>
          <w:highlight w:val="none"/>
        </w:rPr>
        <w:t>七、</w:t>
      </w:r>
      <w:r>
        <w:rPr>
          <w:rStyle w:val="19"/>
          <w:rFonts w:hint="eastAsia" w:ascii="黑体" w:hAnsi="黑体" w:eastAsia="黑体"/>
          <w:b w:val="0"/>
          <w:color w:val="auto"/>
          <w:highlight w:val="none"/>
        </w:rPr>
        <w:t>财政拨款</w:t>
      </w:r>
      <w:r>
        <w:rPr>
          <w:rStyle w:val="19"/>
          <w:rFonts w:hint="eastAsia" w:ascii="黑体" w:hAnsi="黑体" w:eastAsia="黑体"/>
          <w:color w:val="auto"/>
          <w:highlight w:val="none"/>
        </w:rPr>
        <w:t>“</w:t>
      </w:r>
      <w:r>
        <w:rPr>
          <w:rStyle w:val="19"/>
          <w:rFonts w:hint="eastAsia" w:ascii="黑体" w:hAnsi="黑体" w:eastAsia="黑体"/>
          <w:b w:val="0"/>
          <w:color w:val="auto"/>
          <w:highlight w:val="none"/>
        </w:rPr>
        <w:t>三公”经费支出决算情况说明</w:t>
      </w:r>
      <w:bookmarkEnd w:id="52"/>
      <w:bookmarkEnd w:id="53"/>
      <w:bookmarkEnd w:id="54"/>
    </w:p>
    <w:p>
      <w:pPr>
        <w:shd w:val="clear"/>
        <w:spacing w:line="600" w:lineRule="exact"/>
        <w:ind w:firstLine="640"/>
        <w:outlineLvl w:val="2"/>
        <w:rPr>
          <w:rFonts w:ascii="仿宋" w:hAnsi="仿宋" w:eastAsia="仿宋"/>
          <w:b/>
          <w:color w:val="auto"/>
          <w:sz w:val="32"/>
          <w:szCs w:val="32"/>
          <w:highlight w:val="none"/>
        </w:rPr>
      </w:pPr>
      <w:bookmarkStart w:id="55" w:name="_Toc15377216"/>
      <w:r>
        <w:rPr>
          <w:rFonts w:hint="eastAsia" w:ascii="仿宋" w:hAnsi="仿宋" w:eastAsia="仿宋"/>
          <w:b/>
          <w:color w:val="auto"/>
          <w:sz w:val="32"/>
          <w:szCs w:val="32"/>
          <w:highlight w:val="none"/>
        </w:rPr>
        <w:t>（一）“三公”经费财政拨款支出决算总体情况说明</w:t>
      </w:r>
      <w:bookmarkEnd w:id="55"/>
    </w:p>
    <w:p>
      <w:pPr>
        <w:pStyle w:val="28"/>
        <w:shd w:val="clear"/>
        <w:spacing w:line="600" w:lineRule="exact"/>
        <w:ind w:firstLine="640"/>
        <w:outlineLvl w:val="1"/>
        <w:rPr>
          <w:rFonts w:hint="eastAsia" w:ascii="宋体" w:hAnsi="宋体"/>
          <w:bCs/>
          <w:color w:val="auto"/>
          <w:sz w:val="32"/>
          <w:szCs w:val="32"/>
          <w:highlight w:val="none"/>
          <w:lang w:val="en-US" w:eastAsia="zh-CN"/>
        </w:rPr>
      </w:pPr>
      <w:bookmarkStart w:id="56" w:name="_Toc31022"/>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年“三公”经费财政拨款支出决算为</w:t>
      </w:r>
      <w:r>
        <w:rPr>
          <w:rFonts w:hint="eastAsia" w:ascii="仿宋" w:hAnsi="仿宋" w:eastAsia="仿宋" w:cs="仿宋"/>
          <w:color w:val="auto"/>
          <w:sz w:val="32"/>
          <w:szCs w:val="32"/>
          <w:highlight w:val="none"/>
          <w:lang w:val="en-US" w:eastAsia="zh-CN"/>
        </w:rPr>
        <w:t>5.5</w:t>
      </w:r>
      <w:r>
        <w:rPr>
          <w:rFonts w:hint="eastAsia" w:ascii="仿宋" w:hAnsi="仿宋" w:eastAsia="仿宋" w:cs="仿宋"/>
          <w:color w:val="auto"/>
          <w:sz w:val="32"/>
          <w:szCs w:val="32"/>
          <w:highlight w:val="none"/>
        </w:rPr>
        <w:t>万元，完成预算</w:t>
      </w:r>
      <w:r>
        <w:rPr>
          <w:rFonts w:hint="eastAsia" w:ascii="仿宋" w:hAnsi="仿宋" w:eastAsia="仿宋" w:cs="仿宋"/>
          <w:color w:val="auto"/>
          <w:sz w:val="32"/>
          <w:szCs w:val="32"/>
          <w:highlight w:val="none"/>
          <w:lang w:val="en-US" w:eastAsia="zh-CN"/>
        </w:rPr>
        <w:t>82</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较上年</w:t>
      </w:r>
      <w:r>
        <w:rPr>
          <w:rFonts w:hint="eastAsia" w:ascii="仿宋" w:hAnsi="仿宋" w:eastAsia="仿宋" w:cs="仿宋"/>
          <w:color w:val="auto"/>
          <w:sz w:val="32"/>
          <w:szCs w:val="32"/>
          <w:highlight w:val="none"/>
          <w:lang w:val="en-US" w:eastAsia="zh-CN"/>
        </w:rPr>
        <w:t>减少1.25万元，下降18%。</w:t>
      </w:r>
      <w:r>
        <w:rPr>
          <w:rFonts w:hint="eastAsia" w:ascii="仿宋" w:hAnsi="仿宋" w:eastAsia="仿宋" w:cs="仿宋"/>
          <w:color w:val="auto"/>
          <w:sz w:val="32"/>
          <w:szCs w:val="32"/>
          <w:highlight w:val="none"/>
        </w:rPr>
        <w:t>决算数小于预算数的主要原因是</w:t>
      </w:r>
      <w:r>
        <w:rPr>
          <w:rFonts w:hint="eastAsia" w:ascii="仿宋" w:hAnsi="仿宋" w:eastAsia="仿宋" w:cs="仿宋"/>
          <w:bCs/>
          <w:color w:val="auto"/>
          <w:sz w:val="32"/>
          <w:szCs w:val="32"/>
          <w:highlight w:val="none"/>
        </w:rPr>
        <w:t>厉行节约，减少“三公”经费支出。</w:t>
      </w:r>
      <w:bookmarkEnd w:id="56"/>
    </w:p>
    <w:p>
      <w:pPr>
        <w:shd w:val="clear"/>
        <w:spacing w:line="600" w:lineRule="exact"/>
        <w:ind w:firstLine="643" w:firstLineChars="200"/>
        <w:outlineLvl w:val="2"/>
        <w:rPr>
          <w:rFonts w:ascii="仿宋" w:hAnsi="仿宋" w:eastAsia="仿宋"/>
          <w:b/>
          <w:color w:val="auto"/>
          <w:sz w:val="32"/>
          <w:szCs w:val="32"/>
          <w:highlight w:val="none"/>
        </w:rPr>
      </w:pPr>
      <w:bookmarkStart w:id="57" w:name="_Toc15377217"/>
      <w:r>
        <w:rPr>
          <w:rFonts w:hint="eastAsia" w:ascii="仿宋" w:hAnsi="仿宋" w:eastAsia="仿宋"/>
          <w:b/>
          <w:color w:val="auto"/>
          <w:sz w:val="32"/>
          <w:szCs w:val="32"/>
          <w:highlight w:val="none"/>
        </w:rPr>
        <w:t>（二）“三公”经费财政拨款支出决算具体情况说明</w:t>
      </w:r>
      <w:bookmarkEnd w:id="57"/>
    </w:p>
    <w:p>
      <w:pPr>
        <w:shd w:val="clea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5.49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keepNext w:val="0"/>
        <w:keepLines w:val="0"/>
        <w:pageBreakBefore w:val="0"/>
        <w:widowControl w:val="0"/>
        <w:shd w:val="clear"/>
        <w:kinsoku/>
        <w:wordWrap/>
        <w:overflowPunct/>
        <w:topLinePunct w:val="0"/>
        <w:autoSpaceDE/>
        <w:autoSpaceDN/>
        <w:bidi w:val="0"/>
        <w:adjustRightInd/>
        <w:snapToGrid/>
        <w:spacing w:line="5600" w:lineRule="exact"/>
        <w:textAlignment w:val="auto"/>
        <w:rPr>
          <w:color w:val="auto"/>
          <w:highlight w:val="none"/>
        </w:rPr>
      </w:pPr>
      <w:r>
        <w:rPr>
          <w:color w:val="auto"/>
          <w:highlight w:val="none"/>
        </w:rPr>
        <w:drawing>
          <wp:inline distT="0" distB="0" distL="114300" distR="114300">
            <wp:extent cx="4572000" cy="2855595"/>
            <wp:effectExtent l="4445" t="4445" r="14605" b="1651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hd w:val="clea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pPr>
        <w:pStyle w:val="28"/>
        <w:shd w:val="clear"/>
        <w:spacing w:line="600" w:lineRule="exact"/>
        <w:ind w:firstLine="640"/>
        <w:outlineLvl w:val="1"/>
        <w:rPr>
          <w:rFonts w:hint="eastAsia" w:ascii="仿宋" w:hAnsi="仿宋" w:eastAsia="仿宋" w:cs="仿宋"/>
          <w:color w:val="auto"/>
          <w:sz w:val="32"/>
          <w:szCs w:val="32"/>
          <w:highlight w:val="none"/>
        </w:rPr>
      </w:pPr>
      <w:bookmarkStart w:id="58" w:name="_Toc11909"/>
      <w:r>
        <w:rPr>
          <w:rFonts w:hint="eastAsia" w:ascii="仿宋" w:hAnsi="仿宋" w:eastAsia="仿宋" w:cs="仿宋"/>
          <w:b w:val="0"/>
          <w:bCs/>
          <w:color w:val="auto"/>
          <w:sz w:val="32"/>
          <w:szCs w:val="32"/>
          <w:highlight w:val="none"/>
        </w:rPr>
        <w:t>1.因公出国（境）经费支出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bCs/>
          <w:color w:val="auto"/>
          <w:sz w:val="32"/>
          <w:szCs w:val="32"/>
          <w:highlight w:val="none"/>
          <w:lang w:eastAsia="zh-CN"/>
        </w:rPr>
        <w:t>年初未安排预算。</w:t>
      </w:r>
      <w:r>
        <w:rPr>
          <w:rFonts w:hint="eastAsia" w:ascii="仿宋" w:hAnsi="仿宋" w:eastAsia="仿宋" w:cs="仿宋"/>
          <w:bCs/>
          <w:color w:val="auto"/>
          <w:sz w:val="32"/>
          <w:szCs w:val="32"/>
          <w:highlight w:val="none"/>
        </w:rPr>
        <w:t>因公出国（境）支出决算</w:t>
      </w:r>
      <w:r>
        <w:rPr>
          <w:rFonts w:hint="eastAsia" w:ascii="仿宋" w:hAnsi="仿宋" w:eastAsia="仿宋" w:cs="仿宋"/>
          <w:bCs/>
          <w:color w:val="auto"/>
          <w:sz w:val="32"/>
          <w:szCs w:val="32"/>
          <w:highlight w:val="none"/>
          <w:lang w:val="en-US" w:eastAsia="zh-CN"/>
        </w:rPr>
        <w:t>较2021年无变化</w:t>
      </w:r>
      <w:r>
        <w:rPr>
          <w:rFonts w:hint="eastAsia" w:ascii="仿宋" w:hAnsi="仿宋" w:eastAsia="仿宋" w:cs="仿宋"/>
          <w:bCs/>
          <w:color w:val="auto"/>
          <w:sz w:val="32"/>
          <w:szCs w:val="32"/>
          <w:highlight w:val="none"/>
          <w:lang w:eastAsia="zh-CN"/>
        </w:rPr>
        <w:t>。</w:t>
      </w:r>
      <w:bookmarkEnd w:id="58"/>
    </w:p>
    <w:p>
      <w:pPr>
        <w:pStyle w:val="28"/>
        <w:shd w:val="clear"/>
        <w:spacing w:line="600" w:lineRule="exact"/>
        <w:ind w:firstLine="640"/>
        <w:outlineLvl w:val="1"/>
        <w:rPr>
          <w:rFonts w:hint="eastAsia" w:ascii="仿宋" w:hAnsi="仿宋" w:eastAsia="仿宋" w:cs="仿宋"/>
          <w:b/>
          <w:color w:val="auto"/>
          <w:sz w:val="32"/>
          <w:szCs w:val="32"/>
          <w:highlight w:val="none"/>
        </w:rPr>
      </w:pPr>
      <w:bookmarkStart w:id="59" w:name="_Toc17304"/>
      <w:r>
        <w:rPr>
          <w:rFonts w:hint="eastAsia" w:ascii="仿宋" w:hAnsi="仿宋" w:eastAsia="仿宋" w:cs="仿宋"/>
          <w:b w:val="0"/>
          <w:bCs/>
          <w:color w:val="auto"/>
          <w:sz w:val="32"/>
          <w:szCs w:val="32"/>
          <w:highlight w:val="none"/>
        </w:rPr>
        <w:t>2</w:t>
      </w:r>
      <w:r>
        <w:rPr>
          <w:rFonts w:hint="eastAsia" w:ascii="仿宋" w:hAnsi="仿宋" w:eastAsia="仿宋" w:cs="仿宋"/>
          <w:b/>
          <w:color w:val="auto"/>
          <w:sz w:val="32"/>
          <w:szCs w:val="32"/>
          <w:highlight w:val="none"/>
        </w:rPr>
        <w:t>.</w:t>
      </w:r>
      <w:r>
        <w:rPr>
          <w:rFonts w:hint="eastAsia" w:ascii="仿宋" w:hAnsi="仿宋" w:eastAsia="仿宋" w:cs="仿宋"/>
          <w:b w:val="0"/>
          <w:bCs/>
          <w:color w:val="auto"/>
          <w:sz w:val="32"/>
          <w:szCs w:val="32"/>
          <w:highlight w:val="none"/>
        </w:rPr>
        <w:t>公务用车购置及运行维护费支出</w:t>
      </w:r>
      <w:r>
        <w:rPr>
          <w:rFonts w:hint="eastAsia" w:ascii="仿宋" w:hAnsi="仿宋" w:eastAsia="仿宋" w:cs="仿宋"/>
          <w:color w:val="auto"/>
          <w:sz w:val="32"/>
          <w:szCs w:val="32"/>
          <w:highlight w:val="none"/>
          <w:lang w:val="en-US" w:eastAsia="zh-CN"/>
        </w:rPr>
        <w:t>5.5</w:t>
      </w:r>
      <w:r>
        <w:rPr>
          <w:rFonts w:hint="eastAsia" w:ascii="仿宋" w:hAnsi="仿宋" w:eastAsia="仿宋" w:cs="仿宋"/>
          <w:color w:val="auto"/>
          <w:sz w:val="32"/>
          <w:szCs w:val="32"/>
          <w:highlight w:val="none"/>
        </w:rPr>
        <w:t>万元,</w:t>
      </w:r>
      <w:r>
        <w:rPr>
          <w:rStyle w:val="16"/>
          <w:rFonts w:hint="eastAsia" w:ascii="仿宋" w:hAnsi="仿宋" w:eastAsia="仿宋" w:cs="仿宋"/>
          <w:b w:val="0"/>
          <w:bCs/>
          <w:color w:val="auto"/>
          <w:sz w:val="32"/>
          <w:szCs w:val="32"/>
          <w:highlight w:val="none"/>
        </w:rPr>
        <w:t>完成预算</w:t>
      </w:r>
      <w:r>
        <w:rPr>
          <w:rStyle w:val="16"/>
          <w:rFonts w:hint="eastAsia" w:ascii="仿宋" w:hAnsi="仿宋" w:eastAsia="仿宋" w:cs="仿宋"/>
          <w:b w:val="0"/>
          <w:bCs/>
          <w:color w:val="auto"/>
          <w:sz w:val="32"/>
          <w:szCs w:val="32"/>
          <w:highlight w:val="none"/>
          <w:lang w:val="en-US" w:eastAsia="zh-CN"/>
        </w:rPr>
        <w:t>100</w:t>
      </w:r>
      <w:r>
        <w:rPr>
          <w:rStyle w:val="16"/>
          <w:rFonts w:hint="eastAsia" w:ascii="仿宋" w:hAnsi="仿宋" w:eastAsia="仿宋" w:cs="仿宋"/>
          <w:b w:val="0"/>
          <w:bCs/>
          <w:color w:val="auto"/>
          <w:sz w:val="32"/>
          <w:szCs w:val="32"/>
          <w:highlight w:val="none"/>
        </w:rPr>
        <w:t>%。</w:t>
      </w:r>
      <w:r>
        <w:rPr>
          <w:rFonts w:hint="eastAsia" w:ascii="仿宋" w:hAnsi="仿宋" w:eastAsia="仿宋" w:cs="仿宋"/>
          <w:color w:val="auto"/>
          <w:sz w:val="32"/>
          <w:szCs w:val="32"/>
          <w:highlight w:val="none"/>
        </w:rPr>
        <w:t>公务用车购置及运行维护费支出决算比20</w:t>
      </w: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年减少</w:t>
      </w:r>
      <w:r>
        <w:rPr>
          <w:rFonts w:hint="eastAsia" w:ascii="仿宋" w:hAnsi="仿宋" w:eastAsia="仿宋" w:cs="仿宋"/>
          <w:color w:val="auto"/>
          <w:sz w:val="32"/>
          <w:szCs w:val="32"/>
          <w:highlight w:val="none"/>
          <w:lang w:val="en-US" w:eastAsia="zh-CN"/>
        </w:rPr>
        <w:t>1.25</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18.51</w:t>
      </w:r>
      <w:r>
        <w:rPr>
          <w:rFonts w:hint="eastAsia" w:ascii="仿宋" w:hAnsi="仿宋" w:eastAsia="仿宋" w:cs="仿宋"/>
          <w:color w:val="auto"/>
          <w:sz w:val="32"/>
          <w:szCs w:val="32"/>
          <w:highlight w:val="none"/>
        </w:rPr>
        <w:t>%。主要原因是</w:t>
      </w:r>
      <w:r>
        <w:rPr>
          <w:rFonts w:hint="eastAsia" w:ascii="仿宋" w:hAnsi="仿宋" w:eastAsia="仿宋" w:cs="仿宋"/>
          <w:bCs/>
          <w:color w:val="auto"/>
          <w:sz w:val="32"/>
          <w:szCs w:val="32"/>
          <w:highlight w:val="none"/>
        </w:rPr>
        <w:t>厉行节约。</w:t>
      </w:r>
      <w:bookmarkEnd w:id="59"/>
    </w:p>
    <w:p>
      <w:pPr>
        <w:shd w:val="clear"/>
        <w:spacing w:line="600" w:lineRule="exact"/>
        <w:ind w:firstLine="640" w:firstLineChars="200"/>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其中：</w:t>
      </w:r>
      <w:r>
        <w:rPr>
          <w:rFonts w:hint="eastAsia" w:ascii="仿宋" w:hAnsi="仿宋" w:eastAsia="仿宋" w:cs="仿宋"/>
          <w:b w:val="0"/>
          <w:bCs/>
          <w:color w:val="auto"/>
          <w:sz w:val="32"/>
          <w:szCs w:val="32"/>
          <w:highlight w:val="none"/>
        </w:rPr>
        <w:t>公务用车购置支出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万元。截至20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年12月底，单位共有公务用车</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辆，其中：越野车</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辆、</w:t>
      </w:r>
      <w:r>
        <w:rPr>
          <w:rFonts w:hint="eastAsia" w:ascii="仿宋" w:hAnsi="仿宋" w:eastAsia="仿宋" w:cs="仿宋"/>
          <w:bCs/>
          <w:color w:val="auto"/>
          <w:sz w:val="32"/>
          <w:szCs w:val="32"/>
          <w:highlight w:val="none"/>
          <w:lang w:eastAsia="zh-CN"/>
        </w:rPr>
        <w:t>商务车</w:t>
      </w:r>
      <w:r>
        <w:rPr>
          <w:rFonts w:hint="eastAsia" w:ascii="仿宋" w:hAnsi="仿宋" w:eastAsia="仿宋" w:cs="仿宋"/>
          <w:bCs/>
          <w:color w:val="auto"/>
          <w:sz w:val="32"/>
          <w:szCs w:val="32"/>
          <w:highlight w:val="none"/>
          <w:lang w:val="en-US" w:eastAsia="zh-CN"/>
        </w:rPr>
        <w:t>1辆</w:t>
      </w:r>
      <w:r>
        <w:rPr>
          <w:rFonts w:hint="eastAsia" w:ascii="仿宋" w:hAnsi="仿宋" w:eastAsia="仿宋" w:cs="仿宋"/>
          <w:color w:val="auto"/>
          <w:sz w:val="32"/>
          <w:szCs w:val="32"/>
          <w:highlight w:val="none"/>
        </w:rPr>
        <w:t>。</w:t>
      </w:r>
    </w:p>
    <w:p>
      <w:pPr>
        <w:shd w:val="clea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val="0"/>
          <w:bCs/>
          <w:color w:val="auto"/>
          <w:sz w:val="32"/>
          <w:szCs w:val="32"/>
          <w:highlight w:val="none"/>
        </w:rPr>
        <w:t>公务用车运行维护费支出</w:t>
      </w:r>
      <w:r>
        <w:rPr>
          <w:rFonts w:hint="eastAsia" w:ascii="仿宋" w:hAnsi="仿宋" w:eastAsia="仿宋" w:cs="仿宋"/>
          <w:b w:val="0"/>
          <w:bCs/>
          <w:color w:val="auto"/>
          <w:sz w:val="32"/>
          <w:szCs w:val="32"/>
          <w:highlight w:val="none"/>
          <w:lang w:val="en-US" w:eastAsia="zh-CN"/>
        </w:rPr>
        <w:t>5</w:t>
      </w:r>
      <w:r>
        <w:rPr>
          <w:rFonts w:hint="eastAsia" w:ascii="仿宋" w:hAnsi="仿宋" w:eastAsia="仿宋" w:cs="仿宋"/>
          <w:color w:val="auto"/>
          <w:sz w:val="32"/>
          <w:szCs w:val="32"/>
          <w:highlight w:val="none"/>
          <w:lang w:val="en-US" w:eastAsia="zh-CN"/>
        </w:rPr>
        <w:t>.49</w:t>
      </w:r>
      <w:r>
        <w:rPr>
          <w:rFonts w:hint="eastAsia" w:ascii="仿宋" w:hAnsi="仿宋" w:eastAsia="仿宋" w:cs="仿宋"/>
          <w:color w:val="auto"/>
          <w:sz w:val="32"/>
          <w:szCs w:val="32"/>
          <w:highlight w:val="none"/>
        </w:rPr>
        <w:t>万元。主要用于</w:t>
      </w:r>
      <w:r>
        <w:rPr>
          <w:rFonts w:hint="eastAsia" w:ascii="仿宋" w:hAnsi="仿宋" w:eastAsia="仿宋" w:cs="仿宋"/>
          <w:bCs/>
          <w:color w:val="auto"/>
          <w:sz w:val="32"/>
          <w:szCs w:val="32"/>
          <w:highlight w:val="none"/>
        </w:rPr>
        <w:t>保障</w:t>
      </w:r>
      <w:r>
        <w:rPr>
          <w:rFonts w:hint="eastAsia" w:ascii="仿宋" w:hAnsi="仿宋" w:eastAsia="仿宋" w:cs="仿宋"/>
          <w:bCs/>
          <w:color w:val="auto"/>
          <w:sz w:val="32"/>
          <w:szCs w:val="32"/>
          <w:highlight w:val="none"/>
          <w:lang w:val="en-US" w:eastAsia="zh-CN"/>
        </w:rPr>
        <w:t>广元</w:t>
      </w:r>
      <w:r>
        <w:rPr>
          <w:rFonts w:hint="eastAsia" w:ascii="仿宋" w:hAnsi="仿宋" w:eastAsia="仿宋" w:cs="仿宋"/>
          <w:color w:val="auto"/>
          <w:sz w:val="32"/>
          <w:szCs w:val="32"/>
          <w:highlight w:val="none"/>
          <w:lang w:val="zh-CN" w:eastAsia="zh-CN"/>
        </w:rPr>
        <w:t>市级各部门在成都开展工作的协调服务</w:t>
      </w:r>
      <w:r>
        <w:rPr>
          <w:rFonts w:hint="eastAsia" w:ascii="仿宋" w:hAnsi="仿宋" w:eastAsia="仿宋" w:cs="仿宋"/>
          <w:bCs/>
          <w:color w:val="auto"/>
          <w:sz w:val="32"/>
          <w:szCs w:val="32"/>
          <w:highlight w:val="none"/>
        </w:rPr>
        <w:t>所需的公务用车</w:t>
      </w:r>
      <w:r>
        <w:rPr>
          <w:rFonts w:hint="eastAsia" w:ascii="仿宋" w:hAnsi="仿宋" w:eastAsia="仿宋" w:cs="仿宋"/>
          <w:color w:val="auto"/>
          <w:sz w:val="32"/>
          <w:szCs w:val="32"/>
          <w:highlight w:val="none"/>
        </w:rPr>
        <w:t>燃料费、维修费、过路过桥费、保险费等支出。</w:t>
      </w:r>
    </w:p>
    <w:p>
      <w:pPr>
        <w:shd w:val="clear"/>
        <w:spacing w:line="600" w:lineRule="exact"/>
        <w:ind w:firstLine="640"/>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rPr>
        <w:t>3.公务接待费支出</w:t>
      </w:r>
      <w:r>
        <w:rPr>
          <w:rFonts w:hint="eastAsia" w:ascii="仿宋" w:hAnsi="仿宋" w:eastAsia="仿宋" w:cs="仿宋"/>
          <w:b w:val="0"/>
          <w:bCs/>
          <w:color w:val="auto"/>
          <w:sz w:val="32"/>
          <w:szCs w:val="32"/>
          <w:highlight w:val="none"/>
          <w:lang w:val="en-US" w:eastAsia="zh-CN"/>
        </w:rPr>
        <w:t>0</w:t>
      </w:r>
      <w:r>
        <w:rPr>
          <w:rFonts w:hint="eastAsia" w:ascii="仿宋" w:hAnsi="仿宋" w:eastAsia="仿宋" w:cs="仿宋"/>
          <w:b w:val="0"/>
          <w:bCs/>
          <w:color w:val="auto"/>
          <w:sz w:val="32"/>
          <w:szCs w:val="32"/>
          <w:highlight w:val="none"/>
        </w:rPr>
        <w:t>万元，公务接待费支出决算比20</w:t>
      </w:r>
      <w:r>
        <w:rPr>
          <w:rFonts w:hint="eastAsia" w:ascii="仿宋" w:hAnsi="仿宋" w:eastAsia="仿宋" w:cs="仿宋"/>
          <w:b w:val="0"/>
          <w:bCs/>
          <w:color w:val="auto"/>
          <w:sz w:val="32"/>
          <w:szCs w:val="32"/>
          <w:highlight w:val="none"/>
          <w:lang w:val="en-US" w:eastAsia="zh-CN"/>
        </w:rPr>
        <w:t>21</w:t>
      </w:r>
      <w:r>
        <w:rPr>
          <w:rFonts w:hint="eastAsia" w:ascii="仿宋" w:hAnsi="仿宋" w:eastAsia="仿宋" w:cs="仿宋"/>
          <w:b w:val="0"/>
          <w:bCs/>
          <w:color w:val="auto"/>
          <w:sz w:val="32"/>
          <w:szCs w:val="32"/>
          <w:highlight w:val="none"/>
        </w:rPr>
        <w:t>年</w:t>
      </w:r>
      <w:r>
        <w:rPr>
          <w:rFonts w:hint="eastAsia" w:ascii="仿宋" w:hAnsi="仿宋" w:eastAsia="仿宋" w:cs="仿宋"/>
          <w:b w:val="0"/>
          <w:bCs/>
          <w:color w:val="auto"/>
          <w:sz w:val="32"/>
          <w:szCs w:val="32"/>
          <w:highlight w:val="none"/>
          <w:lang w:val="en-US" w:eastAsia="zh-CN"/>
        </w:rPr>
        <w:t>无变化，</w:t>
      </w:r>
      <w:r>
        <w:rPr>
          <w:rFonts w:hint="eastAsia" w:ascii="仿宋" w:hAnsi="仿宋" w:eastAsia="仿宋" w:cs="仿宋"/>
          <w:b w:val="0"/>
          <w:bCs/>
          <w:color w:val="auto"/>
          <w:sz w:val="32"/>
          <w:szCs w:val="32"/>
          <w:highlight w:val="none"/>
        </w:rPr>
        <w:t>其中：</w:t>
      </w:r>
    </w:p>
    <w:p>
      <w:pPr>
        <w:shd w:val="clear"/>
        <w:spacing w:line="600" w:lineRule="exact"/>
        <w:ind w:firstLine="640"/>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rPr>
        <w:t>国内公务接待支出</w:t>
      </w:r>
      <w:r>
        <w:rPr>
          <w:rFonts w:hint="eastAsia" w:ascii="仿宋" w:hAnsi="仿宋" w:eastAsia="仿宋" w:cs="仿宋"/>
          <w:b w:val="0"/>
          <w:bCs/>
          <w:color w:val="auto"/>
          <w:sz w:val="32"/>
          <w:szCs w:val="32"/>
          <w:highlight w:val="none"/>
          <w:lang w:val="en-US" w:eastAsia="zh-CN"/>
        </w:rPr>
        <w:t>0</w:t>
      </w:r>
      <w:r>
        <w:rPr>
          <w:rFonts w:hint="eastAsia" w:ascii="仿宋" w:hAnsi="仿宋" w:eastAsia="仿宋" w:cs="仿宋"/>
          <w:b w:val="0"/>
          <w:bCs/>
          <w:color w:val="auto"/>
          <w:sz w:val="32"/>
          <w:szCs w:val="32"/>
          <w:highlight w:val="none"/>
        </w:rPr>
        <w:t>万元。</w:t>
      </w:r>
    </w:p>
    <w:p>
      <w:pPr>
        <w:shd w:val="clear"/>
        <w:spacing w:line="60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b w:val="0"/>
          <w:bCs/>
          <w:color w:val="auto"/>
          <w:sz w:val="32"/>
          <w:szCs w:val="32"/>
          <w:highlight w:val="none"/>
        </w:rPr>
        <w:t>外事接待支出</w:t>
      </w:r>
      <w:r>
        <w:rPr>
          <w:rFonts w:hint="eastAsia" w:ascii="仿宋" w:hAnsi="仿宋" w:eastAsia="仿宋" w:cs="仿宋"/>
          <w:b w:val="0"/>
          <w:bCs/>
          <w:color w:val="auto"/>
          <w:sz w:val="32"/>
          <w:szCs w:val="32"/>
          <w:highlight w:val="none"/>
          <w:lang w:val="en-US" w:eastAsia="zh-CN"/>
        </w:rPr>
        <w:t>0</w:t>
      </w:r>
      <w:r>
        <w:rPr>
          <w:rFonts w:hint="eastAsia" w:ascii="仿宋" w:hAnsi="仿宋" w:eastAsia="仿宋" w:cs="仿宋"/>
          <w:b w:val="0"/>
          <w:bCs/>
          <w:color w:val="auto"/>
          <w:sz w:val="32"/>
          <w:szCs w:val="32"/>
          <w:highlight w:val="none"/>
        </w:rPr>
        <w:t>万元</w:t>
      </w:r>
      <w:r>
        <w:rPr>
          <w:rFonts w:hint="eastAsia" w:ascii="仿宋" w:hAnsi="仿宋" w:eastAsia="仿宋" w:cs="仿宋"/>
          <w:color w:val="auto"/>
          <w:sz w:val="32"/>
          <w:szCs w:val="32"/>
          <w:highlight w:val="none"/>
          <w:lang w:val="en-US" w:eastAsia="zh-CN"/>
        </w:rPr>
        <w:t>。</w:t>
      </w:r>
    </w:p>
    <w:p>
      <w:pPr>
        <w:shd w:val="clear"/>
        <w:spacing w:line="600" w:lineRule="exact"/>
        <w:ind w:firstLine="640"/>
        <w:outlineLvl w:val="1"/>
        <w:rPr>
          <w:rStyle w:val="19"/>
          <w:rFonts w:ascii="黑体" w:hAnsi="黑体" w:eastAsia="黑体"/>
          <w:color w:val="auto"/>
          <w:highlight w:val="none"/>
        </w:rPr>
      </w:pPr>
      <w:bookmarkStart w:id="60" w:name="_Toc5642"/>
      <w:bookmarkStart w:id="61" w:name="_Toc15377218"/>
      <w:bookmarkStart w:id="62" w:name="_Toc15396610"/>
      <w:r>
        <w:rPr>
          <w:rFonts w:hint="eastAsia" w:ascii="黑体" w:eastAsia="黑体"/>
          <w:color w:val="auto"/>
          <w:sz w:val="32"/>
          <w:szCs w:val="32"/>
          <w:highlight w:val="none"/>
        </w:rPr>
        <w:t>八、</w:t>
      </w:r>
      <w:r>
        <w:rPr>
          <w:rStyle w:val="19"/>
          <w:rFonts w:hint="eastAsia" w:ascii="黑体" w:hAnsi="黑体" w:eastAsia="黑体"/>
          <w:b w:val="0"/>
          <w:color w:val="auto"/>
          <w:highlight w:val="none"/>
        </w:rPr>
        <w:t>政府性基金预算支出决算情况说明</w:t>
      </w:r>
      <w:bookmarkEnd w:id="60"/>
      <w:bookmarkEnd w:id="61"/>
      <w:bookmarkEnd w:id="62"/>
    </w:p>
    <w:p>
      <w:pPr>
        <w:shd w:val="clea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hd w:val="clear"/>
        <w:spacing w:line="600" w:lineRule="exact"/>
        <w:ind w:firstLine="640"/>
        <w:outlineLvl w:val="1"/>
        <w:rPr>
          <w:rStyle w:val="19"/>
          <w:rFonts w:ascii="黑体" w:hAnsi="黑体" w:eastAsia="黑体"/>
          <w:b w:val="0"/>
          <w:color w:val="auto"/>
          <w:highlight w:val="none"/>
        </w:rPr>
      </w:pPr>
      <w:bookmarkStart w:id="63" w:name="_Toc15377219"/>
      <w:bookmarkStart w:id="64" w:name="_Toc15396611"/>
      <w:bookmarkStart w:id="65" w:name="_Toc5862"/>
      <w:r>
        <w:rPr>
          <w:rStyle w:val="19"/>
          <w:rFonts w:hint="eastAsia" w:ascii="黑体" w:hAnsi="黑体" w:eastAsia="黑体"/>
          <w:b w:val="0"/>
          <w:color w:val="auto"/>
          <w:highlight w:val="none"/>
        </w:rPr>
        <w:t>国有资本经营预算支出决算情况说明</w:t>
      </w:r>
      <w:bookmarkEnd w:id="63"/>
      <w:bookmarkEnd w:id="64"/>
      <w:bookmarkEnd w:id="65"/>
    </w:p>
    <w:p>
      <w:pPr>
        <w:shd w:val="clea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hd w:val="clear"/>
        <w:spacing w:line="600" w:lineRule="exact"/>
        <w:ind w:firstLine="640"/>
        <w:outlineLvl w:val="1"/>
        <w:rPr>
          <w:rStyle w:val="19"/>
          <w:rFonts w:hint="eastAsia" w:ascii="黑体" w:hAnsi="黑体" w:eastAsia="黑体"/>
          <w:b w:val="0"/>
          <w:color w:val="auto"/>
          <w:highlight w:val="none"/>
        </w:rPr>
      </w:pPr>
      <w:bookmarkStart w:id="66" w:name="_Toc15377221"/>
      <w:bookmarkStart w:id="67" w:name="_Toc15396612"/>
      <w:bookmarkStart w:id="68" w:name="_Toc25639"/>
      <w:r>
        <w:rPr>
          <w:rStyle w:val="19"/>
          <w:rFonts w:hint="eastAsia" w:ascii="黑体" w:hAnsi="黑体" w:eastAsia="黑体"/>
          <w:b w:val="0"/>
          <w:color w:val="auto"/>
          <w:highlight w:val="none"/>
        </w:rPr>
        <w:t>其他重要事项的情况说明</w:t>
      </w:r>
      <w:bookmarkEnd w:id="66"/>
      <w:bookmarkEnd w:id="67"/>
      <w:bookmarkEnd w:id="68"/>
    </w:p>
    <w:p>
      <w:pPr>
        <w:shd w:val="clear"/>
        <w:spacing w:line="600" w:lineRule="exact"/>
        <w:ind w:firstLine="643" w:firstLineChars="200"/>
        <w:outlineLvl w:val="2"/>
        <w:rPr>
          <w:rFonts w:ascii="仿宋_GB2312" w:eastAsia="仿宋_GB2312"/>
          <w:color w:val="auto"/>
          <w:sz w:val="32"/>
          <w:szCs w:val="32"/>
          <w:highlight w:val="none"/>
        </w:rPr>
      </w:pPr>
      <w:bookmarkStart w:id="69" w:name="_Toc15377222"/>
      <w:r>
        <w:rPr>
          <w:rFonts w:hint="eastAsia" w:ascii="仿宋" w:hAnsi="仿宋" w:eastAsia="仿宋"/>
          <w:b/>
          <w:color w:val="auto"/>
          <w:sz w:val="32"/>
          <w:szCs w:val="32"/>
          <w:highlight w:val="none"/>
        </w:rPr>
        <w:t>（一）机关运行经费支出情况</w:t>
      </w:r>
      <w:bookmarkEnd w:id="69"/>
    </w:p>
    <w:p>
      <w:pPr>
        <w:shd w:val="clear"/>
        <w:spacing w:line="600" w:lineRule="exact"/>
        <w:ind w:firstLine="640" w:firstLineChars="20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2022年，广元市人民政府驻成都办事处机关运行经费支出70.62万元，比2021年增加13.74万元，增长24.15%</w:t>
      </w:r>
      <w:r>
        <w:rPr>
          <w:rFonts w:hint="eastAsia" w:ascii="仿宋_GB2312" w:eastAsia="仿宋_GB2312"/>
          <w:color w:val="auto"/>
          <w:sz w:val="32"/>
          <w:szCs w:val="32"/>
          <w:highlight w:val="none"/>
        </w:rPr>
        <w:t>。主要原因</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一</w:t>
      </w:r>
      <w:r>
        <w:rPr>
          <w:rFonts w:hint="eastAsia" w:ascii="仿宋_GB2312" w:eastAsia="仿宋_GB2312"/>
          <w:color w:val="auto"/>
          <w:sz w:val="32"/>
          <w:szCs w:val="32"/>
          <w:highlight w:val="none"/>
        </w:rPr>
        <w:t>是</w:t>
      </w:r>
      <w:r>
        <w:rPr>
          <w:rFonts w:hint="eastAsia" w:ascii="仿宋_GB2312" w:eastAsia="仿宋_GB2312"/>
          <w:color w:val="auto"/>
          <w:sz w:val="32"/>
          <w:szCs w:val="32"/>
          <w:highlight w:val="none"/>
          <w:lang w:val="en-US" w:eastAsia="zh-CN"/>
        </w:rPr>
        <w:t>2022年新增一名乡村振兴驻村工作队员，其工作经费相应增加，二是因新冠肺炎增加了对疫情防控物资的购买。</w:t>
      </w:r>
    </w:p>
    <w:p>
      <w:pPr>
        <w:shd w:val="clea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0" w:name="_Toc15377223"/>
      <w:r>
        <w:rPr>
          <w:rFonts w:hint="eastAsia" w:ascii="仿宋" w:hAnsi="仿宋" w:eastAsia="仿宋"/>
          <w:b/>
          <w:color w:val="auto"/>
          <w:sz w:val="32"/>
          <w:szCs w:val="32"/>
          <w:highlight w:val="none"/>
        </w:rPr>
        <w:t>（二）政府采购支出情况</w:t>
      </w:r>
      <w:bookmarkEnd w:id="70"/>
    </w:p>
    <w:p>
      <w:pPr>
        <w:keepNext w:val="0"/>
        <w:keepLines w:val="0"/>
        <w:widowControl/>
        <w:suppressLineNumbers w:val="0"/>
        <w:spacing w:before="0" w:beforeAutospacing="0" w:after="0" w:afterAutospacing="0" w:line="576" w:lineRule="atLeast"/>
        <w:ind w:left="0" w:right="0" w:firstLine="64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w:t>
      </w:r>
      <w:r>
        <w:rPr>
          <w:rFonts w:hint="eastAsia" w:ascii="仿宋" w:hAnsi="仿宋" w:eastAsia="仿宋" w:cs="仿宋"/>
          <w:bCs/>
          <w:color w:val="auto"/>
          <w:sz w:val="32"/>
          <w:szCs w:val="32"/>
          <w:highlight w:val="none"/>
        </w:rPr>
        <w:t>广元市人民政府驻成都办事处</w:t>
      </w:r>
      <w:r>
        <w:rPr>
          <w:rFonts w:hint="eastAsia" w:ascii="仿宋" w:hAnsi="仿宋" w:eastAsia="仿宋" w:cs="仿宋"/>
          <w:color w:val="auto"/>
          <w:sz w:val="32"/>
          <w:szCs w:val="32"/>
          <w:highlight w:val="none"/>
        </w:rPr>
        <w:t>政府采购支出总额</w:t>
      </w:r>
      <w:r>
        <w:rPr>
          <w:rFonts w:hint="eastAsia" w:ascii="仿宋" w:hAnsi="仿宋" w:eastAsia="仿宋" w:cs="仿宋"/>
          <w:color w:val="auto"/>
          <w:sz w:val="32"/>
          <w:szCs w:val="32"/>
          <w:highlight w:val="none"/>
          <w:lang w:val="en-US" w:eastAsia="zh-CN"/>
        </w:rPr>
        <w:t>235.30</w:t>
      </w:r>
      <w:r>
        <w:rPr>
          <w:rFonts w:hint="eastAsia" w:ascii="仿宋" w:hAnsi="仿宋" w:eastAsia="仿宋" w:cs="仿宋"/>
          <w:color w:val="auto"/>
          <w:sz w:val="32"/>
          <w:szCs w:val="32"/>
          <w:highlight w:val="none"/>
        </w:rPr>
        <w:t>万元，其中：政府采购工程支出</w:t>
      </w:r>
      <w:r>
        <w:rPr>
          <w:rFonts w:hint="eastAsia" w:ascii="仿宋" w:hAnsi="仿宋" w:eastAsia="仿宋" w:cs="仿宋"/>
          <w:color w:val="auto"/>
          <w:sz w:val="32"/>
          <w:szCs w:val="32"/>
          <w:highlight w:val="none"/>
          <w:lang w:val="en-US" w:eastAsia="zh-CN"/>
        </w:rPr>
        <w:t>235.30</w:t>
      </w:r>
      <w:r>
        <w:rPr>
          <w:rFonts w:hint="eastAsia" w:ascii="仿宋" w:hAnsi="仿宋" w:eastAsia="仿宋" w:cs="仿宋"/>
          <w:color w:val="auto"/>
          <w:sz w:val="32"/>
          <w:szCs w:val="32"/>
          <w:highlight w:val="none"/>
        </w:rPr>
        <w:t>万元。主要用于</w:t>
      </w:r>
      <w:r>
        <w:rPr>
          <w:rFonts w:hint="eastAsia" w:ascii="仿宋" w:hAnsi="仿宋" w:eastAsia="仿宋" w:cs="仿宋"/>
          <w:color w:val="auto"/>
          <w:sz w:val="32"/>
          <w:szCs w:val="32"/>
          <w:highlight w:val="none"/>
          <w:lang w:val="en-US" w:eastAsia="zh-CN"/>
        </w:rPr>
        <w:t>成都荷花池十四交易区A区改造</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其中</w:t>
      </w:r>
      <w:r>
        <w:rPr>
          <w:rFonts w:hint="default" w:ascii="仿宋" w:hAnsi="仿宋" w:eastAsia="仿宋" w:cs="仿宋"/>
          <w:color w:val="auto"/>
          <w:sz w:val="32"/>
          <w:szCs w:val="32"/>
          <w:highlight w:val="none"/>
          <w:lang w:val="en-US" w:eastAsia="zh-CN"/>
        </w:rPr>
        <w:t>授予中小企业合同金额</w:t>
      </w:r>
      <w:r>
        <w:rPr>
          <w:rFonts w:hint="eastAsia" w:ascii="仿宋" w:hAnsi="仿宋" w:eastAsia="仿宋" w:cs="仿宋"/>
          <w:color w:val="auto"/>
          <w:sz w:val="32"/>
          <w:szCs w:val="32"/>
          <w:highlight w:val="none"/>
          <w:lang w:val="en-US" w:eastAsia="zh-CN"/>
        </w:rPr>
        <w:t>235.30</w:t>
      </w:r>
      <w:r>
        <w:rPr>
          <w:rFonts w:hint="default" w:ascii="仿宋" w:hAnsi="仿宋" w:eastAsia="仿宋" w:cs="仿宋"/>
          <w:color w:val="auto"/>
          <w:sz w:val="32"/>
          <w:szCs w:val="32"/>
          <w:highlight w:val="none"/>
          <w:lang w:val="en-US" w:eastAsia="zh-CN"/>
        </w:rPr>
        <w:t>万元，占政府采购支出总额的</w:t>
      </w:r>
      <w:r>
        <w:rPr>
          <w:rFonts w:hint="eastAsia" w:ascii="仿宋" w:hAnsi="仿宋" w:eastAsia="仿宋" w:cs="仿宋"/>
          <w:color w:val="auto"/>
          <w:sz w:val="32"/>
          <w:szCs w:val="32"/>
          <w:highlight w:val="none"/>
          <w:lang w:val="en-US" w:eastAsia="zh-CN"/>
        </w:rPr>
        <w:t>100</w:t>
      </w:r>
      <w:r>
        <w:rPr>
          <w:rFonts w:hint="default"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val="en-US" w:eastAsia="zh-CN"/>
        </w:rPr>
        <w:t>其中：授予小微企业合同金额0</w:t>
      </w:r>
      <w:r>
        <w:rPr>
          <w:rFonts w:hint="default" w:ascii="仿宋" w:hAnsi="仿宋" w:eastAsia="仿宋" w:cs="仿宋"/>
          <w:color w:val="auto"/>
          <w:sz w:val="32"/>
          <w:szCs w:val="32"/>
          <w:highlight w:val="none"/>
          <w:lang w:val="en-US" w:eastAsia="zh-CN"/>
        </w:rPr>
        <w:t>万元，占政府采购支</w:t>
      </w:r>
      <w:bookmarkStart w:id="107" w:name="_GoBack"/>
      <w:bookmarkEnd w:id="107"/>
      <w:r>
        <w:rPr>
          <w:rFonts w:hint="default" w:ascii="仿宋" w:hAnsi="仿宋" w:eastAsia="仿宋" w:cs="仿宋"/>
          <w:color w:val="auto"/>
          <w:sz w:val="32"/>
          <w:szCs w:val="32"/>
          <w:highlight w:val="none"/>
          <w:lang w:val="en-US" w:eastAsia="zh-CN"/>
        </w:rPr>
        <w:t>出总额</w:t>
      </w:r>
      <w:r>
        <w:rPr>
          <w:rFonts w:hint="eastAsia" w:ascii="仿宋" w:hAnsi="仿宋" w:eastAsia="仿宋" w:cs="仿宋"/>
          <w:color w:val="auto"/>
          <w:sz w:val="32"/>
          <w:szCs w:val="32"/>
          <w:highlight w:val="none"/>
          <w:lang w:val="en-US" w:eastAsia="zh-CN"/>
        </w:rPr>
        <w:t>0</w:t>
      </w:r>
      <w:r>
        <w:rPr>
          <w:rFonts w:hint="default" w:ascii="仿宋" w:hAnsi="仿宋" w:eastAsia="仿宋" w:cs="仿宋"/>
          <w:color w:val="auto"/>
          <w:sz w:val="32"/>
          <w:szCs w:val="32"/>
          <w:highlight w:val="none"/>
          <w:lang w:val="en-US" w:eastAsia="zh-CN"/>
        </w:rPr>
        <w:t>%。</w:t>
      </w:r>
    </w:p>
    <w:p>
      <w:pPr>
        <w:shd w:val="clea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1" w:name="_Toc15377224"/>
      <w:r>
        <w:rPr>
          <w:rFonts w:hint="eastAsia" w:ascii="仿宋" w:hAnsi="仿宋" w:eastAsia="仿宋"/>
          <w:b/>
          <w:color w:val="auto"/>
          <w:sz w:val="32"/>
          <w:szCs w:val="32"/>
          <w:highlight w:val="none"/>
        </w:rPr>
        <w:t>（三）国有资产占有使用情况</w:t>
      </w:r>
      <w:bookmarkEnd w:id="71"/>
    </w:p>
    <w:p>
      <w:pPr>
        <w:shd w:val="clear"/>
        <w:autoSpaceDE w:val="0"/>
        <w:autoSpaceDN w:val="0"/>
        <w:adjustRightInd w:val="0"/>
        <w:spacing w:line="60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年12月31日，广元市人民政府驻成都办事处共有车辆</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辆，其中：其他用车</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其他用车主要是用于保障</w:t>
      </w:r>
      <w:r>
        <w:rPr>
          <w:rFonts w:hint="eastAsia" w:ascii="仿宋" w:hAnsi="仿宋" w:eastAsia="仿宋" w:cs="仿宋"/>
          <w:color w:val="auto"/>
          <w:sz w:val="32"/>
          <w:szCs w:val="32"/>
          <w:highlight w:val="none"/>
          <w:lang w:val="en-US" w:eastAsia="zh-CN"/>
        </w:rPr>
        <w:t>广元市级各部门</w:t>
      </w:r>
      <w:r>
        <w:rPr>
          <w:rFonts w:hint="eastAsia" w:ascii="仿宋" w:hAnsi="仿宋" w:eastAsia="仿宋" w:cs="仿宋"/>
          <w:color w:val="auto"/>
          <w:sz w:val="32"/>
          <w:szCs w:val="32"/>
          <w:highlight w:val="none"/>
        </w:rPr>
        <w:t>在蓉公务出行</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单价100万元以上专用设备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pPr>
        <w:shd w:val="clea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shd w:val="clea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ascii="仿宋_GB2312" w:eastAsia="仿宋_GB2312"/>
          <w:color w:val="auto"/>
          <w:sz w:val="32"/>
          <w:szCs w:val="32"/>
          <w:highlight w:val="none"/>
          <w:lang w:val="en-US" w:eastAsia="zh-CN"/>
        </w:rPr>
        <w:t>成都荷花池十四交易区A区改造项目开展了预算事前绩效评估，</w:t>
      </w:r>
      <w:r>
        <w:rPr>
          <w:rFonts w:hint="eastAsia" w:ascii="仿宋_GB2312" w:hAnsi="仿宋_GB2312" w:eastAsia="仿宋_GB2312" w:cs="仿宋_GB2312"/>
          <w:color w:val="auto"/>
          <w:sz w:val="32"/>
          <w:szCs w:val="32"/>
          <w:highlight w:val="none"/>
        </w:rPr>
        <w:t>对</w:t>
      </w:r>
      <w:r>
        <w:rPr>
          <w:rFonts w:hint="eastAsia" w:ascii="仿宋_GB2312" w:eastAsia="仿宋_GB2312"/>
          <w:color w:val="auto"/>
          <w:sz w:val="32"/>
          <w:szCs w:val="32"/>
          <w:highlight w:val="none"/>
          <w:lang w:val="en-US" w:eastAsia="zh-CN"/>
        </w:rPr>
        <w:t>成都荷花池十四交易区A区改造</w:t>
      </w:r>
      <w:r>
        <w:rPr>
          <w:rFonts w:hint="eastAsia" w:ascii="仿宋_GB2312" w:hAnsi="仿宋_GB2312" w:eastAsia="仿宋_GB2312" w:cs="仿宋_GB2312"/>
          <w:color w:val="auto"/>
          <w:sz w:val="32"/>
          <w:szCs w:val="32"/>
          <w:highlight w:val="none"/>
        </w:rPr>
        <w:t>项目</w:t>
      </w:r>
      <w:r>
        <w:rPr>
          <w:rFonts w:hint="eastAsia" w:hAnsi="仿宋_GB2312" w:cs="仿宋_GB2312"/>
          <w:color w:val="auto"/>
          <w:sz w:val="32"/>
          <w:szCs w:val="32"/>
          <w:highlight w:val="none"/>
          <w:lang w:val="en-US" w:eastAsia="zh-CN"/>
        </w:rPr>
        <w:t>等7</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eastAsia="仿宋_GB2312"/>
          <w:color w:val="auto"/>
          <w:sz w:val="32"/>
          <w:szCs w:val="32"/>
          <w:highlight w:val="none"/>
          <w:lang w:val="en-US" w:eastAsia="zh-CN"/>
        </w:rPr>
        <w:t>成都荷花池十四交易区A区改造</w:t>
      </w:r>
      <w:r>
        <w:rPr>
          <w:rFonts w:hint="eastAsia" w:ascii="仿宋_GB2312" w:hAnsi="仿宋_GB2312" w:eastAsia="仿宋_GB2312" w:cs="仿宋_GB2312"/>
          <w:color w:val="auto"/>
          <w:sz w:val="32"/>
          <w:szCs w:val="32"/>
          <w:highlight w:val="none"/>
        </w:rPr>
        <w:t>项目</w:t>
      </w:r>
      <w:r>
        <w:rPr>
          <w:rFonts w:hint="eastAsia" w:hAnsi="仿宋_GB2312" w:cs="仿宋_GB2312"/>
          <w:color w:val="auto"/>
          <w:sz w:val="32"/>
          <w:szCs w:val="32"/>
          <w:highlight w:val="none"/>
          <w:lang w:val="en-US" w:eastAsia="zh-CN"/>
        </w:rPr>
        <w:t>等7</w:t>
      </w:r>
      <w:r>
        <w:rPr>
          <w:rFonts w:hint="eastAsia" w:ascii="仿宋_GB2312" w:hAnsi="仿宋_GB2312" w:eastAsia="仿宋_GB2312" w:cs="仿宋_GB2312"/>
          <w:color w:val="auto"/>
          <w:sz w:val="32"/>
          <w:szCs w:val="32"/>
          <w:highlight w:val="none"/>
        </w:rPr>
        <w:t>个项目开展绩效监控，组织对</w:t>
      </w:r>
      <w:r>
        <w:rPr>
          <w:rFonts w:hint="eastAsia" w:ascii="仿宋_GB2312" w:eastAsia="仿宋_GB2312"/>
          <w:color w:val="auto"/>
          <w:sz w:val="32"/>
          <w:szCs w:val="32"/>
          <w:highlight w:val="none"/>
          <w:lang w:val="en-US" w:eastAsia="zh-CN"/>
        </w:rPr>
        <w:t>成都荷花池十四交易区A区改造</w:t>
      </w:r>
      <w:r>
        <w:rPr>
          <w:rFonts w:hint="eastAsia" w:ascii="仿宋_GB2312" w:hAnsi="仿宋_GB2312" w:eastAsia="仿宋_GB2312" w:cs="仿宋_GB2312"/>
          <w:color w:val="auto"/>
          <w:sz w:val="32"/>
          <w:szCs w:val="32"/>
          <w:highlight w:val="none"/>
        </w:rPr>
        <w:t>项目</w:t>
      </w:r>
      <w:r>
        <w:rPr>
          <w:rFonts w:hint="eastAsia" w:hAnsi="仿宋_GB2312" w:cs="仿宋_GB2312"/>
          <w:color w:val="auto"/>
          <w:sz w:val="32"/>
          <w:szCs w:val="32"/>
          <w:highlight w:val="none"/>
          <w:lang w:val="en-US" w:eastAsia="zh-CN"/>
        </w:rPr>
        <w:t>等7</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shd w:val="clear"/>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3"/>
        </w:numPr>
        <w:shd w:val="clear"/>
        <w:spacing w:line="600" w:lineRule="exact"/>
        <w:ind w:firstLine="660" w:firstLineChars="150"/>
        <w:jc w:val="center"/>
        <w:outlineLvl w:val="0"/>
        <w:rPr>
          <w:rStyle w:val="18"/>
          <w:rFonts w:ascii="黑体" w:hAnsi="黑体" w:eastAsia="黑体"/>
          <w:b w:val="0"/>
          <w:color w:val="auto"/>
          <w:highlight w:val="none"/>
        </w:rPr>
      </w:pPr>
      <w:bookmarkStart w:id="72" w:name="_Toc9106"/>
      <w:bookmarkStart w:id="73" w:name="_Toc15396613"/>
      <w:bookmarkStart w:id="74" w:name="_Toc15377225"/>
      <w:r>
        <w:rPr>
          <w:rFonts w:hint="eastAsia" w:ascii="黑体" w:hAnsi="黑体" w:eastAsia="黑体"/>
          <w:color w:val="auto"/>
          <w:sz w:val="44"/>
          <w:szCs w:val="44"/>
          <w:highlight w:val="none"/>
        </w:rPr>
        <w:t>名</w:t>
      </w:r>
      <w:r>
        <w:rPr>
          <w:rStyle w:val="18"/>
          <w:rFonts w:hint="eastAsia" w:ascii="黑体" w:hAnsi="黑体" w:eastAsia="黑体"/>
          <w:b w:val="0"/>
          <w:color w:val="auto"/>
          <w:highlight w:val="none"/>
        </w:rPr>
        <w:t>词解释</w:t>
      </w:r>
      <w:bookmarkEnd w:id="72"/>
      <w:bookmarkEnd w:id="73"/>
      <w:bookmarkEnd w:id="74"/>
    </w:p>
    <w:p>
      <w:pPr>
        <w:shd w:val="clear"/>
        <w:spacing w:line="600" w:lineRule="exact"/>
        <w:jc w:val="left"/>
        <w:rPr>
          <w:rFonts w:ascii="宋体"/>
          <w:b/>
          <w:color w:val="auto"/>
          <w:sz w:val="44"/>
          <w:szCs w:val="44"/>
          <w:highlight w:val="none"/>
        </w:rPr>
      </w:pPr>
    </w:p>
    <w:p>
      <w:pPr>
        <w:pStyle w:val="27"/>
        <w:numPr>
          <w:ilvl w:val="0"/>
          <w:numId w:val="4"/>
        </w:numPr>
        <w:shd w:val="clear"/>
        <w:spacing w:line="560" w:lineRule="exact"/>
        <w:ind w:left="0" w:leftChars="0" w:firstLine="400" w:firstLineChars="0"/>
        <w:rPr>
          <w:rFonts w:hint="eastAsia" w:ascii="仿宋" w:hAnsi="仿宋" w:eastAsia="仿宋" w:cs="仿宋"/>
          <w:color w:val="auto"/>
          <w:sz w:val="32"/>
          <w:szCs w:val="32"/>
          <w:highlight w:val="none"/>
        </w:rPr>
      </w:pPr>
      <w:bookmarkStart w:id="75" w:name="_Toc15377226"/>
      <w:r>
        <w:rPr>
          <w:rFonts w:hint="eastAsia" w:ascii="仿宋" w:hAnsi="仿宋" w:eastAsia="仿宋" w:cs="仿宋"/>
          <w:color w:val="auto"/>
          <w:sz w:val="32"/>
          <w:szCs w:val="32"/>
          <w:highlight w:val="none"/>
        </w:rPr>
        <w:t>财政拨款收入：指单位从同级财政部门取得的财政预算资金。</w:t>
      </w:r>
    </w:p>
    <w:p>
      <w:pPr>
        <w:pStyle w:val="27"/>
        <w:numPr>
          <w:ilvl w:val="0"/>
          <w:numId w:val="4"/>
        </w:numPr>
        <w:shd w:val="clear"/>
        <w:spacing w:line="560" w:lineRule="exact"/>
        <w:ind w:left="0" w:leftChars="0" w:firstLine="400" w:firstLine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其他收入：指单位取得的除上述收入以外的各项收入。主要是</w:t>
      </w:r>
      <w:r>
        <w:rPr>
          <w:rFonts w:hint="eastAsia" w:hAnsi="仿宋" w:cs="仿宋"/>
          <w:color w:val="auto"/>
          <w:sz w:val="32"/>
          <w:szCs w:val="32"/>
          <w:highlight w:val="none"/>
          <w:lang w:val="en-US" w:eastAsia="zh-CN"/>
        </w:rPr>
        <w:t>市直机关工委拨驻蓉流动党委活动经费</w:t>
      </w:r>
      <w:r>
        <w:rPr>
          <w:rFonts w:hint="eastAsia" w:ascii="仿宋" w:hAnsi="仿宋" w:eastAsia="仿宋" w:cs="仿宋"/>
          <w:color w:val="auto"/>
          <w:sz w:val="32"/>
          <w:szCs w:val="32"/>
          <w:highlight w:val="none"/>
        </w:rPr>
        <w:t>等。</w:t>
      </w:r>
    </w:p>
    <w:p>
      <w:pPr>
        <w:pStyle w:val="27"/>
        <w:numPr>
          <w:ilvl w:val="0"/>
          <w:numId w:val="4"/>
        </w:numPr>
        <w:shd w:val="clear"/>
        <w:spacing w:line="560" w:lineRule="exact"/>
        <w:ind w:left="0" w:leftChars="0" w:firstLine="400" w:firstLine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一般公共服务支出（类）政府办公厅（室）及相关机构事务（款）</w:t>
      </w:r>
      <w:r>
        <w:rPr>
          <w:rFonts w:hint="eastAsia" w:hAnsi="仿宋" w:cs="仿宋"/>
          <w:color w:val="auto"/>
          <w:sz w:val="32"/>
          <w:szCs w:val="32"/>
          <w:highlight w:val="none"/>
          <w:lang w:val="en-US" w:eastAsia="zh-CN"/>
        </w:rPr>
        <w:t>行政</w:t>
      </w:r>
      <w:r>
        <w:rPr>
          <w:rFonts w:hint="eastAsia" w:ascii="仿宋" w:hAnsi="仿宋" w:eastAsia="仿宋" w:cs="仿宋"/>
          <w:color w:val="auto"/>
          <w:sz w:val="32"/>
          <w:szCs w:val="32"/>
          <w:highlight w:val="none"/>
        </w:rPr>
        <w:t>运行（项）：反映行政单位（包括实行公务员管理的事业单位）的基本支出。</w:t>
      </w:r>
    </w:p>
    <w:p>
      <w:pPr>
        <w:pStyle w:val="27"/>
        <w:numPr>
          <w:ilvl w:val="0"/>
          <w:numId w:val="4"/>
        </w:numPr>
        <w:shd w:val="clear"/>
        <w:spacing w:line="560" w:lineRule="exact"/>
        <w:ind w:left="0" w:leftChars="0" w:firstLine="400" w:firstLine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一般公共服务支出（类）政府办公厅（室）及相关机构事务（款）其他政府办公厅（室）及相关机构事务支出（项）：反映行政单位（包括实行公务员管理的事业单位）未单独设置项级科目的其他项目支出。</w:t>
      </w:r>
    </w:p>
    <w:p>
      <w:pPr>
        <w:pStyle w:val="27"/>
        <w:numPr>
          <w:ilvl w:val="0"/>
          <w:numId w:val="4"/>
        </w:numPr>
        <w:shd w:val="clear"/>
        <w:spacing w:line="560" w:lineRule="exact"/>
        <w:ind w:left="0" w:leftChars="0" w:firstLine="400" w:firstLineChars="0"/>
        <w:rPr>
          <w:rStyle w:val="16"/>
          <w:rFonts w:hint="eastAsia" w:ascii="仿宋" w:hAnsi="仿宋" w:eastAsia="仿宋" w:cs="仿宋"/>
          <w:b w:val="0"/>
          <w:bCs/>
          <w:color w:val="auto"/>
          <w:sz w:val="32"/>
          <w:szCs w:val="32"/>
          <w:highlight w:val="none"/>
          <w:lang w:val="en-US" w:eastAsia="zh-CN"/>
        </w:rPr>
      </w:pPr>
      <w:r>
        <w:rPr>
          <w:rStyle w:val="16"/>
          <w:rFonts w:hint="eastAsia" w:ascii="仿宋" w:hAnsi="仿宋" w:eastAsia="仿宋" w:cs="仿宋"/>
          <w:b w:val="0"/>
          <w:bCs/>
          <w:color w:val="auto"/>
          <w:sz w:val="32"/>
          <w:szCs w:val="32"/>
          <w:highlight w:val="none"/>
        </w:rPr>
        <w:t>社会保障和就业</w:t>
      </w:r>
      <w:r>
        <w:rPr>
          <w:rStyle w:val="16"/>
          <w:rFonts w:hint="eastAsia" w:hAnsi="仿宋" w:cs="仿宋"/>
          <w:b w:val="0"/>
          <w:bCs/>
          <w:color w:val="auto"/>
          <w:sz w:val="32"/>
          <w:szCs w:val="32"/>
          <w:highlight w:val="none"/>
          <w:lang w:val="en-US" w:eastAsia="zh-CN"/>
        </w:rPr>
        <w:t>支出</w:t>
      </w:r>
      <w:r>
        <w:rPr>
          <w:rStyle w:val="16"/>
          <w:rFonts w:hint="eastAsia" w:ascii="仿宋" w:hAnsi="仿宋" w:eastAsia="仿宋" w:cs="仿宋"/>
          <w:b w:val="0"/>
          <w:bCs/>
          <w:color w:val="auto"/>
          <w:sz w:val="32"/>
          <w:szCs w:val="32"/>
          <w:highlight w:val="none"/>
        </w:rPr>
        <w:t>（类）</w:t>
      </w:r>
      <w:r>
        <w:rPr>
          <w:rStyle w:val="16"/>
          <w:rFonts w:hint="eastAsia" w:ascii="仿宋" w:hAnsi="仿宋" w:eastAsia="仿宋" w:cs="仿宋"/>
          <w:b w:val="0"/>
          <w:bCs/>
          <w:color w:val="auto"/>
          <w:sz w:val="32"/>
          <w:szCs w:val="32"/>
          <w:highlight w:val="none"/>
          <w:lang w:val="en-US" w:eastAsia="zh-CN"/>
        </w:rPr>
        <w:t>人力资源和社会保障管理事务</w:t>
      </w:r>
      <w:r>
        <w:rPr>
          <w:rStyle w:val="16"/>
          <w:rFonts w:hint="eastAsia" w:ascii="仿宋" w:hAnsi="仿宋" w:eastAsia="仿宋" w:cs="仿宋"/>
          <w:b w:val="0"/>
          <w:bCs/>
          <w:color w:val="auto"/>
          <w:sz w:val="32"/>
          <w:szCs w:val="32"/>
          <w:highlight w:val="none"/>
        </w:rPr>
        <w:t>（款）</w:t>
      </w:r>
      <w:r>
        <w:rPr>
          <w:rStyle w:val="16"/>
          <w:rFonts w:hint="eastAsia" w:ascii="仿宋" w:hAnsi="仿宋" w:eastAsia="仿宋" w:cs="仿宋"/>
          <w:b w:val="0"/>
          <w:bCs/>
          <w:color w:val="auto"/>
          <w:sz w:val="32"/>
          <w:szCs w:val="32"/>
          <w:highlight w:val="none"/>
          <w:lang w:val="en-US" w:eastAsia="zh-CN"/>
        </w:rPr>
        <w:t>其他人力资源和社会保障管理事务</w:t>
      </w:r>
      <w:r>
        <w:rPr>
          <w:rStyle w:val="16"/>
          <w:rFonts w:hint="eastAsia" w:ascii="仿宋" w:hAnsi="仿宋" w:eastAsia="仿宋" w:cs="仿宋"/>
          <w:b w:val="0"/>
          <w:bCs/>
          <w:color w:val="auto"/>
          <w:sz w:val="32"/>
          <w:szCs w:val="32"/>
          <w:highlight w:val="none"/>
        </w:rPr>
        <w:t>支出（项）:</w:t>
      </w:r>
      <w:r>
        <w:rPr>
          <w:rStyle w:val="16"/>
          <w:rFonts w:hint="eastAsia" w:ascii="仿宋" w:hAnsi="仿宋" w:eastAsia="仿宋" w:cs="仿宋"/>
          <w:b w:val="0"/>
          <w:bCs/>
          <w:color w:val="auto"/>
          <w:sz w:val="32"/>
          <w:szCs w:val="32"/>
          <w:highlight w:val="none"/>
          <w:lang w:val="en-US" w:eastAsia="zh-CN"/>
        </w:rPr>
        <w:t>指为单位为急需紧缺专业选调生发放的安家补助。</w:t>
      </w:r>
    </w:p>
    <w:p>
      <w:pPr>
        <w:pStyle w:val="27"/>
        <w:numPr>
          <w:ilvl w:val="0"/>
          <w:numId w:val="4"/>
        </w:numPr>
        <w:shd w:val="clear"/>
        <w:spacing w:line="560" w:lineRule="exact"/>
        <w:ind w:left="0" w:leftChars="0" w:firstLine="400" w:firstLine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社会保障和就业支出（类）行政事业单位养老支出（款）机关事业单位基本养老保险缴费支出（项）：反映机关事业单位实施养老保险制度由单位缴纳的基本养老保险费支出。</w:t>
      </w:r>
    </w:p>
    <w:p>
      <w:pPr>
        <w:pStyle w:val="27"/>
        <w:numPr>
          <w:ilvl w:val="0"/>
          <w:numId w:val="4"/>
        </w:numPr>
        <w:shd w:val="clear"/>
        <w:spacing w:line="560" w:lineRule="exact"/>
        <w:ind w:left="0" w:leftChars="0" w:firstLine="400" w:firstLine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社会保障和就业（类）行政事业单位养老支出（款）机关事业单位职业年金缴费支出（项）：指单位为职工缴纳的职业年金。</w:t>
      </w:r>
    </w:p>
    <w:p>
      <w:pPr>
        <w:pStyle w:val="27"/>
        <w:numPr>
          <w:ilvl w:val="0"/>
          <w:numId w:val="4"/>
        </w:numPr>
        <w:shd w:val="clear"/>
        <w:spacing w:line="560" w:lineRule="exact"/>
        <w:ind w:left="0" w:leftChars="0" w:firstLine="400" w:firstLineChars="0"/>
        <w:rPr>
          <w:rStyle w:val="16"/>
          <w:rFonts w:hint="eastAsia" w:ascii="仿宋" w:hAnsi="仿宋" w:eastAsia="仿宋" w:cs="仿宋"/>
          <w:b w:val="0"/>
          <w:bCs/>
          <w:color w:val="auto"/>
          <w:sz w:val="32"/>
          <w:szCs w:val="32"/>
          <w:highlight w:val="none"/>
          <w:lang w:val="en-US" w:eastAsia="zh-CN"/>
        </w:rPr>
      </w:pPr>
      <w:r>
        <w:rPr>
          <w:rStyle w:val="16"/>
          <w:rFonts w:hint="eastAsia" w:ascii="仿宋" w:hAnsi="仿宋" w:eastAsia="仿宋" w:cs="仿宋"/>
          <w:b w:val="0"/>
          <w:bCs/>
          <w:color w:val="auto"/>
          <w:sz w:val="32"/>
          <w:szCs w:val="32"/>
          <w:highlight w:val="none"/>
        </w:rPr>
        <w:t>社会保障和就业（类）</w:t>
      </w:r>
      <w:r>
        <w:rPr>
          <w:rStyle w:val="16"/>
          <w:rFonts w:hint="eastAsia" w:ascii="仿宋" w:hAnsi="仿宋" w:eastAsia="仿宋" w:cs="仿宋"/>
          <w:b w:val="0"/>
          <w:bCs/>
          <w:color w:val="auto"/>
          <w:sz w:val="32"/>
          <w:szCs w:val="32"/>
          <w:highlight w:val="none"/>
          <w:lang w:val="en-US" w:eastAsia="zh-CN"/>
        </w:rPr>
        <w:t>抚恤</w:t>
      </w:r>
      <w:r>
        <w:rPr>
          <w:rStyle w:val="16"/>
          <w:rFonts w:hint="eastAsia" w:ascii="仿宋" w:hAnsi="仿宋" w:eastAsia="仿宋" w:cs="仿宋"/>
          <w:b w:val="0"/>
          <w:bCs/>
          <w:color w:val="auto"/>
          <w:sz w:val="32"/>
          <w:szCs w:val="32"/>
          <w:highlight w:val="none"/>
        </w:rPr>
        <w:t>（款）</w:t>
      </w:r>
      <w:r>
        <w:rPr>
          <w:rStyle w:val="16"/>
          <w:rFonts w:hint="eastAsia" w:ascii="仿宋" w:hAnsi="仿宋" w:eastAsia="仿宋" w:cs="仿宋"/>
          <w:b w:val="0"/>
          <w:bCs/>
          <w:color w:val="auto"/>
          <w:sz w:val="32"/>
          <w:szCs w:val="32"/>
          <w:highlight w:val="none"/>
          <w:lang w:val="en-US" w:eastAsia="zh-CN"/>
        </w:rPr>
        <w:t>死亡抚恤</w:t>
      </w:r>
      <w:r>
        <w:rPr>
          <w:rStyle w:val="16"/>
          <w:rFonts w:hint="eastAsia" w:ascii="仿宋" w:hAnsi="仿宋" w:eastAsia="仿宋" w:cs="仿宋"/>
          <w:b w:val="0"/>
          <w:bCs/>
          <w:color w:val="auto"/>
          <w:sz w:val="32"/>
          <w:szCs w:val="32"/>
          <w:highlight w:val="none"/>
        </w:rPr>
        <w:t>（项）</w:t>
      </w:r>
      <w:r>
        <w:rPr>
          <w:rStyle w:val="16"/>
          <w:rFonts w:hint="eastAsia" w:ascii="仿宋" w:hAnsi="仿宋" w:eastAsia="仿宋" w:cs="仿宋"/>
          <w:b w:val="0"/>
          <w:bCs/>
          <w:color w:val="auto"/>
          <w:sz w:val="32"/>
          <w:szCs w:val="32"/>
          <w:highlight w:val="none"/>
          <w:lang w:eastAsia="zh-CN"/>
        </w:rPr>
        <w:t>：指</w:t>
      </w:r>
      <w:r>
        <w:rPr>
          <w:rStyle w:val="16"/>
          <w:rFonts w:hint="eastAsia" w:ascii="仿宋" w:hAnsi="仿宋" w:eastAsia="仿宋" w:cs="仿宋"/>
          <w:b w:val="0"/>
          <w:bCs/>
          <w:color w:val="auto"/>
          <w:sz w:val="32"/>
          <w:szCs w:val="32"/>
          <w:highlight w:val="none"/>
          <w:lang w:val="en-US" w:eastAsia="zh-CN"/>
        </w:rPr>
        <w:t>为单位去世职工发放的抚恤金。</w:t>
      </w:r>
    </w:p>
    <w:p>
      <w:pPr>
        <w:pStyle w:val="27"/>
        <w:numPr>
          <w:ilvl w:val="0"/>
          <w:numId w:val="4"/>
        </w:numPr>
        <w:shd w:val="clear"/>
        <w:spacing w:line="560" w:lineRule="exact"/>
        <w:ind w:left="0" w:leftChars="0" w:firstLine="400" w:firstLine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卫生健康支出（类）行政事业单位医疗（款）</w:t>
      </w:r>
      <w:r>
        <w:rPr>
          <w:rFonts w:hint="eastAsia" w:hAnsi="仿宋" w:cs="仿宋"/>
          <w:color w:val="auto"/>
          <w:sz w:val="32"/>
          <w:szCs w:val="32"/>
          <w:highlight w:val="none"/>
          <w:lang w:val="en-US" w:eastAsia="zh-CN"/>
        </w:rPr>
        <w:t>行政</w:t>
      </w:r>
      <w:r>
        <w:rPr>
          <w:rFonts w:hint="eastAsia" w:ascii="仿宋" w:hAnsi="仿宋" w:eastAsia="仿宋" w:cs="仿宋"/>
          <w:color w:val="auto"/>
          <w:sz w:val="32"/>
          <w:szCs w:val="32"/>
          <w:highlight w:val="none"/>
        </w:rPr>
        <w:t>单位医疗（项）：反映财政部门安排的行政单位（包括实行公务员管理的事业单位）基本医疗保险缴费经费。</w:t>
      </w:r>
    </w:p>
    <w:p>
      <w:pPr>
        <w:pStyle w:val="27"/>
        <w:numPr>
          <w:ilvl w:val="0"/>
          <w:numId w:val="4"/>
        </w:numPr>
        <w:shd w:val="clear"/>
        <w:spacing w:line="560" w:lineRule="exact"/>
        <w:ind w:left="0" w:leftChars="0" w:firstLine="400" w:firstLine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住房保障支出（类）住房改革支出（款）住房公积金（项）：反映行政事业单位按人力资源和社会保障部、财政部规定的基本工资和津贴补贴以及规定比例为职工缴纳的住房公积金。</w:t>
      </w:r>
    </w:p>
    <w:p>
      <w:pPr>
        <w:pStyle w:val="27"/>
        <w:numPr>
          <w:ilvl w:val="0"/>
          <w:numId w:val="4"/>
        </w:numPr>
        <w:shd w:val="clear"/>
        <w:spacing w:line="560" w:lineRule="exact"/>
        <w:ind w:left="0" w:leftChars="0" w:firstLine="400" w:firstLine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基本支出：指为保障机构正常运转、完成日常工作任务而发生的人员支出和公用支出。</w:t>
      </w:r>
    </w:p>
    <w:p>
      <w:pPr>
        <w:pStyle w:val="27"/>
        <w:numPr>
          <w:ilvl w:val="0"/>
          <w:numId w:val="4"/>
        </w:numPr>
        <w:shd w:val="clear"/>
        <w:spacing w:line="560" w:lineRule="exact"/>
        <w:ind w:left="0" w:leftChars="0" w:firstLine="400" w:firstLine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项目支出：指在基本支出之外为完成特定行政任务和事业发展目标所发生的支出。</w:t>
      </w:r>
    </w:p>
    <w:p>
      <w:pPr>
        <w:pStyle w:val="27"/>
        <w:numPr>
          <w:ilvl w:val="0"/>
          <w:numId w:val="4"/>
        </w:numPr>
        <w:shd w:val="clear"/>
        <w:spacing w:line="560" w:lineRule="exact"/>
        <w:ind w:left="0" w:leftChars="0" w:firstLine="400" w:firstLine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numPr>
          <w:ilvl w:val="0"/>
          <w:numId w:val="4"/>
        </w:numPr>
        <w:shd w:val="clear"/>
        <w:spacing w:line="560" w:lineRule="exact"/>
        <w:ind w:left="0" w:leftChars="0" w:firstLine="400" w:firstLine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7"/>
        <w:shd w:val="clear"/>
        <w:spacing w:line="560" w:lineRule="exact"/>
        <w:ind w:firstLine="640" w:firstLineChars="200"/>
        <w:rPr>
          <w:rFonts w:hint="eastAsia" w:ascii="仿宋" w:hAnsi="仿宋" w:eastAsia="仿宋" w:cs="仿宋"/>
          <w:color w:val="auto"/>
          <w:sz w:val="32"/>
          <w:szCs w:val="32"/>
          <w:highlight w:val="none"/>
        </w:rPr>
      </w:pPr>
    </w:p>
    <w:p>
      <w:pPr>
        <w:pStyle w:val="27"/>
        <w:shd w:val="clear"/>
        <w:spacing w:line="560" w:lineRule="exact"/>
        <w:ind w:firstLine="640" w:firstLineChars="200"/>
        <w:rPr>
          <w:rFonts w:hint="eastAsia" w:ascii="仿宋" w:hAnsi="仿宋" w:eastAsia="仿宋" w:cs="仿宋"/>
          <w:color w:val="auto"/>
          <w:sz w:val="32"/>
          <w:szCs w:val="32"/>
          <w:highlight w:val="none"/>
        </w:rPr>
      </w:pPr>
    </w:p>
    <w:p>
      <w:pPr>
        <w:pStyle w:val="27"/>
        <w:shd w:val="clear"/>
        <w:spacing w:line="560" w:lineRule="exact"/>
        <w:ind w:firstLine="640" w:firstLineChars="200"/>
        <w:rPr>
          <w:rFonts w:hint="eastAsia" w:ascii="仿宋" w:hAnsi="仿宋" w:eastAsia="仿宋" w:cs="仿宋"/>
          <w:color w:val="auto"/>
          <w:sz w:val="32"/>
          <w:szCs w:val="32"/>
          <w:highlight w:val="none"/>
        </w:rPr>
      </w:pPr>
    </w:p>
    <w:p>
      <w:pPr>
        <w:pStyle w:val="27"/>
        <w:shd w:val="clear"/>
        <w:spacing w:line="560" w:lineRule="exact"/>
        <w:ind w:firstLine="640" w:firstLineChars="200"/>
        <w:rPr>
          <w:rFonts w:hint="eastAsia" w:ascii="仿宋" w:hAnsi="仿宋" w:eastAsia="仿宋" w:cs="仿宋"/>
          <w:color w:val="auto"/>
          <w:sz w:val="32"/>
          <w:szCs w:val="32"/>
          <w:highlight w:val="none"/>
        </w:rPr>
      </w:pPr>
    </w:p>
    <w:p>
      <w:pPr>
        <w:shd w:val="clear"/>
        <w:spacing w:line="600" w:lineRule="exact"/>
        <w:jc w:val="center"/>
        <w:outlineLvl w:val="0"/>
        <w:rPr>
          <w:rStyle w:val="18"/>
          <w:rFonts w:ascii="黑体" w:hAnsi="黑体" w:eastAsia="黑体"/>
          <w:b w:val="0"/>
          <w:color w:val="auto"/>
          <w:highlight w:val="none"/>
        </w:rPr>
      </w:pPr>
      <w:r>
        <w:rPr>
          <w:rFonts w:hint="eastAsia" w:ascii="仿宋" w:hAnsi="仿宋" w:eastAsia="仿宋" w:cs="仿宋"/>
          <w:b/>
          <w:color w:val="auto"/>
          <w:sz w:val="32"/>
          <w:szCs w:val="32"/>
          <w:highlight w:val="none"/>
        </w:rPr>
        <w:br w:type="page"/>
      </w:r>
      <w:bookmarkStart w:id="76" w:name="_Toc15396614"/>
      <w:bookmarkStart w:id="77" w:name="_Toc27575"/>
      <w:r>
        <w:rPr>
          <w:rFonts w:hint="eastAsia" w:ascii="黑体" w:hAnsi="黑体" w:eastAsia="黑体"/>
          <w:color w:val="auto"/>
          <w:sz w:val="44"/>
          <w:szCs w:val="44"/>
          <w:highlight w:val="none"/>
        </w:rPr>
        <w:t>第</w:t>
      </w:r>
      <w:r>
        <w:rPr>
          <w:rStyle w:val="18"/>
          <w:rFonts w:hint="eastAsia" w:ascii="黑体" w:hAnsi="黑体" w:eastAsia="黑体"/>
          <w:b w:val="0"/>
          <w:color w:val="auto"/>
          <w:highlight w:val="none"/>
        </w:rPr>
        <w:t>四部分附件</w:t>
      </w:r>
      <w:bookmarkEnd w:id="76"/>
      <w:bookmarkEnd w:id="77"/>
    </w:p>
    <w:p>
      <w:pPr>
        <w:shd w:val="clear"/>
        <w:spacing w:line="600" w:lineRule="exact"/>
        <w:jc w:val="center"/>
        <w:outlineLvl w:val="1"/>
        <w:rPr>
          <w:rFonts w:hint="eastAsia" w:ascii="宋体" w:hAnsi="宋体" w:eastAsia="宋体" w:cs="宋体"/>
          <w:color w:val="auto"/>
          <w:kern w:val="0"/>
          <w:sz w:val="32"/>
          <w:szCs w:val="32"/>
          <w:highlight w:val="none"/>
          <w:lang w:val="en-US" w:eastAsia="zh-CN" w:bidi="ar-SA"/>
        </w:rPr>
      </w:pPr>
      <w:bookmarkStart w:id="78" w:name="_Toc19529"/>
      <w:r>
        <w:rPr>
          <w:rFonts w:hint="eastAsia" w:ascii="宋体" w:hAnsi="宋体" w:eastAsia="宋体" w:cs="宋体"/>
          <w:color w:val="auto"/>
          <w:kern w:val="0"/>
          <w:sz w:val="32"/>
          <w:szCs w:val="32"/>
          <w:highlight w:val="none"/>
          <w:lang w:val="en-US" w:eastAsia="zh-CN" w:bidi="ar-SA"/>
        </w:rPr>
        <w:t>部门预算项目支出绩效自评表（2022年度）</w:t>
      </w:r>
      <w:bookmarkEnd w:id="78"/>
    </w:p>
    <w:p>
      <w:pPr>
        <w:keepNext w:val="0"/>
        <w:keepLines w:val="0"/>
        <w:pageBreakBefore w:val="0"/>
        <w:shd w:val="clear"/>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tbl>
      <w:tblPr>
        <w:tblStyle w:val="14"/>
        <w:tblpPr w:leftFromText="180" w:rightFromText="180" w:vertAnchor="text" w:horzAnchor="page" w:tblpX="1444" w:tblpY="528"/>
        <w:tblOverlap w:val="never"/>
        <w:tblW w:w="10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3"/>
        <w:gridCol w:w="1094"/>
        <w:gridCol w:w="1296"/>
        <w:gridCol w:w="1242"/>
        <w:gridCol w:w="483"/>
        <w:gridCol w:w="756"/>
        <w:gridCol w:w="576"/>
        <w:gridCol w:w="981"/>
        <w:gridCol w:w="576"/>
        <w:gridCol w:w="576"/>
        <w:gridCol w:w="20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auto"/>
                <w:sz w:val="30"/>
                <w:szCs w:val="30"/>
                <w:highlight w:val="none"/>
                <w:u w:val="none"/>
              </w:rPr>
            </w:pPr>
            <w:bookmarkStart w:id="79" w:name="_Toc15396618"/>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严格执行相关政策，保障工资及时发放、足额发放，预算编制科学合理，减少结余资金。</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严格执行相关政策，保障工资及时发放、足额发放，预算编制科学合理，减少了结余资金。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严格执行相关政策，保障工资及时发放、足额发放。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308.80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443.11</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435.06</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98.18%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308.80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443.11</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435.06</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98.18%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足额保障率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科目调整次数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按时发放率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结余率（计算方法为：结余数/预算数）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我单位严格执行相关政策，保障工资及时、足额发放</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项目负责人：韩燕</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51000021R000000019952-其他人员支出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保障职工抚恤金发放到位。</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保障了职工抚恤金发放到位。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我单位严格执行相关规定，及时将抚恤金发放到位。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17.78</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17.78</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17.78</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17.78</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足额保障率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科目调整次数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按时发放率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结余率（计算方法为：结余数/预算数）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项目负责人：韩燕</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严格执行相关政策，保障工资及时发放、足额发放，预算编制科学合理，减少结余资金</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严格执行相关政策，保障工资及时发放、足额发放。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39.20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39.20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39.20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39.20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39.20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39.20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足额保障率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科目调整次数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按时发放率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结余率（计算方法为：结余数/预算数）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项目负责人：韩燕</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2"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保障单位日常运转，提高预算编制质量，严格执行预算。</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我单位严格执行预算，保障了单位日常运转。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29.64</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29.64</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29.64</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29.64</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科目调整次数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预算编制准确率（计算方法为：∣（执行数-预算数）/预算数∣）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“三公经费”控制率[计算方法为：（三公经费实际支出数/预算安排数]×100%）</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运转保障率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项目负责人：韩燕</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保障单位日常运转，提高预算编制质量，严格执行预算。</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我单位严格执行预算，保障了单位日常运转。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33.90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33.90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33.90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33.90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33.90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33.90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科目调整次数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预算编制准确率（计算方法为：∣（执行数-预算数）/预算数∣）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运转保障率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“三公经费”控制率[计算方法为：（三公经费实际支出数/预算安排数]×100%）</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项目负责人：韩燕</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51080022R000006844873-退休“中人”一次性退休补贴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保障退休职工正常待遇。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保障了退休职工正常待遇。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我单位及时准确的将退休“中人”一次性退休补贴发放到位，保障了退休职工的正常待遇。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1.56</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1.56</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1.56</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1.56</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足额保障率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科目调整次数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按时发放率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结余率（计算方法为：结余数/预算数）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项目负责人：韩燕</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51080022T000004924748-成都荷花池十四交易区A区改造项目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进一步提升成都荷花池第十四交易区经营效益，积极推动其提档升级和高质量发展，保障国有资产保值增值。</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进一步提升了成都荷花池第十四交易区经营效益，积极推动其提档升级和高质量发展，保障国有资产保值增值。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我单位成立了成都荷花池十四交易区A区改造工作领导小组，由办事处副主任担任项目组长，负责项目建设的统一组织实施、协调，资金筹措与调度，以及建设过程中其他需要解决的问题。领导小组下设办公室、资金筹措调度组、手续报建与竣工验收组、现场管理组、设备采购组、决算组和试营业筹备组，各小组根据自己的分工具体负责按程序组织实施。项目严格落实岗位设置、人员规定，在克服疫情等多重因素的影响下，完成了铺面的改造工程，共完成支付245.29万元，结转资金17.71万元。由于市场的的特殊性，消防工程因不具备施工条件，经与租户和施工方协商一致，拟定于淡季施工，故预留消防改造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263.00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245.29</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93.27%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263.00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245.29</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93.27%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改造项目</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1个</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验收通过率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改造时间</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天</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大于60天</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96" w:type="dxa"/>
            <w:tcBorders>
              <w:top w:val="nil"/>
              <w:left w:val="nil"/>
              <w:bottom w:val="nil"/>
              <w:right w:val="nil"/>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改造成本</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263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245.29万元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租金收入增长</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管理费增长</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促进就业</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级</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可持续影响指标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企业营运</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级</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租户满意度</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主管部门满意度</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97</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第十四交易区A区改造项目改造后商铺全部出租，增加了租金和管理费收入，保障了国有资产增值保值。自评得分97分。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荷花池第十四交易区A区改造项目消防工程未施工。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由于市场的特殊性，与施工单位和租户协商一致，在商户经营淡季时（6、7月）进行消防工程施工。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项目负责人：余秋兰</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51080022T000004925395-广元市机关离退休干部驻蓉流动党员委员会专项工作经费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组织所属8个支部256名老党员常态化开展政治思想和组织制度建设，开展主题党日多动，充分发挥支部战斗堡垒和党员模范作用努力为党和人民事业增添正能量。</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default" w:ascii="黑体" w:hAnsi="黑体" w:eastAsia="黑体" w:cs="黑体"/>
                <w:i w:val="0"/>
                <w:iCs w:val="0"/>
                <w:color w:val="auto"/>
                <w:sz w:val="18"/>
                <w:szCs w:val="18"/>
                <w:highlight w:val="none"/>
                <w:u w:val="none"/>
              </w:rPr>
            </w:pPr>
            <w:r>
              <w:rPr>
                <w:rFonts w:hint="default" w:ascii="黑体" w:hAnsi="黑体" w:eastAsia="黑体" w:cs="黑体"/>
                <w:i w:val="0"/>
                <w:iCs w:val="0"/>
                <w:color w:val="auto"/>
                <w:sz w:val="18"/>
                <w:szCs w:val="18"/>
                <w:highlight w:val="none"/>
                <w:u w:val="none"/>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yellow"/>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yellow"/>
                <w:u w:val="none"/>
              </w:rPr>
            </w:pPr>
            <w:r>
              <w:rPr>
                <w:rFonts w:ascii="宋体" w:hAnsi="宋体" w:eastAsia="宋体" w:cs="宋体"/>
                <w:i w:val="0"/>
                <w:iCs w:val="0"/>
                <w:color w:val="auto"/>
                <w:kern w:val="0"/>
                <w:sz w:val="18"/>
                <w:szCs w:val="18"/>
                <w:highlight w:val="none"/>
                <w:u w:val="none"/>
                <w:lang w:val="en-US" w:eastAsia="zh-CN" w:bidi="ar"/>
              </w:rPr>
              <w:t>组织所属8个支部256名老党员常态化开展政治思想和组织制度建设，开展主题党日多动，充分发挥支部战斗堡垒和党员模范作用努力为党和人民事业增添正能量。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18.90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18.90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18.90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18.90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18.90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18.90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党委庆“七一”、重阳节活动</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慰问高龄、困难、伤病住院等老党员、老干部</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71人</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老党员、老干部运动会</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支部开展主题党日活动</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58次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党建工作全市领先</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级</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完成时间</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月</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≤12月</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党建工作经费</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21.9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21.9万元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将驻蓉老党员、老干部凝聚在党旗之下。</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级</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可持续影响指标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发挥市机关离退休干部驻蓉流动党员委员会支部战斗堡垒和党员先锋模范作用，积极建言献策，发挥余热。</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级</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服务对象满意度指标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市离退休干部党工委、市驻蓉流动党员党委满意度</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宋体" w:hAnsi="宋体" w:eastAsia="宋体" w:cs="宋体"/>
                <w:i w:val="0"/>
                <w:iCs w:val="0"/>
                <w:color w:val="auto"/>
                <w:sz w:val="18"/>
                <w:szCs w:val="18"/>
                <w:highlight w:val="none"/>
                <w:u w:val="none"/>
                <w:lang w:val="en-US" w:eastAsia="zh-CN"/>
              </w:rPr>
              <w:t>通过项目实施，充分发挥党建引领作用，使党委这个温暖家园更有温度、更有成色、更具吸引力、更添凝聚力。通过对该项目绩效的分析和评价，自评得分100分。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宋体" w:hAnsi="宋体" w:eastAsia="宋体" w:cs="宋体"/>
                <w:i w:val="0"/>
                <w:iCs w:val="0"/>
                <w:color w:val="auto"/>
                <w:sz w:val="18"/>
                <w:szCs w:val="18"/>
                <w:highlight w:val="none"/>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宋体" w:hAnsi="宋体" w:eastAsia="宋体" w:cs="宋体"/>
                <w:i w:val="0"/>
                <w:iCs w:val="0"/>
                <w:color w:val="auto"/>
                <w:sz w:val="18"/>
                <w:szCs w:val="18"/>
                <w:highlight w:val="none"/>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项目负责人：王申杰</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51080022T000004925556-广元市驻蓉流动党委专项工作经费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保障驻蓉流动党委开展各项党建活动。</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保障了驻蓉流动党委在2022年度开展各项党建活动。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2022年初制定了《中共广元市驻蓉流动党员委员会2022党史学习教育活动实施方案》，提供活动落实保障。从开展专题学习、加强政治引领、开展专题党课、组织专题活动四个方面推进党史学习教育活动。举办了2022“5.4”青年节干部职工、驻蓉流动党委、在蓉农民工趣味运动会，举办了广元籍在蓉厨师“广元美味”厨艺大赛；组织开展“喜庆二十大·绿色低碳行”户外骑行活动；举办2023年度新春游园活动；开展2023年迎新春在蓉广元籍农民工技能培训暨新春慰问活动；举办学习贯彻党二十大精神、市委八届五次全会精神专题培训班；举办学习党的二十大精神正在进行时-党史党建知识竞赛；召开流动党委书记座谈会暨第四季度工作交流会；邀请流动党委各总支代表参加主题党日活动6次，参加机关离退休党委等主题党日活动2次。对剑阁、苍溪、昭化、朝天驻蓉流动党委党建、商会、农民工、招商等相关工作开展了对接。组织办事处全体党员和驻蓉流动党委党员代表参观天府家风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开展业务培训</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主题党日活动</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召开座谈会</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开展党性教育</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驻蓉流动党委党建工作扎实推进。</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优良中低差</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≤12月</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成本指标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开展业务培训和党性教育等</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宣传市委市政府对驻外党员和农民工的关爱</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优良中低差</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可持续影响指标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继续为驻蓉流动党员服务，体现党的关怀。</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优良中低差</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服务对象满意度指标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驻蓉流动党员、农民工满意度</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该项目的实施，</w:t>
            </w:r>
            <w:r>
              <w:rPr>
                <w:rFonts w:ascii="宋体" w:hAnsi="宋体" w:eastAsia="宋体" w:cs="宋体"/>
                <w:i w:val="0"/>
                <w:iCs w:val="0"/>
                <w:color w:val="auto"/>
                <w:kern w:val="0"/>
                <w:sz w:val="18"/>
                <w:szCs w:val="18"/>
                <w:highlight w:val="none"/>
                <w:u w:val="none"/>
                <w:lang w:val="en-US" w:eastAsia="zh-CN" w:bidi="ar"/>
              </w:rPr>
              <w:t>充分发挥了党建引领作用，以健全驻外流动党组织体系为突破口，积极培育密切联系和管理服务流动党员的“直接施力主体”，明晰“政治引领、服务凝聚”功能定位，整合流入地、流出地党建资源，搭建作用发挥的服务平台，促进流动党员向党组织凝聚和归属，较好发挥了流动党员在推动发展、服务群众和促进和谐中的作用，形成了驻蓉流动党组织广元品牌，成为四川省21个地市州驻蓉流动党组织的先进党组织。自评总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项目负责人：赵耀</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51080022T000005165543-返还广荷物业有限公司应交税费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完成2022年广荷物业管理有限公司租金收取工作。</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完成了2022年广荷物业管理有限公司租金收取工作。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2022年，广荷物业管理有限公司多措并举做好管理工作。一是完成督促经营户做好亮证经营、规范经营等，协助商户完成营业执照年审。二是加强信息公开与宣传。完成开通公司微信公众号工作，通过公司微信平台、微信群和市场公示区域，及时发布工作信息和各类政策宣传工作。三是加强消防安全培训，增强消防安全意识。联合保卫科组织职工及商户完成开展消防知识培训2次、消防演练2次，开展节前大检查活动4次。配合完善消防安全制度、完成消防评估报告。四是抓好设备检修，消除安全隐患。定期对天花板、空调、泄水孔、漏水点等区域进行维修检查，全年完成维修合计约50余处。五是强化疫情防控，确保安全稳定。将疫情防控作为常态化工作，严格按照上级指示，协调保卫科，坚持每日做好扫码测温、场地消杀、疫苗接种、录入登记等工作，完成体温检测6万余人次。六是疫情国企减免租金。在新冠疫情持续期间，根据广元市财政局、国资委相关政策文件要求，实行了减免房租三个月、签一年合同优惠一个月的优惠政策，完成签订120余份租金减免协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110.00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110.00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110.00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110.00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110.00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110.00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租金足额收取</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448.16万元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根据广财资[2022]17精神，我单位代管企业向租户减免店铺租金151.84万元，实际上交448.16万元。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完成2022年租金收取</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448.16万元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根据广财资[2022]17精神，我单位代管企业向租户减免店铺租金151.84万元，实际上交448.16万元。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≤12月</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成本指标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税金</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≥110万元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完成2022年非税收入</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448.16万元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根据广财资[2022]17精神，我单位代管企业向租户减免店铺租金151.84万元，实际上交448.16万元。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可持续发展指标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企业正常经营</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级</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保持企业正常经营</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服务对象满意度指标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主管税务机关满意度</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宋体" w:hAnsi="宋体" w:eastAsia="宋体" w:cs="宋体"/>
                <w:i w:val="0"/>
                <w:iCs w:val="0"/>
                <w:color w:val="auto"/>
                <w:kern w:val="0"/>
                <w:sz w:val="18"/>
                <w:szCs w:val="18"/>
                <w:highlight w:val="none"/>
                <w:u w:val="none"/>
                <w:lang w:val="en-US" w:eastAsia="zh-CN" w:bidi="ar"/>
              </w:rPr>
              <w:t>该项目的实施，有效地保障了企业正常经营，确保了国有资产增值保值。自评得分100分。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项目负责人：余秋兰</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51080022T000005167682-返还广荷物业有限公司经营管理费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完成2022年广荷物业管理有限公司600万租金收取工作。</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完成了2022年广荷物业管理有限公司600万租金收取工作，根据广财资[2022]17精神，我单位代管企业向租户减免店铺租金151.84万元，实际收到租金448.16万元。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2022年，广荷物业管理有限公司多措并举做好日常管理工作。一是完成督促经营户做好亮证经营、规范经营等，协助商户完成营业执照年审。二是加强信息公开与宣传。完成开通公司微信公众号工作，通过公司微信平台、微信群和市场公示区域，及时发布工作信息和各类政策宣传工作。三是加强消防安全培训，增强消防安全意识。联合保卫科组织职工及商户完成开展消防知识培训2次、消防演练2次，开展节前大检查活动4次。配合完善消防安全制度、完成消防评估报告。四是抓好设备检修，消除安全隐患。定期对天花板、空调、泄水孔、漏水点等区域进行维修检查，全年完成维修合计约50余处。五是强化疫情防控，确保安全稳定。将疫情防控作为常态化工作，严格按照上级指示，协调保卫科，坚持每日做好扫码测温、场地消杀、疫苗接种、录入登记等工作，完成体温检测6万余人次。同时主抓市场经营收入，在经济大环境和新冠疫情对实体经济的冲击下，为尽快完成荷花池第十四交易区A区改造项目，倒排工期，督促施工方加快建设，把握时间节点，最终于11月16日完成竣工验收工作。六是做好A区改造后的招商工作。实地走访调研了周边同业态市场的租金情况，组织商户召开专题会议，完成了租金调研报告、租金定价。通过到国际商贸城等5个专业市场发布招租广告，建立招商奖励机制等，积极联络优质商户入驻。最终，改造后的32个商铺全部完成出租。另外不涉及在改造范围内的A区一排、临街、飞马等商铺，通过年租金降低10%，并在新冠疫情持续期间，根据广元市财政局、国资委相关政策文件要求，实行了减免房租三个月、签一年合同优惠一个月的优惠政策留住了老商户，完成签订120余份租金减免协议。针对原B区承包商提出终止承包商铺，为防止B区商户流失，和原B区承包商签订了合作招商协议，重新研究制定了B区商铺租金定价，和B区93户商户签订了租赁协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134.16</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134.16</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134.16</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134.16</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134.16</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134.16</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2022年租金收取</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448.16万元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根据广财资[2022]17精神，我单位代管企业向租户减免店铺租金151.84万元，实际收到租金448.16万元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保障2022年非税收入完成</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448.16万元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根据广财资[2022]17精神，我单位代管企业向租户减免店铺租金151.84万元，实际收到租金448.16万元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完成时间</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月</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≤12月</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left"/>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成本指标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经营管理费用</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134.16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134.16万元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left"/>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完成2022年非税收入</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448.16万元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根据广财资[2022]17精神，我单位代管企业向租户减免店铺租金151.84万元，实际收到租金448.16万元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减轻就业压力</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可持续发展指标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留住现有经营业主</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服务对象满意度指标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业主满意度</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该项目实施以来，增加了市财政的非税收入，对减轻广元财政压力，解决人员就业起到了积极作用，保障了企业合法有序的经营，确保了国有资产保值增值。自评得分100分。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受电商、周边市场零租金招商等因素影响，实体经济整体低迷，难以提高经营收入。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根据市场需求适当调整商铺租金，完善管理制度，优化管理措施,保证铺面的出租率，增加管理费、租金等收入。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项目负责人：余秋兰</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51080022T000007073289-急需紧缺专业选调生安家补助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保障急需紧缺专业选调生安家补助发放到位。</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保障了急需紧缺专业选调生安家补助发放到位。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根据广组录[2021]15号，我单位录用急需紧缺专业人员硕士研究生1名。按照《广元市创新创业人才特殊支持十条措施（施行）》（广组通[2016]144号）规定，急需紧缺专业选调生纳入高端人才库管理，对硕士研究生和博士研究生分别由用人单位按每人4万元和每人7.5万元标准发放一次性安家补助。2022年中追加急需紧缺专业选调生安家补助预算4万元，决算数4万元，完成预算100%，保障了急需紧缺专业选调生一次性安家补助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预算编制准确率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完成时间</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月</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12月</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科目调整次数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无调整</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人才输入成本</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吸引并留住高素质人才</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级</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急需紧缺人员满意度</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该项目的实施，保障了急需紧缺专业选调生安家补助发放到位。吸引并留住了高素质人才的社会效益明显，选调生满意度100%。整个项目运行流畅、规范、有效，项目绩效自评得分100分。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项目负责人：韩燕</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保障单位日常运转，提高预算编制质量，严格执行预算。</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我单位严格执行预算，保障了单位日常运转。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7.50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7.50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7.50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7.50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7.50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7.50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科目调整次数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预算编制准确率（计算方法为：∣（执行数-预算数）/预算数∣）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运转保障率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“三公经费”控制率[计算方法为：（三公经费实际支出数/预算安排数]×100%）</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宋体" w:hAnsi="宋体" w:eastAsia="宋体" w:cs="宋体"/>
                <w:i w:val="0"/>
                <w:iCs w:val="0"/>
                <w:color w:val="auto"/>
                <w:kern w:val="0"/>
                <w:sz w:val="18"/>
                <w:szCs w:val="18"/>
                <w:highlight w:val="none"/>
                <w:u w:val="none"/>
                <w:lang w:val="en-US" w:eastAsia="zh-CN" w:bidi="ar"/>
              </w:rPr>
              <w:t>该项目的实施，保障了单位日常运转。自评得分100分。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项目负责人：韩燕</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严格执行预算，及时准确的发放职工基础绩效奖及生活补助。</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严格执行预算，及时准确的发放职工基础绩效奖及生活补助。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我单位严格执行预算，及时准确的将</w:t>
            </w:r>
            <w:r>
              <w:rPr>
                <w:rFonts w:ascii="宋体" w:hAnsi="宋体" w:eastAsia="宋体" w:cs="宋体"/>
                <w:i w:val="0"/>
                <w:iCs w:val="0"/>
                <w:color w:val="auto"/>
                <w:kern w:val="0"/>
                <w:sz w:val="18"/>
                <w:szCs w:val="18"/>
                <w:highlight w:val="none"/>
                <w:u w:val="none"/>
                <w:lang w:val="en-US" w:eastAsia="zh-CN" w:bidi="ar"/>
              </w:rPr>
              <w:t>规范后市级基础绩效奖及生活补助</w:t>
            </w:r>
            <w:r>
              <w:rPr>
                <w:rFonts w:hint="eastAsia" w:ascii="宋体" w:hAnsi="宋体" w:cs="宋体"/>
                <w:i w:val="0"/>
                <w:iCs w:val="0"/>
                <w:color w:val="auto"/>
                <w:kern w:val="0"/>
                <w:sz w:val="18"/>
                <w:szCs w:val="18"/>
                <w:highlight w:val="none"/>
                <w:u w:val="none"/>
                <w:lang w:val="en-US" w:eastAsia="zh-CN" w:bidi="ar"/>
              </w:rPr>
              <w:t>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19.79</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19.79</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19.79</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19.79</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0"/>
                <w:sz w:val="18"/>
                <w:szCs w:val="18"/>
                <w:highlight w:val="none"/>
                <w:u w:val="none"/>
                <w:lang w:val="en-US" w:eastAsia="zh-CN" w:bidi="ar"/>
              </w:rPr>
            </w:pPr>
          </w:p>
        </w:tc>
        <w:tc>
          <w:tcPr>
            <w:tcW w:w="109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产出指标</w:t>
            </w:r>
          </w:p>
        </w:tc>
        <w:tc>
          <w:tcPr>
            <w:tcW w:w="129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足额保障率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0"/>
                <w:sz w:val="18"/>
                <w:szCs w:val="18"/>
                <w:highlight w:val="none"/>
                <w:u w:val="none"/>
                <w:lang w:val="en-US" w:eastAsia="zh-CN" w:bidi="ar"/>
              </w:rPr>
            </w:pPr>
          </w:p>
        </w:tc>
        <w:tc>
          <w:tcPr>
            <w:tcW w:w="1094"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0"/>
                <w:sz w:val="18"/>
                <w:szCs w:val="18"/>
                <w:highlight w:val="none"/>
                <w:u w:val="none"/>
                <w:lang w:val="en-US" w:eastAsia="zh-CN" w:bidi="ar"/>
              </w:rPr>
            </w:pPr>
          </w:p>
        </w:tc>
        <w:tc>
          <w:tcPr>
            <w:tcW w:w="1296"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0"/>
                <w:sz w:val="18"/>
                <w:szCs w:val="18"/>
                <w:highlight w:val="none"/>
                <w:u w:val="none"/>
                <w:lang w:val="en-US" w:eastAsia="zh-CN" w:bidi="ar"/>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科目调整次数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≤10次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0"/>
                <w:sz w:val="18"/>
                <w:szCs w:val="18"/>
                <w:highlight w:val="none"/>
                <w:u w:val="none"/>
                <w:lang w:val="en-US" w:eastAsia="zh-CN" w:bidi="ar"/>
              </w:rPr>
            </w:pPr>
          </w:p>
        </w:tc>
        <w:tc>
          <w:tcPr>
            <w:tcW w:w="1094" w:type="dxa"/>
            <w:vMerge w:val="continue"/>
            <w:tcBorders>
              <w:left w:val="single" w:color="000000" w:sz="4" w:space="0"/>
              <w:bottom w:val="single" w:color="000000" w:sz="4" w:space="0"/>
              <w:right w:val="single" w:color="000000" w:sz="4" w:space="0"/>
            </w:tcBorders>
            <w:shd w:val="clear" w:color="auto" w:fill="auto"/>
            <w:vAlign w:val="center"/>
          </w:tcPr>
          <w:p>
            <w:pPr>
              <w:rPr>
                <w:lang w:val="en-US" w:eastAsia="zh-CN"/>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时效指标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按时发放率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经济效益指标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结余率（计算方法为：结余数/预算数）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22.5</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kern w:val="2"/>
                <w:sz w:val="16"/>
                <w:szCs w:val="16"/>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default" w:ascii="微软雅黑" w:hAnsi="微软雅黑" w:eastAsia="微软雅黑" w:cs="微软雅黑"/>
                <w:i/>
                <w:iCs/>
                <w:color w:val="auto"/>
                <w:sz w:val="16"/>
                <w:szCs w:val="16"/>
                <w:highlight w:val="none"/>
                <w:u w:val="none"/>
                <w:lang w:val="en-US"/>
              </w:rPr>
            </w:pPr>
            <w:r>
              <w:rPr>
                <w:rFonts w:hint="eastAsia" w:ascii="宋体" w:hAnsi="宋体" w:cs="宋体"/>
                <w:i w:val="0"/>
                <w:iCs w:val="0"/>
                <w:color w:val="auto"/>
                <w:sz w:val="18"/>
                <w:szCs w:val="18"/>
                <w:highlight w:val="none"/>
                <w:u w:val="none"/>
                <w:lang w:val="en-US" w:eastAsia="zh-CN"/>
              </w:rPr>
              <w:t>我单位严格执行预算，及时准确的将</w:t>
            </w:r>
            <w:r>
              <w:rPr>
                <w:rFonts w:ascii="宋体" w:hAnsi="宋体" w:eastAsia="宋体" w:cs="宋体"/>
                <w:i w:val="0"/>
                <w:iCs w:val="0"/>
                <w:color w:val="auto"/>
                <w:kern w:val="0"/>
                <w:sz w:val="18"/>
                <w:szCs w:val="18"/>
                <w:highlight w:val="none"/>
                <w:u w:val="none"/>
                <w:lang w:val="en-US" w:eastAsia="zh-CN" w:bidi="ar"/>
              </w:rPr>
              <w:t>规范后市级基础绩效奖及生活补助</w:t>
            </w:r>
            <w:r>
              <w:rPr>
                <w:rFonts w:hint="eastAsia" w:ascii="宋体" w:hAnsi="宋体" w:cs="宋体"/>
                <w:i w:val="0"/>
                <w:iCs w:val="0"/>
                <w:color w:val="auto"/>
                <w:kern w:val="0"/>
                <w:sz w:val="18"/>
                <w:szCs w:val="18"/>
                <w:highlight w:val="none"/>
                <w:u w:val="none"/>
                <w:lang w:val="en-US" w:eastAsia="zh-CN" w:bidi="ar"/>
              </w:rPr>
              <w:t>发放到位。自评得分100分。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宋体" w:hAnsi="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lang w:val="en-US" w:eastAsia="zh-CN"/>
              </w:rPr>
            </w:pPr>
            <w:r>
              <w:rPr>
                <w:rFonts w:hint="eastAsia" w:ascii="宋体" w:hAnsi="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default" w:ascii="黑体" w:hAnsi="黑体" w:eastAsia="黑体" w:cs="黑体"/>
                <w:i w:val="0"/>
                <w:iCs w:val="0"/>
                <w:color w:val="auto"/>
                <w:sz w:val="18"/>
                <w:szCs w:val="18"/>
                <w:highlight w:val="none"/>
                <w:u w:val="none"/>
                <w:lang w:val="en-US"/>
              </w:rPr>
            </w:pPr>
            <w:r>
              <w:rPr>
                <w:rFonts w:hint="eastAsia" w:ascii="黑体" w:hAnsi="黑体" w:eastAsia="黑体" w:cs="黑体"/>
                <w:i w:val="0"/>
                <w:iCs w:val="0"/>
                <w:color w:val="auto"/>
                <w:kern w:val="0"/>
                <w:sz w:val="18"/>
                <w:szCs w:val="18"/>
                <w:highlight w:val="none"/>
                <w:u w:val="none"/>
                <w:lang w:val="en-US" w:eastAsia="zh-CN" w:bidi="ar"/>
              </w:rPr>
              <w:t>项目负责人：韩燕</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default" w:ascii="黑体" w:hAnsi="黑体" w:eastAsia="黑体" w:cs="黑体"/>
                <w:i w:val="0"/>
                <w:iCs w:val="0"/>
                <w:color w:val="auto"/>
                <w:sz w:val="18"/>
                <w:szCs w:val="18"/>
                <w:highlight w:val="none"/>
                <w:u w:val="none"/>
                <w:lang w:val="en-US"/>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9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42"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8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5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1"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2027"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51080023T000008454428-医疗退休一次性补缴费用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981"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实施单位（盖章）</w:t>
            </w:r>
          </w:p>
        </w:tc>
        <w:tc>
          <w:tcPr>
            <w:tcW w:w="31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广元市人民政府驻成都办事处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43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保障退休职工正常享受医疗待遇。</w:t>
            </w:r>
          </w:p>
        </w:tc>
        <w:tc>
          <w:tcPr>
            <w:tcW w:w="4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保障了退休职工正常享受医疗待遇。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85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根据成都市人力资源和社会保障局、成都市财政局《关于转发&lt;四川省流动就业人员基本医疗保障关系转移接续登记管理实施办法（暂行）&gt;的通知》（成人社发[2010]18号）第三条规定，需一次性趸缴退休职工牛瑞芳医疗保险费4.02万元。我单位根据实际情况申请医疗退休一次性补缴费用4.02万元，2022年中追加预算4.02万元，我单位及时进行了缴纳，保障了退休职工正常享受医疗保险各项待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4.02</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4.02</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4.02</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4.02</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人数</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1人</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发放率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发放完成时间</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月</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1月</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医疗退休一次性补缴</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4.02万元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保障退休职工合法权益</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级</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退休职工满意度</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0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宋体" w:hAnsi="宋体" w:eastAsia="宋体" w:cs="宋体"/>
                <w:i w:val="0"/>
                <w:iCs w:val="0"/>
                <w:color w:val="auto"/>
                <w:kern w:val="0"/>
                <w:sz w:val="18"/>
                <w:szCs w:val="18"/>
                <w:highlight w:val="none"/>
                <w:u w:val="none"/>
                <w:lang w:val="en-US" w:eastAsia="zh-CN" w:bidi="ar"/>
              </w:rPr>
              <w:t>该项目的实施，保障了退休职工正常享受医疗保险各项待遇。自评得分100分。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96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7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项目负责人：韩燕</w:t>
            </w:r>
          </w:p>
        </w:tc>
        <w:tc>
          <w:tcPr>
            <w:tcW w:w="54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财务负责人：蒋小俊</w:t>
            </w:r>
          </w:p>
        </w:tc>
      </w:tr>
    </w:tbl>
    <w:p>
      <w:pPr>
        <w:shd w:val="clear"/>
        <w:spacing w:line="600" w:lineRule="exact"/>
        <w:jc w:val="left"/>
        <w:outlineLvl w:val="9"/>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shd w:val="clear"/>
        <w:spacing w:line="600" w:lineRule="exact"/>
        <w:jc w:val="center"/>
        <w:outlineLvl w:val="0"/>
        <w:rPr>
          <w:rFonts w:hint="eastAsia" w:ascii="仿宋" w:hAnsi="仿宋" w:eastAsia="仿宋"/>
          <w:b w:val="0"/>
          <w:color w:val="auto"/>
          <w:highlight w:val="none"/>
        </w:rPr>
      </w:pPr>
      <w:bookmarkStart w:id="80" w:name="_Toc23298"/>
      <w:r>
        <w:rPr>
          <w:rFonts w:hint="eastAsia" w:ascii="黑体" w:hAnsi="黑体" w:eastAsia="黑体"/>
          <w:color w:val="auto"/>
          <w:sz w:val="44"/>
          <w:szCs w:val="44"/>
          <w:highlight w:val="none"/>
        </w:rPr>
        <w:t>第</w:t>
      </w:r>
      <w:r>
        <w:rPr>
          <w:rStyle w:val="18"/>
          <w:rFonts w:hint="eastAsia" w:ascii="黑体" w:hAnsi="黑体" w:eastAsia="黑体"/>
          <w:b w:val="0"/>
          <w:color w:val="auto"/>
          <w:highlight w:val="none"/>
        </w:rPr>
        <w:t>五部分附表</w:t>
      </w:r>
      <w:bookmarkEnd w:id="75"/>
      <w:bookmarkEnd w:id="79"/>
      <w:bookmarkEnd w:id="80"/>
      <w:bookmarkStart w:id="81" w:name="_Toc15396619"/>
    </w:p>
    <w:p>
      <w:pPr>
        <w:pStyle w:val="4"/>
        <w:shd w:val="clear"/>
        <w:rPr>
          <w:rFonts w:ascii="仿宋" w:hAnsi="仿宋" w:eastAsia="仿宋"/>
          <w:color w:val="auto"/>
          <w:highlight w:val="none"/>
        </w:rPr>
      </w:pPr>
      <w:bookmarkStart w:id="82" w:name="_Toc19255"/>
      <w:r>
        <w:rPr>
          <w:rFonts w:hint="eastAsia" w:ascii="仿宋" w:hAnsi="仿宋" w:eastAsia="仿宋"/>
          <w:b w:val="0"/>
          <w:color w:val="auto"/>
          <w:highlight w:val="none"/>
        </w:rPr>
        <w:t>一、收</w:t>
      </w:r>
      <w:r>
        <w:rPr>
          <w:rStyle w:val="19"/>
          <w:rFonts w:hint="eastAsia" w:ascii="仿宋" w:hAnsi="仿宋" w:eastAsia="仿宋"/>
          <w:b w:val="0"/>
          <w:bCs w:val="0"/>
          <w:color w:val="auto"/>
          <w:highlight w:val="none"/>
        </w:rPr>
        <w:t>入支出决算总表</w:t>
      </w:r>
      <w:bookmarkEnd w:id="81"/>
      <w:bookmarkEnd w:id="82"/>
    </w:p>
    <w:p>
      <w:pPr>
        <w:pStyle w:val="4"/>
        <w:shd w:val="clear"/>
        <w:rPr>
          <w:rFonts w:ascii="仿宋" w:hAnsi="仿宋" w:eastAsia="仿宋"/>
          <w:color w:val="auto"/>
          <w:highlight w:val="none"/>
        </w:rPr>
      </w:pPr>
      <w:bookmarkStart w:id="83" w:name="_Toc23653"/>
      <w:bookmarkStart w:id="84" w:name="_Toc15396620"/>
      <w:r>
        <w:rPr>
          <w:rFonts w:hint="eastAsia" w:ascii="仿宋" w:hAnsi="仿宋" w:eastAsia="仿宋"/>
          <w:b w:val="0"/>
          <w:color w:val="auto"/>
          <w:highlight w:val="none"/>
        </w:rPr>
        <w:t>二、收</w:t>
      </w:r>
      <w:r>
        <w:rPr>
          <w:rStyle w:val="19"/>
          <w:rFonts w:hint="eastAsia" w:ascii="仿宋" w:hAnsi="仿宋" w:eastAsia="仿宋"/>
          <w:b w:val="0"/>
          <w:bCs w:val="0"/>
          <w:color w:val="auto"/>
          <w:highlight w:val="none"/>
        </w:rPr>
        <w:t>入决算表</w:t>
      </w:r>
      <w:bookmarkEnd w:id="83"/>
      <w:bookmarkEnd w:id="84"/>
    </w:p>
    <w:p>
      <w:pPr>
        <w:pStyle w:val="4"/>
        <w:shd w:val="clear"/>
        <w:rPr>
          <w:rFonts w:ascii="仿宋" w:hAnsi="仿宋" w:eastAsia="仿宋"/>
          <w:color w:val="auto"/>
          <w:highlight w:val="none"/>
        </w:rPr>
      </w:pPr>
      <w:bookmarkStart w:id="85" w:name="_Toc15396621"/>
      <w:bookmarkStart w:id="86" w:name="_Toc7845"/>
      <w:r>
        <w:rPr>
          <w:rStyle w:val="19"/>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9"/>
          <w:rFonts w:hint="eastAsia" w:ascii="仿宋" w:hAnsi="仿宋" w:eastAsia="仿宋"/>
          <w:b w:val="0"/>
          <w:bCs w:val="0"/>
          <w:color w:val="auto"/>
          <w:highlight w:val="none"/>
        </w:rPr>
        <w:t>出决算表</w:t>
      </w:r>
      <w:bookmarkEnd w:id="85"/>
      <w:bookmarkEnd w:id="86"/>
    </w:p>
    <w:p>
      <w:pPr>
        <w:pStyle w:val="4"/>
        <w:shd w:val="clear"/>
        <w:rPr>
          <w:rFonts w:ascii="仿宋" w:hAnsi="仿宋" w:eastAsia="仿宋"/>
          <w:b w:val="0"/>
          <w:color w:val="auto"/>
          <w:highlight w:val="none"/>
        </w:rPr>
      </w:pPr>
      <w:bookmarkStart w:id="87" w:name="_Toc15396622"/>
      <w:bookmarkStart w:id="88" w:name="_Toc25852"/>
      <w:r>
        <w:rPr>
          <w:rStyle w:val="19"/>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9"/>
          <w:rFonts w:hint="eastAsia" w:ascii="仿宋" w:hAnsi="仿宋" w:eastAsia="仿宋"/>
          <w:b w:val="0"/>
          <w:bCs w:val="0"/>
          <w:color w:val="auto"/>
          <w:highlight w:val="none"/>
        </w:rPr>
        <w:t>政拨款收入支出决算总表</w:t>
      </w:r>
      <w:bookmarkEnd w:id="87"/>
      <w:bookmarkEnd w:id="88"/>
    </w:p>
    <w:p>
      <w:pPr>
        <w:pStyle w:val="4"/>
        <w:shd w:val="clear"/>
        <w:rPr>
          <w:rStyle w:val="19"/>
          <w:rFonts w:ascii="仿宋" w:hAnsi="仿宋" w:eastAsia="仿宋"/>
          <w:b w:val="0"/>
          <w:bCs w:val="0"/>
          <w:color w:val="auto"/>
          <w:highlight w:val="none"/>
        </w:rPr>
      </w:pPr>
      <w:bookmarkStart w:id="89" w:name="_Toc15396623"/>
      <w:bookmarkStart w:id="90" w:name="_Toc24423"/>
      <w:r>
        <w:rPr>
          <w:rStyle w:val="19"/>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9"/>
          <w:rFonts w:hint="eastAsia" w:ascii="仿宋" w:hAnsi="仿宋" w:eastAsia="仿宋"/>
          <w:b w:val="0"/>
          <w:bCs w:val="0"/>
          <w:color w:val="auto"/>
          <w:highlight w:val="none"/>
        </w:rPr>
        <w:t>政拨款支出决算明细表</w:t>
      </w:r>
      <w:bookmarkEnd w:id="89"/>
      <w:bookmarkEnd w:id="90"/>
      <w:bookmarkStart w:id="91" w:name="_Toc15396624"/>
    </w:p>
    <w:p>
      <w:pPr>
        <w:pStyle w:val="4"/>
        <w:shd w:val="clear"/>
        <w:rPr>
          <w:rFonts w:ascii="仿宋" w:hAnsi="仿宋" w:eastAsia="仿宋"/>
          <w:color w:val="auto"/>
          <w:highlight w:val="none"/>
        </w:rPr>
      </w:pPr>
      <w:bookmarkStart w:id="92" w:name="_Toc27077"/>
      <w:r>
        <w:rPr>
          <w:rStyle w:val="19"/>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般公共预算财政拨款支出决算表</w:t>
      </w:r>
      <w:bookmarkEnd w:id="91"/>
      <w:bookmarkEnd w:id="92"/>
    </w:p>
    <w:p>
      <w:pPr>
        <w:pStyle w:val="4"/>
        <w:shd w:val="clear"/>
        <w:rPr>
          <w:rFonts w:ascii="仿宋" w:hAnsi="仿宋" w:eastAsia="仿宋"/>
          <w:color w:val="auto"/>
          <w:highlight w:val="none"/>
        </w:rPr>
      </w:pPr>
      <w:bookmarkStart w:id="93" w:name="_Toc30712"/>
      <w:bookmarkStart w:id="94" w:name="_Toc15396625"/>
      <w:r>
        <w:rPr>
          <w:rStyle w:val="19"/>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般公共预算财政拨款支出决算明细表</w:t>
      </w:r>
      <w:bookmarkEnd w:id="93"/>
      <w:bookmarkEnd w:id="94"/>
    </w:p>
    <w:p>
      <w:pPr>
        <w:pStyle w:val="4"/>
        <w:shd w:val="clear"/>
        <w:rPr>
          <w:rFonts w:ascii="仿宋" w:hAnsi="仿宋" w:eastAsia="仿宋"/>
          <w:color w:val="auto"/>
          <w:highlight w:val="none"/>
        </w:rPr>
      </w:pPr>
      <w:bookmarkStart w:id="95" w:name="_Toc15396626"/>
      <w:bookmarkStart w:id="96" w:name="_Toc14056"/>
      <w:r>
        <w:rPr>
          <w:rStyle w:val="19"/>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般公共预算财政拨款基本支出决算表</w:t>
      </w:r>
      <w:bookmarkEnd w:id="95"/>
      <w:bookmarkEnd w:id="96"/>
    </w:p>
    <w:p>
      <w:pPr>
        <w:pStyle w:val="4"/>
        <w:shd w:val="clear"/>
        <w:rPr>
          <w:rFonts w:ascii="仿宋" w:hAnsi="仿宋" w:eastAsia="仿宋"/>
          <w:color w:val="auto"/>
          <w:highlight w:val="none"/>
        </w:rPr>
      </w:pPr>
      <w:bookmarkStart w:id="97" w:name="_Toc15396627"/>
      <w:bookmarkStart w:id="98" w:name="_Toc10547"/>
      <w:r>
        <w:rPr>
          <w:rStyle w:val="19"/>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9"/>
          <w:rFonts w:hint="eastAsia" w:ascii="仿宋" w:hAnsi="仿宋" w:eastAsia="仿宋"/>
          <w:b w:val="0"/>
          <w:bCs w:val="0"/>
          <w:color w:val="auto"/>
          <w:highlight w:val="none"/>
        </w:rPr>
        <w:t>般公共预算财政拨款项目支出决算表</w:t>
      </w:r>
      <w:bookmarkEnd w:id="97"/>
      <w:bookmarkEnd w:id="98"/>
    </w:p>
    <w:p>
      <w:pPr>
        <w:pStyle w:val="4"/>
        <w:shd w:val="clear"/>
        <w:rPr>
          <w:rFonts w:ascii="仿宋" w:hAnsi="仿宋" w:eastAsia="仿宋"/>
          <w:color w:val="auto"/>
          <w:highlight w:val="none"/>
        </w:rPr>
      </w:pPr>
      <w:bookmarkStart w:id="99" w:name="_Toc15396628"/>
      <w:bookmarkStart w:id="100" w:name="_Toc16881"/>
      <w:r>
        <w:rPr>
          <w:rStyle w:val="19"/>
          <w:rFonts w:hint="eastAsia" w:ascii="仿宋" w:hAnsi="仿宋" w:eastAsia="仿宋"/>
          <w:b w:val="0"/>
          <w:bCs w:val="0"/>
          <w:color w:val="auto"/>
          <w:highlight w:val="none"/>
        </w:rPr>
        <w:t>十、</w:t>
      </w:r>
      <w:bookmarkEnd w:id="99"/>
      <w:r>
        <w:rPr>
          <w:rFonts w:hint="eastAsia" w:ascii="仿宋" w:hAnsi="仿宋" w:eastAsia="仿宋"/>
          <w:b w:val="0"/>
          <w:color w:val="auto"/>
          <w:highlight w:val="none"/>
        </w:rPr>
        <w:t>政</w:t>
      </w:r>
      <w:r>
        <w:rPr>
          <w:rStyle w:val="19"/>
          <w:rFonts w:hint="eastAsia" w:ascii="仿宋" w:hAnsi="仿宋" w:eastAsia="仿宋"/>
          <w:b w:val="0"/>
          <w:bCs w:val="0"/>
          <w:color w:val="auto"/>
          <w:highlight w:val="none"/>
        </w:rPr>
        <w:t>府性基金预算财政拨款收入支出决算表</w:t>
      </w:r>
      <w:bookmarkEnd w:id="100"/>
    </w:p>
    <w:p>
      <w:pPr>
        <w:pStyle w:val="4"/>
        <w:shd w:val="clear"/>
        <w:rPr>
          <w:rFonts w:ascii="仿宋" w:hAnsi="仿宋" w:eastAsia="仿宋"/>
          <w:color w:val="auto"/>
          <w:highlight w:val="none"/>
        </w:rPr>
      </w:pPr>
      <w:bookmarkStart w:id="101" w:name="_Toc15396629"/>
      <w:bookmarkStart w:id="102" w:name="_Toc29189"/>
      <w:r>
        <w:rPr>
          <w:rStyle w:val="19"/>
          <w:rFonts w:hint="eastAsia" w:ascii="仿宋" w:hAnsi="仿宋" w:eastAsia="仿宋"/>
          <w:b w:val="0"/>
          <w:bCs w:val="0"/>
          <w:color w:val="auto"/>
          <w:highlight w:val="none"/>
        </w:rPr>
        <w:t>十一、</w:t>
      </w:r>
      <w:bookmarkEnd w:id="101"/>
      <w:r>
        <w:rPr>
          <w:rFonts w:hint="eastAsia" w:ascii="仿宋" w:hAnsi="仿宋" w:eastAsia="仿宋"/>
          <w:b w:val="0"/>
          <w:color w:val="auto"/>
          <w:highlight w:val="none"/>
        </w:rPr>
        <w:t>国</w:t>
      </w:r>
      <w:r>
        <w:rPr>
          <w:rStyle w:val="19"/>
          <w:rFonts w:hint="eastAsia" w:ascii="仿宋" w:hAnsi="仿宋" w:eastAsia="仿宋"/>
          <w:b w:val="0"/>
          <w:bCs w:val="0"/>
          <w:color w:val="auto"/>
          <w:highlight w:val="none"/>
        </w:rPr>
        <w:t>有资本经营预算</w:t>
      </w:r>
      <w:r>
        <w:rPr>
          <w:rStyle w:val="19"/>
          <w:rFonts w:hint="eastAsia" w:ascii="仿宋" w:hAnsi="仿宋" w:eastAsia="仿宋"/>
          <w:b w:val="0"/>
          <w:bCs w:val="0"/>
          <w:color w:val="auto"/>
          <w:highlight w:val="none"/>
          <w:lang w:eastAsia="zh-CN"/>
        </w:rPr>
        <w:t>财政拨款收入</w:t>
      </w:r>
      <w:r>
        <w:rPr>
          <w:rStyle w:val="19"/>
          <w:rFonts w:hint="eastAsia" w:ascii="仿宋" w:hAnsi="仿宋" w:eastAsia="仿宋"/>
          <w:b w:val="0"/>
          <w:bCs w:val="0"/>
          <w:color w:val="auto"/>
          <w:highlight w:val="none"/>
        </w:rPr>
        <w:t>支出决算表</w:t>
      </w:r>
      <w:bookmarkEnd w:id="102"/>
    </w:p>
    <w:p>
      <w:pPr>
        <w:pStyle w:val="4"/>
        <w:shd w:val="clear"/>
        <w:rPr>
          <w:rFonts w:ascii="仿宋" w:hAnsi="仿宋" w:eastAsia="仿宋"/>
          <w:color w:val="auto"/>
          <w:highlight w:val="none"/>
        </w:rPr>
      </w:pPr>
      <w:bookmarkStart w:id="103" w:name="_Toc15396630"/>
      <w:bookmarkStart w:id="104" w:name="_Toc22350"/>
      <w:r>
        <w:rPr>
          <w:rStyle w:val="19"/>
          <w:rFonts w:hint="eastAsia" w:ascii="仿宋" w:hAnsi="仿宋" w:eastAsia="仿宋"/>
          <w:b w:val="0"/>
          <w:bCs w:val="0"/>
          <w:color w:val="auto"/>
          <w:highlight w:val="none"/>
        </w:rPr>
        <w:t>十二、</w:t>
      </w:r>
      <w:bookmarkEnd w:id="103"/>
      <w:r>
        <w:rPr>
          <w:rStyle w:val="19"/>
          <w:rFonts w:hint="eastAsia" w:ascii="仿宋" w:hAnsi="仿宋" w:eastAsia="仿宋"/>
          <w:b w:val="0"/>
          <w:bCs w:val="0"/>
          <w:color w:val="auto"/>
          <w:highlight w:val="none"/>
          <w:lang w:eastAsia="zh-CN"/>
        </w:rPr>
        <w:t>国有资本经营预算财政拨款支出决算表</w:t>
      </w:r>
      <w:bookmarkEnd w:id="104"/>
    </w:p>
    <w:p>
      <w:pPr>
        <w:pStyle w:val="4"/>
        <w:shd w:val="clear"/>
        <w:rPr>
          <w:rFonts w:hint="eastAsia" w:eastAsia="仿宋"/>
          <w:color w:val="auto"/>
          <w:highlight w:val="none"/>
          <w:lang w:eastAsia="zh-CN"/>
        </w:rPr>
      </w:pPr>
      <w:bookmarkStart w:id="105" w:name="_Toc15396631"/>
      <w:bookmarkStart w:id="106" w:name="_Toc22932"/>
      <w:r>
        <w:rPr>
          <w:rStyle w:val="19"/>
          <w:rFonts w:hint="eastAsia" w:ascii="仿宋" w:hAnsi="仿宋" w:eastAsia="仿宋"/>
          <w:b w:val="0"/>
          <w:bCs w:val="0"/>
          <w:color w:val="auto"/>
          <w:highlight w:val="none"/>
        </w:rPr>
        <w:t>十三、</w:t>
      </w:r>
      <w:bookmarkEnd w:id="105"/>
      <w:r>
        <w:rPr>
          <w:rStyle w:val="19"/>
          <w:rFonts w:hint="eastAsia" w:ascii="仿宋" w:hAnsi="仿宋" w:eastAsia="仿宋"/>
          <w:b w:val="0"/>
          <w:bCs w:val="0"/>
          <w:color w:val="auto"/>
          <w:highlight w:val="none"/>
          <w:lang w:eastAsia="zh-CN"/>
        </w:rPr>
        <w:t>财政拨款“三公”经费支出决算表</w:t>
      </w:r>
      <w:bookmarkEnd w:id="106"/>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FCBF5CFB"/>
    <w:multiLevelType w:val="singleLevel"/>
    <w:tmpl w:val="FCBF5CFB"/>
    <w:lvl w:ilvl="0" w:tentative="0">
      <w:start w:val="1"/>
      <w:numFmt w:val="decimal"/>
      <w:suff w:val="nothing"/>
      <w:lvlText w:val="%1．"/>
      <w:lvlJc w:val="left"/>
      <w:pPr>
        <w:ind w:left="0" w:firstLine="400"/>
      </w:pPr>
      <w:rPr>
        <w:rFonts w:hint="default"/>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yZjFmYzEyY2VkZTg0YjdmZGUxMjhmYWE5ZjJhY2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4BD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DA16D0"/>
    <w:rsid w:val="01F93C7C"/>
    <w:rsid w:val="053A62B5"/>
    <w:rsid w:val="05A36383"/>
    <w:rsid w:val="07802D3F"/>
    <w:rsid w:val="0A2032A3"/>
    <w:rsid w:val="0B8A37D8"/>
    <w:rsid w:val="0BDA0778"/>
    <w:rsid w:val="0E883192"/>
    <w:rsid w:val="10C055FF"/>
    <w:rsid w:val="118107EC"/>
    <w:rsid w:val="11DD6519"/>
    <w:rsid w:val="16BB723D"/>
    <w:rsid w:val="18015F3F"/>
    <w:rsid w:val="18621AC3"/>
    <w:rsid w:val="1A243E56"/>
    <w:rsid w:val="1AC83294"/>
    <w:rsid w:val="1BE76159"/>
    <w:rsid w:val="1BE8440E"/>
    <w:rsid w:val="1D155CEE"/>
    <w:rsid w:val="1DCC2D6F"/>
    <w:rsid w:val="205E04E8"/>
    <w:rsid w:val="20F57F95"/>
    <w:rsid w:val="21BE0BA8"/>
    <w:rsid w:val="240371BF"/>
    <w:rsid w:val="25711CC6"/>
    <w:rsid w:val="25C741E6"/>
    <w:rsid w:val="27842671"/>
    <w:rsid w:val="29FD04D3"/>
    <w:rsid w:val="2ABE7A3E"/>
    <w:rsid w:val="2C825B2F"/>
    <w:rsid w:val="2CA234A8"/>
    <w:rsid w:val="2EFA178C"/>
    <w:rsid w:val="30490E19"/>
    <w:rsid w:val="30B46D73"/>
    <w:rsid w:val="311F752F"/>
    <w:rsid w:val="3182479E"/>
    <w:rsid w:val="319F7F4E"/>
    <w:rsid w:val="32860E99"/>
    <w:rsid w:val="33765427"/>
    <w:rsid w:val="383D272C"/>
    <w:rsid w:val="38B54D55"/>
    <w:rsid w:val="39AE70AB"/>
    <w:rsid w:val="39E92488"/>
    <w:rsid w:val="3C0C0783"/>
    <w:rsid w:val="3F9F3A96"/>
    <w:rsid w:val="41085755"/>
    <w:rsid w:val="44EA2395"/>
    <w:rsid w:val="469856C8"/>
    <w:rsid w:val="48BF60AB"/>
    <w:rsid w:val="493C27E9"/>
    <w:rsid w:val="496F39ED"/>
    <w:rsid w:val="49FF41D3"/>
    <w:rsid w:val="4BE068DB"/>
    <w:rsid w:val="4BF6002B"/>
    <w:rsid w:val="4ECE2238"/>
    <w:rsid w:val="51B4381D"/>
    <w:rsid w:val="51DB4B86"/>
    <w:rsid w:val="551B6BB1"/>
    <w:rsid w:val="55333C3E"/>
    <w:rsid w:val="59211AB5"/>
    <w:rsid w:val="5BFD3E45"/>
    <w:rsid w:val="5D6D53CA"/>
    <w:rsid w:val="5FFF6DAC"/>
    <w:rsid w:val="64C37BF6"/>
    <w:rsid w:val="64CA39A1"/>
    <w:rsid w:val="67B832B1"/>
    <w:rsid w:val="69630ADE"/>
    <w:rsid w:val="696D5107"/>
    <w:rsid w:val="6C4A05C8"/>
    <w:rsid w:val="6D3B1A89"/>
    <w:rsid w:val="6E812F96"/>
    <w:rsid w:val="71BF4EC2"/>
    <w:rsid w:val="72734D90"/>
    <w:rsid w:val="73DB6411"/>
    <w:rsid w:val="73E20D82"/>
    <w:rsid w:val="7412278C"/>
    <w:rsid w:val="741B2C62"/>
    <w:rsid w:val="78D14237"/>
    <w:rsid w:val="7904082E"/>
    <w:rsid w:val="79662BF9"/>
    <w:rsid w:val="79E7B28D"/>
    <w:rsid w:val="7F9F20EE"/>
    <w:rsid w:val="9E3A10E2"/>
    <w:rsid w:val="AF6BFC2B"/>
    <w:rsid w:val="BDDB62E5"/>
    <w:rsid w:val="CFCFDED7"/>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6"/>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30"/>
    <w:semiHidden/>
    <w:unhideWhenUsed/>
    <w:qFormat/>
    <w:uiPriority w:val="99"/>
    <w:rPr>
      <w:sz w:val="18"/>
      <w:szCs w:val="18"/>
    </w:rPr>
  </w:style>
  <w:style w:type="paragraph" w:styleId="8">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able of figures"/>
    <w:basedOn w:val="1"/>
    <w:next w:val="1"/>
    <w:semiHidden/>
    <w:qFormat/>
    <w:uiPriority w:val="99"/>
    <w:pPr>
      <w:ind w:left="200" w:leftChars="200" w:hanging="200" w:hangingChars="200"/>
    </w:p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标题 1 Char"/>
    <w:basedOn w:val="15"/>
    <w:link w:val="3"/>
    <w:qFormat/>
    <w:uiPriority w:val="9"/>
    <w:rPr>
      <w:rFonts w:ascii="Times New Roman" w:hAnsi="Times New Roman"/>
      <w:b/>
      <w:bCs/>
      <w:kern w:val="44"/>
      <w:sz w:val="44"/>
      <w:szCs w:val="44"/>
    </w:rPr>
  </w:style>
  <w:style w:type="character" w:customStyle="1" w:styleId="19">
    <w:name w:val="标题 2 Char"/>
    <w:basedOn w:val="15"/>
    <w:link w:val="4"/>
    <w:qFormat/>
    <w:uiPriority w:val="9"/>
    <w:rPr>
      <w:rFonts w:asciiTheme="majorHAnsi" w:hAnsiTheme="majorHAnsi" w:eastAsiaTheme="majorEastAsia" w:cstheme="majorBidi"/>
      <w:b/>
      <w:bCs/>
      <w:kern w:val="2"/>
      <w:sz w:val="32"/>
      <w:szCs w:val="32"/>
    </w:rPr>
  </w:style>
  <w:style w:type="character" w:customStyle="1" w:styleId="20">
    <w:name w:val="标题 3 Char"/>
    <w:basedOn w:val="15"/>
    <w:link w:val="5"/>
    <w:qFormat/>
    <w:uiPriority w:val="9"/>
    <w:rPr>
      <w:rFonts w:ascii="Times New Roman" w:hAnsi="Times New Roman"/>
      <w:b/>
      <w:bCs/>
      <w:kern w:val="2"/>
      <w:sz w:val="32"/>
      <w:szCs w:val="32"/>
    </w:rPr>
  </w:style>
  <w:style w:type="character" w:customStyle="1" w:styleId="21">
    <w:name w:val="Header Char"/>
    <w:basedOn w:val="15"/>
    <w:semiHidden/>
    <w:qFormat/>
    <w:uiPriority w:val="99"/>
    <w:rPr>
      <w:rFonts w:ascii="Times New Roman" w:hAnsi="Times New Roman"/>
      <w:sz w:val="18"/>
      <w:szCs w:val="18"/>
    </w:rPr>
  </w:style>
  <w:style w:type="character" w:customStyle="1" w:styleId="22">
    <w:name w:val="页眉 Char"/>
    <w:link w:val="9"/>
    <w:semiHidden/>
    <w:qFormat/>
    <w:locked/>
    <w:uiPriority w:val="99"/>
    <w:rPr>
      <w:sz w:val="18"/>
    </w:rPr>
  </w:style>
  <w:style w:type="character" w:customStyle="1" w:styleId="23">
    <w:name w:val="Footer Char"/>
    <w:basedOn w:val="15"/>
    <w:semiHidden/>
    <w:qFormat/>
    <w:uiPriority w:val="99"/>
    <w:rPr>
      <w:rFonts w:ascii="Times New Roman" w:hAnsi="Times New Roman"/>
      <w:sz w:val="18"/>
      <w:szCs w:val="18"/>
    </w:rPr>
  </w:style>
  <w:style w:type="character" w:customStyle="1" w:styleId="24">
    <w:name w:val="页脚 Char"/>
    <w:link w:val="8"/>
    <w:qFormat/>
    <w:locked/>
    <w:uiPriority w:val="99"/>
    <w:rPr>
      <w:sz w:val="18"/>
    </w:rPr>
  </w:style>
  <w:style w:type="character" w:customStyle="1" w:styleId="25">
    <w:name w:val="Body Text Char"/>
    <w:basedOn w:val="15"/>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Char"/>
    <w:basedOn w:val="15"/>
    <w:link w:val="7"/>
    <w:semiHidden/>
    <w:qFormat/>
    <w:uiPriority w:val="99"/>
    <w:rPr>
      <w:rFonts w:ascii="Times New Roman" w:hAnsi="Times New Roman"/>
      <w:kern w:val="2"/>
      <w:sz w:val="18"/>
      <w:szCs w:val="18"/>
    </w:rPr>
  </w:style>
  <w:style w:type="paragraph" w:customStyle="1" w:styleId="31">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font71"/>
    <w:basedOn w:val="15"/>
    <w:qFormat/>
    <w:uiPriority w:val="0"/>
    <w:rPr>
      <w:rFonts w:hint="eastAsia" w:ascii="宋体" w:hAnsi="宋体" w:eastAsia="宋体" w:cs="宋体"/>
      <w:color w:val="000000"/>
      <w:sz w:val="18"/>
      <w:szCs w:val="18"/>
      <w:u w:val="none"/>
    </w:rPr>
  </w:style>
  <w:style w:type="paragraph" w:customStyle="1" w:styleId="33">
    <w:name w:val="WPSOffice手动目录 1"/>
    <w:qFormat/>
    <w:uiPriority w:val="0"/>
    <w:pPr>
      <w:ind w:leftChars="0"/>
    </w:pPr>
    <w:rPr>
      <w:rFonts w:ascii="Times New Roman" w:hAnsi="Times New Roman" w:eastAsia="宋体" w:cs="Times New Roman"/>
      <w:sz w:val="20"/>
      <w:szCs w:val="20"/>
    </w:rPr>
  </w:style>
  <w:style w:type="paragraph" w:customStyle="1" w:styleId="3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Desktop\&#39292;&#29366;&#22270;.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C:\Users\Administrator\Desktop\&#24191;&#20803;&#24066;&#26412;&#32423;&#36164;&#20135;&#26376;&#25253;&#29992;&#25143;&#21517;%20(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2021年</c:v>
                </c:pt>
                <c:pt idx="1">
                  <c:v>2022年</c:v>
                </c:pt>
              </c:strCache>
            </c:strRef>
          </c:cat>
          <c:val>
            <c:numRef>
              <c:f>[工作簿1]Sheet1!$B$1:$B$2</c:f>
              <c:numCache>
                <c:formatCode>General</c:formatCode>
                <c:ptCount val="2"/>
                <c:pt idx="0">
                  <c:v>707.67</c:v>
                </c:pt>
                <c:pt idx="1">
                  <c:v>1111.8</c:v>
                </c:pt>
              </c:numCache>
            </c:numRef>
          </c:val>
        </c:ser>
        <c:dLbls>
          <c:showLegendKey val="0"/>
          <c:showVal val="1"/>
          <c:showCatName val="0"/>
          <c:showSerName val="0"/>
          <c:showPercent val="0"/>
          <c:showBubbleSize val="0"/>
        </c:dLbls>
        <c:gapWidth val="219"/>
        <c:overlap val="-27"/>
        <c:axId val="564734510"/>
        <c:axId val="223490766"/>
      </c:barChart>
      <c:catAx>
        <c:axId val="56473451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23490766"/>
        <c:crosses val="autoZero"/>
        <c:auto val="1"/>
        <c:lblAlgn val="ctr"/>
        <c:lblOffset val="100"/>
        <c:noMultiLvlLbl val="0"/>
      </c:catAx>
      <c:valAx>
        <c:axId val="22349076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6473451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一般公共预算财政拨款收入</c:v>
                </c:pt>
                <c:pt idx="1">
                  <c:v>其他收入</c:v>
                </c:pt>
              </c:strCache>
            </c:strRef>
          </c:cat>
          <c:val>
            <c:numRef>
              <c:f>[工作簿1]Sheet1!$B$1:$B$2</c:f>
              <c:numCache>
                <c:formatCode>0.00%</c:formatCode>
                <c:ptCount val="2"/>
                <c:pt idx="0">
                  <c:v>0.9928</c:v>
                </c:pt>
                <c:pt idx="1">
                  <c:v>0.0072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基本支出</c:v>
                </c:pt>
                <c:pt idx="1">
                  <c:v>项目支出</c:v>
                </c:pt>
              </c:strCache>
            </c:strRef>
          </c:cat>
          <c:val>
            <c:numRef>
              <c:f>[工作簿1]Sheet1!$B$1:$B$2</c:f>
              <c:numCache>
                <c:formatCode>0.00%</c:formatCode>
                <c:ptCount val="2"/>
                <c:pt idx="0">
                  <c:v>0.5257</c:v>
                </c:pt>
                <c:pt idx="1">
                  <c:v>0.4743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2021年</c:v>
                </c:pt>
                <c:pt idx="1">
                  <c:v>2022年</c:v>
                </c:pt>
              </c:strCache>
            </c:strRef>
          </c:cat>
          <c:val>
            <c:numRef>
              <c:f>[工作簿1]Sheet1!$B$1:$B$2</c:f>
              <c:numCache>
                <c:formatCode>General</c:formatCode>
                <c:ptCount val="2"/>
                <c:pt idx="0">
                  <c:v>707.63</c:v>
                </c:pt>
                <c:pt idx="1">
                  <c:v>1103.8</c:v>
                </c:pt>
              </c:numCache>
            </c:numRef>
          </c:val>
        </c:ser>
        <c:dLbls>
          <c:showLegendKey val="0"/>
          <c:showVal val="1"/>
          <c:showCatName val="0"/>
          <c:showSerName val="0"/>
          <c:showPercent val="0"/>
          <c:showBubbleSize val="0"/>
        </c:dLbls>
        <c:gapWidth val="219"/>
        <c:overlap val="-27"/>
        <c:axId val="609528953"/>
        <c:axId val="761315081"/>
      </c:barChart>
      <c:catAx>
        <c:axId val="60952895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1315081"/>
        <c:crosses val="autoZero"/>
        <c:auto val="1"/>
        <c:lblAlgn val="ctr"/>
        <c:lblOffset val="100"/>
        <c:noMultiLvlLbl val="0"/>
      </c:catAx>
      <c:valAx>
        <c:axId val="76131508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952895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2021年</c:v>
                </c:pt>
                <c:pt idx="1">
                  <c:v>2022年</c:v>
                </c:pt>
              </c:strCache>
            </c:strRef>
          </c:cat>
          <c:val>
            <c:numRef>
              <c:f>[工作簿1]Sheet1!$B$1:$B$2</c:f>
              <c:numCache>
                <c:formatCode>General</c:formatCode>
                <c:ptCount val="2"/>
                <c:pt idx="0">
                  <c:v>707.63</c:v>
                </c:pt>
                <c:pt idx="1">
                  <c:v>1103.8</c:v>
                </c:pt>
              </c:numCache>
            </c:numRef>
          </c:val>
        </c:ser>
        <c:dLbls>
          <c:showLegendKey val="0"/>
          <c:showVal val="1"/>
          <c:showCatName val="0"/>
          <c:showSerName val="0"/>
          <c:showPercent val="0"/>
          <c:showBubbleSize val="0"/>
        </c:dLbls>
        <c:gapWidth val="219"/>
        <c:overlap val="-27"/>
        <c:axId val="45014208"/>
        <c:axId val="666045782"/>
      </c:barChart>
      <c:catAx>
        <c:axId val="450142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6045782"/>
        <c:crosses val="autoZero"/>
        <c:auto val="1"/>
        <c:lblAlgn val="ctr"/>
        <c:lblOffset val="100"/>
        <c:noMultiLvlLbl val="0"/>
      </c:catAx>
      <c:valAx>
        <c:axId val="66604578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0142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一般公共预算财政拨款支出决算结构图</a:t>
            </a:r>
            <a:endParaRPr lang="en-US" altLang="zh-CN"/>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manualLayout>
                  <c:x val="-0.04375"/>
                  <c:y val="-0.19444444444444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
                  <c:y val="0.0312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125"/>
                  <c:y val="0"/>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25"/>
                  <c:y val="0.090277777777777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[饼状图.xlsx]Sheet1!$A$1:$A$4</c:f>
              <c:strCache>
                <c:ptCount val="4"/>
                <c:pt idx="0">
                  <c:v>一般公共服务支出</c:v>
                </c:pt>
                <c:pt idx="1">
                  <c:v>社会保障和就业支出</c:v>
                </c:pt>
                <c:pt idx="2">
                  <c:v>卫生健康支出</c:v>
                </c:pt>
                <c:pt idx="3">
                  <c:v>住房保障支出</c:v>
                </c:pt>
              </c:strCache>
            </c:strRef>
          </c:cat>
          <c:val>
            <c:numRef>
              <c:f>[饼状图.xlsx]Sheet1!$B$1:$B$4</c:f>
              <c:numCache>
                <c:formatCode>0.00%</c:formatCode>
                <c:ptCount val="4"/>
                <c:pt idx="0">
                  <c:v>0.8966</c:v>
                </c:pt>
                <c:pt idx="1">
                  <c:v>0.0496</c:v>
                </c:pt>
                <c:pt idx="2">
                  <c:v>0.0172</c:v>
                </c:pt>
                <c:pt idx="3">
                  <c:v>0.0365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a:t>
            </a:r>
            <a:r>
              <a:rPr altLang="en-US"/>
              <a:t>三公</a:t>
            </a:r>
            <a:r>
              <a:rPr lang="en-US" altLang="zh-CN"/>
              <a:t>”</a:t>
            </a:r>
            <a:r>
              <a:rPr altLang="en-US"/>
              <a:t>经费财政拨款支出结构图</a:t>
            </a:r>
            <a:endParaRPr altLang="en-US"/>
          </a:p>
        </c:rich>
      </c:tx>
      <c:layout>
        <c:manualLayout>
          <c:xMode val="edge"/>
          <c:yMode val="edge"/>
          <c:x val="0.258194444444444"/>
          <c:y val="0.0138888888888889"/>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'[广元市本级资产月报用户名 (1).xls]Sheet1'!$A$1:$A$3</c:f>
              <c:strCache>
                <c:ptCount val="3"/>
                <c:pt idx="0">
                  <c:v>因公出国（境）经费支出</c:v>
                </c:pt>
                <c:pt idx="1">
                  <c:v>公务用车购置及运行维护费支出</c:v>
                </c:pt>
                <c:pt idx="2">
                  <c:v>公务接待费支出</c:v>
                </c:pt>
              </c:strCache>
            </c:strRef>
          </c:cat>
          <c:val>
            <c:numRef>
              <c:f>'[广元市本级资产月报用户名 (1).xls]Sheet1'!$B$1:$B$3</c:f>
              <c:numCache>
                <c:formatCode>0%</c:formatCode>
                <c:ptCount val="3"/>
                <c:pt idx="0">
                  <c:v>0</c:v>
                </c:pt>
                <c:pt idx="1">
                  <c:v>1</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19</Pages>
  <Words>4571</Words>
  <Characters>4979</Characters>
  <Lines>61</Lines>
  <Paragraphs>17</Paragraphs>
  <TotalTime>150</TotalTime>
  <ScaleCrop>false</ScaleCrop>
  <LinksUpToDate>false</LinksUpToDate>
  <CharactersWithSpaces>5001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Administrator</cp:lastModifiedBy>
  <cp:lastPrinted>2023-10-18T03:32:45Z</cp:lastPrinted>
  <dcterms:modified xsi:type="dcterms:W3CDTF">2023-10-18T03:44:06Z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22F5269ECC9545EAB58242A65B531A24_13</vt:lpwstr>
  </property>
</Properties>
</file>