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96475"/>
      <w:bookmarkStart w:id="2" w:name="_Toc15377193"/>
      <w:bookmarkStart w:id="3" w:name="_Toc563"/>
      <w:bookmarkStart w:id="4" w:name="_Toc15378441"/>
      <w:bookmarkStart w:id="5" w:name="_Toc15377425"/>
      <w:bookmarkStart w:id="6" w:name="_Toc15396597"/>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7" w:name="_Toc4286"/>
      <w:bookmarkStart w:id="8" w:name="_Toc15377426"/>
      <w:bookmarkStart w:id="9" w:name="_Toc15396598"/>
      <w:bookmarkStart w:id="10" w:name="_Toc15396476"/>
      <w:bookmarkStart w:id="11" w:name="_Toc15378442"/>
      <w:bookmarkStart w:id="12" w:name="_Toc15377194"/>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3" w:name="_Toc15306268"/>
      <w:r>
        <w:rPr>
          <w:rFonts w:ascii="方正小标宋简体" w:hAnsi="方正小标宋简体" w:eastAsia="方正小标宋简体" w:cs="方正小标宋简体"/>
          <w:color w:val="auto"/>
          <w:sz w:val="72"/>
          <w:szCs w:val="72"/>
          <w:highlight w:val="none"/>
        </w:rPr>
        <w:t>烈士陵园管理所</w:t>
      </w:r>
      <w:r>
        <w:rPr>
          <w:rFonts w:ascii="Lucida Sans" w:hAnsi="方正小标宋简体" w:eastAsia="方正小标宋简体" w:cs="方正小标宋简体"/>
          <w:color w:val="auto"/>
          <w:sz w:val="72"/>
          <w:szCs w:val="72"/>
          <w:highlight w:val="none"/>
        </w:rPr>
        <w:t xml:space="preserve">  </w:t>
      </w:r>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7"/>
      <w:bookmarkEnd w:id="8"/>
      <w:bookmarkEnd w:id="9"/>
      <w:bookmarkEnd w:id="10"/>
      <w:bookmarkEnd w:id="11"/>
      <w:bookmarkEnd w:id="12"/>
      <w:bookmarkEnd w:id="13"/>
    </w:p>
    <w:p>
      <w:pPr>
        <w:widowControl/>
        <w:jc w:val="center"/>
        <w:rPr>
          <w:rFonts w:ascii="黑体" w:hAnsi="黑体" w:eastAsia="黑体" w:cs="Arial"/>
          <w:color w:val="auto"/>
          <w:sz w:val="28"/>
          <w:szCs w:val="2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2"/>
        <w:rPr>
          <w:rFonts w:hint="eastAsia" w:eastAsia="仿宋"/>
          <w:color w:val="auto"/>
          <w:highlight w:val="none"/>
          <w:lang w:val="en-US" w:eastAsia="zh-CN"/>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10 </w:t>
      </w:r>
      <w:r>
        <w:rPr>
          <w:rFonts w:hint="eastAsia"/>
          <w:color w:val="auto"/>
          <w:highlight w:val="none"/>
        </w:rPr>
        <w:t>月</w:t>
      </w:r>
      <w:r>
        <w:rPr>
          <w:rFonts w:hint="eastAsia"/>
          <w:color w:val="auto"/>
          <w:highlight w:val="none"/>
          <w:lang w:val="en-US" w:eastAsia="zh-CN"/>
        </w:rPr>
        <w:t xml:space="preserve"> </w:t>
      </w:r>
      <w:r>
        <w:rPr>
          <w:rFonts w:hint="default"/>
          <w:color w:val="auto"/>
          <w:highlight w:val="none"/>
          <w:lang w:val="en-US" w:eastAsia="zh-CN"/>
        </w:rPr>
        <w:t>17</w:t>
      </w:r>
      <w:r>
        <w:rPr>
          <w:rFonts w:hint="eastAsia"/>
          <w:color w:val="auto"/>
          <w:highlight w:val="none"/>
          <w:lang w:val="en-US" w:eastAsia="zh-CN"/>
        </w:rPr>
        <w:t xml:space="preserve"> </w:t>
      </w:r>
      <w:r>
        <w:rPr>
          <w:rFonts w:hint="eastAsia"/>
          <w:color w:val="auto"/>
          <w:highlight w:val="none"/>
        </w:rPr>
        <w:t>日</w:t>
      </w:r>
    </w:p>
    <w:sdt>
      <w:sdtPr>
        <w:rPr>
          <w:rFonts w:ascii="宋体" w:hAnsi="宋体" w:eastAsia="宋体" w:cs="Times New Roman"/>
          <w:kern w:val="2"/>
          <w:sz w:val="21"/>
          <w:szCs w:val="24"/>
          <w:lang w:val="en-US" w:eastAsia="zh-CN" w:bidi="ar-SA"/>
        </w:rPr>
        <w:id w:val="147478340"/>
        <w15:color w:val="DBDBDB"/>
        <w:docPartObj>
          <w:docPartGallery w:val="Table of Contents"/>
          <w:docPartUnique/>
        </w:docPartObj>
      </w:sdtPr>
      <w:sdtEndPr>
        <w:rPr>
          <w:rFonts w:ascii="Times New Roman" w:hAnsi="Times New Roman" w:eastAsia="宋体" w:cs="Times New Roman"/>
          <w:b/>
          <w:color w:val="auto"/>
          <w:kern w:val="2"/>
          <w:sz w:val="21"/>
          <w:szCs w:val="24"/>
          <w:highlight w:val="none"/>
          <w:lang w:val="en-US" w:eastAsia="zh-CN" w:bidi="ar-SA"/>
        </w:rPr>
      </w:sdtEndPr>
      <w:sdtContent>
        <w:p>
          <w:pPr>
            <w:spacing w:before="0" w:beforeLines="0" w:after="0" w:afterLines="0" w:line="240" w:lineRule="auto"/>
            <w:ind w:left="0" w:leftChars="0" w:right="0" w:rightChars="0" w:firstLine="0" w:firstLineChars="0"/>
            <w:jc w:val="center"/>
            <w:rPr>
              <w:b/>
            </w:rPr>
          </w:pPr>
          <w:r>
            <w:rPr>
              <w:color w:val="auto"/>
              <w:highlight w:val="none"/>
            </w:rPr>
            <w:fldChar w:fldCharType="begin"/>
          </w:r>
          <w:r>
            <w:rPr>
              <w:color w:val="auto"/>
              <w:highlight w:val="none"/>
            </w:rPr>
            <w:instrText xml:space="preserve">TOC \o "1-2" \h \u </w:instrText>
          </w:r>
          <w:r>
            <w:rPr>
              <w:color w:val="auto"/>
              <w:highlight w:val="none"/>
            </w:rPr>
            <w:fldChar w:fldCharType="separate"/>
          </w:r>
        </w:p>
        <w:p>
          <w:pPr>
            <w:pStyle w:val="28"/>
            <w:tabs>
              <w:tab w:val="right" w:leader="dot" w:pos="8306"/>
            </w:tabs>
            <w:rPr>
              <w:b/>
            </w:rPr>
          </w:pPr>
          <w:r>
            <w:rPr>
              <w:b/>
              <w:color w:val="auto"/>
              <w:highlight w:val="none"/>
            </w:rPr>
            <w:fldChar w:fldCharType="begin"/>
          </w:r>
          <w:r>
            <w:rPr>
              <w:b/>
              <w:highlight w:val="none"/>
            </w:rPr>
            <w:instrText xml:space="preserve"> HYPERLINK \l _Toc14314 </w:instrText>
          </w:r>
          <w:r>
            <w:rPr>
              <w:b/>
              <w:highlight w:val="none"/>
            </w:rPr>
            <w:fldChar w:fldCharType="separate"/>
          </w:r>
          <w:r>
            <w:rPr>
              <w:rFonts w:hint="eastAsia" w:ascii="黑体" w:hAnsi="黑体" w:eastAsia="黑体"/>
              <w:b/>
              <w:highlight w:val="none"/>
            </w:rPr>
            <w:t xml:space="preserve">第一部分 </w:t>
          </w:r>
          <w:r>
            <w:rPr>
              <w:rFonts w:hint="eastAsia" w:ascii="黑体" w:hAnsi="黑体" w:eastAsia="黑体"/>
              <w:b/>
              <w:highlight w:val="none"/>
              <w:lang w:eastAsia="zh-CN"/>
            </w:rPr>
            <w:t>单位</w:t>
          </w:r>
          <w:r>
            <w:rPr>
              <w:rFonts w:hint="eastAsia" w:ascii="黑体" w:hAnsi="黑体" w:eastAsia="黑体"/>
              <w:b/>
              <w:bCs w:val="0"/>
              <w:highlight w:val="none"/>
            </w:rPr>
            <w:t>概况</w:t>
          </w:r>
          <w:r>
            <w:rPr>
              <w:b/>
            </w:rPr>
            <w:tab/>
          </w:r>
          <w:r>
            <w:rPr>
              <w:b/>
            </w:rPr>
            <w:fldChar w:fldCharType="begin"/>
          </w:r>
          <w:r>
            <w:rPr>
              <w:b/>
            </w:rPr>
            <w:instrText xml:space="preserve"> PAGEREF _Toc14314 \h </w:instrText>
          </w:r>
          <w:r>
            <w:rPr>
              <w:b/>
            </w:rPr>
            <w:fldChar w:fldCharType="separate"/>
          </w:r>
          <w:r>
            <w:rPr>
              <w:b/>
            </w:rPr>
            <w:t>1</w:t>
          </w:r>
          <w:r>
            <w:rPr>
              <w:b/>
            </w:rPr>
            <w:fldChar w:fldCharType="end"/>
          </w:r>
          <w:r>
            <w:rPr>
              <w:b/>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_Toc28588 </w:instrText>
          </w:r>
          <w:r>
            <w:rPr>
              <w:highlight w:val="none"/>
            </w:rPr>
            <w:fldChar w:fldCharType="separate"/>
          </w:r>
          <w:r>
            <w:rPr>
              <w:rFonts w:ascii="黑体" w:hAnsi="黑体" w:eastAsia="黑体"/>
              <w:bCs w:val="0"/>
              <w:highlight w:val="none"/>
              <w:lang w:eastAsia="zh-CN"/>
            </w:rPr>
            <w:t>一、</w:t>
          </w:r>
          <w:r>
            <w:rPr>
              <w:rFonts w:hint="eastAsia" w:ascii="黑体" w:hAnsi="黑体" w:eastAsia="黑体"/>
              <w:bCs w:val="0"/>
              <w:highlight w:val="none"/>
              <w:lang w:eastAsia="zh-CN"/>
            </w:rPr>
            <w:t>主要职责</w:t>
          </w:r>
          <w:r>
            <w:tab/>
          </w:r>
          <w:r>
            <w:fldChar w:fldCharType="begin"/>
          </w:r>
          <w:r>
            <w:instrText xml:space="preserve"> PAGEREF _Toc28588 \h </w:instrText>
          </w:r>
          <w:r>
            <w:fldChar w:fldCharType="separate"/>
          </w:r>
          <w:r>
            <w:t>1</w:t>
          </w:r>
          <w:r>
            <w:fldChar w:fldCharType="end"/>
          </w:r>
          <w:r>
            <w:rPr>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_Toc3969 </w:instrText>
          </w:r>
          <w:r>
            <w:rPr>
              <w:highlight w:val="none"/>
            </w:rPr>
            <w:fldChar w:fldCharType="separate"/>
          </w:r>
          <w:r>
            <w:rPr>
              <w:rFonts w:ascii="黑体" w:hAnsi="黑体" w:eastAsia="黑体"/>
              <w:highlight w:val="none"/>
              <w:lang w:val="en-US" w:eastAsia="zh-CN"/>
            </w:rPr>
            <w:t>二、</w:t>
          </w:r>
          <w:r>
            <w:rPr>
              <w:rFonts w:hint="eastAsia" w:ascii="黑体" w:hAnsi="黑体" w:eastAsia="黑体"/>
              <w:highlight w:val="none"/>
              <w:lang w:val="en-US" w:eastAsia="zh-CN"/>
            </w:rPr>
            <w:t>机构设置</w:t>
          </w:r>
          <w:r>
            <w:tab/>
          </w:r>
          <w:r>
            <w:fldChar w:fldCharType="begin"/>
          </w:r>
          <w:r>
            <w:instrText xml:space="preserve"> PAGEREF _Toc3969 \h </w:instrText>
          </w:r>
          <w:r>
            <w:fldChar w:fldCharType="separate"/>
          </w:r>
          <w:r>
            <w:t>1</w:t>
          </w:r>
          <w:r>
            <w:fldChar w:fldCharType="end"/>
          </w:r>
          <w:r>
            <w:rPr>
              <w:color w:val="auto"/>
              <w:highlight w:val="none"/>
            </w:rPr>
            <w:fldChar w:fldCharType="end"/>
          </w:r>
        </w:p>
        <w:p>
          <w:pPr>
            <w:pStyle w:val="28"/>
            <w:tabs>
              <w:tab w:val="right" w:leader="dot" w:pos="8306"/>
            </w:tabs>
            <w:rPr>
              <w:b/>
            </w:rPr>
          </w:pPr>
          <w:r>
            <w:rPr>
              <w:b/>
              <w:color w:val="auto"/>
              <w:highlight w:val="none"/>
            </w:rPr>
            <w:fldChar w:fldCharType="begin"/>
          </w:r>
          <w:r>
            <w:rPr>
              <w:b/>
              <w:highlight w:val="none"/>
            </w:rPr>
            <w:instrText xml:space="preserve"> HYPERLINK \l _Toc11746 </w:instrText>
          </w:r>
          <w:r>
            <w:rPr>
              <w:b/>
              <w:highlight w:val="none"/>
            </w:rPr>
            <w:fldChar w:fldCharType="separate"/>
          </w:r>
          <w:r>
            <w:rPr>
              <w:rFonts w:hint="eastAsia" w:ascii="黑体" w:hAnsi="黑体" w:eastAsia="黑体"/>
              <w:b/>
              <w:bCs/>
              <w:highlight w:val="none"/>
            </w:rPr>
            <w:t xml:space="preserve">第二部分 </w:t>
          </w:r>
          <w:r>
            <w:rPr>
              <w:rFonts w:hint="eastAsia" w:ascii="黑体" w:hAnsi="黑体" w:eastAsia="黑体"/>
              <w:b/>
              <w:bCs/>
              <w:highlight w:val="none"/>
              <w:lang w:val="en-US" w:eastAsia="zh-CN"/>
            </w:rPr>
            <w:t>2022年度</w:t>
          </w:r>
          <w:r>
            <w:rPr>
              <w:rFonts w:hint="eastAsia" w:ascii="黑体" w:hAnsi="黑体" w:eastAsia="黑体"/>
              <w:b/>
              <w:bCs/>
              <w:highlight w:val="none"/>
              <w:lang w:eastAsia="zh-CN"/>
            </w:rPr>
            <w:t>单位</w:t>
          </w:r>
          <w:r>
            <w:rPr>
              <w:rFonts w:hint="eastAsia" w:ascii="黑体" w:hAnsi="黑体" w:eastAsia="黑体"/>
              <w:b/>
              <w:bCs/>
              <w:highlight w:val="none"/>
            </w:rPr>
            <w:t>决算情况说明</w:t>
          </w:r>
          <w:r>
            <w:rPr>
              <w:b/>
            </w:rPr>
            <w:tab/>
          </w:r>
          <w:r>
            <w:rPr>
              <w:b/>
            </w:rPr>
            <w:fldChar w:fldCharType="begin"/>
          </w:r>
          <w:r>
            <w:rPr>
              <w:b/>
            </w:rPr>
            <w:instrText xml:space="preserve"> PAGEREF _Toc11746 \h </w:instrText>
          </w:r>
          <w:r>
            <w:rPr>
              <w:b/>
            </w:rPr>
            <w:fldChar w:fldCharType="separate"/>
          </w:r>
          <w:r>
            <w:rPr>
              <w:b/>
            </w:rPr>
            <w:t>2</w:t>
          </w:r>
          <w:r>
            <w:rPr>
              <w:b/>
            </w:rPr>
            <w:fldChar w:fldCharType="end"/>
          </w:r>
          <w:r>
            <w:rPr>
              <w:b/>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_Toc8084 </w:instrText>
          </w:r>
          <w:r>
            <w:rPr>
              <w:highlight w:val="none"/>
            </w:rPr>
            <w:fldChar w:fldCharType="separate"/>
          </w:r>
          <w:r>
            <w:rPr>
              <w:rFonts w:hint="default" w:ascii="黑体" w:hAnsi="黑体" w:eastAsia="黑体"/>
            </w:rPr>
            <w:t xml:space="preserve">一、 </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_Toc8084 \h </w:instrText>
          </w:r>
          <w:r>
            <w:fldChar w:fldCharType="separate"/>
          </w:r>
          <w:r>
            <w:t>2</w:t>
          </w:r>
          <w:r>
            <w:fldChar w:fldCharType="end"/>
          </w:r>
          <w:r>
            <w:rPr>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_Toc20659 </w:instrText>
          </w:r>
          <w:r>
            <w:rPr>
              <w:highlight w:val="none"/>
            </w:rPr>
            <w:fldChar w:fldCharType="separate"/>
          </w:r>
          <w:r>
            <w:rPr>
              <w:rFonts w:hint="default" w:ascii="黑体" w:hAnsi="黑体" w:eastAsia="黑体"/>
            </w:rPr>
            <w:t xml:space="preserve">二、 </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_Toc20659 \h </w:instrText>
          </w:r>
          <w:r>
            <w:fldChar w:fldCharType="separate"/>
          </w:r>
          <w:r>
            <w:t>2</w:t>
          </w:r>
          <w:r>
            <w:fldChar w:fldCharType="end"/>
          </w:r>
          <w:r>
            <w:rPr>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_Toc17683 </w:instrText>
          </w:r>
          <w:r>
            <w:rPr>
              <w:highlight w:val="none"/>
            </w:rPr>
            <w:fldChar w:fldCharType="separate"/>
          </w:r>
          <w:r>
            <w:rPr>
              <w:rFonts w:hint="default" w:ascii="黑体" w:hAnsi="黑体" w:eastAsia="黑体"/>
            </w:rPr>
            <w:t xml:space="preserve">三、 </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_Toc17683 \h </w:instrText>
          </w:r>
          <w:r>
            <w:fldChar w:fldCharType="separate"/>
          </w:r>
          <w:r>
            <w:t>3</w:t>
          </w:r>
          <w:r>
            <w:fldChar w:fldCharType="end"/>
          </w:r>
          <w:r>
            <w:rPr>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_Toc9249 </w:instrText>
          </w:r>
          <w:r>
            <w:rPr>
              <w:highlight w:val="none"/>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_Toc9249 \h </w:instrText>
          </w:r>
          <w:r>
            <w:fldChar w:fldCharType="separate"/>
          </w:r>
          <w:r>
            <w:t>4</w:t>
          </w:r>
          <w:r>
            <w:fldChar w:fldCharType="end"/>
          </w:r>
          <w:r>
            <w:rPr>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_Toc17585 </w:instrText>
          </w:r>
          <w:r>
            <w:rPr>
              <w:highlight w:val="none"/>
            </w:rP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_Toc17585 \h </w:instrText>
          </w:r>
          <w:r>
            <w:fldChar w:fldCharType="separate"/>
          </w:r>
          <w:r>
            <w:t>4</w:t>
          </w:r>
          <w:r>
            <w:fldChar w:fldCharType="end"/>
          </w:r>
          <w:r>
            <w:rPr>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_Toc30150 </w:instrText>
          </w:r>
          <w:r>
            <w:rPr>
              <w:highlight w:val="none"/>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_Toc30150 \h </w:instrText>
          </w:r>
          <w:r>
            <w:fldChar w:fldCharType="separate"/>
          </w:r>
          <w:r>
            <w:t>6</w:t>
          </w:r>
          <w:r>
            <w:fldChar w:fldCharType="end"/>
          </w:r>
          <w:r>
            <w:rPr>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_Toc7314 </w:instrText>
          </w:r>
          <w:r>
            <w:rPr>
              <w:highlight w:val="none"/>
            </w:rP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_Toc7314 \h </w:instrText>
          </w:r>
          <w:r>
            <w:fldChar w:fldCharType="separate"/>
          </w:r>
          <w:r>
            <w:t>7</w:t>
          </w:r>
          <w:r>
            <w:fldChar w:fldCharType="end"/>
          </w:r>
          <w:r>
            <w:rPr>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_Toc21030 </w:instrText>
          </w:r>
          <w:r>
            <w:rPr>
              <w:highlight w:val="none"/>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_Toc21030 \h </w:instrText>
          </w:r>
          <w:r>
            <w:fldChar w:fldCharType="separate"/>
          </w:r>
          <w:r>
            <w:t>8</w:t>
          </w:r>
          <w:r>
            <w:fldChar w:fldCharType="end"/>
          </w:r>
          <w:r>
            <w:rPr>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_Toc5035 </w:instrText>
          </w:r>
          <w:r>
            <w:rPr>
              <w:highlight w:val="none"/>
            </w:rP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_Toc5035 \h </w:instrText>
          </w:r>
          <w:r>
            <w:fldChar w:fldCharType="separate"/>
          </w:r>
          <w:r>
            <w:t>8</w:t>
          </w:r>
          <w:r>
            <w:fldChar w:fldCharType="end"/>
          </w:r>
          <w:r>
            <w:rPr>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_Toc18377 </w:instrText>
          </w:r>
          <w:r>
            <w:rPr>
              <w:highlight w:val="none"/>
            </w:rP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_Toc18377 \h </w:instrText>
          </w:r>
          <w:r>
            <w:fldChar w:fldCharType="separate"/>
          </w:r>
          <w:r>
            <w:t>8</w:t>
          </w:r>
          <w:r>
            <w:fldChar w:fldCharType="end"/>
          </w:r>
          <w:r>
            <w:rPr>
              <w:color w:val="auto"/>
              <w:highlight w:val="none"/>
            </w:rPr>
            <w:fldChar w:fldCharType="end"/>
          </w:r>
        </w:p>
        <w:p>
          <w:pPr>
            <w:pStyle w:val="28"/>
            <w:tabs>
              <w:tab w:val="right" w:leader="dot" w:pos="8306"/>
            </w:tabs>
            <w:rPr>
              <w:b/>
            </w:rPr>
          </w:pPr>
          <w:r>
            <w:rPr>
              <w:b/>
              <w:color w:val="auto"/>
              <w:highlight w:val="none"/>
            </w:rPr>
            <w:fldChar w:fldCharType="begin"/>
          </w:r>
          <w:r>
            <w:rPr>
              <w:b/>
              <w:highlight w:val="none"/>
            </w:rPr>
            <w:instrText xml:space="preserve"> HYPERLINK \l _Toc8986 </w:instrText>
          </w:r>
          <w:r>
            <w:rPr>
              <w:b/>
              <w:highlight w:val="none"/>
            </w:rPr>
            <w:fldChar w:fldCharType="separate"/>
          </w:r>
          <w:r>
            <w:rPr>
              <w:rFonts w:hint="eastAsia" w:ascii="黑体" w:hAnsi="黑体" w:eastAsia="黑体" w:cs="黑体"/>
              <w:b/>
              <w:szCs w:val="44"/>
            </w:rPr>
            <w:t xml:space="preserve">第三部分 </w:t>
          </w:r>
          <w:r>
            <w:rPr>
              <w:rFonts w:hint="eastAsia" w:ascii="黑体" w:hAnsi="黑体" w:eastAsia="黑体"/>
              <w:b/>
              <w:szCs w:val="44"/>
              <w:highlight w:val="none"/>
            </w:rPr>
            <w:t>名</w:t>
          </w:r>
          <w:r>
            <w:rPr>
              <w:rFonts w:hint="eastAsia" w:ascii="黑体" w:hAnsi="黑体" w:eastAsia="黑体"/>
              <w:b/>
              <w:highlight w:val="none"/>
            </w:rPr>
            <w:t>词解释</w:t>
          </w:r>
          <w:r>
            <w:rPr>
              <w:b/>
            </w:rPr>
            <w:tab/>
          </w:r>
          <w:r>
            <w:rPr>
              <w:b/>
            </w:rPr>
            <w:fldChar w:fldCharType="begin"/>
          </w:r>
          <w:r>
            <w:rPr>
              <w:b/>
            </w:rPr>
            <w:instrText xml:space="preserve"> PAGEREF _Toc8986 \h </w:instrText>
          </w:r>
          <w:r>
            <w:rPr>
              <w:b/>
            </w:rPr>
            <w:fldChar w:fldCharType="separate"/>
          </w:r>
          <w:r>
            <w:rPr>
              <w:b/>
            </w:rPr>
            <w:t>10</w:t>
          </w:r>
          <w:r>
            <w:rPr>
              <w:b/>
            </w:rPr>
            <w:fldChar w:fldCharType="end"/>
          </w:r>
          <w:r>
            <w:rPr>
              <w:b/>
              <w:color w:val="auto"/>
              <w:highlight w:val="none"/>
            </w:rPr>
            <w:fldChar w:fldCharType="end"/>
          </w:r>
        </w:p>
        <w:p>
          <w:pPr>
            <w:pStyle w:val="28"/>
            <w:tabs>
              <w:tab w:val="right" w:leader="dot" w:pos="8306"/>
            </w:tabs>
            <w:rPr>
              <w:b/>
            </w:rPr>
          </w:pPr>
          <w:r>
            <w:rPr>
              <w:b/>
              <w:color w:val="auto"/>
              <w:highlight w:val="none"/>
            </w:rPr>
            <w:fldChar w:fldCharType="begin"/>
          </w:r>
          <w:r>
            <w:rPr>
              <w:b/>
              <w:highlight w:val="none"/>
            </w:rPr>
            <w:instrText xml:space="preserve"> HYPERLINK \l _Toc17688 </w:instrText>
          </w:r>
          <w:r>
            <w:rPr>
              <w:b/>
              <w:highlight w:val="none"/>
            </w:rPr>
            <w:fldChar w:fldCharType="separate"/>
          </w:r>
          <w:r>
            <w:rPr>
              <w:rFonts w:hint="eastAsia" w:ascii="黑体" w:hAnsi="黑体" w:eastAsia="黑体"/>
              <w:b/>
              <w:szCs w:val="44"/>
              <w:highlight w:val="none"/>
            </w:rPr>
            <w:t>第</w:t>
          </w:r>
          <w:r>
            <w:rPr>
              <w:rFonts w:hint="eastAsia" w:ascii="黑体" w:hAnsi="黑体" w:eastAsia="黑体"/>
              <w:b/>
              <w:highlight w:val="none"/>
            </w:rPr>
            <w:t>四部分 附件</w:t>
          </w:r>
          <w:r>
            <w:rPr>
              <w:b/>
            </w:rPr>
            <w:tab/>
          </w:r>
          <w:r>
            <w:rPr>
              <w:b/>
            </w:rPr>
            <w:fldChar w:fldCharType="begin"/>
          </w:r>
          <w:r>
            <w:rPr>
              <w:b/>
            </w:rPr>
            <w:instrText xml:space="preserve"> PAGEREF _Toc17688 \h </w:instrText>
          </w:r>
          <w:r>
            <w:rPr>
              <w:b/>
            </w:rPr>
            <w:fldChar w:fldCharType="separate"/>
          </w:r>
          <w:r>
            <w:rPr>
              <w:b/>
            </w:rPr>
            <w:t>12</w:t>
          </w:r>
          <w:r>
            <w:rPr>
              <w:b/>
            </w:rPr>
            <w:fldChar w:fldCharType="end"/>
          </w:r>
          <w:r>
            <w:rPr>
              <w:b/>
              <w:color w:val="auto"/>
              <w:highlight w:val="none"/>
            </w:rPr>
            <w:fldChar w:fldCharType="end"/>
          </w:r>
        </w:p>
        <w:p>
          <w:pPr>
            <w:pStyle w:val="28"/>
            <w:tabs>
              <w:tab w:val="right" w:leader="dot" w:pos="8306"/>
            </w:tabs>
            <w:rPr>
              <w:b/>
            </w:rPr>
          </w:pPr>
          <w:r>
            <w:rPr>
              <w:b/>
              <w:color w:val="auto"/>
              <w:highlight w:val="none"/>
            </w:rPr>
            <w:fldChar w:fldCharType="begin"/>
          </w:r>
          <w:r>
            <w:rPr>
              <w:b/>
              <w:highlight w:val="none"/>
            </w:rPr>
            <w:instrText xml:space="preserve"> HYPERLINK \l _Toc12920 </w:instrText>
          </w:r>
          <w:r>
            <w:rPr>
              <w:b/>
              <w:highlight w:val="none"/>
            </w:rPr>
            <w:fldChar w:fldCharType="separate"/>
          </w:r>
          <w:r>
            <w:rPr>
              <w:rFonts w:hint="eastAsia" w:ascii="黑体" w:hAnsi="黑体" w:eastAsia="黑体"/>
              <w:b/>
              <w:szCs w:val="44"/>
              <w:highlight w:val="none"/>
            </w:rPr>
            <w:t>第</w:t>
          </w:r>
          <w:r>
            <w:rPr>
              <w:rFonts w:hint="eastAsia" w:ascii="黑体" w:hAnsi="黑体" w:eastAsia="黑体"/>
              <w:b/>
              <w:highlight w:val="none"/>
            </w:rPr>
            <w:t>五部分 附表</w:t>
          </w:r>
          <w:r>
            <w:rPr>
              <w:b/>
            </w:rPr>
            <w:tab/>
          </w:r>
          <w:r>
            <w:rPr>
              <w:b/>
            </w:rPr>
            <w:fldChar w:fldCharType="begin"/>
          </w:r>
          <w:r>
            <w:rPr>
              <w:b/>
            </w:rPr>
            <w:instrText xml:space="preserve"> PAGEREF _Toc12920 \h </w:instrText>
          </w:r>
          <w:r>
            <w:rPr>
              <w:b/>
            </w:rPr>
            <w:fldChar w:fldCharType="separate"/>
          </w:r>
          <w:r>
            <w:rPr>
              <w:b/>
            </w:rPr>
            <w:t>39</w:t>
          </w:r>
          <w:r>
            <w:rPr>
              <w:b/>
            </w:rPr>
            <w:fldChar w:fldCharType="end"/>
          </w:r>
          <w:r>
            <w:rPr>
              <w:b/>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_Toc25275 </w:instrText>
          </w:r>
          <w:r>
            <w:rPr>
              <w:highlight w:val="none"/>
            </w:rP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_Toc25275 \h </w:instrText>
          </w:r>
          <w:r>
            <w:fldChar w:fldCharType="separate"/>
          </w:r>
          <w:r>
            <w:t>39</w:t>
          </w:r>
          <w:r>
            <w:fldChar w:fldCharType="end"/>
          </w:r>
          <w:r>
            <w:rPr>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_Toc20860 </w:instrText>
          </w:r>
          <w:r>
            <w:rPr>
              <w:highlight w:val="none"/>
            </w:rP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_Toc20860 \h </w:instrText>
          </w:r>
          <w:r>
            <w:fldChar w:fldCharType="separate"/>
          </w:r>
          <w:r>
            <w:t>39</w:t>
          </w:r>
          <w:r>
            <w:fldChar w:fldCharType="end"/>
          </w:r>
          <w:r>
            <w:rPr>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_Toc3214 </w:instrText>
          </w:r>
          <w:r>
            <w:rPr>
              <w:highlight w:val="none"/>
            </w:rP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_Toc3214 \h </w:instrText>
          </w:r>
          <w:r>
            <w:fldChar w:fldCharType="separate"/>
          </w:r>
          <w:r>
            <w:t>39</w:t>
          </w:r>
          <w:r>
            <w:fldChar w:fldCharType="end"/>
          </w:r>
          <w:r>
            <w:rPr>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_Toc29575 </w:instrText>
          </w:r>
          <w:r>
            <w:rPr>
              <w:highlight w:val="none"/>
            </w:rP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_Toc29575 \h </w:instrText>
          </w:r>
          <w:r>
            <w:fldChar w:fldCharType="separate"/>
          </w:r>
          <w:r>
            <w:t>39</w:t>
          </w:r>
          <w:r>
            <w:fldChar w:fldCharType="end"/>
          </w:r>
          <w:r>
            <w:rPr>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_Toc11135 </w:instrText>
          </w:r>
          <w:r>
            <w:rPr>
              <w:highlight w:val="none"/>
            </w:rP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_Toc11135 \h </w:instrText>
          </w:r>
          <w:r>
            <w:fldChar w:fldCharType="separate"/>
          </w:r>
          <w:r>
            <w:t>39</w:t>
          </w:r>
          <w:r>
            <w:fldChar w:fldCharType="end"/>
          </w:r>
          <w:r>
            <w:rPr>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_Toc23709 </w:instrText>
          </w:r>
          <w:r>
            <w:rPr>
              <w:highlight w:val="none"/>
            </w:rP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_Toc23709 \h </w:instrText>
          </w:r>
          <w:r>
            <w:fldChar w:fldCharType="separate"/>
          </w:r>
          <w:r>
            <w:t>39</w:t>
          </w:r>
          <w:r>
            <w:fldChar w:fldCharType="end"/>
          </w:r>
          <w:r>
            <w:rPr>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_Toc7976 </w:instrText>
          </w:r>
          <w:r>
            <w:rPr>
              <w:highlight w:val="none"/>
            </w:rP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_Toc7976 \h </w:instrText>
          </w:r>
          <w:r>
            <w:fldChar w:fldCharType="separate"/>
          </w:r>
          <w:r>
            <w:t>39</w:t>
          </w:r>
          <w:r>
            <w:fldChar w:fldCharType="end"/>
          </w:r>
          <w:r>
            <w:rPr>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_Toc29447 </w:instrText>
          </w:r>
          <w:r>
            <w:rPr>
              <w:highlight w:val="none"/>
            </w:rP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_Toc29447 \h </w:instrText>
          </w:r>
          <w:r>
            <w:fldChar w:fldCharType="separate"/>
          </w:r>
          <w:r>
            <w:t>39</w:t>
          </w:r>
          <w:r>
            <w:fldChar w:fldCharType="end"/>
          </w:r>
          <w:r>
            <w:rPr>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_Toc3419 </w:instrText>
          </w:r>
          <w:r>
            <w:rPr>
              <w:highlight w:val="none"/>
            </w:rP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_Toc3419 \h </w:instrText>
          </w:r>
          <w:r>
            <w:fldChar w:fldCharType="separate"/>
          </w:r>
          <w:r>
            <w:t>39</w:t>
          </w:r>
          <w:r>
            <w:fldChar w:fldCharType="end"/>
          </w:r>
          <w:r>
            <w:rPr>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_Toc824 </w:instrText>
          </w:r>
          <w:r>
            <w:rPr>
              <w:highlight w:val="none"/>
            </w:rP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_Toc824 \h </w:instrText>
          </w:r>
          <w:r>
            <w:fldChar w:fldCharType="separate"/>
          </w:r>
          <w:r>
            <w:t>39</w:t>
          </w:r>
          <w:r>
            <w:fldChar w:fldCharType="end"/>
          </w:r>
          <w:r>
            <w:rPr>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_Toc32516 </w:instrText>
          </w:r>
          <w:r>
            <w:rPr>
              <w:highlight w:val="none"/>
            </w:rP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_Toc32516 \h </w:instrText>
          </w:r>
          <w:r>
            <w:fldChar w:fldCharType="separate"/>
          </w:r>
          <w:r>
            <w:t>39</w:t>
          </w:r>
          <w:r>
            <w:fldChar w:fldCharType="end"/>
          </w:r>
          <w:r>
            <w:rPr>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_Toc12204 </w:instrText>
          </w:r>
          <w:r>
            <w:rPr>
              <w:highlight w:val="none"/>
            </w:rP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_Toc12204 \h </w:instrText>
          </w:r>
          <w:r>
            <w:fldChar w:fldCharType="separate"/>
          </w:r>
          <w:r>
            <w:t>39</w:t>
          </w:r>
          <w:r>
            <w:fldChar w:fldCharType="end"/>
          </w:r>
          <w:r>
            <w:rPr>
              <w:color w:val="auto"/>
              <w:highlight w:val="none"/>
            </w:rPr>
            <w:fldChar w:fldCharType="end"/>
          </w:r>
        </w:p>
        <w:p>
          <w:pPr>
            <w:pStyle w:val="29"/>
            <w:tabs>
              <w:tab w:val="right" w:leader="dot" w:pos="8306"/>
            </w:tabs>
          </w:pPr>
          <w:r>
            <w:rPr>
              <w:color w:val="auto"/>
              <w:highlight w:val="none"/>
            </w:rPr>
            <w:fldChar w:fldCharType="begin"/>
          </w:r>
          <w:r>
            <w:rPr>
              <w:highlight w:val="none"/>
            </w:rPr>
            <w:instrText xml:space="preserve"> HYPERLINK \l _Toc15615 </w:instrText>
          </w:r>
          <w:r>
            <w:rPr>
              <w:highlight w:val="none"/>
            </w:rP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_Toc15615 \h </w:instrText>
          </w:r>
          <w:r>
            <w:fldChar w:fldCharType="separate"/>
          </w:r>
          <w:r>
            <w:t>39</w:t>
          </w:r>
          <w:r>
            <w:fldChar w:fldCharType="end"/>
          </w:r>
          <w:r>
            <w:rPr>
              <w:color w:val="auto"/>
              <w:highlight w:val="none"/>
            </w:rPr>
            <w:fldChar w:fldCharType="end"/>
          </w:r>
        </w:p>
        <w:p>
          <w:pPr>
            <w:pStyle w:val="13"/>
            <w:adjustRightInd w:val="0"/>
            <w:snapToGrid w:val="0"/>
            <w:spacing w:line="440" w:lineRule="exact"/>
            <w:jc w:val="left"/>
            <w:rPr>
              <w:rFonts w:hint="eastAsia" w:ascii="黑体" w:hAnsi="黑体" w:eastAsia="黑体"/>
              <w:b w:val="0"/>
              <w:color w:val="auto"/>
              <w:highlight w:val="none"/>
            </w:rPr>
            <w:sectPr>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r>
            <w:rPr>
              <w:b/>
              <w:color w:val="auto"/>
              <w:highlight w:val="none"/>
            </w:rPr>
            <w:fldChar w:fldCharType="end"/>
          </w:r>
          <w:bookmarkStart w:id="14" w:name="_Toc15377196"/>
          <w:bookmarkStart w:id="15" w:name="_Toc15396599"/>
        </w:p>
      </w:sdtContent>
    </w:sdt>
    <w:p>
      <w:pPr>
        <w:pStyle w:val="4"/>
        <w:jc w:val="center"/>
        <w:rPr>
          <w:rStyle w:val="18"/>
          <w:rFonts w:ascii="黑体" w:hAnsi="黑体" w:eastAsia="黑体"/>
          <w:b/>
          <w:bCs w:val="0"/>
          <w:color w:val="auto"/>
          <w:highlight w:val="none"/>
        </w:rPr>
      </w:pPr>
      <w:bookmarkStart w:id="16" w:name="_Toc14314"/>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8"/>
          <w:rFonts w:hint="eastAsia" w:ascii="黑体" w:hAnsi="黑体" w:eastAsia="黑体"/>
          <w:b w:val="0"/>
          <w:bCs w:val="0"/>
          <w:color w:val="auto"/>
          <w:highlight w:val="none"/>
        </w:rPr>
        <w:t>概况</w:t>
      </w:r>
      <w:bookmarkEnd w:id="14"/>
      <w:bookmarkEnd w:id="15"/>
      <w:bookmarkEnd w:id="16"/>
    </w:p>
    <w:p>
      <w:pPr>
        <w:widowControl/>
        <w:jc w:val="left"/>
        <w:rPr>
          <w:rFonts w:ascii="黑体" w:eastAsia="黑体"/>
          <w:color w:val="auto"/>
          <w:sz w:val="32"/>
          <w:szCs w:val="32"/>
          <w:highlight w:val="none"/>
        </w:rPr>
      </w:pPr>
    </w:p>
    <w:p>
      <w:pPr>
        <w:pStyle w:val="5"/>
        <w:ind w:left="0" w:firstLine="640" w:firstLineChars="200"/>
        <w:rPr>
          <w:rStyle w:val="19"/>
          <w:rFonts w:hint="eastAsia" w:ascii="黑体" w:hAnsi="黑体" w:eastAsia="黑体"/>
          <w:b w:val="0"/>
          <w:bCs w:val="0"/>
          <w:color w:val="auto"/>
          <w:highlight w:val="none"/>
          <w:lang w:eastAsia="zh-CN"/>
        </w:rPr>
      </w:pPr>
      <w:bookmarkStart w:id="17" w:name="_Toc28588"/>
      <w:bookmarkStart w:id="18" w:name="_Toc15396600"/>
      <w:bookmarkStart w:id="19" w:name="_Toc15377197"/>
      <w:r>
        <w:rPr>
          <w:rStyle w:val="19"/>
          <w:rFonts w:ascii="黑体" w:hAnsi="黑体" w:eastAsia="黑体"/>
          <w:b w:val="0"/>
          <w:bCs w:val="0"/>
          <w:color w:val="auto"/>
          <w:highlight w:val="none"/>
          <w:lang w:eastAsia="zh-CN"/>
        </w:rPr>
        <w:t>一、</w:t>
      </w:r>
      <w:r>
        <w:rPr>
          <w:rStyle w:val="19"/>
          <w:rFonts w:hint="eastAsia" w:ascii="黑体" w:hAnsi="黑体" w:eastAsia="黑体"/>
          <w:b w:val="0"/>
          <w:bCs w:val="0"/>
          <w:color w:val="auto"/>
          <w:highlight w:val="none"/>
          <w:lang w:eastAsia="zh-CN"/>
        </w:rPr>
        <w:t>主要职责</w:t>
      </w:r>
      <w:bookmarkEnd w:id="17"/>
    </w:p>
    <w:p>
      <w:pPr>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负责烈士陵园、烈士纪念馆的管理；负责全市烈士纪念设施数据平台建设和运行维护；协助全市烈士纪念设施和军人公墓建设规划、管理；协调组织、指导全市烈士纪念设施修缮保护；负责开展烈士相关对外交流合作等。</w:t>
      </w:r>
    </w:p>
    <w:p>
      <w:pPr>
        <w:pStyle w:val="5"/>
        <w:ind w:firstLine="640" w:firstLineChars="200"/>
        <w:rPr>
          <w:rFonts w:hint="eastAsia" w:ascii="黑体" w:hAnsi="黑体" w:eastAsia="黑体"/>
          <w:b w:val="0"/>
          <w:color w:val="auto"/>
          <w:highlight w:val="none"/>
          <w:lang w:val="en-US" w:eastAsia="zh-CN"/>
        </w:rPr>
      </w:pPr>
      <w:bookmarkStart w:id="20" w:name="_Toc3969"/>
      <w:r>
        <w:rPr>
          <w:rFonts w:ascii="黑体" w:hAnsi="黑体" w:eastAsia="黑体"/>
          <w:b w:val="0"/>
          <w:color w:val="auto"/>
          <w:highlight w:val="none"/>
          <w:lang w:val="en-US" w:eastAsia="zh-CN"/>
        </w:rPr>
        <w:t>二、</w:t>
      </w:r>
      <w:r>
        <w:rPr>
          <w:rFonts w:hint="eastAsia" w:ascii="黑体" w:hAnsi="黑体" w:eastAsia="黑体"/>
          <w:b w:val="0"/>
          <w:color w:val="auto"/>
          <w:highlight w:val="none"/>
          <w:lang w:val="en-US" w:eastAsia="zh-CN"/>
        </w:rPr>
        <w:t>机构设置</w:t>
      </w:r>
      <w:bookmarkEnd w:id="20"/>
    </w:p>
    <w:bookmarkEnd w:id="18"/>
    <w:bookmarkEnd w:id="19"/>
    <w:p>
      <w:pPr>
        <w:widowControl/>
        <w:ind w:firstLine="644"/>
        <w:jc w:val="left"/>
        <w:rPr>
          <w:rFonts w:ascii="仿宋" w:hAnsi="仿宋" w:eastAsia="仿宋"/>
          <w:color w:val="auto"/>
          <w:sz w:val="32"/>
          <w:szCs w:val="32"/>
          <w:highlight w:val="none"/>
        </w:rPr>
      </w:pPr>
      <w:r>
        <w:rPr>
          <w:rFonts w:ascii="仿宋" w:hAnsi="仿宋" w:eastAsia="仿宋"/>
          <w:color w:val="auto"/>
          <w:sz w:val="32"/>
          <w:szCs w:val="32"/>
          <w:highlight w:val="none"/>
        </w:rPr>
        <w:t>广元市烈士陵园管理所属于广元市退役军人事务局下属的二级预算单位，单位性质为财政全额拨款事业单位。</w:t>
      </w:r>
    </w:p>
    <w:p>
      <w:pPr>
        <w:pStyle w:val="7"/>
        <w:ind w:firstLine="644"/>
      </w:pPr>
      <w:r>
        <w:t>纳入2022年度单位决算编制范围的独立编制机构共1个。</w:t>
      </w:r>
    </w:p>
    <w:p>
      <w:pPr>
        <w:pStyle w:val="7"/>
        <w:ind w:firstLine="644"/>
      </w:pPr>
    </w:p>
    <w:p>
      <w:pPr>
        <w:pStyle w:val="7"/>
        <w:ind w:firstLine="644"/>
      </w:pPr>
    </w:p>
    <w:p>
      <w:pPr>
        <w:pStyle w:val="7"/>
        <w:ind w:firstLine="644"/>
      </w:pPr>
    </w:p>
    <w:p>
      <w:pPr>
        <w:pStyle w:val="7"/>
        <w:ind w:firstLine="644"/>
      </w:pPr>
    </w:p>
    <w:p>
      <w:pPr>
        <w:pStyle w:val="7"/>
        <w:ind w:firstLine="644"/>
      </w:pPr>
    </w:p>
    <w:p>
      <w:pPr>
        <w:pStyle w:val="7"/>
        <w:ind w:firstLine="644"/>
      </w:pPr>
    </w:p>
    <w:p>
      <w:pPr>
        <w:pStyle w:val="4"/>
        <w:ind w:right="440"/>
        <w:jc w:val="center"/>
        <w:rPr>
          <w:rStyle w:val="18"/>
          <w:rFonts w:ascii="黑体" w:hAnsi="黑体" w:eastAsia="黑体"/>
          <w:b w:val="0"/>
          <w:bCs/>
          <w:color w:val="auto"/>
          <w:highlight w:val="none"/>
        </w:rPr>
      </w:pPr>
      <w:bookmarkStart w:id="21" w:name="_Toc15396602"/>
      <w:bookmarkStart w:id="22" w:name="_Toc11746"/>
      <w:bookmarkStart w:id="23" w:name="_Toc15377204"/>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18"/>
          <w:rFonts w:hint="eastAsia" w:ascii="黑体" w:hAnsi="黑体" w:eastAsia="黑体"/>
          <w:b w:val="0"/>
          <w:bCs/>
          <w:color w:val="auto"/>
          <w:highlight w:val="none"/>
          <w:lang w:eastAsia="zh-CN"/>
        </w:rPr>
        <w:t>单位</w:t>
      </w:r>
      <w:r>
        <w:rPr>
          <w:rStyle w:val="18"/>
          <w:rFonts w:hint="eastAsia" w:ascii="黑体" w:hAnsi="黑体" w:eastAsia="黑体"/>
          <w:b w:val="0"/>
          <w:bCs/>
          <w:color w:val="auto"/>
          <w:highlight w:val="none"/>
        </w:rPr>
        <w:t>决算情况说明</w:t>
      </w:r>
      <w:bookmarkEnd w:id="21"/>
      <w:bookmarkEnd w:id="22"/>
      <w:bookmarkEnd w:id="23"/>
    </w:p>
    <w:p>
      <w:pPr>
        <w:rPr>
          <w:color w:val="auto"/>
          <w:highlight w:val="none"/>
        </w:rPr>
      </w:pPr>
    </w:p>
    <w:p>
      <w:pPr>
        <w:pStyle w:val="24"/>
        <w:numPr>
          <w:ilvl w:val="0"/>
          <w:numId w:val="1"/>
        </w:numPr>
        <w:spacing w:line="600" w:lineRule="exact"/>
        <w:ind w:firstLineChars="0"/>
        <w:outlineLvl w:val="1"/>
        <w:rPr>
          <w:rStyle w:val="19"/>
          <w:rFonts w:ascii="黑体" w:hAnsi="黑体" w:eastAsia="黑体"/>
          <w:b w:val="0"/>
          <w:color w:val="auto"/>
          <w:highlight w:val="none"/>
        </w:rPr>
      </w:pPr>
      <w:bookmarkStart w:id="24" w:name="_Toc15377205"/>
      <w:bookmarkStart w:id="25" w:name="_Toc8084"/>
      <w:bookmarkStart w:id="26" w:name="_Toc15396603"/>
      <w:r>
        <w:rPr>
          <w:rFonts w:hint="eastAsia" w:ascii="黑体" w:hAnsi="黑体" w:eastAsia="黑体"/>
          <w:color w:val="auto"/>
          <w:sz w:val="32"/>
          <w:szCs w:val="32"/>
          <w:highlight w:val="none"/>
        </w:rPr>
        <w:t>收</w:t>
      </w:r>
      <w:r>
        <w:rPr>
          <w:rStyle w:val="19"/>
          <w:rFonts w:hint="eastAsia" w:ascii="黑体" w:hAnsi="黑体" w:eastAsia="黑体"/>
          <w:b w:val="0"/>
          <w:color w:val="auto"/>
          <w:highlight w:val="none"/>
        </w:rPr>
        <w:t>入支出决算总体情况说明</w:t>
      </w:r>
      <w:bookmarkEnd w:id="24"/>
      <w:bookmarkEnd w:id="25"/>
      <w:bookmarkEnd w:id="26"/>
    </w:p>
    <w:p>
      <w:pPr>
        <w:spacing w:line="600" w:lineRule="exact"/>
        <w:ind w:firstLine="640" w:firstLineChars="200"/>
        <w:rPr>
          <w:rFonts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ascii="仿宋" w:hAnsi="仿宋" w:eastAsia="仿宋"/>
          <w:color w:val="auto"/>
          <w:sz w:val="32"/>
          <w:szCs w:val="32"/>
          <w:highlight w:val="none"/>
        </w:rPr>
        <w:t>774.73</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w:t>
      </w:r>
      <w:r>
        <w:rPr>
          <w:rFonts w:ascii="仿宋" w:hAnsi="仿宋" w:eastAsia="仿宋"/>
          <w:color w:val="auto"/>
          <w:sz w:val="32"/>
          <w:szCs w:val="32"/>
        </w:rPr>
        <w:t>965.78万元</w:t>
      </w:r>
      <w:r>
        <w:rPr>
          <w:rFonts w:hint="eastAsia" w:ascii="仿宋" w:hAnsi="仿宋" w:eastAsia="仿宋"/>
          <w:color w:val="auto"/>
          <w:sz w:val="32"/>
          <w:szCs w:val="32"/>
          <w:highlight w:val="none"/>
        </w:rPr>
        <w:t>相比，收、支总计各减少</w:t>
      </w:r>
      <w:r>
        <w:rPr>
          <w:rFonts w:ascii="仿宋" w:hAnsi="仿宋" w:eastAsia="仿宋"/>
          <w:color w:val="auto"/>
          <w:sz w:val="32"/>
          <w:szCs w:val="32"/>
          <w:highlight w:val="none"/>
        </w:rPr>
        <w:t>191.05</w:t>
      </w:r>
      <w:r>
        <w:rPr>
          <w:rFonts w:hint="eastAsia" w:ascii="仿宋" w:hAnsi="仿宋" w:eastAsia="仿宋"/>
          <w:color w:val="auto"/>
          <w:sz w:val="32"/>
          <w:szCs w:val="32"/>
          <w:highlight w:val="none"/>
        </w:rPr>
        <w:t>万元，下降</w:t>
      </w:r>
      <w:r>
        <w:rPr>
          <w:rFonts w:ascii="仿宋" w:hAnsi="仿宋" w:eastAsia="仿宋"/>
          <w:color w:val="auto"/>
          <w:sz w:val="32"/>
          <w:szCs w:val="32"/>
          <w:highlight w:val="none"/>
        </w:rPr>
        <w:t>19.78%</w:t>
      </w:r>
      <w:r>
        <w:rPr>
          <w:rFonts w:hint="eastAsia" w:ascii="仿宋" w:hAnsi="仿宋" w:eastAsia="仿宋"/>
          <w:color w:val="auto"/>
          <w:sz w:val="32"/>
          <w:szCs w:val="32"/>
          <w:highlight w:val="none"/>
        </w:rPr>
        <w:t>。主要变动原因是</w:t>
      </w:r>
      <w:r>
        <w:rPr>
          <w:rFonts w:ascii="仿宋" w:hAnsi="仿宋" w:eastAsia="仿宋"/>
          <w:color w:val="auto"/>
          <w:sz w:val="32"/>
          <w:szCs w:val="32"/>
          <w:highlight w:val="none"/>
        </w:rPr>
        <w:t>2021年有省、市下达的用于</w:t>
      </w:r>
      <w:r>
        <w:rPr>
          <w:rFonts w:hint="eastAsia" w:ascii="仿宋_GB2312" w:eastAsia="仿宋_GB2312" w:cs="仿宋_GB2312"/>
          <w:sz w:val="32"/>
          <w:szCs w:val="32"/>
          <w:lang w:val="en-US" w:eastAsia="zh-CN"/>
        </w:rPr>
        <w:t>市烈士陵园陈列馆综合楼展陈布展项目（陈列馆）</w:t>
      </w:r>
      <w:r>
        <w:rPr>
          <w:rFonts w:ascii="仿宋_GB2312" w:eastAsia="仿宋_GB2312" w:cs="仿宋_GB2312"/>
          <w:sz w:val="32"/>
          <w:szCs w:val="32"/>
          <w:lang w:val="en-US" w:eastAsia="zh-CN"/>
        </w:rPr>
        <w:t>的专用经费，2022年无此笔专项经费</w:t>
      </w:r>
      <w:r>
        <w:rPr>
          <w:rFonts w:hint="eastAsia" w:ascii="仿宋" w:hAnsi="仿宋" w:eastAsia="仿宋"/>
          <w:color w:val="auto"/>
          <w:sz w:val="32"/>
          <w:szCs w:val="32"/>
          <w:highlight w:val="none"/>
          <w:lang w:eastAsia="zh-CN"/>
        </w:rPr>
        <w:t>。</w:t>
      </w:r>
    </w:p>
    <w:p>
      <w:pPr>
        <w:pStyle w:val="7"/>
        <w:jc w:val="center"/>
        <w:rPr>
          <w:rFonts w:hint="eastAsia"/>
        </w:rPr>
      </w:pPr>
      <w:r>
        <w:rPr>
          <w:rFonts w:hint="eastAsia" w:eastAsia="仿宋_GB2312"/>
          <w:lang w:eastAsia="zh-CN"/>
        </w:rPr>
        <w:drawing>
          <wp:inline distT="0" distB="0" distL="114300" distR="114300">
            <wp:extent cx="5080000" cy="3810000"/>
            <wp:effectExtent l="4445" t="4445" r="20955" b="1460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pPr>
        <w:spacing w:line="600" w:lineRule="exact"/>
        <w:ind w:firstLine="640" w:firstLineChars="200"/>
        <w:jc w:val="left"/>
        <w:rPr>
          <w:rFonts w:ascii="仿宋_GB2312" w:eastAsia="仿宋_GB2312"/>
          <w:color w:val="auto"/>
          <w:sz w:val="32"/>
          <w:szCs w:val="32"/>
          <w:highlight w:val="none"/>
        </w:rPr>
      </w:pPr>
    </w:p>
    <w:p>
      <w:pPr>
        <w:pStyle w:val="24"/>
        <w:numPr>
          <w:ilvl w:val="0"/>
          <w:numId w:val="1"/>
        </w:numPr>
        <w:spacing w:line="600" w:lineRule="exact"/>
        <w:ind w:firstLineChars="0"/>
        <w:outlineLvl w:val="1"/>
        <w:rPr>
          <w:rStyle w:val="19"/>
          <w:rFonts w:ascii="黑体" w:hAnsi="黑体" w:eastAsia="黑体"/>
          <w:b w:val="0"/>
          <w:color w:val="auto"/>
          <w:highlight w:val="none"/>
        </w:rPr>
      </w:pPr>
      <w:bookmarkStart w:id="27" w:name="_Toc15377206"/>
      <w:bookmarkStart w:id="28" w:name="_Toc15396604"/>
      <w:bookmarkStart w:id="29" w:name="_Toc20659"/>
      <w:r>
        <w:rPr>
          <w:rFonts w:hint="eastAsia" w:ascii="黑体" w:hAnsi="黑体" w:eastAsia="黑体"/>
          <w:color w:val="auto"/>
          <w:sz w:val="32"/>
          <w:szCs w:val="32"/>
          <w:highlight w:val="none"/>
        </w:rPr>
        <w:t>收</w:t>
      </w:r>
      <w:r>
        <w:rPr>
          <w:rStyle w:val="19"/>
          <w:rFonts w:hint="eastAsia" w:ascii="黑体" w:hAnsi="黑体" w:eastAsia="黑体"/>
          <w:b w:val="0"/>
          <w:color w:val="auto"/>
          <w:highlight w:val="none"/>
        </w:rPr>
        <w:t>入决算情况说明</w:t>
      </w:r>
      <w:bookmarkEnd w:id="27"/>
      <w:bookmarkEnd w:id="28"/>
      <w:bookmarkEnd w:id="29"/>
    </w:p>
    <w:p>
      <w:pPr>
        <w:spacing w:line="600" w:lineRule="exact"/>
        <w:ind w:firstLine="640" w:firstLineChars="200"/>
        <w:outlineLvl w:val="1"/>
        <w:rPr>
          <w:rFonts w:ascii="仿宋" w:hAnsi="仿宋" w:eastAsia="仿宋"/>
          <w:color w:val="auto"/>
          <w:sz w:val="32"/>
          <w:szCs w:val="32"/>
          <w:highlight w:val="none"/>
        </w:rPr>
      </w:pPr>
      <w:bookmarkStart w:id="30" w:name="_Toc9380"/>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649.91</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649.91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080000" cy="3810000"/>
            <wp:effectExtent l="4445" t="4445" r="20955" b="1460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（图2：收入决算结构图）（饼状图）</w:t>
      </w:r>
    </w:p>
    <w:p>
      <w:pPr>
        <w:spacing w:line="600" w:lineRule="exact"/>
        <w:ind w:firstLine="640" w:firstLineChars="200"/>
        <w:rPr>
          <w:rFonts w:ascii="仿宋_GB2312" w:eastAsia="仿宋_GB2312"/>
          <w:color w:val="auto"/>
          <w:sz w:val="32"/>
          <w:szCs w:val="32"/>
          <w:highlight w:val="none"/>
        </w:rPr>
      </w:pPr>
    </w:p>
    <w:p>
      <w:pPr>
        <w:pStyle w:val="24"/>
        <w:numPr>
          <w:ilvl w:val="0"/>
          <w:numId w:val="1"/>
        </w:numPr>
        <w:spacing w:line="600" w:lineRule="exact"/>
        <w:ind w:firstLineChars="0"/>
        <w:outlineLvl w:val="1"/>
        <w:rPr>
          <w:rStyle w:val="19"/>
          <w:rFonts w:ascii="黑体" w:hAnsi="黑体" w:eastAsia="黑体"/>
          <w:b w:val="0"/>
          <w:color w:val="auto"/>
          <w:highlight w:val="none"/>
        </w:rPr>
      </w:pPr>
      <w:bookmarkStart w:id="31" w:name="_Toc17683"/>
      <w:bookmarkStart w:id="32" w:name="_Toc15396605"/>
      <w:bookmarkStart w:id="33" w:name="_Toc15377207"/>
      <w:r>
        <w:rPr>
          <w:rFonts w:hint="eastAsia" w:ascii="黑体" w:hAnsi="黑体" w:eastAsia="黑体"/>
          <w:color w:val="auto"/>
          <w:sz w:val="32"/>
          <w:szCs w:val="32"/>
          <w:highlight w:val="none"/>
        </w:rPr>
        <w:t>支</w:t>
      </w:r>
      <w:r>
        <w:rPr>
          <w:rStyle w:val="19"/>
          <w:rFonts w:hint="eastAsia" w:ascii="黑体" w:hAnsi="黑体" w:eastAsia="黑体"/>
          <w:b w:val="0"/>
          <w:color w:val="auto"/>
          <w:highlight w:val="none"/>
        </w:rPr>
        <w:t>出决算情况说明</w:t>
      </w:r>
      <w:bookmarkEnd w:id="31"/>
      <w:bookmarkEnd w:id="32"/>
      <w:bookmarkEnd w:id="33"/>
    </w:p>
    <w:p>
      <w:pPr>
        <w:spacing w:line="600" w:lineRule="exact"/>
        <w:ind w:firstLine="640" w:firstLineChars="200"/>
        <w:outlineLvl w:val="1"/>
        <w:rPr>
          <w:rFonts w:ascii="仿宋" w:hAnsi="仿宋" w:eastAsia="仿宋"/>
          <w:color w:val="auto"/>
          <w:sz w:val="32"/>
          <w:szCs w:val="32"/>
          <w:highlight w:val="none"/>
        </w:rPr>
      </w:pPr>
      <w:bookmarkStart w:id="34" w:name="_Toc22636"/>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774.41</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79.68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10.29</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694.73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89.71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4"/>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rPr>
          <w:rFonts w:hint="eastAsia" w:ascii="仿宋" w:hAnsi="仿宋" w:eastAsia="仿宋"/>
          <w:color w:val="auto"/>
          <w:sz w:val="32"/>
          <w:szCs w:val="32"/>
          <w:highlight w:val="none"/>
          <w:shd w:val="pct10" w:color="auto" w:fill="FFFFFF"/>
          <w:lang w:eastAsia="zh-CN"/>
        </w:rPr>
      </w:pPr>
      <w:r>
        <w:rPr>
          <w:rFonts w:hint="eastAsia" w:ascii="仿宋" w:hAnsi="仿宋" w:eastAsia="仿宋"/>
          <w:color w:val="auto"/>
          <w:sz w:val="32"/>
          <w:szCs w:val="32"/>
          <w:highlight w:val="none"/>
          <w:shd w:val="pct10" w:color="auto" w:fill="FFFFFF"/>
          <w:lang w:eastAsia="zh-CN"/>
        </w:rPr>
        <w:drawing>
          <wp:inline distT="0" distB="0" distL="114300" distR="114300">
            <wp:extent cx="5080000" cy="2461260"/>
            <wp:effectExtent l="4445" t="4445" r="11430" b="1079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（图3：支出决算结构图）（饼状图）</w:t>
      </w:r>
    </w:p>
    <w:p>
      <w:pPr>
        <w:spacing w:line="600" w:lineRule="exact"/>
        <w:ind w:firstLine="640" w:firstLineChars="200"/>
        <w:outlineLvl w:val="1"/>
        <w:rPr>
          <w:rStyle w:val="19"/>
          <w:rFonts w:ascii="黑体" w:hAnsi="黑体" w:eastAsia="黑体"/>
          <w:b w:val="0"/>
          <w:color w:val="auto"/>
          <w:highlight w:val="none"/>
        </w:rPr>
      </w:pPr>
      <w:bookmarkStart w:id="35" w:name="_Toc15396606"/>
      <w:bookmarkStart w:id="36" w:name="_Toc15377208"/>
      <w:bookmarkStart w:id="37" w:name="_Toc9249"/>
      <w:r>
        <w:rPr>
          <w:rFonts w:hint="eastAsia" w:ascii="黑体" w:hAnsi="黑体" w:eastAsia="黑体"/>
          <w:color w:val="auto"/>
          <w:sz w:val="32"/>
          <w:szCs w:val="32"/>
          <w:highlight w:val="none"/>
        </w:rPr>
        <w:t>四、财</w:t>
      </w:r>
      <w:r>
        <w:rPr>
          <w:rStyle w:val="19"/>
          <w:rFonts w:hint="eastAsia" w:ascii="黑体" w:hAnsi="黑体" w:eastAsia="黑体"/>
          <w:b w:val="0"/>
          <w:color w:val="auto"/>
          <w:highlight w:val="none"/>
        </w:rPr>
        <w:t>政拨款收入支出决算总体情况说明</w:t>
      </w:r>
      <w:bookmarkEnd w:id="35"/>
      <w:bookmarkEnd w:id="36"/>
      <w:bookmarkEnd w:id="37"/>
    </w:p>
    <w:p>
      <w:pPr>
        <w:spacing w:line="600" w:lineRule="exact"/>
        <w:ind w:firstLine="640" w:firstLineChars="200"/>
        <w:rPr>
          <w:rFonts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774.73</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w:t>
      </w:r>
      <w:r>
        <w:rPr>
          <w:rFonts w:ascii="仿宋" w:hAnsi="仿宋" w:eastAsia="仿宋"/>
          <w:color w:val="auto"/>
          <w:sz w:val="32"/>
          <w:szCs w:val="32"/>
        </w:rPr>
        <w:t>965.78万元</w:t>
      </w:r>
      <w:r>
        <w:rPr>
          <w:rFonts w:hint="eastAsia" w:ascii="仿宋" w:hAnsi="仿宋" w:eastAsia="仿宋"/>
          <w:color w:val="auto"/>
          <w:sz w:val="32"/>
          <w:szCs w:val="32"/>
          <w:highlight w:val="none"/>
        </w:rPr>
        <w:t>相比，</w:t>
      </w:r>
      <w:r>
        <w:rPr>
          <w:rFonts w:hint="eastAsia" w:ascii="仿宋" w:hAnsi="仿宋" w:eastAsia="仿宋"/>
          <w:color w:val="auto"/>
          <w:sz w:val="32"/>
          <w:szCs w:val="32"/>
          <w:highlight w:val="none"/>
          <w:lang w:eastAsia="zh-CN"/>
        </w:rPr>
        <w:t>财政拨款</w:t>
      </w:r>
      <w:r>
        <w:rPr>
          <w:rFonts w:hint="eastAsia" w:ascii="仿宋" w:hAnsi="仿宋" w:eastAsia="仿宋"/>
          <w:color w:val="auto"/>
          <w:sz w:val="32"/>
          <w:szCs w:val="32"/>
          <w:highlight w:val="none"/>
        </w:rPr>
        <w:t>收、支总计各减少</w:t>
      </w:r>
      <w:r>
        <w:rPr>
          <w:rFonts w:ascii="仿宋" w:hAnsi="仿宋" w:eastAsia="仿宋"/>
          <w:color w:val="auto"/>
          <w:sz w:val="32"/>
          <w:szCs w:val="32"/>
          <w:highlight w:val="none"/>
        </w:rPr>
        <w:t>191.05</w:t>
      </w:r>
      <w:r>
        <w:rPr>
          <w:rFonts w:hint="eastAsia" w:ascii="仿宋" w:hAnsi="仿宋" w:eastAsia="仿宋"/>
          <w:color w:val="auto"/>
          <w:sz w:val="32"/>
          <w:szCs w:val="32"/>
          <w:highlight w:val="none"/>
        </w:rPr>
        <w:t>万元，下降</w:t>
      </w:r>
      <w:r>
        <w:rPr>
          <w:rFonts w:ascii="仿宋" w:hAnsi="仿宋" w:eastAsia="仿宋"/>
          <w:color w:val="auto"/>
          <w:sz w:val="32"/>
          <w:szCs w:val="32"/>
          <w:highlight w:val="none"/>
        </w:rPr>
        <w:t>19.78%</w:t>
      </w:r>
      <w:r>
        <w:rPr>
          <w:rFonts w:hint="eastAsia" w:ascii="仿宋" w:hAnsi="仿宋" w:eastAsia="仿宋"/>
          <w:color w:val="auto"/>
          <w:sz w:val="32"/>
          <w:szCs w:val="32"/>
          <w:highlight w:val="none"/>
        </w:rPr>
        <w:t>。主要变动原因是</w:t>
      </w:r>
      <w:r>
        <w:rPr>
          <w:rFonts w:ascii="仿宋" w:hAnsi="仿宋" w:eastAsia="仿宋"/>
          <w:color w:val="auto"/>
          <w:sz w:val="32"/>
          <w:szCs w:val="32"/>
          <w:highlight w:val="none"/>
        </w:rPr>
        <w:t>2021年有省、市下达的用于</w:t>
      </w:r>
      <w:r>
        <w:rPr>
          <w:rFonts w:hint="eastAsia" w:ascii="仿宋_GB2312" w:eastAsia="仿宋_GB2312" w:cs="仿宋_GB2312"/>
          <w:sz w:val="32"/>
          <w:szCs w:val="32"/>
          <w:lang w:val="en-US" w:eastAsia="zh-CN"/>
        </w:rPr>
        <w:t>市烈士陵园陈列馆综合楼展陈布展项目（陈列馆）</w:t>
      </w:r>
      <w:r>
        <w:rPr>
          <w:rFonts w:ascii="仿宋_GB2312" w:eastAsia="仿宋_GB2312" w:cs="仿宋_GB2312"/>
          <w:sz w:val="32"/>
          <w:szCs w:val="32"/>
          <w:lang w:val="en-US" w:eastAsia="zh-CN"/>
        </w:rPr>
        <w:t>的专用经费，2022年无此笔专项经费</w:t>
      </w:r>
      <w:r>
        <w:rPr>
          <w:rFonts w:hint="eastAsia" w:ascii="仿宋" w:hAnsi="仿宋" w:eastAsia="仿宋"/>
          <w:color w:val="auto"/>
          <w:sz w:val="32"/>
          <w:szCs w:val="32"/>
          <w:highlight w:val="none"/>
          <w:lang w:eastAsia="zh-CN"/>
        </w:rPr>
        <w:t>。</w:t>
      </w:r>
    </w:p>
    <w:p>
      <w:pPr>
        <w:rPr>
          <w:rFonts w:ascii="仿宋" w:hAnsi="仿宋" w:eastAsia="仿宋"/>
          <w:b/>
          <w:color w:val="auto"/>
          <w:sz w:val="32"/>
          <w:szCs w:val="32"/>
          <w:highlight w:val="none"/>
        </w:rPr>
      </w:pPr>
      <w:r>
        <w:rPr>
          <w:rFonts w:hint="eastAsia" w:ascii="仿宋" w:hAnsi="仿宋" w:eastAsia="仿宋"/>
          <w:b/>
          <w:color w:val="auto"/>
          <w:sz w:val="32"/>
          <w:szCs w:val="32"/>
          <w:highlight w:val="none"/>
          <w:lang w:eastAsia="zh-CN"/>
        </w:rPr>
        <w:drawing>
          <wp:anchor distT="0" distB="0" distL="114300" distR="114300" simplePos="0" relativeHeight="251659264" behindDoc="0" locked="0" layoutInCell="1" allowOverlap="1">
            <wp:simplePos x="0" y="0"/>
            <wp:positionH relativeFrom="column">
              <wp:posOffset>4445</wp:posOffset>
            </wp:positionH>
            <wp:positionV relativeFrom="paragraph">
              <wp:posOffset>73660</wp:posOffset>
            </wp:positionV>
            <wp:extent cx="5080000" cy="3216275"/>
            <wp:effectExtent l="4445" t="4445" r="11430" b="8255"/>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color w:val="auto"/>
          <w:sz w:val="32"/>
          <w:szCs w:val="32"/>
          <w:highlight w:val="none"/>
        </w:rPr>
        <w:t>（图4：财政拨款收、支决算总计变动情况）（柱状图）</w:t>
      </w:r>
    </w:p>
    <w:p>
      <w:pPr>
        <w:spacing w:line="600" w:lineRule="exact"/>
        <w:ind w:firstLine="640" w:firstLineChars="200"/>
        <w:outlineLvl w:val="1"/>
        <w:rPr>
          <w:rStyle w:val="19"/>
          <w:rFonts w:ascii="黑体" w:hAnsi="黑体" w:eastAsia="黑体"/>
          <w:b w:val="0"/>
          <w:color w:val="auto"/>
          <w:highlight w:val="none"/>
        </w:rPr>
      </w:pPr>
      <w:bookmarkStart w:id="38" w:name="_Toc15377209"/>
      <w:bookmarkStart w:id="39" w:name="_Toc17585"/>
      <w:bookmarkStart w:id="40"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9"/>
          <w:rFonts w:hint="eastAsia" w:ascii="黑体" w:hAnsi="黑体" w:eastAsia="黑体"/>
          <w:b w:val="0"/>
          <w:color w:val="auto"/>
          <w:highlight w:val="none"/>
        </w:rPr>
        <w:t>般公共预算财政拨款支出决算情况说明</w:t>
      </w:r>
      <w:bookmarkEnd w:id="38"/>
      <w:bookmarkEnd w:id="39"/>
      <w:bookmarkEnd w:id="40"/>
    </w:p>
    <w:p>
      <w:pPr>
        <w:spacing w:line="600" w:lineRule="exact"/>
        <w:ind w:firstLine="642" w:firstLineChars="200"/>
        <w:outlineLvl w:val="2"/>
        <w:rPr>
          <w:rFonts w:ascii="仿宋" w:hAnsi="仿宋" w:eastAsia="仿宋"/>
          <w:b/>
          <w:color w:val="auto"/>
          <w:sz w:val="32"/>
          <w:szCs w:val="32"/>
          <w:highlight w:val="none"/>
        </w:rPr>
      </w:pPr>
      <w:bookmarkStart w:id="41" w:name="_Toc15377210"/>
      <w:r>
        <w:rPr>
          <w:rFonts w:hint="eastAsia" w:ascii="仿宋" w:hAnsi="仿宋" w:eastAsia="仿宋"/>
          <w:b/>
          <w:color w:val="auto"/>
          <w:sz w:val="32"/>
          <w:szCs w:val="32"/>
          <w:highlight w:val="none"/>
        </w:rPr>
        <w:t>（一）一般公共预算财政拨款支出决算总体情况</w:t>
      </w:r>
      <w:bookmarkEnd w:id="41"/>
    </w:p>
    <w:p>
      <w:pPr>
        <w:spacing w:line="600" w:lineRule="exact"/>
        <w:ind w:firstLine="640" w:firstLineChars="200"/>
        <w:rPr>
          <w:rFonts w:hint="default" w:ascii="仿宋" w:hAnsi="仿宋" w:eastAsia="仿宋"/>
          <w:color w:val="auto"/>
          <w:sz w:val="32"/>
          <w:szCs w:val="32"/>
          <w:highlight w:val="none"/>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774.41</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年549.55万元相比，一般公共预算财政拨款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224.86</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40.92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2021年有政府性基金预算财政拨款支出270万元，2022年无政府性基金预算财政拨款支出，全部为一般公共预算财政拨款支出。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 w:hAnsi="仿宋" w:eastAsia="仿宋"/>
          <w:color w:val="auto"/>
          <w:sz w:val="32"/>
          <w:szCs w:val="32"/>
          <w:highlight w:val="none"/>
          <w:lang w:val="en-US"/>
        </w:rPr>
      </w:pPr>
      <w:r>
        <w:rPr>
          <w:rFonts w:hint="default" w:ascii="仿宋" w:hAnsi="仿宋" w:eastAsia="仿宋"/>
          <w:color w:val="auto"/>
          <w:sz w:val="32"/>
          <w:szCs w:val="32"/>
          <w:highlight w:val="none"/>
          <w:lang w:val="en-US"/>
        </w:rPr>
        <w:drawing>
          <wp:inline distT="0" distB="0" distL="114300" distR="114300">
            <wp:extent cx="5080000" cy="3810000"/>
            <wp:effectExtent l="4445" t="4445" r="20955" b="1460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（图5：一般公共预算财政拨款支出决算变动情况）（柱状图）</w:t>
      </w:r>
    </w:p>
    <w:p>
      <w:pPr>
        <w:spacing w:line="600" w:lineRule="exact"/>
        <w:ind w:firstLine="642" w:firstLineChars="200"/>
        <w:outlineLvl w:val="2"/>
        <w:rPr>
          <w:rFonts w:ascii="仿宋" w:hAnsi="仿宋" w:eastAsia="仿宋"/>
          <w:b/>
          <w:color w:val="auto"/>
          <w:sz w:val="32"/>
          <w:szCs w:val="32"/>
          <w:highlight w:val="none"/>
        </w:rPr>
      </w:pPr>
      <w:bookmarkStart w:id="42" w:name="_Toc15377211"/>
      <w:r>
        <w:rPr>
          <w:rFonts w:hint="eastAsia" w:ascii="仿宋" w:hAnsi="仿宋" w:eastAsia="仿宋"/>
          <w:b/>
          <w:color w:val="auto"/>
          <w:sz w:val="32"/>
          <w:szCs w:val="32"/>
          <w:highlight w:val="none"/>
        </w:rPr>
        <w:t>（二）一般公共预算财政拨款支出决算结构情况</w:t>
      </w:r>
      <w:bookmarkEnd w:id="42"/>
    </w:p>
    <w:p>
      <w:pPr>
        <w:spacing w:line="600" w:lineRule="exact"/>
        <w:ind w:firstLine="640"/>
        <w:rPr>
          <w:rFonts w:ascii="仿宋" w:hAnsi="仿宋" w:eastAsia="仿宋"/>
          <w:color w:val="auto"/>
          <w:sz w:val="32"/>
          <w:szCs w:val="32"/>
          <w:highlight w:val="none"/>
        </w:rPr>
      </w:pPr>
      <w:r>
        <w:rPr>
          <w:rFonts w:hint="eastAsia" w:ascii="仿宋" w:hAnsi="仿宋" w:eastAsia="仿宋"/>
          <w:b/>
          <w:color w:val="auto"/>
          <w:sz w:val="32"/>
          <w:szCs w:val="32"/>
          <w:highlight w:val="none"/>
          <w:lang w:eastAsia="zh-CN"/>
        </w:rPr>
        <w:drawing>
          <wp:anchor distT="0" distB="0" distL="114300" distR="114300" simplePos="0" relativeHeight="251660288" behindDoc="0" locked="0" layoutInCell="1" allowOverlap="1">
            <wp:simplePos x="0" y="0"/>
            <wp:positionH relativeFrom="column">
              <wp:posOffset>400050</wp:posOffset>
            </wp:positionH>
            <wp:positionV relativeFrom="paragraph">
              <wp:posOffset>1556385</wp:posOffset>
            </wp:positionV>
            <wp:extent cx="4895215" cy="2192655"/>
            <wp:effectExtent l="5080" t="4445" r="5080" b="12700"/>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774.41</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765.59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98.86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2.70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0.35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6.12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0.79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（图6：一般公共预算财政拨款支出决算结构）（饼状图）</w:t>
      </w:r>
    </w:p>
    <w:p>
      <w:pPr>
        <w:spacing w:line="600" w:lineRule="exact"/>
        <w:ind w:firstLine="642" w:firstLineChars="200"/>
        <w:outlineLvl w:val="2"/>
        <w:rPr>
          <w:rFonts w:ascii="仿宋" w:hAnsi="仿宋" w:eastAsia="仿宋"/>
          <w:b/>
          <w:color w:val="auto"/>
          <w:sz w:val="32"/>
          <w:szCs w:val="32"/>
          <w:highlight w:val="none"/>
        </w:rPr>
      </w:pPr>
      <w:bookmarkStart w:id="43" w:name="_Toc15377212"/>
      <w:r>
        <w:rPr>
          <w:rFonts w:hint="eastAsia" w:ascii="仿宋" w:hAnsi="仿宋" w:eastAsia="仿宋"/>
          <w:b/>
          <w:color w:val="auto"/>
          <w:sz w:val="32"/>
          <w:szCs w:val="32"/>
          <w:highlight w:val="none"/>
        </w:rPr>
        <w:t>（三）一般公共预算财政拨款支出决算具体情况</w:t>
      </w:r>
      <w:bookmarkEnd w:id="43"/>
    </w:p>
    <w:p>
      <w:pPr>
        <w:spacing w:line="600" w:lineRule="exact"/>
        <w:ind w:firstLine="642" w:firstLineChars="200"/>
        <w:outlineLvl w:val="1"/>
        <w:rPr>
          <w:rFonts w:ascii="仿宋" w:hAnsi="仿宋" w:eastAsia="仿宋"/>
          <w:color w:val="auto"/>
          <w:sz w:val="32"/>
          <w:szCs w:val="32"/>
          <w:highlight w:val="none"/>
        </w:rPr>
      </w:pPr>
      <w:bookmarkStart w:id="44" w:name="_Toc15378460"/>
      <w:bookmarkStart w:id="45" w:name="_Toc22823"/>
      <w:bookmarkStart w:id="46" w:name="_Toc15377444"/>
      <w:bookmarkStart w:id="47" w:name="_Toc15377213"/>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774.41万元</w:t>
      </w:r>
      <w:r>
        <w:rPr>
          <w:rFonts w:hint="eastAsia" w:ascii="仿宋" w:hAnsi="仿宋" w:eastAsia="仿宋"/>
          <w:color w:val="auto"/>
          <w:sz w:val="32"/>
          <w:szCs w:val="32"/>
          <w:highlight w:val="none"/>
        </w:rPr>
        <w:t>，</w:t>
      </w:r>
      <w:r>
        <w:rPr>
          <w:rStyle w:val="16"/>
          <w:rFonts w:hint="eastAsia" w:ascii="仿宋" w:hAnsi="仿宋" w:eastAsia="仿宋"/>
          <w:bCs/>
          <w:color w:val="auto"/>
          <w:sz w:val="32"/>
          <w:szCs w:val="32"/>
          <w:highlight w:val="none"/>
        </w:rPr>
        <w:t>完成预算</w:t>
      </w:r>
      <w:r>
        <w:rPr>
          <w:rStyle w:val="16"/>
          <w:rFonts w:hint="eastAsia" w:ascii="仿宋" w:hAnsi="仿宋" w:eastAsia="仿宋"/>
          <w:bCs/>
          <w:color w:val="auto"/>
          <w:sz w:val="32"/>
          <w:szCs w:val="32"/>
          <w:highlight w:val="none"/>
          <w:lang w:val="en-US" w:eastAsia="zh-CN"/>
        </w:rPr>
        <w:t>99.96</w:t>
      </w:r>
      <w:r>
        <w:rPr>
          <w:rStyle w:val="16"/>
          <w:rFonts w:ascii="仿宋" w:hAnsi="仿宋" w:eastAsia="仿宋"/>
          <w:bCs/>
          <w:color w:val="auto"/>
          <w:sz w:val="32"/>
          <w:szCs w:val="32"/>
          <w:highlight w:val="none"/>
        </w:rPr>
        <w:t>%</w:t>
      </w:r>
      <w:r>
        <w:rPr>
          <w:rStyle w:val="16"/>
          <w:rFonts w:hint="eastAsia" w:ascii="仿宋" w:hAnsi="仿宋" w:eastAsia="仿宋"/>
          <w:bCs/>
          <w:color w:val="auto"/>
          <w:sz w:val="32"/>
          <w:szCs w:val="32"/>
          <w:highlight w:val="none"/>
        </w:rPr>
        <w:t>。其中：</w:t>
      </w:r>
      <w:bookmarkEnd w:id="44"/>
      <w:bookmarkEnd w:id="45"/>
      <w:bookmarkEnd w:id="46"/>
      <w:bookmarkEnd w:id="47"/>
    </w:p>
    <w:p>
      <w:pPr>
        <w:numPr>
          <w:ilvl w:val="0"/>
          <w:numId w:val="0"/>
        </w:numPr>
        <w:spacing w:line="600" w:lineRule="exact"/>
        <w:ind w:firstLine="642" w:firstLineChars="200"/>
        <w:rPr>
          <w:rStyle w:val="16"/>
          <w:rFonts w:hint="eastAsia" w:ascii="仿宋" w:hAnsi="仿宋" w:eastAsia="仿宋"/>
          <w:b w:val="0"/>
          <w:bCs/>
          <w:color w:val="auto"/>
          <w:sz w:val="32"/>
          <w:szCs w:val="32"/>
          <w:highlight w:val="none"/>
        </w:rPr>
      </w:pPr>
      <w:r>
        <w:rPr>
          <w:rStyle w:val="16"/>
          <w:rFonts w:hint="eastAsia" w:ascii="仿宋" w:hAnsi="仿宋" w:eastAsia="仿宋"/>
          <w:bCs/>
          <w:color w:val="auto"/>
          <w:sz w:val="32"/>
          <w:szCs w:val="32"/>
          <w:highlight w:val="none"/>
          <w:lang w:val="en-US" w:eastAsia="zh-CN"/>
        </w:rPr>
        <w:t>1.</w:t>
      </w:r>
      <w:r>
        <w:rPr>
          <w:rStyle w:val="16"/>
          <w:rFonts w:hint="eastAsia" w:ascii="仿宋" w:hAnsi="仿宋" w:eastAsia="仿宋"/>
          <w:bCs/>
          <w:color w:val="auto"/>
          <w:sz w:val="32"/>
          <w:szCs w:val="32"/>
          <w:highlight w:val="none"/>
        </w:rPr>
        <w:t>社会保障和就业（类）</w:t>
      </w:r>
      <w:r>
        <w:rPr>
          <w:rStyle w:val="16"/>
          <w:rFonts w:hint="eastAsia" w:ascii="仿宋" w:hAnsi="仿宋" w:eastAsia="仿宋"/>
          <w:bCs/>
          <w:color w:val="auto"/>
          <w:sz w:val="32"/>
          <w:szCs w:val="32"/>
          <w:highlight w:val="none"/>
          <w:lang w:eastAsia="zh-CN"/>
        </w:rPr>
        <w:t>行政事业单位养老支出</w:t>
      </w:r>
      <w:r>
        <w:rPr>
          <w:rStyle w:val="16"/>
          <w:rFonts w:hint="eastAsia" w:ascii="仿宋" w:hAnsi="仿宋" w:eastAsia="仿宋"/>
          <w:bCs/>
          <w:color w:val="auto"/>
          <w:sz w:val="32"/>
          <w:szCs w:val="32"/>
          <w:highlight w:val="none"/>
        </w:rPr>
        <w:t>（款）</w:t>
      </w:r>
      <w:r>
        <w:rPr>
          <w:rStyle w:val="16"/>
          <w:rFonts w:hint="eastAsia" w:ascii="仿宋" w:hAnsi="仿宋" w:eastAsia="仿宋"/>
          <w:bCs/>
          <w:color w:val="auto"/>
          <w:sz w:val="32"/>
          <w:szCs w:val="32"/>
          <w:highlight w:val="none"/>
          <w:lang w:eastAsia="zh-CN"/>
        </w:rPr>
        <w:t>机关事业单位基本养老保险缴费支出</w:t>
      </w:r>
      <w:r>
        <w:rPr>
          <w:rStyle w:val="16"/>
          <w:rFonts w:hint="eastAsia" w:ascii="仿宋" w:hAnsi="仿宋" w:eastAsia="仿宋"/>
          <w:bCs/>
          <w:color w:val="auto"/>
          <w:sz w:val="32"/>
          <w:szCs w:val="32"/>
          <w:highlight w:val="none"/>
        </w:rPr>
        <w:t>（项）</w:t>
      </w:r>
      <w:r>
        <w:rPr>
          <w:rStyle w:val="16"/>
          <w:rFonts w:ascii="仿宋" w:hAnsi="仿宋" w:eastAsia="仿宋"/>
          <w:bCs/>
          <w:color w:val="auto"/>
          <w:sz w:val="32"/>
          <w:szCs w:val="32"/>
          <w:highlight w:val="none"/>
        </w:rPr>
        <w:t>:</w:t>
      </w:r>
      <w:r>
        <w:rPr>
          <w:rStyle w:val="16"/>
          <w:rFonts w:ascii="仿宋" w:hAnsi="仿宋" w:eastAsia="仿宋"/>
          <w:b w:val="0"/>
          <w:bCs/>
          <w:color w:val="auto"/>
          <w:sz w:val="32"/>
          <w:szCs w:val="32"/>
          <w:highlight w:val="none"/>
        </w:rPr>
        <w:t xml:space="preserve"> </w:t>
      </w:r>
      <w:r>
        <w:rPr>
          <w:rStyle w:val="16"/>
          <w:rFonts w:hint="eastAsia" w:ascii="仿宋" w:hAnsi="仿宋" w:eastAsia="仿宋"/>
          <w:b w:val="0"/>
          <w:bCs/>
          <w:color w:val="auto"/>
          <w:sz w:val="32"/>
          <w:szCs w:val="32"/>
          <w:highlight w:val="none"/>
        </w:rPr>
        <w:t>支出决算为</w:t>
      </w:r>
      <w:r>
        <w:rPr>
          <w:rStyle w:val="16"/>
          <w:rFonts w:hint="eastAsia" w:ascii="仿宋" w:hAnsi="仿宋" w:eastAsia="仿宋"/>
          <w:b w:val="0"/>
          <w:bCs/>
          <w:color w:val="auto"/>
          <w:sz w:val="32"/>
          <w:szCs w:val="32"/>
          <w:highlight w:val="none"/>
          <w:lang w:val="en-US" w:eastAsia="zh-CN"/>
        </w:rPr>
        <w:t>4.67</w:t>
      </w:r>
      <w:r>
        <w:rPr>
          <w:rStyle w:val="16"/>
          <w:rFonts w:hint="eastAsia" w:ascii="仿宋" w:hAnsi="仿宋" w:eastAsia="仿宋"/>
          <w:b w:val="0"/>
          <w:bCs/>
          <w:color w:val="auto"/>
          <w:sz w:val="32"/>
          <w:szCs w:val="32"/>
          <w:highlight w:val="none"/>
        </w:rPr>
        <w:t>万元，完成预算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，决算数</w:t>
      </w:r>
      <w:r>
        <w:rPr>
          <w:rStyle w:val="16"/>
          <w:rFonts w:hint="eastAsia" w:ascii="仿宋" w:hAnsi="仿宋" w:eastAsia="仿宋"/>
          <w:b w:val="0"/>
          <w:bCs/>
          <w:color w:val="auto"/>
          <w:sz w:val="32"/>
          <w:szCs w:val="32"/>
          <w:highlight w:val="none"/>
          <w:lang w:eastAsia="zh-CN"/>
        </w:rPr>
        <w:t>与</w:t>
      </w:r>
      <w:r>
        <w:rPr>
          <w:rStyle w:val="16"/>
          <w:rFonts w:hint="eastAsia" w:ascii="仿宋" w:hAnsi="仿宋" w:eastAsia="仿宋"/>
          <w:b w:val="0"/>
          <w:bCs/>
          <w:color w:val="auto"/>
          <w:sz w:val="32"/>
          <w:szCs w:val="32"/>
          <w:highlight w:val="none"/>
        </w:rPr>
        <w:t>预算数</w:t>
      </w:r>
      <w:r>
        <w:rPr>
          <w:rStyle w:val="16"/>
          <w:rFonts w:hint="eastAsia" w:ascii="仿宋" w:hAnsi="仿宋" w:eastAsia="仿宋"/>
          <w:b w:val="0"/>
          <w:bCs/>
          <w:color w:val="auto"/>
          <w:sz w:val="32"/>
          <w:szCs w:val="32"/>
          <w:highlight w:val="none"/>
          <w:lang w:eastAsia="zh-CN"/>
        </w:rPr>
        <w:t>持平</w:t>
      </w:r>
      <w:r>
        <w:rPr>
          <w:rStyle w:val="16"/>
          <w:rFonts w:hint="eastAsia" w:ascii="仿宋" w:hAnsi="仿宋" w:eastAsia="仿宋"/>
          <w:b w:val="0"/>
          <w:bCs/>
          <w:color w:val="auto"/>
          <w:sz w:val="32"/>
          <w:szCs w:val="32"/>
          <w:highlight w:val="none"/>
        </w:rPr>
        <w:t>。</w:t>
      </w:r>
    </w:p>
    <w:p>
      <w:pPr>
        <w:pStyle w:val="7"/>
        <w:numPr>
          <w:ilvl w:val="0"/>
          <w:numId w:val="0"/>
        </w:numPr>
        <w:rPr>
          <w:rFonts w:hint="default" w:eastAsia="仿宋_GB2312"/>
          <w:lang w:val="en-US" w:eastAsia="zh-CN"/>
        </w:rPr>
      </w:pPr>
      <w:r>
        <w:rPr>
          <w:rFonts w:hint="eastAsia"/>
          <w:lang w:val="en-US" w:eastAsia="zh-CN"/>
        </w:rPr>
        <w:t xml:space="preserve">    </w:t>
      </w:r>
      <w:r>
        <w:rPr>
          <w:rStyle w:val="16"/>
          <w:rFonts w:hint="eastAsia" w:ascii="仿宋" w:hAnsi="仿宋" w:eastAsia="仿宋" w:cs="Lucida Sans"/>
          <w:bCs/>
          <w:color w:val="auto"/>
          <w:sz w:val="32"/>
          <w:szCs w:val="32"/>
          <w:highlight w:val="none"/>
          <w:lang w:val="en-US" w:eastAsia="zh-CN"/>
        </w:rPr>
        <w:t>2.</w:t>
      </w:r>
      <w:r>
        <w:rPr>
          <w:rStyle w:val="16"/>
          <w:rFonts w:hint="eastAsia" w:ascii="仿宋" w:hAnsi="仿宋" w:eastAsia="仿宋" w:cs="Lucida Sans"/>
          <w:bCs/>
          <w:color w:val="auto"/>
          <w:sz w:val="32"/>
          <w:szCs w:val="32"/>
          <w:highlight w:val="none"/>
        </w:rPr>
        <w:t>社</w:t>
      </w:r>
      <w:r>
        <w:rPr>
          <w:rStyle w:val="16"/>
          <w:rFonts w:hint="eastAsia" w:ascii="仿宋" w:hAnsi="仿宋" w:eastAsia="仿宋"/>
          <w:bCs/>
          <w:color w:val="auto"/>
          <w:sz w:val="32"/>
          <w:szCs w:val="32"/>
          <w:highlight w:val="none"/>
        </w:rPr>
        <w:t>会保障和就业（类）</w:t>
      </w:r>
      <w:r>
        <w:rPr>
          <w:rStyle w:val="16"/>
          <w:rFonts w:hint="eastAsia" w:ascii="仿宋" w:hAnsi="仿宋" w:eastAsia="仿宋"/>
          <w:bCs/>
          <w:color w:val="auto"/>
          <w:sz w:val="32"/>
          <w:szCs w:val="32"/>
          <w:highlight w:val="none"/>
          <w:lang w:eastAsia="zh-CN"/>
        </w:rPr>
        <w:t>抚恤</w:t>
      </w:r>
      <w:r>
        <w:rPr>
          <w:rStyle w:val="16"/>
          <w:rFonts w:hint="eastAsia" w:ascii="仿宋" w:hAnsi="仿宋" w:eastAsia="仿宋"/>
          <w:bCs/>
          <w:color w:val="auto"/>
          <w:sz w:val="32"/>
          <w:szCs w:val="32"/>
          <w:highlight w:val="none"/>
        </w:rPr>
        <w:t>（款）</w:t>
      </w:r>
      <w:r>
        <w:rPr>
          <w:rStyle w:val="16"/>
          <w:rFonts w:hint="eastAsia" w:ascii="仿宋" w:hAnsi="仿宋" w:eastAsia="仿宋"/>
          <w:bCs/>
          <w:color w:val="auto"/>
          <w:sz w:val="32"/>
          <w:szCs w:val="32"/>
          <w:highlight w:val="none"/>
          <w:lang w:eastAsia="zh-CN"/>
        </w:rPr>
        <w:t>烈士纪念设施管理维护</w:t>
      </w:r>
      <w:r>
        <w:rPr>
          <w:rStyle w:val="16"/>
          <w:rFonts w:hint="eastAsia" w:ascii="仿宋" w:hAnsi="仿宋" w:eastAsia="仿宋"/>
          <w:bCs/>
          <w:color w:val="auto"/>
          <w:sz w:val="32"/>
          <w:szCs w:val="32"/>
          <w:highlight w:val="none"/>
        </w:rPr>
        <w:t>（项）</w:t>
      </w:r>
      <w:r>
        <w:rPr>
          <w:rStyle w:val="16"/>
          <w:rFonts w:ascii="仿宋" w:hAnsi="仿宋" w:eastAsia="仿宋"/>
          <w:bCs/>
          <w:color w:val="auto"/>
          <w:sz w:val="32"/>
          <w:szCs w:val="32"/>
          <w:highlight w:val="none"/>
        </w:rPr>
        <w:t>:</w:t>
      </w:r>
      <w:r>
        <w:rPr>
          <w:rStyle w:val="16"/>
          <w:rFonts w:ascii="仿宋" w:hAnsi="仿宋" w:eastAsia="仿宋"/>
          <w:b w:val="0"/>
          <w:bCs/>
          <w:color w:val="auto"/>
          <w:sz w:val="32"/>
          <w:szCs w:val="32"/>
          <w:highlight w:val="none"/>
        </w:rPr>
        <w:t xml:space="preserve"> </w:t>
      </w:r>
      <w:r>
        <w:rPr>
          <w:rStyle w:val="16"/>
          <w:rFonts w:hint="eastAsia" w:ascii="仿宋" w:hAnsi="仿宋" w:eastAsia="仿宋"/>
          <w:b w:val="0"/>
          <w:bCs/>
          <w:color w:val="auto"/>
          <w:sz w:val="32"/>
          <w:szCs w:val="32"/>
          <w:highlight w:val="none"/>
        </w:rPr>
        <w:t>支出决算为</w:t>
      </w:r>
      <w:r>
        <w:rPr>
          <w:rStyle w:val="16"/>
          <w:rFonts w:hint="eastAsia" w:ascii="仿宋" w:hAnsi="仿宋" w:eastAsia="仿宋"/>
          <w:b w:val="0"/>
          <w:bCs/>
          <w:color w:val="auto"/>
          <w:sz w:val="32"/>
          <w:szCs w:val="32"/>
          <w:highlight w:val="none"/>
          <w:lang w:val="en-US" w:eastAsia="zh-CN"/>
        </w:rPr>
        <w:t>760.92</w:t>
      </w:r>
      <w:r>
        <w:rPr>
          <w:rStyle w:val="16"/>
          <w:rFonts w:hint="eastAsia" w:ascii="仿宋" w:hAnsi="仿宋" w:eastAsia="仿宋"/>
          <w:b w:val="0"/>
          <w:bCs/>
          <w:color w:val="auto"/>
          <w:sz w:val="32"/>
          <w:szCs w:val="32"/>
          <w:highlight w:val="none"/>
        </w:rPr>
        <w:t>万元，完成预算</w:t>
      </w:r>
      <w:r>
        <w:rPr>
          <w:rStyle w:val="16"/>
          <w:rFonts w:hint="eastAsia" w:ascii="仿宋" w:hAnsi="仿宋" w:eastAsia="仿宋"/>
          <w:b w:val="0"/>
          <w:bCs/>
          <w:color w:val="auto"/>
          <w:sz w:val="32"/>
          <w:szCs w:val="32"/>
          <w:highlight w:val="none"/>
          <w:lang w:val="en-US" w:eastAsia="zh-CN"/>
        </w:rPr>
        <w:t>99.96</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，决算数</w:t>
      </w:r>
      <w:r>
        <w:rPr>
          <w:rStyle w:val="16"/>
          <w:rFonts w:hint="eastAsia" w:ascii="仿宋" w:hAnsi="仿宋" w:eastAsia="仿宋"/>
          <w:b w:val="0"/>
          <w:bCs/>
          <w:color w:val="auto"/>
          <w:sz w:val="32"/>
          <w:szCs w:val="32"/>
          <w:highlight w:val="none"/>
          <w:lang w:eastAsia="zh-CN"/>
        </w:rPr>
        <w:t>小于预算数的主要原因是本着厉行节约的原则，严格控制开支</w:t>
      </w:r>
      <w:r>
        <w:rPr>
          <w:rStyle w:val="16"/>
          <w:rFonts w:hint="eastAsia" w:ascii="仿宋" w:hAnsi="仿宋" w:eastAsia="仿宋"/>
          <w:b w:val="0"/>
          <w:bCs/>
          <w:color w:val="auto"/>
          <w:sz w:val="32"/>
          <w:szCs w:val="32"/>
          <w:highlight w:val="none"/>
        </w:rPr>
        <w:t>。</w:t>
      </w:r>
    </w:p>
    <w:p>
      <w:pPr>
        <w:spacing w:line="600" w:lineRule="exact"/>
        <w:ind w:firstLine="642" w:firstLineChars="200"/>
        <w:rPr>
          <w:rFonts w:ascii="仿宋" w:hAnsi="仿宋" w:eastAsia="仿宋"/>
          <w:b/>
          <w:color w:val="auto"/>
          <w:sz w:val="32"/>
          <w:szCs w:val="32"/>
          <w:highlight w:val="none"/>
        </w:rPr>
      </w:pPr>
      <w:r>
        <w:rPr>
          <w:rStyle w:val="16"/>
          <w:rFonts w:hint="eastAsia" w:ascii="仿宋" w:hAnsi="仿宋" w:eastAsia="仿宋"/>
          <w:bCs/>
          <w:color w:val="auto"/>
          <w:sz w:val="32"/>
          <w:szCs w:val="32"/>
          <w:highlight w:val="none"/>
          <w:lang w:val="en-US" w:eastAsia="zh-CN"/>
        </w:rPr>
        <w:t>3</w:t>
      </w:r>
      <w:r>
        <w:rPr>
          <w:rStyle w:val="16"/>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6"/>
          <w:rFonts w:hint="eastAsia" w:ascii="仿宋" w:hAnsi="仿宋" w:eastAsia="仿宋"/>
          <w:bCs/>
          <w:color w:val="auto"/>
          <w:sz w:val="32"/>
          <w:szCs w:val="32"/>
          <w:highlight w:val="none"/>
        </w:rPr>
        <w:t>（类）</w:t>
      </w:r>
      <w:r>
        <w:rPr>
          <w:rStyle w:val="16"/>
          <w:rFonts w:hint="eastAsia" w:ascii="仿宋" w:hAnsi="仿宋" w:eastAsia="仿宋"/>
          <w:bCs/>
          <w:color w:val="auto"/>
          <w:sz w:val="32"/>
          <w:szCs w:val="32"/>
          <w:highlight w:val="none"/>
          <w:lang w:eastAsia="zh-CN"/>
        </w:rPr>
        <w:t>行政事业单位医疗</w:t>
      </w:r>
      <w:r>
        <w:rPr>
          <w:rStyle w:val="16"/>
          <w:rFonts w:hint="eastAsia" w:ascii="仿宋" w:hAnsi="仿宋" w:eastAsia="仿宋"/>
          <w:bCs/>
          <w:color w:val="auto"/>
          <w:sz w:val="32"/>
          <w:szCs w:val="32"/>
          <w:highlight w:val="none"/>
        </w:rPr>
        <w:t>（款）</w:t>
      </w:r>
      <w:r>
        <w:rPr>
          <w:rStyle w:val="16"/>
          <w:rFonts w:hint="eastAsia" w:ascii="仿宋" w:hAnsi="仿宋" w:eastAsia="仿宋"/>
          <w:bCs/>
          <w:color w:val="auto"/>
          <w:sz w:val="32"/>
          <w:szCs w:val="32"/>
          <w:highlight w:val="none"/>
          <w:lang w:eastAsia="zh-CN"/>
        </w:rPr>
        <w:t>事业单位医疗</w:t>
      </w:r>
      <w:r>
        <w:rPr>
          <w:rStyle w:val="16"/>
          <w:rFonts w:hint="eastAsia" w:ascii="仿宋" w:hAnsi="仿宋" w:eastAsia="仿宋"/>
          <w:bCs/>
          <w:color w:val="auto"/>
          <w:sz w:val="32"/>
          <w:szCs w:val="32"/>
          <w:highlight w:val="none"/>
        </w:rPr>
        <w:t>（项）</w:t>
      </w:r>
      <w:r>
        <w:rPr>
          <w:rStyle w:val="16"/>
          <w:rFonts w:ascii="仿宋" w:hAnsi="仿宋" w:eastAsia="仿宋"/>
          <w:bCs/>
          <w:color w:val="auto"/>
          <w:sz w:val="32"/>
          <w:szCs w:val="32"/>
          <w:highlight w:val="none"/>
        </w:rPr>
        <w:t>:</w:t>
      </w:r>
      <w:r>
        <w:rPr>
          <w:rStyle w:val="16"/>
          <w:rFonts w:hint="eastAsia" w:ascii="仿宋" w:hAnsi="仿宋" w:eastAsia="仿宋"/>
          <w:b w:val="0"/>
          <w:bCs/>
          <w:color w:val="auto"/>
          <w:sz w:val="32"/>
          <w:szCs w:val="32"/>
          <w:highlight w:val="none"/>
        </w:rPr>
        <w:t>支出决算为</w:t>
      </w:r>
      <w:r>
        <w:rPr>
          <w:rStyle w:val="16"/>
          <w:rFonts w:hint="eastAsia" w:ascii="仿宋" w:hAnsi="仿宋" w:eastAsia="仿宋"/>
          <w:b w:val="0"/>
          <w:bCs/>
          <w:color w:val="auto"/>
          <w:sz w:val="32"/>
          <w:szCs w:val="32"/>
          <w:highlight w:val="none"/>
          <w:lang w:val="en-US" w:eastAsia="zh-CN"/>
        </w:rPr>
        <w:t>2.7</w:t>
      </w:r>
      <w:r>
        <w:rPr>
          <w:rStyle w:val="16"/>
          <w:rFonts w:hint="eastAsia" w:ascii="仿宋" w:hAnsi="仿宋" w:eastAsia="仿宋"/>
          <w:b w:val="0"/>
          <w:bCs/>
          <w:color w:val="auto"/>
          <w:sz w:val="32"/>
          <w:szCs w:val="32"/>
          <w:highlight w:val="none"/>
        </w:rPr>
        <w:t>万元，完成预算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，决算数</w:t>
      </w:r>
      <w:r>
        <w:rPr>
          <w:rStyle w:val="16"/>
          <w:rFonts w:hint="eastAsia" w:ascii="仿宋" w:hAnsi="仿宋" w:eastAsia="仿宋"/>
          <w:b w:val="0"/>
          <w:bCs/>
          <w:color w:val="auto"/>
          <w:sz w:val="32"/>
          <w:szCs w:val="32"/>
          <w:highlight w:val="none"/>
          <w:lang w:eastAsia="zh-CN"/>
        </w:rPr>
        <w:t>与</w:t>
      </w:r>
      <w:r>
        <w:rPr>
          <w:rStyle w:val="16"/>
          <w:rFonts w:hint="eastAsia" w:ascii="仿宋" w:hAnsi="仿宋" w:eastAsia="仿宋"/>
          <w:b w:val="0"/>
          <w:bCs/>
          <w:color w:val="auto"/>
          <w:sz w:val="32"/>
          <w:szCs w:val="32"/>
          <w:highlight w:val="none"/>
        </w:rPr>
        <w:t>预算数</w:t>
      </w:r>
      <w:r>
        <w:rPr>
          <w:rStyle w:val="16"/>
          <w:rFonts w:hint="eastAsia" w:ascii="仿宋" w:hAnsi="仿宋" w:eastAsia="仿宋"/>
          <w:b w:val="0"/>
          <w:bCs/>
          <w:color w:val="auto"/>
          <w:sz w:val="32"/>
          <w:szCs w:val="32"/>
          <w:highlight w:val="none"/>
          <w:lang w:eastAsia="zh-CN"/>
        </w:rPr>
        <w:t>持平</w:t>
      </w:r>
      <w:r>
        <w:rPr>
          <w:rStyle w:val="16"/>
          <w:rFonts w:hint="eastAsia" w:ascii="仿宋" w:hAnsi="仿宋" w:eastAsia="仿宋"/>
          <w:b w:val="0"/>
          <w:bCs/>
          <w:color w:val="auto"/>
          <w:sz w:val="32"/>
          <w:szCs w:val="32"/>
          <w:highlight w:val="none"/>
        </w:rPr>
        <w:t>。</w:t>
      </w:r>
    </w:p>
    <w:p>
      <w:pPr>
        <w:spacing w:line="600" w:lineRule="exact"/>
        <w:ind w:firstLine="642" w:firstLineChars="200"/>
        <w:rPr>
          <w:rFonts w:ascii="仿宋" w:hAnsi="仿宋" w:eastAsia="仿宋"/>
          <w:b/>
          <w:color w:val="auto"/>
          <w:sz w:val="32"/>
          <w:szCs w:val="32"/>
          <w:highlight w:val="none"/>
        </w:rPr>
      </w:pPr>
      <w:r>
        <w:rPr>
          <w:rStyle w:val="16"/>
          <w:rFonts w:hint="eastAsia" w:ascii="仿宋" w:hAnsi="仿宋" w:eastAsia="仿宋"/>
          <w:bCs/>
          <w:color w:val="auto"/>
          <w:sz w:val="32"/>
          <w:szCs w:val="32"/>
          <w:highlight w:val="none"/>
          <w:lang w:val="en-US" w:eastAsia="zh-CN"/>
        </w:rPr>
        <w:t>4</w:t>
      </w:r>
      <w:r>
        <w:rPr>
          <w:rStyle w:val="16"/>
          <w:rFonts w:ascii="仿宋" w:hAnsi="仿宋" w:eastAsia="仿宋"/>
          <w:bCs/>
          <w:color w:val="auto"/>
          <w:sz w:val="32"/>
          <w:szCs w:val="32"/>
          <w:highlight w:val="none"/>
        </w:rPr>
        <w:t>.</w:t>
      </w:r>
      <w:r>
        <w:rPr>
          <w:rFonts w:hint="eastAsia" w:ascii="仿宋" w:hAnsi="仿宋" w:eastAsia="仿宋"/>
          <w:b/>
          <w:bCs/>
          <w:color w:val="auto"/>
          <w:sz w:val="32"/>
          <w:szCs w:val="32"/>
          <w:highlight w:val="none"/>
          <w:lang w:eastAsia="zh-CN"/>
        </w:rPr>
        <w:t>住房保障支出</w:t>
      </w:r>
      <w:r>
        <w:rPr>
          <w:rStyle w:val="16"/>
          <w:rFonts w:hint="eastAsia" w:ascii="仿宋" w:hAnsi="仿宋" w:eastAsia="仿宋"/>
          <w:bCs/>
          <w:color w:val="auto"/>
          <w:sz w:val="32"/>
          <w:szCs w:val="32"/>
          <w:highlight w:val="none"/>
        </w:rPr>
        <w:t>（类）</w:t>
      </w:r>
      <w:r>
        <w:rPr>
          <w:rStyle w:val="16"/>
          <w:rFonts w:hint="eastAsia" w:ascii="仿宋" w:hAnsi="仿宋" w:eastAsia="仿宋"/>
          <w:bCs/>
          <w:color w:val="auto"/>
          <w:sz w:val="32"/>
          <w:szCs w:val="32"/>
          <w:highlight w:val="none"/>
          <w:lang w:eastAsia="zh-CN"/>
        </w:rPr>
        <w:t>住房改革支出</w:t>
      </w:r>
      <w:r>
        <w:rPr>
          <w:rStyle w:val="16"/>
          <w:rFonts w:hint="eastAsia" w:ascii="仿宋" w:hAnsi="仿宋" w:eastAsia="仿宋"/>
          <w:bCs/>
          <w:color w:val="auto"/>
          <w:sz w:val="32"/>
          <w:szCs w:val="32"/>
          <w:highlight w:val="none"/>
        </w:rPr>
        <w:t>（款）</w:t>
      </w:r>
      <w:r>
        <w:rPr>
          <w:rStyle w:val="16"/>
          <w:rFonts w:hint="eastAsia" w:ascii="仿宋" w:hAnsi="仿宋" w:eastAsia="仿宋"/>
          <w:bCs/>
          <w:color w:val="auto"/>
          <w:sz w:val="32"/>
          <w:szCs w:val="32"/>
          <w:highlight w:val="none"/>
          <w:lang w:eastAsia="zh-CN"/>
        </w:rPr>
        <w:t>住房公积金</w:t>
      </w:r>
      <w:r>
        <w:rPr>
          <w:rStyle w:val="16"/>
          <w:rFonts w:hint="eastAsia" w:ascii="仿宋" w:hAnsi="仿宋" w:eastAsia="仿宋"/>
          <w:bCs/>
          <w:color w:val="auto"/>
          <w:sz w:val="32"/>
          <w:szCs w:val="32"/>
          <w:highlight w:val="none"/>
        </w:rPr>
        <w:t>（项）</w:t>
      </w:r>
      <w:r>
        <w:rPr>
          <w:rStyle w:val="16"/>
          <w:rFonts w:ascii="仿宋" w:hAnsi="仿宋" w:eastAsia="仿宋"/>
          <w:bCs/>
          <w:color w:val="auto"/>
          <w:sz w:val="32"/>
          <w:szCs w:val="32"/>
          <w:highlight w:val="none"/>
        </w:rPr>
        <w:t>:</w:t>
      </w:r>
      <w:r>
        <w:rPr>
          <w:rStyle w:val="16"/>
          <w:rFonts w:hint="eastAsia" w:ascii="仿宋" w:hAnsi="仿宋" w:eastAsia="仿宋"/>
          <w:b w:val="0"/>
          <w:bCs/>
          <w:color w:val="auto"/>
          <w:sz w:val="32"/>
          <w:szCs w:val="32"/>
          <w:highlight w:val="none"/>
        </w:rPr>
        <w:t>支出决算为</w:t>
      </w:r>
      <w:r>
        <w:rPr>
          <w:rStyle w:val="16"/>
          <w:rFonts w:hint="eastAsia" w:ascii="仿宋" w:hAnsi="仿宋" w:eastAsia="仿宋"/>
          <w:b w:val="0"/>
          <w:bCs/>
          <w:color w:val="auto"/>
          <w:sz w:val="32"/>
          <w:szCs w:val="32"/>
          <w:highlight w:val="none"/>
          <w:lang w:val="en-US" w:eastAsia="zh-CN"/>
        </w:rPr>
        <w:t>6.12</w:t>
      </w:r>
      <w:r>
        <w:rPr>
          <w:rStyle w:val="16"/>
          <w:rFonts w:hint="eastAsia" w:ascii="仿宋" w:hAnsi="仿宋" w:eastAsia="仿宋"/>
          <w:b w:val="0"/>
          <w:bCs/>
          <w:color w:val="auto"/>
          <w:sz w:val="32"/>
          <w:szCs w:val="32"/>
          <w:highlight w:val="none"/>
        </w:rPr>
        <w:t>万元，完成预算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，决算数</w:t>
      </w:r>
      <w:r>
        <w:rPr>
          <w:rStyle w:val="16"/>
          <w:rFonts w:hint="eastAsia" w:ascii="仿宋" w:hAnsi="仿宋" w:eastAsia="仿宋"/>
          <w:b w:val="0"/>
          <w:bCs/>
          <w:color w:val="auto"/>
          <w:sz w:val="32"/>
          <w:szCs w:val="32"/>
          <w:highlight w:val="none"/>
          <w:lang w:eastAsia="zh-CN"/>
        </w:rPr>
        <w:t>与</w:t>
      </w:r>
      <w:r>
        <w:rPr>
          <w:rStyle w:val="16"/>
          <w:rFonts w:hint="eastAsia" w:ascii="仿宋" w:hAnsi="仿宋" w:eastAsia="仿宋"/>
          <w:b w:val="0"/>
          <w:bCs/>
          <w:color w:val="auto"/>
          <w:sz w:val="32"/>
          <w:szCs w:val="32"/>
          <w:highlight w:val="none"/>
        </w:rPr>
        <w:t>预算数</w:t>
      </w:r>
      <w:r>
        <w:rPr>
          <w:rStyle w:val="16"/>
          <w:rFonts w:hint="eastAsia" w:ascii="仿宋" w:hAnsi="仿宋" w:eastAsia="仿宋"/>
          <w:b w:val="0"/>
          <w:bCs/>
          <w:color w:val="auto"/>
          <w:sz w:val="32"/>
          <w:szCs w:val="32"/>
          <w:highlight w:val="none"/>
          <w:lang w:eastAsia="zh-CN"/>
        </w:rPr>
        <w:t>持平</w:t>
      </w:r>
      <w:r>
        <w:rPr>
          <w:rStyle w:val="16"/>
          <w:rFonts w:hint="eastAsia" w:ascii="仿宋" w:hAnsi="仿宋" w:eastAsia="仿宋"/>
          <w:b w:val="0"/>
          <w:bCs/>
          <w:color w:val="auto"/>
          <w:sz w:val="32"/>
          <w:szCs w:val="32"/>
          <w:highlight w:val="none"/>
        </w:rPr>
        <w:t>。</w:t>
      </w:r>
    </w:p>
    <w:p>
      <w:pPr>
        <w:tabs>
          <w:tab w:val="right" w:pos="8306"/>
        </w:tabs>
        <w:spacing w:line="600" w:lineRule="exact"/>
        <w:ind w:firstLine="640"/>
        <w:outlineLvl w:val="1"/>
        <w:rPr>
          <w:rStyle w:val="19"/>
          <w:color w:val="auto"/>
          <w:highlight w:val="none"/>
        </w:rPr>
      </w:pPr>
      <w:bookmarkStart w:id="48" w:name="_Toc15396608"/>
      <w:bookmarkStart w:id="49" w:name="_Toc15377214"/>
      <w:bookmarkStart w:id="50" w:name="_Toc30150"/>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9"/>
          <w:rFonts w:hint="eastAsia" w:ascii="黑体" w:hAnsi="黑体" w:eastAsia="黑体"/>
          <w:b w:val="0"/>
          <w:color w:val="auto"/>
          <w:highlight w:val="none"/>
        </w:rPr>
        <w:t>般公共预算财政拨款基本支出决算情况说明</w:t>
      </w:r>
      <w:bookmarkEnd w:id="48"/>
      <w:bookmarkEnd w:id="49"/>
      <w:bookmarkEnd w:id="50"/>
      <w:r>
        <w:rPr>
          <w:rStyle w:val="19"/>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79.68</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71.07</w:t>
      </w:r>
      <w:r>
        <w:rPr>
          <w:rFonts w:hint="eastAsia" w:ascii="仿宋" w:hAnsi="仿宋" w:eastAsia="仿宋"/>
          <w:color w:val="auto"/>
          <w:sz w:val="32"/>
          <w:szCs w:val="32"/>
          <w:highlight w:val="none"/>
        </w:rPr>
        <w:t>万元，主要包括：基本工资、津贴补贴、奖金、伙食补助费、绩效工资、机关事业单位基本养老保险缴费、</w:t>
      </w:r>
      <w:r>
        <w:rPr>
          <w:rFonts w:hint="eastAsia" w:ascii="仿宋" w:hAnsi="仿宋" w:eastAsia="仿宋"/>
          <w:color w:val="auto"/>
          <w:sz w:val="32"/>
          <w:szCs w:val="32"/>
          <w:highlight w:val="none"/>
          <w:lang w:eastAsia="zh-CN"/>
        </w:rPr>
        <w:t>职工基本医疗保险缴费、</w:t>
      </w:r>
      <w:r>
        <w:rPr>
          <w:rFonts w:hint="eastAsia" w:ascii="仿宋" w:hAnsi="仿宋" w:eastAsia="仿宋"/>
          <w:color w:val="auto"/>
          <w:sz w:val="32"/>
          <w:szCs w:val="32"/>
          <w:highlight w:val="none"/>
        </w:rPr>
        <w:t>其他社会保障缴费、住房公积金、</w:t>
      </w:r>
      <w:r>
        <w:rPr>
          <w:rFonts w:hint="eastAsia" w:ascii="仿宋" w:hAnsi="仿宋" w:eastAsia="仿宋"/>
          <w:color w:val="auto"/>
          <w:sz w:val="32"/>
          <w:szCs w:val="32"/>
          <w:highlight w:val="none"/>
          <w:lang w:eastAsia="zh-CN"/>
        </w:rPr>
        <w:t>生活补助、奖励金、</w:t>
      </w:r>
      <w:r>
        <w:rPr>
          <w:rFonts w:hint="eastAsia" w:ascii="仿宋" w:hAnsi="仿宋" w:eastAsia="仿宋"/>
          <w:color w:val="auto"/>
          <w:sz w:val="32"/>
          <w:szCs w:val="32"/>
          <w:highlight w:val="none"/>
        </w:rPr>
        <w:t>其他对个人和家庭的补助支出。</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8.62</w:t>
      </w:r>
      <w:r>
        <w:rPr>
          <w:rFonts w:hint="eastAsia" w:ascii="仿宋" w:hAnsi="仿宋" w:eastAsia="仿宋"/>
          <w:color w:val="auto"/>
          <w:sz w:val="32"/>
          <w:szCs w:val="32"/>
          <w:highlight w:val="none"/>
        </w:rPr>
        <w:t>万元，主要包括：办公费、水费、电费、邮电费、物业管理费、差旅费、公务接待费、劳务费、工会经费、福利费、其他交通费</w:t>
      </w:r>
      <w:r>
        <w:rPr>
          <w:rFonts w:hint="eastAsia" w:ascii="仿宋" w:hAnsi="仿宋" w:eastAsia="仿宋"/>
          <w:color w:val="auto"/>
          <w:sz w:val="32"/>
          <w:szCs w:val="32"/>
          <w:highlight w:val="none"/>
          <w:lang w:val="en-US" w:eastAsia="zh-CN"/>
        </w:rPr>
        <w:t>用</w:t>
      </w:r>
      <w:r>
        <w:rPr>
          <w:rFonts w:hint="eastAsia" w:ascii="仿宋" w:hAnsi="仿宋" w:eastAsia="仿宋"/>
          <w:color w:val="auto"/>
          <w:sz w:val="32"/>
          <w:szCs w:val="32"/>
          <w:highlight w:val="none"/>
        </w:rPr>
        <w:t>、其他商品和服务支出。</w:t>
      </w:r>
    </w:p>
    <w:p>
      <w:pPr>
        <w:spacing w:line="600" w:lineRule="exact"/>
        <w:ind w:firstLine="640"/>
        <w:outlineLvl w:val="1"/>
        <w:rPr>
          <w:rStyle w:val="19"/>
          <w:rFonts w:ascii="黑体" w:hAnsi="黑体" w:eastAsia="黑体"/>
          <w:b w:val="0"/>
          <w:color w:val="auto"/>
          <w:highlight w:val="none"/>
        </w:rPr>
      </w:pPr>
      <w:bookmarkStart w:id="51" w:name="_Toc15396609"/>
      <w:bookmarkStart w:id="52" w:name="_Toc7314"/>
      <w:bookmarkStart w:id="53" w:name="_Toc15377215"/>
      <w:r>
        <w:rPr>
          <w:rFonts w:hint="eastAsia" w:ascii="黑体" w:eastAsia="黑体"/>
          <w:color w:val="auto"/>
          <w:sz w:val="32"/>
          <w:szCs w:val="32"/>
          <w:highlight w:val="none"/>
        </w:rPr>
        <w:t>七、</w:t>
      </w:r>
      <w:r>
        <w:rPr>
          <w:rStyle w:val="19"/>
          <w:rFonts w:hint="eastAsia" w:ascii="黑体" w:hAnsi="黑体" w:eastAsia="黑体"/>
          <w:b w:val="0"/>
          <w:color w:val="auto"/>
          <w:highlight w:val="none"/>
        </w:rPr>
        <w:t>财政拨款</w:t>
      </w:r>
      <w:r>
        <w:rPr>
          <w:rStyle w:val="19"/>
          <w:rFonts w:hint="eastAsia" w:ascii="黑体" w:hAnsi="黑体" w:eastAsia="黑体"/>
          <w:color w:val="auto"/>
          <w:highlight w:val="none"/>
        </w:rPr>
        <w:t>“</w:t>
      </w:r>
      <w:r>
        <w:rPr>
          <w:rStyle w:val="19"/>
          <w:rFonts w:hint="eastAsia" w:ascii="黑体" w:hAnsi="黑体" w:eastAsia="黑体"/>
          <w:b w:val="0"/>
          <w:color w:val="auto"/>
          <w:highlight w:val="none"/>
        </w:rPr>
        <w:t>三公”经费支出决算情况说明</w:t>
      </w:r>
      <w:bookmarkEnd w:id="51"/>
      <w:bookmarkEnd w:id="52"/>
      <w:bookmarkEnd w:id="53"/>
    </w:p>
    <w:p>
      <w:pPr>
        <w:spacing w:line="600" w:lineRule="exact"/>
        <w:ind w:firstLine="640"/>
        <w:outlineLvl w:val="2"/>
        <w:rPr>
          <w:rFonts w:ascii="仿宋" w:hAnsi="仿宋" w:eastAsia="仿宋"/>
          <w:b/>
          <w:color w:val="auto"/>
          <w:sz w:val="32"/>
          <w:szCs w:val="32"/>
          <w:highlight w:val="none"/>
        </w:rPr>
      </w:pPr>
      <w:bookmarkStart w:id="54" w:name="_Toc15377216"/>
      <w:r>
        <w:rPr>
          <w:rFonts w:hint="eastAsia" w:ascii="仿宋" w:hAnsi="仿宋" w:eastAsia="仿宋"/>
          <w:b/>
          <w:color w:val="auto"/>
          <w:sz w:val="32"/>
          <w:szCs w:val="32"/>
          <w:highlight w:val="none"/>
        </w:rPr>
        <w:t>（一）“三公”经费财政拨款支出决算总体情况说明</w:t>
      </w:r>
      <w:bookmarkEnd w:id="54"/>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0.09</w:t>
      </w:r>
      <w:r>
        <w:rPr>
          <w:rFonts w:hint="eastAsia" w:ascii="仿宋" w:hAnsi="仿宋" w:eastAsia="仿宋"/>
          <w:color w:val="auto"/>
          <w:sz w:val="32"/>
          <w:szCs w:val="32"/>
          <w:highlight w:val="none"/>
        </w:rPr>
        <w:t>万元，完成预算</w:t>
      </w:r>
      <w:r>
        <w:rPr>
          <w:rFonts w:hint="default" w:ascii="仿宋" w:hAnsi="仿宋" w:eastAsia="仿宋"/>
          <w:color w:val="auto"/>
          <w:sz w:val="32"/>
          <w:szCs w:val="32"/>
          <w:highlight w:val="none"/>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_GB2312" w:eastAsia="仿宋_GB2312"/>
          <w:color w:val="auto"/>
          <w:sz w:val="32"/>
          <w:szCs w:val="32"/>
          <w:highlight w:val="none"/>
        </w:rPr>
        <w:t>公务接待费支出决算</w:t>
      </w:r>
      <w:r>
        <w:rPr>
          <w:rFonts w:hint="eastAsia" w:ascii="仿宋_GB2312" w:eastAsia="仿宋_GB2312"/>
          <w:color w:val="auto"/>
          <w:sz w:val="32"/>
          <w:szCs w:val="32"/>
          <w:highlight w:val="none"/>
          <w:lang w:eastAsia="zh-CN"/>
        </w:rPr>
        <w:t>较</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无变化</w:t>
      </w:r>
      <w:r>
        <w:rPr>
          <w:rFonts w:hint="eastAsia" w:ascii="仿宋" w:hAnsi="仿宋" w:eastAsia="仿宋"/>
          <w:color w:val="auto"/>
          <w:sz w:val="32"/>
          <w:szCs w:val="32"/>
          <w:highlight w:val="none"/>
          <w:lang w:val="en-US" w:eastAsia="zh-CN"/>
        </w:rPr>
        <w:t>。</w:t>
      </w:r>
      <w:r>
        <w:rPr>
          <w:rFonts w:hint="eastAsia" w:ascii="仿宋" w:hAnsi="仿宋" w:eastAsia="仿宋"/>
          <w:color w:val="auto"/>
          <w:sz w:val="32"/>
          <w:szCs w:val="32"/>
          <w:highlight w:val="none"/>
        </w:rPr>
        <w:t>决算数</w:t>
      </w:r>
      <w:r>
        <w:rPr>
          <w:rFonts w:hint="default" w:ascii="仿宋" w:hAnsi="仿宋" w:eastAsia="仿宋"/>
          <w:color w:val="auto"/>
          <w:sz w:val="32"/>
          <w:szCs w:val="32"/>
          <w:highlight w:val="none"/>
        </w:rPr>
        <w:t>与预算数持平</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55" w:name="_Toc15377217"/>
      <w:r>
        <w:rPr>
          <w:rFonts w:hint="eastAsia" w:ascii="仿宋" w:hAnsi="仿宋" w:eastAsia="仿宋"/>
          <w:b/>
          <w:color w:val="auto"/>
          <w:sz w:val="32"/>
          <w:szCs w:val="32"/>
          <w:highlight w:val="none"/>
        </w:rPr>
        <w:t>（二）“三公”经费财政拨款支出决算具体情况说明</w:t>
      </w:r>
      <w:bookmarkEnd w:id="55"/>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0.09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7"/>
        <w:rPr>
          <w:rFonts w:hint="eastAsia" w:eastAsia="仿宋"/>
          <w:lang w:eastAsia="zh-CN"/>
        </w:rPr>
      </w:pPr>
      <w:r>
        <w:rPr>
          <w:rFonts w:hint="eastAsia" w:eastAsia="仿宋"/>
          <w:lang w:eastAsia="zh-CN"/>
        </w:rPr>
        <w:drawing>
          <wp:inline distT="0" distB="0" distL="114300" distR="114300">
            <wp:extent cx="5080000" cy="2202815"/>
            <wp:effectExtent l="4445" t="4445" r="11430" b="1206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pPr>
        <w:spacing w:line="600" w:lineRule="exact"/>
        <w:ind w:firstLine="640"/>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6"/>
          <w:rFonts w:hint="eastAsia" w:ascii="仿宋" w:hAnsi="仿宋" w:eastAsia="仿宋"/>
          <w:b w:val="0"/>
          <w:bCs/>
          <w:color w:val="auto"/>
          <w:sz w:val="32"/>
          <w:szCs w:val="32"/>
          <w:highlight w:val="none"/>
          <w:lang w:eastAsia="zh-CN"/>
        </w:rPr>
        <w:t>年初未安排预算</w:t>
      </w:r>
      <w:r>
        <w:rPr>
          <w:rStyle w:val="16"/>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因公出国（境）支出决算</w:t>
      </w:r>
      <w:r>
        <w:rPr>
          <w:rFonts w:hint="eastAsia" w:ascii="仿宋_GB2312" w:eastAsia="仿宋_GB2312"/>
          <w:color w:val="auto"/>
          <w:sz w:val="32"/>
          <w:szCs w:val="32"/>
          <w:highlight w:val="none"/>
          <w:lang w:eastAsia="zh-CN"/>
        </w:rPr>
        <w:t>较</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无变化</w:t>
      </w:r>
      <w:r>
        <w:rPr>
          <w:rFonts w:hint="eastAsia" w:ascii="仿宋_GB2312" w:eastAsia="仿宋_GB2312"/>
          <w:color w:val="auto"/>
          <w:sz w:val="32"/>
          <w:szCs w:val="32"/>
          <w:highlight w:val="none"/>
        </w:rPr>
        <w:t>。</w:t>
      </w:r>
    </w:p>
    <w:p>
      <w:pPr>
        <w:spacing w:line="600" w:lineRule="exact"/>
        <w:ind w:firstLine="640"/>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6"/>
          <w:rFonts w:hint="eastAsia" w:ascii="仿宋" w:hAnsi="仿宋" w:eastAsia="仿宋"/>
          <w:b w:val="0"/>
          <w:bCs/>
          <w:color w:val="auto"/>
          <w:sz w:val="32"/>
          <w:szCs w:val="32"/>
          <w:highlight w:val="none"/>
          <w:lang w:eastAsia="zh-CN"/>
        </w:rPr>
        <w:t>年初未安排预算</w:t>
      </w:r>
      <w:r>
        <w:rPr>
          <w:rStyle w:val="16"/>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w:t>
      </w:r>
      <w:r>
        <w:rPr>
          <w:rFonts w:hint="eastAsia" w:ascii="仿宋_GB2312" w:eastAsia="仿宋_GB2312"/>
          <w:color w:val="auto"/>
          <w:sz w:val="32"/>
          <w:szCs w:val="32"/>
          <w:highlight w:val="none"/>
          <w:lang w:eastAsia="zh-CN"/>
        </w:rPr>
        <w:t>较</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无变化</w:t>
      </w:r>
      <w:r>
        <w:rPr>
          <w:rFonts w:hint="eastAsia" w:ascii="仿宋_GB2312" w:eastAsia="仿宋_GB2312"/>
          <w:color w:val="auto"/>
          <w:sz w:val="32"/>
          <w:szCs w:val="32"/>
          <w:highlight w:val="none"/>
        </w:rPr>
        <w:t>。</w:t>
      </w: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月底，单位共有公务用车</w:t>
      </w:r>
      <w:r>
        <w:rPr>
          <w:rFonts w:hint="eastAsia" w:ascii="仿宋_GB2312" w:eastAsia="仿宋_GB2312"/>
          <w:sz w:val="32"/>
          <w:szCs w:val="32"/>
          <w:lang w:val="en-US" w:eastAsia="zh-CN"/>
        </w:rPr>
        <w:t>0</w:t>
      </w:r>
      <w:r>
        <w:rPr>
          <w:rFonts w:hint="eastAsia" w:ascii="仿宋_GB2312" w:eastAsia="仿宋_GB2312"/>
          <w:sz w:val="32"/>
          <w:szCs w:val="32"/>
        </w:rPr>
        <w:t>辆</w:t>
      </w:r>
      <w:r>
        <w:rPr>
          <w:rFonts w:hint="eastAsia" w:ascii="仿宋_GB2312" w:eastAsia="仿宋_GB2312"/>
          <w:sz w:val="32"/>
          <w:szCs w:val="32"/>
          <w:lang w:eastAsia="zh-CN"/>
        </w:rPr>
        <w:t>。</w:t>
      </w:r>
    </w:p>
    <w:p>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0.09</w:t>
      </w:r>
      <w:r>
        <w:rPr>
          <w:rFonts w:hint="eastAsia" w:ascii="仿宋_GB2312" w:eastAsia="仿宋_GB2312"/>
          <w:color w:val="auto"/>
          <w:sz w:val="32"/>
          <w:szCs w:val="32"/>
          <w:highlight w:val="none"/>
        </w:rPr>
        <w:t>万元，</w:t>
      </w:r>
      <w:r>
        <w:rPr>
          <w:rStyle w:val="16"/>
          <w:rFonts w:hint="eastAsia" w:ascii="仿宋" w:hAnsi="仿宋" w:eastAsia="仿宋"/>
          <w:b w:val="0"/>
          <w:bCs/>
          <w:color w:val="auto"/>
          <w:sz w:val="32"/>
          <w:szCs w:val="32"/>
          <w:highlight w:val="none"/>
        </w:rPr>
        <w:t>完成预算</w:t>
      </w:r>
      <w:r>
        <w:rPr>
          <w:rStyle w:val="16"/>
          <w:rFonts w:hint="default"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w:t>
      </w:r>
      <w:r>
        <w:rPr>
          <w:rFonts w:hint="eastAsia" w:ascii="仿宋_GB2312" w:eastAsia="仿宋_GB2312"/>
          <w:color w:val="auto"/>
          <w:sz w:val="32"/>
          <w:szCs w:val="32"/>
          <w:highlight w:val="none"/>
          <w:lang w:eastAsia="zh-CN"/>
        </w:rPr>
        <w:t>较</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无变化</w:t>
      </w:r>
      <w:r>
        <w:rPr>
          <w:rFonts w:hint="eastAsia" w:ascii="仿宋_GB2312" w:eastAsia="仿宋_GB2312"/>
          <w:color w:val="auto"/>
          <w:sz w:val="32"/>
          <w:szCs w:val="32"/>
          <w:highlight w:val="none"/>
        </w:rPr>
        <w:t>。其中：</w:t>
      </w:r>
    </w:p>
    <w:p>
      <w:pPr>
        <w:spacing w:line="600" w:lineRule="exact"/>
        <w:ind w:firstLine="640"/>
        <w:rPr>
          <w:rFonts w:hint="default" w:ascii="仿宋_GB2312" w:eastAsia="仿宋_GB2312"/>
          <w:color w:val="auto"/>
          <w:sz w:val="32"/>
          <w:szCs w:val="32"/>
          <w:highlight w:val="none"/>
          <w:lang w:val="en-US" w:eastAsia="zh-CN"/>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0.09</w:t>
      </w:r>
      <w:r>
        <w:rPr>
          <w:rFonts w:hint="eastAsia" w:ascii="仿宋_GB2312" w:eastAsia="仿宋_GB2312"/>
          <w:color w:val="auto"/>
          <w:sz w:val="32"/>
          <w:szCs w:val="32"/>
          <w:highlight w:val="none"/>
        </w:rPr>
        <w:t>万元，主要用于</w:t>
      </w:r>
      <w:r>
        <w:rPr>
          <w:rFonts w:hint="eastAsia" w:ascii="仿宋_GB2312" w:eastAsia="仿宋_GB2312"/>
          <w:b w:val="0"/>
          <w:bCs/>
          <w:color w:val="auto"/>
          <w:sz w:val="32"/>
          <w:szCs w:val="32"/>
          <w:highlight w:val="none"/>
          <w:lang w:eastAsia="zh-CN"/>
        </w:rPr>
        <w:t>上级领导到烈士陵园检查指导工作及县区来烈士陵园交流学习</w:t>
      </w:r>
      <w:r>
        <w:rPr>
          <w:rFonts w:hint="eastAsia" w:ascii="仿宋_GB2312" w:eastAsia="仿宋_GB2312"/>
          <w:b w:val="0"/>
          <w:bCs/>
          <w:color w:val="auto"/>
          <w:sz w:val="32"/>
          <w:szCs w:val="32"/>
          <w:highlight w:val="none"/>
        </w:rPr>
        <w:t>开支的用餐费</w:t>
      </w:r>
      <w:r>
        <w:rPr>
          <w:rFonts w:hint="eastAsia" w:ascii="仿宋_GB2312" w:eastAsia="仿宋_GB2312"/>
          <w:color w:val="auto"/>
          <w:sz w:val="32"/>
          <w:szCs w:val="32"/>
          <w:highlight w:val="none"/>
        </w:rPr>
        <w:t>。国内公务接待</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0.09</w:t>
      </w:r>
      <w:r>
        <w:rPr>
          <w:rFonts w:hint="eastAsia" w:ascii="仿宋_GB2312" w:eastAsia="仿宋_GB2312"/>
          <w:color w:val="auto"/>
          <w:sz w:val="32"/>
          <w:szCs w:val="32"/>
          <w:highlight w:val="none"/>
        </w:rPr>
        <w:t>万元，具体内容包括：</w:t>
      </w:r>
      <w:r>
        <w:rPr>
          <w:rFonts w:hint="eastAsia" w:ascii="仿宋_GB2312" w:eastAsia="仿宋_GB2312"/>
          <w:color w:val="auto"/>
          <w:sz w:val="32"/>
          <w:szCs w:val="32"/>
          <w:highlight w:val="none"/>
          <w:lang w:eastAsia="zh-CN"/>
        </w:rPr>
        <w:t>县区退役军人事务局到市烈士陵园学习服务保障经验做法开支费用</w:t>
      </w:r>
      <w:r>
        <w:rPr>
          <w:rFonts w:hint="eastAsia" w:ascii="仿宋_GB2312" w:eastAsia="仿宋_GB2312"/>
          <w:color w:val="auto"/>
          <w:sz w:val="32"/>
          <w:szCs w:val="32"/>
          <w:highlight w:val="none"/>
          <w:lang w:val="en-US" w:eastAsia="zh-CN"/>
        </w:rPr>
        <w:t>0.05万元；</w:t>
      </w:r>
      <w:r>
        <w:rPr>
          <w:rFonts w:hint="eastAsia" w:ascii="仿宋_GB2312" w:eastAsia="仿宋_GB2312"/>
          <w:color w:val="auto"/>
          <w:sz w:val="32"/>
          <w:szCs w:val="32"/>
          <w:highlight w:val="none"/>
          <w:lang w:eastAsia="zh-CN"/>
        </w:rPr>
        <w:t>上级领导</w:t>
      </w:r>
      <w:bookmarkStart w:id="102" w:name="_GoBack"/>
      <w:bookmarkEnd w:id="102"/>
      <w:r>
        <w:rPr>
          <w:rFonts w:hint="eastAsia" w:ascii="仿宋_GB2312" w:eastAsia="仿宋_GB2312"/>
          <w:color w:val="auto"/>
          <w:sz w:val="32"/>
          <w:szCs w:val="32"/>
          <w:highlight w:val="none"/>
          <w:lang w:eastAsia="zh-CN"/>
        </w:rPr>
        <w:t>到市烈士陵园开展三年提升行动督导工作开支费用</w:t>
      </w:r>
      <w:r>
        <w:rPr>
          <w:rFonts w:hint="eastAsia" w:ascii="仿宋_GB2312" w:eastAsia="仿宋_GB2312"/>
          <w:color w:val="auto"/>
          <w:sz w:val="32"/>
          <w:szCs w:val="32"/>
          <w:highlight w:val="none"/>
          <w:lang w:val="en-US" w:eastAsia="zh-CN"/>
        </w:rPr>
        <w:t>0.04万元。</w:t>
      </w:r>
    </w:p>
    <w:p>
      <w:pPr>
        <w:spacing w:line="600" w:lineRule="exact"/>
        <w:ind w:firstLine="645"/>
        <w:rPr>
          <w:rFonts w:ascii="黑体" w:eastAsia="黑体"/>
          <w:b w:val="0"/>
          <w:bCs/>
          <w:color w:val="auto"/>
          <w:sz w:val="32"/>
          <w:szCs w:val="32"/>
          <w:highlight w:val="none"/>
        </w:rPr>
      </w:pPr>
      <w:bookmarkStart w:id="56" w:name="_Toc15377218"/>
      <w:bookmarkStart w:id="57" w:name="_Toc15396610"/>
      <w:r>
        <w:rPr>
          <w:rFonts w:hint="eastAsia" w:ascii="仿宋" w:eastAsia="仿宋"/>
          <w:b w:val="0"/>
          <w:bCs/>
          <w:color w:val="auto"/>
          <w:sz w:val="32"/>
          <w:szCs w:val="32"/>
          <w:highlight w:val="none"/>
        </w:rPr>
        <w:t>外事接待支出</w:t>
      </w:r>
      <w:r>
        <w:rPr>
          <w:rFonts w:hint="eastAsia" w:ascii="仿宋" w:eastAsia="仿宋"/>
          <w:b w:val="0"/>
          <w:bCs/>
          <w:color w:val="auto"/>
          <w:sz w:val="32"/>
          <w:szCs w:val="32"/>
          <w:highlight w:val="none"/>
          <w:lang w:val="en-US" w:eastAsia="zh-CN"/>
        </w:rPr>
        <w:t>0</w:t>
      </w:r>
      <w:r>
        <w:rPr>
          <w:rFonts w:hint="eastAsia" w:ascii="仿宋_GB2312" w:eastAsia="仿宋_GB2312"/>
          <w:b w:val="0"/>
          <w:bCs/>
          <w:color w:val="auto"/>
          <w:sz w:val="32"/>
          <w:szCs w:val="32"/>
          <w:highlight w:val="none"/>
        </w:rPr>
        <w:t>万元，全年未发生外事接待支出。</w:t>
      </w:r>
    </w:p>
    <w:p>
      <w:pPr>
        <w:spacing w:line="600" w:lineRule="exact"/>
        <w:ind w:firstLine="640"/>
        <w:outlineLvl w:val="1"/>
        <w:rPr>
          <w:rStyle w:val="19"/>
          <w:rFonts w:ascii="黑体" w:hAnsi="黑体" w:eastAsia="黑体"/>
          <w:color w:val="auto"/>
          <w:highlight w:val="none"/>
        </w:rPr>
      </w:pPr>
      <w:bookmarkStart w:id="58" w:name="_Toc21030"/>
      <w:r>
        <w:rPr>
          <w:rFonts w:hint="eastAsia" w:ascii="黑体" w:eastAsia="黑体"/>
          <w:color w:val="auto"/>
          <w:sz w:val="32"/>
          <w:szCs w:val="32"/>
          <w:highlight w:val="none"/>
        </w:rPr>
        <w:t>八、</w:t>
      </w:r>
      <w:r>
        <w:rPr>
          <w:rStyle w:val="19"/>
          <w:rFonts w:hint="eastAsia" w:ascii="黑体" w:hAnsi="黑体" w:eastAsia="黑体"/>
          <w:b w:val="0"/>
          <w:color w:val="auto"/>
          <w:highlight w:val="none"/>
        </w:rPr>
        <w:t>政府性基金预算支出决算情况说明</w:t>
      </w:r>
      <w:bookmarkEnd w:id="56"/>
      <w:bookmarkEnd w:id="57"/>
      <w:bookmarkEnd w:id="58"/>
    </w:p>
    <w:p>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2022年</w:t>
      </w:r>
      <w:r>
        <w:rPr>
          <w:rFonts w:hint="eastAsia" w:ascii="仿宋_GB2312" w:eastAsia="仿宋_GB2312"/>
          <w:color w:val="auto"/>
          <w:sz w:val="32"/>
          <w:szCs w:val="32"/>
          <w:highlight w:val="none"/>
        </w:rPr>
        <w:t>本单位未在政府性基金预算拨款安排“三公”经费支出。</w:t>
      </w:r>
    </w:p>
    <w:p>
      <w:pPr>
        <w:numPr>
          <w:ilvl w:val="0"/>
          <w:numId w:val="2"/>
        </w:numPr>
        <w:spacing w:line="600" w:lineRule="exact"/>
        <w:ind w:left="0" w:firstLine="640"/>
        <w:outlineLvl w:val="1"/>
        <w:rPr>
          <w:rStyle w:val="19"/>
          <w:rFonts w:ascii="黑体" w:hAnsi="黑体" w:eastAsia="黑体"/>
          <w:b w:val="0"/>
          <w:color w:val="auto"/>
          <w:highlight w:val="none"/>
        </w:rPr>
      </w:pPr>
      <w:bookmarkStart w:id="59" w:name="_Toc15377219"/>
      <w:bookmarkStart w:id="60" w:name="_Toc5035"/>
      <w:bookmarkStart w:id="61" w:name="_Toc15396611"/>
      <w:r>
        <w:rPr>
          <w:rStyle w:val="19"/>
          <w:rFonts w:hint="eastAsia" w:ascii="黑体" w:hAnsi="黑体" w:eastAsia="黑体"/>
          <w:b w:val="0"/>
          <w:color w:val="auto"/>
          <w:highlight w:val="none"/>
        </w:rPr>
        <w:t>国有资本经营预算支出决算情况说明</w:t>
      </w:r>
      <w:bookmarkEnd w:id="59"/>
      <w:bookmarkEnd w:id="60"/>
      <w:bookmarkEnd w:id="61"/>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2"/>
        </w:numPr>
        <w:spacing w:line="600" w:lineRule="exact"/>
        <w:ind w:left="0" w:firstLine="640"/>
        <w:outlineLvl w:val="1"/>
        <w:rPr>
          <w:rStyle w:val="19"/>
          <w:rFonts w:hint="eastAsia" w:ascii="黑体" w:hAnsi="黑体" w:eastAsia="黑体"/>
          <w:b w:val="0"/>
          <w:color w:val="auto"/>
          <w:highlight w:val="none"/>
        </w:rPr>
      </w:pPr>
      <w:bookmarkStart w:id="62" w:name="_Toc15396612"/>
      <w:bookmarkStart w:id="63" w:name="_Toc15377221"/>
      <w:bookmarkStart w:id="64" w:name="_Toc18377"/>
      <w:r>
        <w:rPr>
          <w:rStyle w:val="19"/>
          <w:rFonts w:hint="eastAsia" w:ascii="黑体" w:hAnsi="黑体" w:eastAsia="黑体"/>
          <w:b w:val="0"/>
          <w:color w:val="auto"/>
          <w:highlight w:val="none"/>
        </w:rPr>
        <w:t>其他重要事项的情况说明</w:t>
      </w:r>
      <w:bookmarkEnd w:id="62"/>
      <w:bookmarkEnd w:id="63"/>
      <w:bookmarkEnd w:id="64"/>
    </w:p>
    <w:p>
      <w:pPr>
        <w:spacing w:line="600" w:lineRule="exact"/>
        <w:ind w:firstLine="642" w:firstLineChars="200"/>
        <w:outlineLvl w:val="2"/>
        <w:rPr>
          <w:rFonts w:ascii="仿宋" w:hAnsi="仿宋" w:eastAsia="仿宋"/>
          <w:color w:val="auto"/>
          <w:sz w:val="32"/>
          <w:szCs w:val="32"/>
          <w:highlight w:val="none"/>
        </w:rPr>
      </w:pPr>
      <w:bookmarkStart w:id="65" w:name="_Toc15377222"/>
      <w:r>
        <w:rPr>
          <w:rFonts w:hint="eastAsia" w:ascii="仿宋" w:hAnsi="仿宋" w:eastAsia="仿宋"/>
          <w:b/>
          <w:color w:val="auto"/>
          <w:sz w:val="32"/>
          <w:szCs w:val="32"/>
          <w:highlight w:val="none"/>
        </w:rPr>
        <w:t>（一）机关运行经费支出情况</w:t>
      </w:r>
      <w:bookmarkEnd w:id="65"/>
    </w:p>
    <w:p>
      <w:pPr>
        <w:spacing w:line="600" w:lineRule="exact"/>
        <w:ind w:firstLine="640" w:firstLineChars="200"/>
        <w:rPr>
          <w:rFonts w:ascii="仿宋" w:hAnsi="仿宋" w:eastAsia="仿宋"/>
          <w:b/>
          <w:color w:val="auto"/>
          <w:sz w:val="32"/>
          <w:szCs w:val="32"/>
          <w:highlight w:val="none"/>
        </w:rPr>
      </w:pPr>
      <w:bookmarkStart w:id="66" w:name="_Toc15377223"/>
      <w:r>
        <w:rPr>
          <w:rFonts w:hint="eastAsia" w:ascii="仿宋_GB2312" w:eastAsia="仿宋_GB2312"/>
          <w:color w:val="auto"/>
          <w:sz w:val="32"/>
          <w:szCs w:val="32"/>
          <w:highlight w:val="none"/>
          <w:lang w:val="en-US" w:eastAsia="zh-CN"/>
        </w:rPr>
        <w:t>2022年未发生机关运行经费支出，与2021年决算数持平。</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66"/>
    </w:p>
    <w:p>
      <w:pPr>
        <w:spacing w:line="600" w:lineRule="exact"/>
        <w:ind w:firstLine="640" w:firstLineChars="200"/>
        <w:rPr>
          <w:rFonts w:hint="eastAsia" w:ascii="仿宋_GB2312" w:eastAsia="仿宋_GB2312"/>
          <w:color w:val="auto"/>
          <w:sz w:val="32"/>
          <w:szCs w:val="32"/>
          <w:highlight w:val="none"/>
          <w:lang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未发生政府采购支出。</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67" w:name="_Toc15377224"/>
      <w:r>
        <w:rPr>
          <w:rFonts w:hint="eastAsia" w:ascii="仿宋" w:hAnsi="仿宋" w:eastAsia="仿宋"/>
          <w:b/>
          <w:color w:val="auto"/>
          <w:sz w:val="32"/>
          <w:szCs w:val="32"/>
          <w:highlight w:val="none"/>
        </w:rPr>
        <w:t>（三）国有资产占有使用情况</w:t>
      </w:r>
      <w:bookmarkEnd w:id="67"/>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广元市烈士陵园管理所</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2"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7"/>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hAnsi="仿宋_GB2312" w:cs="仿宋_GB2312"/>
          <w:color w:val="auto"/>
          <w:sz w:val="32"/>
          <w:szCs w:val="32"/>
          <w:highlight w:val="none"/>
          <w:lang w:val="en-US" w:eastAsia="zh-CN"/>
        </w:rPr>
        <w:t>26</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26</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26</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3"/>
        </w:numPr>
        <w:spacing w:line="600" w:lineRule="exact"/>
        <w:ind w:left="0" w:firstLine="660" w:firstLineChars="150"/>
        <w:jc w:val="center"/>
        <w:outlineLvl w:val="0"/>
        <w:rPr>
          <w:rStyle w:val="18"/>
          <w:rFonts w:ascii="黑体" w:hAnsi="黑体" w:eastAsia="黑体"/>
          <w:b w:val="0"/>
          <w:color w:val="auto"/>
          <w:highlight w:val="none"/>
        </w:rPr>
      </w:pPr>
      <w:bookmarkStart w:id="68" w:name="_Toc15396613"/>
      <w:bookmarkStart w:id="69" w:name="_Toc15377225"/>
      <w:bookmarkStart w:id="70" w:name="_Toc8986"/>
      <w:r>
        <w:rPr>
          <w:rFonts w:hint="eastAsia" w:ascii="黑体" w:hAnsi="黑体" w:eastAsia="黑体"/>
          <w:color w:val="auto"/>
          <w:sz w:val="44"/>
          <w:szCs w:val="44"/>
          <w:highlight w:val="none"/>
        </w:rPr>
        <w:t>名</w:t>
      </w:r>
      <w:r>
        <w:rPr>
          <w:rStyle w:val="18"/>
          <w:rFonts w:hint="eastAsia" w:ascii="黑体" w:hAnsi="黑体" w:eastAsia="黑体"/>
          <w:b w:val="0"/>
          <w:color w:val="auto"/>
          <w:highlight w:val="none"/>
        </w:rPr>
        <w:t>词解释</w:t>
      </w:r>
      <w:bookmarkEnd w:id="68"/>
      <w:bookmarkEnd w:id="69"/>
      <w:bookmarkEnd w:id="70"/>
    </w:p>
    <w:p>
      <w:pPr>
        <w:spacing w:line="600" w:lineRule="exact"/>
        <w:jc w:val="left"/>
        <w:rPr>
          <w:rFonts w:ascii="宋体"/>
          <w:b/>
          <w:color w:val="auto"/>
          <w:sz w:val="44"/>
          <w:szCs w:val="44"/>
          <w:highlight w:val="none"/>
        </w:rPr>
      </w:pPr>
    </w:p>
    <w:p>
      <w:pPr>
        <w:pStyle w:val="23"/>
        <w:keepNext w:val="0"/>
        <w:keepLines w:val="0"/>
        <w:pageBreakBefore w:val="0"/>
        <w:widowControl w:val="0"/>
        <w:numPr>
          <w:ilvl w:val="0"/>
          <w:numId w:val="4"/>
        </w:numPr>
        <w:kinsoku/>
        <w:wordWrap/>
        <w:overflowPunct/>
        <w:topLinePunct w:val="0"/>
        <w:bidi w:val="0"/>
        <w:snapToGrid/>
        <w:spacing w:line="560" w:lineRule="exact"/>
        <w:ind w:left="0" w:leftChars="0" w:firstLine="403" w:firstLineChars="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财政拨款收入：指单位从同级财政部门取得的财政预算资金。</w:t>
      </w:r>
    </w:p>
    <w:p>
      <w:pPr>
        <w:keepNext w:val="0"/>
        <w:keepLines w:val="0"/>
        <w:pageBreakBefore w:val="0"/>
        <w:widowControl w:val="0"/>
        <w:numPr>
          <w:ilvl w:val="0"/>
          <w:numId w:val="4"/>
        </w:numPr>
        <w:kinsoku/>
        <w:wordWrap/>
        <w:overflowPunct/>
        <w:topLinePunct w:val="0"/>
        <w:bidi w:val="0"/>
        <w:snapToGrid/>
        <w:spacing w:line="560" w:lineRule="exact"/>
        <w:ind w:left="0" w:leftChars="0" w:firstLine="403" w:firstLineChars="0"/>
        <w:textAlignment w:val="auto"/>
        <w:rPr>
          <w:rFonts w:hint="eastAsia" w:ascii="仿宋_GB2312" w:eastAsia="仿宋_GB2312" w:cs="仿宋"/>
          <w:color w:val="auto"/>
          <w:kern w:val="0"/>
          <w:sz w:val="32"/>
          <w:szCs w:val="32"/>
          <w:highlight w:val="none"/>
          <w:lang w:val="en-US" w:eastAsia="zh-CN" w:bidi="ar-SA"/>
        </w:rPr>
      </w:pPr>
      <w:r>
        <w:rPr>
          <w:rFonts w:hint="eastAsia" w:ascii="仿宋_GB2312" w:eastAsia="仿宋_GB2312" w:cs="仿宋"/>
          <w:color w:val="auto"/>
          <w:kern w:val="0"/>
          <w:sz w:val="32"/>
          <w:szCs w:val="32"/>
          <w:highlight w:val="none"/>
          <w:lang w:val="en-US" w:eastAsia="zh-CN" w:bidi="ar-SA"/>
        </w:rPr>
        <w:t>年初结转和结余：指以前年度尚未完成、结转到本年按有关规定继续使用的资金。</w:t>
      </w:r>
    </w:p>
    <w:p>
      <w:pPr>
        <w:pStyle w:val="2"/>
        <w:keepNext w:val="0"/>
        <w:keepLines w:val="0"/>
        <w:pageBreakBefore w:val="0"/>
        <w:widowControl w:val="0"/>
        <w:numPr>
          <w:ilvl w:val="0"/>
          <w:numId w:val="4"/>
        </w:numPr>
        <w:kinsoku/>
        <w:wordWrap/>
        <w:overflowPunct/>
        <w:topLinePunct w:val="0"/>
        <w:bidi w:val="0"/>
        <w:snapToGrid/>
        <w:spacing w:line="560" w:lineRule="exact"/>
        <w:ind w:left="0" w:leftChars="0" w:firstLine="403" w:firstLineChars="0"/>
        <w:textAlignment w:val="auto"/>
        <w:rPr>
          <w:rFonts w:hint="eastAsia" w:ascii="仿宋_GB2312" w:hAnsi="Times New Roman" w:eastAsia="仿宋_GB2312" w:cs="仿宋"/>
          <w:color w:val="auto"/>
          <w:kern w:val="0"/>
          <w:sz w:val="32"/>
          <w:szCs w:val="32"/>
          <w:highlight w:val="none"/>
          <w:lang w:val="en-US" w:eastAsia="zh-CN" w:bidi="ar-SA"/>
        </w:rPr>
      </w:pPr>
      <w:r>
        <w:rPr>
          <w:rFonts w:hint="eastAsia" w:ascii="仿宋_GB2312" w:hAnsi="Times New Roman" w:eastAsia="仿宋_GB2312" w:cs="仿宋"/>
          <w:color w:val="auto"/>
          <w:kern w:val="0"/>
          <w:sz w:val="32"/>
          <w:szCs w:val="32"/>
          <w:highlight w:val="none"/>
          <w:lang w:val="en-US" w:eastAsia="zh-CN" w:bidi="ar-SA"/>
        </w:rPr>
        <w:t>年末结转和结余：指单位按有关规定结转到下年或以后年度继续使用的资金。</w:t>
      </w:r>
    </w:p>
    <w:p>
      <w:pPr>
        <w:keepNext w:val="0"/>
        <w:keepLines w:val="0"/>
        <w:pageBreakBefore w:val="0"/>
        <w:widowControl w:val="0"/>
        <w:numPr>
          <w:ilvl w:val="0"/>
          <w:numId w:val="4"/>
        </w:numPr>
        <w:kinsoku/>
        <w:wordWrap/>
        <w:overflowPunct/>
        <w:topLinePunct w:val="0"/>
        <w:bidi w:val="0"/>
        <w:snapToGrid/>
        <w:spacing w:line="560" w:lineRule="exact"/>
        <w:ind w:left="0" w:leftChars="0" w:firstLine="403" w:firstLineChars="0"/>
        <w:textAlignment w:val="auto"/>
        <w:rPr>
          <w:rFonts w:hint="eastAsia" w:ascii="仿宋_GB2312" w:eastAsia="仿宋_GB2312" w:cs="仿宋"/>
          <w:color w:val="auto"/>
          <w:kern w:val="0"/>
          <w:sz w:val="32"/>
          <w:szCs w:val="32"/>
          <w:highlight w:val="none"/>
          <w:lang w:val="en-US" w:eastAsia="zh-CN" w:bidi="ar-SA"/>
        </w:rPr>
      </w:pPr>
      <w:r>
        <w:rPr>
          <w:rFonts w:hint="eastAsia" w:ascii="仿宋_GB2312" w:eastAsia="仿宋_GB2312" w:cs="仿宋"/>
          <w:color w:val="auto"/>
          <w:kern w:val="0"/>
          <w:sz w:val="32"/>
          <w:szCs w:val="32"/>
          <w:highlight w:val="none"/>
          <w:lang w:val="en-US" w:eastAsia="zh-CN" w:bidi="ar-SA"/>
        </w:rPr>
        <w:t>社会保障和就业支出（类）行政事业单位养老支出（款）机关事业单位基本养老保险缴费支出（项）：指机关事业单位实施养老保险制度由单位缴纳的基本养老保险费支出。</w:t>
      </w:r>
    </w:p>
    <w:p>
      <w:pPr>
        <w:keepNext w:val="0"/>
        <w:keepLines w:val="0"/>
        <w:pageBreakBefore w:val="0"/>
        <w:widowControl w:val="0"/>
        <w:numPr>
          <w:ilvl w:val="0"/>
          <w:numId w:val="4"/>
        </w:numPr>
        <w:kinsoku/>
        <w:wordWrap/>
        <w:overflowPunct/>
        <w:topLinePunct w:val="0"/>
        <w:bidi w:val="0"/>
        <w:snapToGrid/>
        <w:spacing w:line="560" w:lineRule="exact"/>
        <w:ind w:left="0" w:leftChars="0" w:firstLine="403" w:firstLineChars="0"/>
        <w:textAlignment w:val="auto"/>
        <w:rPr>
          <w:rFonts w:hint="eastAsia" w:ascii="仿宋_GB2312" w:eastAsia="仿宋_GB2312" w:cs="仿宋"/>
          <w:color w:val="auto"/>
          <w:kern w:val="0"/>
          <w:sz w:val="32"/>
          <w:szCs w:val="32"/>
          <w:highlight w:val="none"/>
          <w:lang w:val="en-US" w:eastAsia="zh-CN" w:bidi="ar-SA"/>
        </w:rPr>
      </w:pPr>
      <w:r>
        <w:rPr>
          <w:rFonts w:hint="eastAsia" w:ascii="仿宋_GB2312" w:eastAsia="仿宋_GB2312" w:cs="仿宋"/>
          <w:color w:val="auto"/>
          <w:kern w:val="0"/>
          <w:sz w:val="32"/>
          <w:szCs w:val="32"/>
          <w:highlight w:val="none"/>
          <w:lang w:val="en-US" w:eastAsia="zh-CN" w:bidi="ar-SA"/>
        </w:rPr>
        <w:t>社会保障和就业支出（类）抚恤（款）烈士纪念设施管理维护（项）：指用于烈士纪念设施和军人公墓的管理维护服务支出。</w:t>
      </w:r>
    </w:p>
    <w:p>
      <w:pPr>
        <w:keepNext w:val="0"/>
        <w:keepLines w:val="0"/>
        <w:pageBreakBefore w:val="0"/>
        <w:widowControl w:val="0"/>
        <w:numPr>
          <w:ilvl w:val="0"/>
          <w:numId w:val="4"/>
        </w:numPr>
        <w:kinsoku/>
        <w:wordWrap/>
        <w:overflowPunct/>
        <w:topLinePunct w:val="0"/>
        <w:bidi w:val="0"/>
        <w:snapToGrid/>
        <w:spacing w:line="560" w:lineRule="exact"/>
        <w:ind w:left="0" w:leftChars="0" w:firstLine="403" w:firstLineChars="0"/>
        <w:textAlignment w:val="auto"/>
        <w:rPr>
          <w:rFonts w:hint="eastAsia" w:ascii="仿宋_GB2312" w:eastAsia="仿宋_GB2312" w:cs="仿宋"/>
          <w:color w:val="auto"/>
          <w:kern w:val="0"/>
          <w:sz w:val="32"/>
          <w:szCs w:val="32"/>
          <w:highlight w:val="none"/>
          <w:lang w:val="en-US" w:eastAsia="zh-CN" w:bidi="ar-SA"/>
        </w:rPr>
      </w:pPr>
      <w:r>
        <w:rPr>
          <w:rFonts w:hint="eastAsia" w:ascii="仿宋_GB2312" w:eastAsia="仿宋_GB2312" w:cs="仿宋"/>
          <w:color w:val="auto"/>
          <w:kern w:val="0"/>
          <w:sz w:val="32"/>
          <w:szCs w:val="32"/>
          <w:highlight w:val="none"/>
          <w:lang w:val="en-US" w:eastAsia="zh-CN" w:bidi="ar-SA"/>
        </w:rPr>
        <w:t>卫生健康支出（类）行政事业单位医疗（款）事业单位医疗（项）：指财政部门安排的事业单位基本医疗保险经费，未参加医疗保险的事业单位公费医疗经费，按国家规定享受离休人员待遇的医疗费。</w:t>
      </w:r>
    </w:p>
    <w:p>
      <w:pPr>
        <w:keepNext w:val="0"/>
        <w:keepLines w:val="0"/>
        <w:pageBreakBefore w:val="0"/>
        <w:widowControl w:val="0"/>
        <w:numPr>
          <w:ilvl w:val="0"/>
          <w:numId w:val="4"/>
        </w:numPr>
        <w:kinsoku/>
        <w:wordWrap/>
        <w:overflowPunct/>
        <w:topLinePunct w:val="0"/>
        <w:bidi w:val="0"/>
        <w:snapToGrid/>
        <w:spacing w:line="560" w:lineRule="exact"/>
        <w:ind w:left="0" w:leftChars="0" w:firstLine="403" w:firstLineChars="0"/>
        <w:textAlignment w:val="auto"/>
        <w:rPr>
          <w:rFonts w:hint="eastAsia" w:ascii="仿宋_GB2312" w:eastAsia="仿宋_GB2312" w:cs="仿宋"/>
          <w:color w:val="auto"/>
          <w:kern w:val="0"/>
          <w:sz w:val="32"/>
          <w:szCs w:val="32"/>
          <w:highlight w:val="none"/>
          <w:lang w:val="en-US" w:eastAsia="zh-CN" w:bidi="ar-SA"/>
        </w:rPr>
      </w:pPr>
      <w:r>
        <w:rPr>
          <w:rFonts w:hint="eastAsia" w:ascii="仿宋_GB2312" w:eastAsia="仿宋_GB2312" w:cs="仿宋"/>
          <w:color w:val="auto"/>
          <w:kern w:val="0"/>
          <w:sz w:val="32"/>
          <w:szCs w:val="32"/>
          <w:highlight w:val="none"/>
          <w:lang w:val="en-US" w:eastAsia="zh-CN" w:bidi="ar-SA"/>
        </w:rPr>
        <w:t>住房保障支出（类）住房保障支出（款）住房公积金（项）：指行政事业单位按人力资源和社会保障部、财政部规定的基本工资和津贴补贴以及规定比例为职工缴纳的住房公积金。</w:t>
      </w:r>
    </w:p>
    <w:p>
      <w:pPr>
        <w:keepNext w:val="0"/>
        <w:keepLines w:val="0"/>
        <w:pageBreakBefore w:val="0"/>
        <w:widowControl w:val="0"/>
        <w:numPr>
          <w:ilvl w:val="0"/>
          <w:numId w:val="4"/>
        </w:numPr>
        <w:kinsoku/>
        <w:wordWrap/>
        <w:overflowPunct/>
        <w:topLinePunct w:val="0"/>
        <w:bidi w:val="0"/>
        <w:snapToGrid/>
        <w:spacing w:line="560" w:lineRule="exact"/>
        <w:ind w:left="0" w:leftChars="0" w:firstLine="403" w:firstLineChars="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基本支出：指为保障机构正常运转、完成日常工作任务而发生的人员支出和公用支出。</w:t>
      </w:r>
    </w:p>
    <w:p>
      <w:pPr>
        <w:keepNext w:val="0"/>
        <w:keepLines w:val="0"/>
        <w:pageBreakBefore w:val="0"/>
        <w:widowControl w:val="0"/>
        <w:numPr>
          <w:ilvl w:val="0"/>
          <w:numId w:val="4"/>
        </w:numPr>
        <w:kinsoku/>
        <w:wordWrap/>
        <w:overflowPunct/>
        <w:topLinePunct w:val="0"/>
        <w:bidi w:val="0"/>
        <w:snapToGrid/>
        <w:spacing w:line="560" w:lineRule="exact"/>
        <w:ind w:left="0" w:leftChars="0" w:firstLine="403" w:firstLineChars="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3"/>
        <w:keepNext w:val="0"/>
        <w:keepLines w:val="0"/>
        <w:pageBreakBefore w:val="0"/>
        <w:widowControl w:val="0"/>
        <w:numPr>
          <w:ilvl w:val="0"/>
          <w:numId w:val="4"/>
        </w:numPr>
        <w:kinsoku/>
        <w:wordWrap/>
        <w:overflowPunct/>
        <w:topLinePunct w:val="0"/>
        <w:bidi w:val="0"/>
        <w:snapToGrid/>
        <w:spacing w:line="560" w:lineRule="exact"/>
        <w:ind w:left="0" w:leftChars="0" w:firstLine="403" w:firstLineChars="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3"/>
        <w:keepNext w:val="0"/>
        <w:keepLines w:val="0"/>
        <w:pageBreakBefore w:val="0"/>
        <w:widowControl w:val="0"/>
        <w:numPr>
          <w:ilvl w:val="0"/>
          <w:numId w:val="4"/>
        </w:numPr>
        <w:kinsoku/>
        <w:wordWrap/>
        <w:overflowPunct/>
        <w:topLinePunct w:val="0"/>
        <w:bidi w:val="0"/>
        <w:snapToGrid/>
        <w:spacing w:line="560" w:lineRule="exact"/>
        <w:ind w:left="0" w:leftChars="0" w:firstLine="403" w:firstLineChars="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Fonts w:ascii="仿宋_GB2312" w:hAnsi="仿宋_GB2312" w:eastAsia="仿宋_GB2312" w:cs="仿宋_GB2312"/>
          <w:color w:val="auto"/>
          <w:sz w:val="32"/>
          <w:szCs w:val="32"/>
          <w:highlight w:val="none"/>
        </w:rPr>
      </w:pPr>
      <w:bookmarkStart w:id="71" w:name="_Toc15377226"/>
      <w:r>
        <w:rPr>
          <w:rFonts w:ascii="宋体"/>
          <w:b/>
          <w:color w:val="auto"/>
          <w:sz w:val="44"/>
          <w:szCs w:val="44"/>
          <w:highlight w:val="none"/>
        </w:rPr>
        <w:br w:type="page"/>
      </w:r>
      <w:bookmarkStart w:id="72" w:name="_Toc15396614"/>
      <w:bookmarkStart w:id="73" w:name="_Toc17688"/>
      <w:r>
        <w:rPr>
          <w:rFonts w:hint="eastAsia" w:ascii="黑体" w:hAnsi="黑体" w:eastAsia="黑体"/>
          <w:color w:val="auto"/>
          <w:sz w:val="44"/>
          <w:szCs w:val="44"/>
          <w:highlight w:val="none"/>
        </w:rPr>
        <w:t>第</w:t>
      </w:r>
      <w:r>
        <w:rPr>
          <w:rStyle w:val="18"/>
          <w:rFonts w:hint="eastAsia" w:ascii="黑体" w:hAnsi="黑体" w:eastAsia="黑体"/>
          <w:b w:val="0"/>
          <w:color w:val="auto"/>
          <w:highlight w:val="none"/>
        </w:rPr>
        <w:t>四部分 附件</w:t>
      </w:r>
      <w:bookmarkEnd w:id="72"/>
      <w:bookmarkEnd w:id="73"/>
    </w:p>
    <w:tbl>
      <w:tblPr>
        <w:tblStyle w:val="14"/>
        <w:tblW w:w="9457" w:type="dxa"/>
        <w:tblInd w:w="-963" w:type="dxa"/>
        <w:tblLayout w:type="fixed"/>
        <w:tblCellMar>
          <w:top w:w="0" w:type="dxa"/>
          <w:left w:w="108" w:type="dxa"/>
          <w:bottom w:w="0" w:type="dxa"/>
          <w:right w:w="108" w:type="dxa"/>
        </w:tblCellMar>
      </w:tblPr>
      <w:tblGrid>
        <w:gridCol w:w="216"/>
        <w:gridCol w:w="771"/>
        <w:gridCol w:w="46"/>
        <w:gridCol w:w="602"/>
        <w:gridCol w:w="172"/>
        <w:gridCol w:w="118"/>
        <w:gridCol w:w="188"/>
        <w:gridCol w:w="135"/>
        <w:gridCol w:w="403"/>
        <w:gridCol w:w="232"/>
        <w:gridCol w:w="173"/>
        <w:gridCol w:w="510"/>
        <w:gridCol w:w="269"/>
        <w:gridCol w:w="29"/>
        <w:gridCol w:w="104"/>
        <w:gridCol w:w="136"/>
        <w:gridCol w:w="141"/>
        <w:gridCol w:w="200"/>
        <w:gridCol w:w="120"/>
        <w:gridCol w:w="365"/>
        <w:gridCol w:w="134"/>
        <w:gridCol w:w="34"/>
        <w:gridCol w:w="32"/>
        <w:gridCol w:w="68"/>
        <w:gridCol w:w="269"/>
        <w:gridCol w:w="218"/>
        <w:gridCol w:w="49"/>
        <w:gridCol w:w="57"/>
        <w:gridCol w:w="216"/>
        <w:gridCol w:w="134"/>
        <w:gridCol w:w="135"/>
        <w:gridCol w:w="193"/>
        <w:gridCol w:w="75"/>
        <w:gridCol w:w="136"/>
        <w:gridCol w:w="424"/>
        <w:gridCol w:w="282"/>
        <w:gridCol w:w="721"/>
        <w:gridCol w:w="455"/>
        <w:gridCol w:w="95"/>
        <w:gridCol w:w="125"/>
        <w:gridCol w:w="71"/>
        <w:gridCol w:w="106"/>
        <w:gridCol w:w="29"/>
        <w:gridCol w:w="33"/>
        <w:gridCol w:w="111"/>
        <w:gridCol w:w="105"/>
        <w:gridCol w:w="136"/>
        <w:gridCol w:w="38"/>
        <w:gridCol w:w="43"/>
        <w:gridCol w:w="3"/>
      </w:tblGrid>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000000"/>
                <w:sz w:val="30"/>
                <w:szCs w:val="30"/>
                <w:u w:val="none"/>
                <w:lang w:bidi="ar-SA"/>
              </w:rPr>
            </w:pPr>
            <w:bookmarkStart w:id="74" w:name="_Toc15396618"/>
            <w:r>
              <w:rPr>
                <w:rFonts w:hint="eastAsia" w:ascii="黑体" w:eastAsia="黑体" w:cs="黑体"/>
                <w:b/>
                <w:bCs/>
                <w:color w:val="000000"/>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51000021R000000019951-工资性支出</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主管部门</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广元市退役军人事务局部门</w:t>
            </w:r>
          </w:p>
        </w:tc>
        <w:tc>
          <w:tcPr>
            <w:tcW w:w="784" w:type="dxa"/>
            <w:gridSpan w:val="6"/>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严格执行相关政策，保障工资及时发放、足额发放，预算编制科学合理，减少结余资金</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color w:val="000000"/>
                <w:sz w:val="18"/>
                <w:szCs w:val="18"/>
                <w:u w:val="none"/>
                <w:lang w:bidi="ar-SA"/>
              </w:rPr>
            </w:pPr>
            <w:r>
              <w:rPr>
                <w:rFonts w:hint="eastAsia" w:ascii="宋体" w:eastAsia="宋体" w:cs="宋体"/>
                <w:color w:val="000000"/>
                <w:kern w:val="0"/>
                <w:sz w:val="18"/>
                <w:szCs w:val="18"/>
                <w:u w:val="none"/>
                <w:lang w:val="en-US" w:eastAsia="zh-CN" w:bidi="ar"/>
              </w:rPr>
              <w:t>严格执行相关政策，保障工资及时发放、足额发放，预算编制科学合理，减少结余资金</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eastAsia="宋体" w:cs="宋体"/>
                <w:color w:val="000000"/>
                <w:sz w:val="18"/>
                <w:szCs w:val="18"/>
                <w:u w:val="none"/>
                <w:lang w:eastAsia="zh-CN" w:bidi="ar-SA"/>
              </w:rPr>
              <w:t>及时、足额发放职工每月工资</w:t>
            </w:r>
            <w:r>
              <w:rPr>
                <w:rFonts w:hint="eastAsia" w:ascii="宋体" w:cs="宋体"/>
                <w:color w:val="000000"/>
                <w:sz w:val="18"/>
                <w:szCs w:val="18"/>
                <w:u w:val="none"/>
                <w:lang w:eastAsia="zh-CN" w:bidi="ar-SA"/>
              </w:rPr>
              <w:t>、交纳保险。</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19.90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28.58</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24.96</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87.33%</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8.7</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adjustRightInd/>
              <w:snapToGrid/>
              <w:spacing w:line="260" w:lineRule="exact"/>
              <w:jc w:val="left"/>
              <w:textAlignment w:val="center"/>
              <w:rPr>
                <w:rFonts w:hint="eastAsia" w:ascii="黑体" w:hAnsi="黑体" w:eastAsia="宋体" w:cs="黑体"/>
                <w:i/>
                <w:iCs/>
                <w:color w:val="000000"/>
                <w:sz w:val="18"/>
                <w:szCs w:val="18"/>
                <w:u w:val="none"/>
                <w:lang w:eastAsia="zh-CN" w:bidi="ar-SA"/>
              </w:rPr>
            </w:pPr>
            <w:r>
              <w:rPr>
                <w:rFonts w:hint="eastAsia" w:ascii="黑体" w:hAnsi="黑体" w:eastAsia="宋体" w:cs="黑体"/>
                <w:i/>
                <w:iCs/>
                <w:color w:val="000000"/>
                <w:sz w:val="18"/>
                <w:szCs w:val="18"/>
                <w:u w:val="none"/>
                <w:lang w:eastAsia="zh-CN" w:bidi="ar-SA"/>
              </w:rPr>
              <w:t>工资、保险足额发放及缴纳后的剩余。</w:t>
            </w: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19.90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28.58</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24.96</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87.33%</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指标性质</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指标值</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产出指标</w:t>
            </w:r>
          </w:p>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p>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p>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p>
        </w:tc>
        <w:tc>
          <w:tcPr>
            <w:tcW w:w="95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足额保障率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科目调整次数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次</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sz w:val="16"/>
                <w:szCs w:val="16"/>
                <w:u w:val="none"/>
                <w:lang w:bidi="ar-SA"/>
              </w:rPr>
              <w:t>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bidi="ar-SA"/>
              </w:rPr>
            </w:pPr>
            <w:r>
              <w:rPr>
                <w:rFonts w:hint="eastAsia" w:ascii="宋体" w:eastAsia="宋体" w:cs="宋体"/>
                <w:color w:val="000000"/>
                <w:sz w:val="18"/>
                <w:szCs w:val="18"/>
                <w:u w:val="none"/>
                <w:lang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时效指标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按时发放率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效益指标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经济效益指标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结余率（计算方法为：结余数/预算数）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5</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auto"/>
                <w:sz w:val="16"/>
                <w:szCs w:val="16"/>
                <w:u w:val="none"/>
                <w:lang w:bidi="ar-SA"/>
              </w:rPr>
            </w:pPr>
            <w:r>
              <w:rPr>
                <w:rFonts w:hint="eastAsia" w:ascii="微软雅黑" w:eastAsia="微软雅黑" w:cs="微软雅黑"/>
                <w:i/>
                <w:iCs/>
                <w:color w:val="auto"/>
                <w:sz w:val="16"/>
                <w:szCs w:val="16"/>
                <w:u w:val="none"/>
                <w:lang w:bidi="ar-SA"/>
              </w:rPr>
              <w:t>12.67</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default" w:ascii="宋体" w:eastAsia="宋体" w:cs="宋体"/>
                <w:color w:val="auto"/>
                <w:sz w:val="18"/>
                <w:szCs w:val="18"/>
                <w:u w:val="none"/>
                <w:lang w:val="en-US" w:bidi="ar-SA"/>
              </w:rPr>
            </w:pPr>
            <w:r>
              <w:rPr>
                <w:rFonts w:hint="default" w:ascii="宋体" w:cs="宋体"/>
                <w:color w:val="auto"/>
                <w:sz w:val="18"/>
                <w:szCs w:val="18"/>
                <w:u w:val="none"/>
                <w:lang w:val="en-US" w:bidi="ar-SA"/>
              </w:rPr>
              <w:t>18</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r>
              <w:rPr>
                <w:rFonts w:hint="eastAsia" w:ascii="黑体" w:hAnsi="黑体" w:eastAsia="宋体" w:cs="黑体"/>
                <w:i/>
                <w:iCs/>
                <w:color w:val="000000"/>
                <w:sz w:val="18"/>
                <w:szCs w:val="18"/>
                <w:u w:val="none"/>
                <w:lang w:eastAsia="zh-CN" w:bidi="ar-SA"/>
              </w:rPr>
              <w:t>工资、保险足额发放及缴纳后的结余。</w:t>
            </w:r>
          </w:p>
        </w:tc>
      </w:tr>
      <w:tr>
        <w:tblPrEx>
          <w:tblCellMar>
            <w:top w:w="0" w:type="dxa"/>
            <w:left w:w="108" w:type="dxa"/>
            <w:bottom w:w="0" w:type="dxa"/>
            <w:right w:w="108" w:type="dxa"/>
          </w:tblCellMar>
        </w:tblPrEx>
        <w:trPr>
          <w:gridBefore w:val="1"/>
          <w:gridAfter w:val="3"/>
          <w:wBefore w:w="216" w:type="dxa"/>
          <w:wAfter w:w="84" w:type="dxa"/>
          <w:trHeight w:val="356" w:hRule="atLeast"/>
        </w:trPr>
        <w:tc>
          <w:tcPr>
            <w:tcW w:w="6253" w:type="dxa"/>
            <w:gridSpan w:val="3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合计</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default" w:ascii="宋体" w:eastAsia="宋体" w:cs="宋体"/>
                <w:color w:val="000000"/>
                <w:sz w:val="18"/>
                <w:szCs w:val="18"/>
                <w:u w:val="none"/>
                <w:lang w:val="en-US" w:bidi="ar-SA"/>
              </w:rPr>
            </w:pPr>
            <w:r>
              <w:rPr>
                <w:rFonts w:hint="default" w:ascii="宋体" w:cs="宋体"/>
                <w:color w:val="000000"/>
                <w:sz w:val="18"/>
                <w:szCs w:val="18"/>
                <w:u w:val="none"/>
                <w:lang w:val="en-US" w:bidi="ar-SA"/>
              </w:rPr>
              <w:t>94.2</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853"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评价结论</w:t>
            </w:r>
          </w:p>
        </w:tc>
        <w:tc>
          <w:tcPr>
            <w:tcW w:w="8386" w:type="dxa"/>
            <w:gridSpan w:val="4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结合自评情况，项目自评总分，严格执行相关政策，保障职工工资及时、足额发放</w:t>
            </w:r>
            <w:r>
              <w:rPr>
                <w:rFonts w:hint="eastAsia" w:ascii="宋体" w:cs="宋体"/>
                <w:color w:val="000000"/>
                <w:kern w:val="0"/>
                <w:sz w:val="16"/>
                <w:szCs w:val="16"/>
                <w:u w:val="none"/>
                <w:lang w:val="en-US" w:eastAsia="zh-CN" w:bidi="ar"/>
              </w:rPr>
              <w:t>，保险及时足额交纳。</w:t>
            </w:r>
          </w:p>
        </w:tc>
      </w:tr>
      <w:tr>
        <w:tblPrEx>
          <w:tblCellMar>
            <w:top w:w="0" w:type="dxa"/>
            <w:left w:w="108" w:type="dxa"/>
            <w:bottom w:w="0" w:type="dxa"/>
            <w:right w:w="108" w:type="dxa"/>
          </w:tblCellMar>
        </w:tblPrEx>
        <w:trPr>
          <w:gridBefore w:val="1"/>
          <w:gridAfter w:val="3"/>
          <w:wBefore w:w="216" w:type="dxa"/>
          <w:wAfter w:w="84" w:type="dxa"/>
          <w:trHeight w:val="74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存在问题</w:t>
            </w:r>
          </w:p>
        </w:tc>
        <w:tc>
          <w:tcPr>
            <w:tcW w:w="8386" w:type="dxa"/>
            <w:gridSpan w:val="4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资金使用效益有待进一步提高。</w:t>
            </w:r>
          </w:p>
        </w:tc>
      </w:tr>
      <w:tr>
        <w:tblPrEx>
          <w:tblCellMar>
            <w:top w:w="0" w:type="dxa"/>
            <w:left w:w="108" w:type="dxa"/>
            <w:bottom w:w="0" w:type="dxa"/>
            <w:right w:w="108" w:type="dxa"/>
          </w:tblCellMar>
        </w:tblPrEx>
        <w:trPr>
          <w:gridBefore w:val="1"/>
          <w:gridAfter w:val="3"/>
          <w:wBefore w:w="216" w:type="dxa"/>
          <w:wAfter w:w="84" w:type="dxa"/>
          <w:trHeight w:val="743"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改进措施</w:t>
            </w:r>
          </w:p>
        </w:tc>
        <w:tc>
          <w:tcPr>
            <w:tcW w:w="8386" w:type="dxa"/>
            <w:gridSpan w:val="4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严格按照计划执行，在保证资金使用安全前提下，加快资金使用进度，提高财政资金使用效益，有效提高我单位的整体支出率。</w:t>
            </w:r>
          </w:p>
        </w:tc>
      </w:tr>
      <w:tr>
        <w:tblPrEx>
          <w:tblCellMar>
            <w:top w:w="0" w:type="dxa"/>
            <w:left w:w="108" w:type="dxa"/>
            <w:bottom w:w="0" w:type="dxa"/>
            <w:right w:w="108" w:type="dxa"/>
          </w:tblCellMar>
        </w:tblPrEx>
        <w:trPr>
          <w:gridBefore w:val="1"/>
          <w:gridAfter w:val="3"/>
          <w:wBefore w:w="216" w:type="dxa"/>
          <w:wAfter w:w="84" w:type="dxa"/>
          <w:trHeight w:val="462"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项目负责人：</w:t>
            </w:r>
            <w:r>
              <w:rPr>
                <w:rFonts w:hint="eastAsia" w:ascii="黑体" w:hAnsi="黑体" w:eastAsia="黑体" w:cs="黑体"/>
                <w:color w:val="000000"/>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财务负责人：</w:t>
            </w:r>
            <w:r>
              <w:rPr>
                <w:rFonts w:hint="eastAsia" w:ascii="黑体" w:hAnsi="黑体" w:eastAsia="黑体" w:cs="黑体"/>
                <w:color w:val="000000"/>
                <w:kern w:val="0"/>
                <w:sz w:val="18"/>
                <w:szCs w:val="18"/>
                <w:u w:val="none"/>
                <w:lang w:val="en-US" w:eastAsia="zh-CN" w:bidi="ar"/>
              </w:rPr>
              <w:t>毕波</w:t>
            </w: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000000"/>
                <w:sz w:val="30"/>
                <w:szCs w:val="30"/>
                <w:u w:val="none"/>
                <w:lang w:bidi="ar-SA"/>
              </w:rPr>
            </w:pPr>
            <w:r>
              <w:rPr>
                <w:rFonts w:hint="eastAsia" w:ascii="黑体" w:eastAsia="黑体" w:cs="黑体"/>
                <w:b/>
                <w:bCs/>
                <w:color w:val="000000"/>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51000021R000000019956-离退休费支出</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主管部门</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广元市退役军人事务局部门</w:t>
            </w:r>
          </w:p>
        </w:tc>
        <w:tc>
          <w:tcPr>
            <w:tcW w:w="784" w:type="dxa"/>
            <w:gridSpan w:val="6"/>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严格执行相关政策，保障工资及时发放、足额发放，预算编制科学合理，减少结余资金</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color w:val="000000"/>
                <w:sz w:val="18"/>
                <w:szCs w:val="18"/>
                <w:u w:val="none"/>
                <w:lang w:bidi="ar-SA"/>
              </w:rPr>
            </w:pPr>
            <w:r>
              <w:rPr>
                <w:rFonts w:hint="eastAsia" w:ascii="宋体" w:eastAsia="宋体" w:cs="宋体"/>
                <w:color w:val="000000"/>
                <w:kern w:val="0"/>
                <w:sz w:val="18"/>
                <w:szCs w:val="18"/>
                <w:u w:val="none"/>
                <w:lang w:val="en-US" w:eastAsia="zh-CN" w:bidi="ar"/>
              </w:rPr>
              <w:t>严格执行相关政策，保障工资及时发放、足额发放，预算编制科学合理，减少结余资金</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eastAsia="宋体" w:cs="宋体"/>
                <w:color w:val="000000"/>
                <w:sz w:val="18"/>
                <w:szCs w:val="18"/>
                <w:u w:val="none"/>
                <w:lang w:eastAsia="zh-CN" w:bidi="ar-SA"/>
              </w:rPr>
              <w:t>及时、足额发放退休人员生活补助。</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left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2.80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2.80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2.80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10</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adjustRightInd/>
              <w:snapToGrid/>
              <w:spacing w:line="260" w:lineRule="exact"/>
              <w:jc w:val="left"/>
              <w:textAlignment w:val="center"/>
              <w:rPr>
                <w:rFonts w:hint="default" w:ascii="黑体" w:hAnsi="黑体" w:eastAsia="黑体" w:cs="黑体"/>
                <w:i/>
                <w:iCs/>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left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2.80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2.80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2.80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left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left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default" w:ascii="黑体" w:hAnsi="黑体" w:eastAsia="黑体" w:cs="黑体"/>
                <w:i/>
                <w:iCs/>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left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default" w:ascii="黑体" w:hAnsi="黑体" w:eastAsia="黑体" w:cs="黑体"/>
                <w:i/>
                <w:iCs/>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指标性质</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指标值</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left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产出指标</w:t>
            </w:r>
          </w:p>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p>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p>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p>
        </w:tc>
        <w:tc>
          <w:tcPr>
            <w:tcW w:w="958" w:type="dxa"/>
            <w:gridSpan w:val="4"/>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足额保障率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left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right w:val="single" w:color="000000" w:sz="4" w:space="0"/>
            </w:tcBorders>
            <w:noWrap w:val="0"/>
            <w:vAlign w:val="center"/>
          </w:tcPr>
          <w:p/>
        </w:tc>
        <w:tc>
          <w:tcPr>
            <w:tcW w:w="958" w:type="dxa"/>
            <w:gridSpan w:val="4"/>
            <w:vMerge w:val="continue"/>
            <w:tcBorders>
              <w:top w:val="single" w:color="000000" w:sz="4" w:space="0"/>
              <w:left w:val="single" w:color="000000" w:sz="4" w:space="0"/>
              <w:right w:val="single" w:color="000000" w:sz="4" w:space="0"/>
            </w:tcBorders>
            <w:noWrap w:val="0"/>
            <w:vAlign w:val="center"/>
          </w:tc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科目调整次数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次</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left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时效指标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按时发放率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continue"/>
            <w:tcBorders>
              <w:left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效益指标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经济效益指标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结余率（计算方法为：结余数/预算数）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合计</w:t>
            </w:r>
          </w:p>
        </w:tc>
        <w:tc>
          <w:tcPr>
            <w:tcW w:w="6399" w:type="dxa"/>
            <w:gridSpan w:val="3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100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03"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评价结论</w:t>
            </w:r>
          </w:p>
        </w:tc>
        <w:tc>
          <w:tcPr>
            <w:tcW w:w="8386" w:type="dxa"/>
            <w:gridSpan w:val="4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kern w:val="0"/>
                <w:sz w:val="16"/>
                <w:szCs w:val="16"/>
                <w:u w:val="none"/>
                <w:lang w:val="en-US" w:eastAsia="zh-CN" w:bidi="ar"/>
              </w:rPr>
            </w:pPr>
            <w:r>
              <w:rPr>
                <w:rFonts w:hint="eastAsia" w:ascii="宋体" w:eastAsia="宋体" w:cs="宋体"/>
                <w:color w:val="000000"/>
                <w:kern w:val="0"/>
                <w:sz w:val="16"/>
                <w:szCs w:val="16"/>
                <w:u w:val="none"/>
                <w:lang w:val="en-US" w:eastAsia="zh-CN" w:bidi="ar"/>
              </w:rPr>
              <w:t>结合自评情况，项目自评总分100，每月按时、足额发放退休人员生活补助，</w:t>
            </w:r>
          </w:p>
        </w:tc>
      </w:tr>
      <w:tr>
        <w:tblPrEx>
          <w:tblCellMar>
            <w:top w:w="0" w:type="dxa"/>
            <w:left w:w="108" w:type="dxa"/>
            <w:bottom w:w="0" w:type="dxa"/>
            <w:right w:w="108" w:type="dxa"/>
          </w:tblCellMar>
        </w:tblPrEx>
        <w:trPr>
          <w:gridBefore w:val="1"/>
          <w:gridAfter w:val="3"/>
          <w:wBefore w:w="216" w:type="dxa"/>
          <w:wAfter w:w="84" w:type="dxa"/>
          <w:trHeight w:val="57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存在问题</w:t>
            </w:r>
          </w:p>
        </w:tc>
        <w:tc>
          <w:tcPr>
            <w:tcW w:w="8386" w:type="dxa"/>
            <w:gridSpan w:val="4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kern w:val="0"/>
                <w:sz w:val="16"/>
                <w:szCs w:val="16"/>
                <w:u w:val="none"/>
                <w:lang w:val="en-US" w:eastAsia="zh-CN" w:bidi="ar"/>
              </w:rPr>
            </w:pPr>
            <w:r>
              <w:rPr>
                <w:rFonts w:hint="eastAsia" w:ascii="宋体" w:eastAsia="宋体" w:cs="宋体"/>
                <w:color w:val="000000"/>
                <w:kern w:val="0"/>
                <w:sz w:val="16"/>
                <w:szCs w:val="16"/>
                <w:u w:val="none"/>
                <w:lang w:val="en-US" w:eastAsia="zh-CN" w:bidi="ar"/>
              </w:rPr>
              <w:t>无</w:t>
            </w:r>
          </w:p>
        </w:tc>
      </w:tr>
      <w:tr>
        <w:tblPrEx>
          <w:tblCellMar>
            <w:top w:w="0" w:type="dxa"/>
            <w:left w:w="108" w:type="dxa"/>
            <w:bottom w:w="0" w:type="dxa"/>
            <w:right w:w="108" w:type="dxa"/>
          </w:tblCellMar>
        </w:tblPrEx>
        <w:trPr>
          <w:gridBefore w:val="1"/>
          <w:gridAfter w:val="3"/>
          <w:wBefore w:w="216" w:type="dxa"/>
          <w:wAfter w:w="84" w:type="dxa"/>
          <w:trHeight w:val="633"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改进措施</w:t>
            </w:r>
          </w:p>
        </w:tc>
        <w:tc>
          <w:tcPr>
            <w:tcW w:w="8386" w:type="dxa"/>
            <w:gridSpan w:val="4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kern w:val="0"/>
                <w:sz w:val="16"/>
                <w:szCs w:val="16"/>
                <w:u w:val="none"/>
                <w:lang w:val="en-US" w:eastAsia="zh-CN" w:bidi="ar"/>
              </w:rPr>
            </w:pPr>
            <w:r>
              <w:rPr>
                <w:rFonts w:hint="eastAsia" w:ascii="宋体" w:eastAsia="宋体" w:cs="宋体"/>
                <w:color w:val="000000"/>
                <w:kern w:val="0"/>
                <w:sz w:val="16"/>
                <w:szCs w:val="16"/>
                <w:u w:val="none"/>
                <w:lang w:val="en-US" w:eastAsia="zh-CN" w:bidi="ar"/>
              </w:rPr>
              <w:t>无</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项目负责人：</w:t>
            </w:r>
            <w:r>
              <w:rPr>
                <w:rFonts w:hint="eastAsia" w:ascii="黑体" w:hAnsi="黑体" w:eastAsia="黑体" w:cs="黑体"/>
                <w:color w:val="000000"/>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财务负责人：</w:t>
            </w:r>
            <w:r>
              <w:rPr>
                <w:rFonts w:hint="eastAsia" w:ascii="黑体" w:hAnsi="黑体" w:eastAsia="黑体" w:cs="黑体"/>
                <w:color w:val="000000"/>
                <w:kern w:val="0"/>
                <w:sz w:val="18"/>
                <w:szCs w:val="18"/>
                <w:u w:val="none"/>
                <w:lang w:val="en-US" w:eastAsia="zh-CN" w:bidi="ar"/>
              </w:rPr>
              <w:t>毕波</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938"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958"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981"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581"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53"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587"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784" w:type="dxa"/>
            <w:gridSpan w:val="6"/>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917"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721"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266" w:type="dxa"/>
            <w:gridSpan w:val="10"/>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938"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958"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981"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581"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53"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587"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784" w:type="dxa"/>
            <w:gridSpan w:val="6"/>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917"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721"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266" w:type="dxa"/>
            <w:gridSpan w:val="10"/>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000000"/>
                <w:sz w:val="30"/>
                <w:szCs w:val="30"/>
                <w:u w:val="none"/>
                <w:lang w:bidi="ar-SA"/>
              </w:rPr>
            </w:pPr>
            <w:r>
              <w:rPr>
                <w:rFonts w:hint="eastAsia" w:ascii="黑体" w:eastAsia="黑体" w:cs="黑体"/>
                <w:b/>
                <w:bCs/>
                <w:color w:val="000000"/>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51080021T000000051547-烈士陵园绿化、设施设备维护、日常运行工作经费</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主管部门</w:t>
            </w:r>
          </w:p>
        </w:tc>
        <w:tc>
          <w:tcPr>
            <w:tcW w:w="4698" w:type="dxa"/>
            <w:gridSpan w:val="2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广元市退役军人事务局部门</w:t>
            </w:r>
          </w:p>
        </w:tc>
        <w:tc>
          <w:tcPr>
            <w:tcW w:w="784" w:type="dxa"/>
            <w:gridSpan w:val="6"/>
            <w:tcBorders>
              <w:top w:val="nil"/>
              <w:left w:val="nil"/>
              <w:bottom w:val="nil"/>
              <w:right w:val="nil"/>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left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　完成陵园内绿化养护；完成纪念设施日常维护保养；完成对前来烈士陵园祭扫烈属的接待工作；确保烈士陵园正常运转的相关工作。</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eastAsia" w:ascii="宋体" w:eastAsia="宋体" w:cs="宋体"/>
                <w:color w:val="000000"/>
                <w:kern w:val="0"/>
                <w:sz w:val="18"/>
                <w:szCs w:val="18"/>
                <w:u w:val="none"/>
                <w:lang w:val="en-US" w:eastAsia="zh-CN" w:bidi="ar"/>
              </w:rPr>
              <w:t>完成陵园绿化养护、纪念设施日常维护保养、确保烈士陵园正常运转的相关工作。</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left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完成12000平方米的绿化养护，纪念碑、纪念广场、墓区、英名墙等纪念设施的维护及其他日常运行工作。</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left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35.68</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35.68</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35.53</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99.57%</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9</w:t>
            </w:r>
          </w:p>
        </w:tc>
        <w:tc>
          <w:tcPr>
            <w:tcW w:w="1266" w:type="dxa"/>
            <w:gridSpan w:val="10"/>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i/>
                <w:iCs/>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left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35.68</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35.68</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35.53</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99.57%</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left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left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left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指标性质</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指标值</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left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产出指标</w:t>
            </w:r>
          </w:p>
          <w:p>
            <w:pPr>
              <w:keepNext w:val="0"/>
              <w:keepLines w:val="0"/>
              <w:widowControl/>
              <w:suppressLineNumbers w:val="0"/>
              <w:jc w:val="center"/>
              <w:textAlignment w:val="center"/>
              <w:rPr>
                <w:rFonts w:hint="eastAsia" w:ascii="宋体" w:eastAsia="宋体" w:cs="宋体"/>
                <w:color w:val="000000"/>
                <w:sz w:val="18"/>
                <w:szCs w:val="18"/>
                <w:u w:val="none"/>
                <w:lang w:bidi="ar-SA"/>
              </w:rPr>
            </w:pPr>
          </w:p>
          <w:p>
            <w:pPr>
              <w:keepNext w:val="0"/>
              <w:keepLines w:val="0"/>
              <w:widowControl/>
              <w:suppressLineNumbers w:val="0"/>
              <w:jc w:val="center"/>
              <w:textAlignment w:val="center"/>
              <w:rPr>
                <w:rFonts w:hint="eastAsia" w:ascii="宋体" w:eastAsia="宋体" w:cs="宋体"/>
                <w:color w:val="000000"/>
                <w:sz w:val="18"/>
                <w:szCs w:val="18"/>
                <w:u w:val="none"/>
                <w:lang w:bidi="ar-SA"/>
              </w:rPr>
            </w:pPr>
          </w:p>
          <w:p>
            <w:pPr>
              <w:keepNext w:val="0"/>
              <w:keepLines w:val="0"/>
              <w:widowControl/>
              <w:suppressLineNumbers w:val="0"/>
              <w:jc w:val="center"/>
              <w:textAlignment w:val="center"/>
              <w:rPr>
                <w:rFonts w:hint="eastAsia" w:ascii="宋体" w:eastAsia="宋体" w:cs="宋体"/>
                <w:color w:val="000000"/>
                <w:sz w:val="18"/>
                <w:szCs w:val="18"/>
                <w:u w:val="none"/>
                <w:lang w:bidi="ar-SA"/>
              </w:rPr>
            </w:pPr>
          </w:p>
        </w:tc>
        <w:tc>
          <w:tcPr>
            <w:tcW w:w="958" w:type="dxa"/>
            <w:gridSpan w:val="4"/>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陵园内绿化养护</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12000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平米</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12000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cs="宋体"/>
                <w:color w:val="000000"/>
                <w:kern w:val="0"/>
                <w:sz w:val="18"/>
                <w:szCs w:val="18"/>
                <w:u w:val="none"/>
                <w:lang w:val="en-US" w:eastAsia="zh-CN" w:bidi="ar"/>
              </w:rPr>
              <w:t>8</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8</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left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right w:val="single" w:color="000000" w:sz="4" w:space="0"/>
            </w:tcBorders>
            <w:noWrap w:val="0"/>
            <w:vAlign w:val="center"/>
          </w:tcPr>
          <w:p/>
        </w:tc>
        <w:tc>
          <w:tcPr>
            <w:tcW w:w="958" w:type="dxa"/>
            <w:gridSpan w:val="4"/>
            <w:vMerge w:val="continue"/>
            <w:tcBorders>
              <w:top w:val="single" w:color="000000" w:sz="4" w:space="0"/>
              <w:left w:val="single" w:color="000000" w:sz="4" w:space="0"/>
              <w:right w:val="single" w:color="000000" w:sz="4" w:space="0"/>
            </w:tcBorders>
            <w:noWrap w:val="0"/>
            <w:vAlign w:val="center"/>
          </w:tc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纪念设施日常维护</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处</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5</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cs="宋体"/>
                <w:color w:val="000000"/>
                <w:kern w:val="0"/>
                <w:sz w:val="18"/>
                <w:szCs w:val="18"/>
                <w:u w:val="none"/>
                <w:lang w:val="en-US" w:eastAsia="zh-CN" w:bidi="ar"/>
              </w:rPr>
              <w:t>8</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8</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left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right w:val="single" w:color="000000" w:sz="4" w:space="0"/>
            </w:tcBorders>
            <w:noWrap w:val="0"/>
            <w:vAlign w:val="center"/>
          </w:tcPr>
          <w:p/>
        </w:tc>
        <w:tc>
          <w:tcPr>
            <w:tcW w:w="95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质量指标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烈士纪念设施维护完成度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cs="宋体"/>
                <w:color w:val="000000"/>
                <w:kern w:val="0"/>
                <w:sz w:val="18"/>
                <w:szCs w:val="18"/>
                <w:u w:val="none"/>
                <w:lang w:val="en-US" w:eastAsia="zh-CN" w:bidi="ar"/>
              </w:rPr>
              <w:t>8</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8</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left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right w:val="single" w:color="000000" w:sz="4" w:space="0"/>
            </w:tcBorders>
            <w:noWrap w:val="0"/>
            <w:vAlign w:val="center"/>
          </w:tcPr>
          <w:p/>
        </w:tc>
        <w:tc>
          <w:tcPr>
            <w:tcW w:w="95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烈士陵园日常工作完成度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cs="宋体"/>
                <w:color w:val="000000"/>
                <w:kern w:val="0"/>
                <w:sz w:val="18"/>
                <w:szCs w:val="18"/>
                <w:u w:val="none"/>
                <w:lang w:val="en-US" w:eastAsia="zh-CN" w:bidi="ar"/>
              </w:rPr>
              <w:t>8</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8</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left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right w:val="single" w:color="000000" w:sz="4" w:space="0"/>
            </w:tcBorders>
            <w:noWrap w:val="0"/>
            <w:vAlign w:val="center"/>
          </w:tcPr>
          <w:p/>
        </w:tc>
        <w:tc>
          <w:tcPr>
            <w:tcW w:w="95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陵园内绿化养护完成度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cs="宋体"/>
                <w:color w:val="000000"/>
                <w:kern w:val="0"/>
                <w:sz w:val="18"/>
                <w:szCs w:val="18"/>
                <w:u w:val="none"/>
                <w:lang w:val="en-US" w:eastAsia="zh-CN" w:bidi="ar"/>
              </w:rPr>
              <w:t>8</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8</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left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时效指标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完成时间</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val="en-US" w:eastAsia="en-US" w:bidi="ar-SA"/>
              </w:rPr>
            </w:pPr>
            <w:r>
              <w:rPr>
                <w:rFonts w:hint="eastAsia" w:ascii="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continue"/>
            <w:tcBorders>
              <w:left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效益指标</w:t>
            </w:r>
          </w:p>
        </w:tc>
        <w:tc>
          <w:tcPr>
            <w:tcW w:w="95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社会效益指标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对保护烈士纪念设施的促进作用</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定性</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优良中低差</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000000"/>
                <w:sz w:val="18"/>
                <w:szCs w:val="18"/>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eastAsia="zh-CN" w:bidi="ar-SA"/>
              </w:rPr>
            </w:pPr>
            <w:r>
              <w:rPr>
                <w:rFonts w:hint="eastAsia" w:ascii="微软雅黑" w:eastAsia="微软雅黑" w:cs="微软雅黑"/>
                <w:i/>
                <w:iCs/>
                <w:color w:val="000000"/>
                <w:sz w:val="16"/>
                <w:szCs w:val="16"/>
                <w:u w:val="none"/>
                <w:lang w:eastAsia="zh-CN" w:bidi="ar-SA"/>
              </w:rPr>
              <w:t>优</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continue"/>
            <w:tcBorders>
              <w:left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对传承英烈精神的促进作用</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定性</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优良中低差</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000000"/>
                <w:sz w:val="18"/>
                <w:szCs w:val="18"/>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sz w:val="16"/>
                <w:szCs w:val="16"/>
                <w:u w:val="none"/>
                <w:lang w:eastAsia="zh-CN" w:bidi="ar-SA"/>
              </w:rPr>
              <w:t>优</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left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对陵园管理的促进作用</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定性</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优良中低差</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000000"/>
                <w:sz w:val="18"/>
                <w:szCs w:val="18"/>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sz w:val="16"/>
                <w:szCs w:val="16"/>
                <w:u w:val="none"/>
                <w:lang w:eastAsia="zh-CN" w:bidi="ar-SA"/>
              </w:rPr>
              <w:t>优</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continue"/>
            <w:tcBorders>
              <w:left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满意度指标</w:t>
            </w:r>
          </w:p>
        </w:tc>
        <w:tc>
          <w:tcPr>
            <w:tcW w:w="95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服务对象满意度指标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群众的烈士陵园日常管理工作的满意度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98</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98</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continue"/>
            <w:tcBorders>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群众对烈士纪念设施保护管理工作的满意度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98</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98</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合计</w:t>
            </w:r>
          </w:p>
        </w:tc>
        <w:tc>
          <w:tcPr>
            <w:tcW w:w="6399" w:type="dxa"/>
            <w:gridSpan w:val="3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99</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03"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评价结论</w:t>
            </w:r>
          </w:p>
        </w:tc>
        <w:tc>
          <w:tcPr>
            <w:tcW w:w="8386" w:type="dxa"/>
            <w:gridSpan w:val="4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auto"/>
                <w:kern w:val="0"/>
                <w:sz w:val="16"/>
                <w:szCs w:val="16"/>
                <w:u w:val="none"/>
                <w:lang w:val="en-US" w:eastAsia="zh-CN" w:bidi="ar"/>
              </w:rPr>
              <w:t>结合自评情况，项目自评总分99，完成了对陵</w:t>
            </w:r>
            <w:r>
              <w:rPr>
                <w:rFonts w:hint="eastAsia" w:ascii="宋体" w:eastAsia="宋体" w:cs="宋体"/>
                <w:color w:val="000000"/>
                <w:kern w:val="0"/>
                <w:sz w:val="16"/>
                <w:szCs w:val="16"/>
                <w:u w:val="none"/>
                <w:lang w:val="en-US" w:eastAsia="zh-CN" w:bidi="ar"/>
              </w:rPr>
              <w:t>园的绿化养护、纪念设施维护保养及其他确保烈士陵园正常运转的相关工作。通过项目实施，营造了良好的祭扫环境，提高了对烈士纪念设施的保护管理，更好地发挥爱国主义教育基地作用，更好地传承英烈精神。群众对烈士陵园日常管理工作满意度及对烈士纪念设施保护管理工作满意度均达到98%以上。</w:t>
            </w:r>
          </w:p>
        </w:tc>
      </w:tr>
      <w:tr>
        <w:tblPrEx>
          <w:tblCellMar>
            <w:top w:w="0" w:type="dxa"/>
            <w:left w:w="108" w:type="dxa"/>
            <w:bottom w:w="0" w:type="dxa"/>
            <w:right w:w="108" w:type="dxa"/>
          </w:tblCellMar>
        </w:tblPrEx>
        <w:trPr>
          <w:gridBefore w:val="1"/>
          <w:gridAfter w:val="3"/>
          <w:wBefore w:w="216" w:type="dxa"/>
          <w:wAfter w:w="84" w:type="dxa"/>
          <w:trHeight w:val="57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存在问题</w:t>
            </w:r>
          </w:p>
        </w:tc>
        <w:tc>
          <w:tcPr>
            <w:tcW w:w="8386" w:type="dxa"/>
            <w:gridSpan w:val="4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单位由于人力不足，绩效编制不够准确，测算标准有待细化。</w:t>
            </w:r>
          </w:p>
        </w:tc>
      </w:tr>
      <w:tr>
        <w:tblPrEx>
          <w:tblCellMar>
            <w:top w:w="0" w:type="dxa"/>
            <w:left w:w="108" w:type="dxa"/>
            <w:bottom w:w="0" w:type="dxa"/>
            <w:right w:w="108" w:type="dxa"/>
          </w:tblCellMar>
        </w:tblPrEx>
        <w:trPr>
          <w:gridBefore w:val="1"/>
          <w:gridAfter w:val="3"/>
          <w:wBefore w:w="216" w:type="dxa"/>
          <w:wAfter w:w="84" w:type="dxa"/>
          <w:trHeight w:val="633"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改进措施</w:t>
            </w:r>
          </w:p>
        </w:tc>
        <w:tc>
          <w:tcPr>
            <w:tcW w:w="8386" w:type="dxa"/>
            <w:gridSpan w:val="4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在预算编制时参考上年度的预算编制、收支执行情况及根据本年度重点工作，细化编制预算，提高预算编制的科学性、严谨性和可控性。在上年支出基础上，结合实际，合理制定全年部门整体支出计划，为部门整体支出提供依据。严格按照计划执行，在保证资金使用安全前提下，加快资金使用进度，提高财政资金使用效益，有效提高我单位的整体支出率。定期开展资金支出进度自查，查找存在问题，及时反馈解决。</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项目负责人：</w:t>
            </w:r>
            <w:r>
              <w:rPr>
                <w:rFonts w:hint="eastAsia" w:ascii="黑体" w:hAnsi="黑体" w:eastAsia="黑体" w:cs="黑体"/>
                <w:color w:val="000000"/>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财务负责人：</w:t>
            </w:r>
            <w:r>
              <w:rPr>
                <w:rFonts w:hint="eastAsia" w:ascii="黑体" w:hAnsi="黑体" w:eastAsia="黑体" w:cs="黑体"/>
                <w:color w:val="000000"/>
                <w:kern w:val="0"/>
                <w:sz w:val="18"/>
                <w:szCs w:val="18"/>
                <w:u w:val="none"/>
                <w:lang w:val="en-US" w:eastAsia="zh-CN" w:bidi="ar"/>
              </w:rPr>
              <w:t>毕波</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938"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958"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981"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581"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53"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93" w:type="dxa"/>
            <w:gridSpan w:val="6"/>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16"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555" w:type="dxa"/>
            <w:gridSpan w:val="9"/>
            <w:tcBorders>
              <w:top w:val="nil"/>
              <w:left w:val="nil"/>
              <w:bottom w:val="nil"/>
              <w:right w:val="nil"/>
            </w:tcBorders>
            <w:noWrap w:val="0"/>
            <w:vAlign w:val="center"/>
          </w:tcPr>
          <w:p>
            <w:pPr>
              <w:rPr>
                <w:rFonts w:hint="eastAsia" w:ascii="宋体" w:eastAsia="宋体" w:cs="宋体"/>
                <w:color w:val="000000"/>
                <w:sz w:val="18"/>
                <w:szCs w:val="18"/>
                <w:u w:val="none"/>
                <w:lang w:bidi="ar-SA"/>
              </w:rPr>
            </w:pPr>
          </w:p>
          <w:p>
            <w:pPr>
              <w:pStyle w:val="2"/>
              <w:rPr>
                <w:rFonts w:hint="eastAsia" w:ascii="宋体" w:eastAsia="宋体" w:cs="宋体"/>
                <w:color w:val="000000"/>
                <w:sz w:val="18"/>
                <w:szCs w:val="18"/>
                <w:u w:val="none"/>
                <w:lang w:bidi="ar-SA"/>
              </w:rPr>
            </w:pPr>
          </w:p>
          <w:p>
            <w:pPr>
              <w:pStyle w:val="2"/>
              <w:rPr>
                <w:rFonts w:hint="eastAsia" w:ascii="宋体" w:eastAsia="宋体" w:cs="宋体"/>
                <w:color w:val="000000"/>
                <w:sz w:val="18"/>
                <w:szCs w:val="18"/>
                <w:u w:val="none"/>
                <w:lang w:bidi="ar-SA"/>
              </w:rPr>
            </w:pPr>
          </w:p>
          <w:p>
            <w:pPr>
              <w:pStyle w:val="2"/>
              <w:rPr>
                <w:rFonts w:hint="eastAsia" w:ascii="宋体" w:eastAsia="宋体" w:cs="宋体"/>
                <w:color w:val="000000"/>
                <w:sz w:val="18"/>
                <w:szCs w:val="18"/>
                <w:u w:val="none"/>
                <w:lang w:bidi="ar-SA"/>
              </w:rPr>
            </w:pPr>
          </w:p>
          <w:p>
            <w:pPr>
              <w:pStyle w:val="2"/>
              <w:rPr>
                <w:rFonts w:hint="eastAsia" w:ascii="宋体" w:eastAsia="宋体" w:cs="宋体"/>
                <w:color w:val="000000"/>
                <w:sz w:val="18"/>
                <w:szCs w:val="18"/>
                <w:u w:val="none"/>
                <w:lang w:bidi="ar-SA"/>
              </w:rPr>
            </w:pPr>
          </w:p>
          <w:p>
            <w:pPr>
              <w:pStyle w:val="2"/>
              <w:rPr>
                <w:rFonts w:hint="eastAsia" w:ascii="宋体" w:eastAsia="宋体" w:cs="宋体"/>
                <w:color w:val="000000"/>
                <w:sz w:val="18"/>
                <w:szCs w:val="18"/>
                <w:u w:val="none"/>
                <w:lang w:bidi="ar-SA"/>
              </w:rPr>
            </w:pPr>
          </w:p>
          <w:p>
            <w:pPr>
              <w:pStyle w:val="2"/>
              <w:rPr>
                <w:rFonts w:hint="eastAsia" w:ascii="宋体" w:eastAsia="宋体" w:cs="宋体"/>
                <w:color w:val="000000"/>
                <w:sz w:val="18"/>
                <w:szCs w:val="18"/>
                <w:u w:val="none"/>
                <w:lang w:bidi="ar-SA"/>
              </w:rPr>
            </w:pPr>
          </w:p>
          <w:p>
            <w:pPr>
              <w:pStyle w:val="2"/>
              <w:rPr>
                <w:rFonts w:hint="eastAsia" w:ascii="宋体" w:eastAsia="宋体" w:cs="宋体"/>
                <w:color w:val="000000"/>
                <w:sz w:val="18"/>
                <w:szCs w:val="18"/>
                <w:u w:val="none"/>
                <w:lang w:bidi="ar-SA"/>
              </w:rPr>
            </w:pPr>
          </w:p>
          <w:p>
            <w:pPr>
              <w:pStyle w:val="2"/>
              <w:rPr>
                <w:rFonts w:hint="eastAsia" w:ascii="宋体" w:eastAsia="宋体" w:cs="宋体"/>
                <w:color w:val="000000"/>
                <w:sz w:val="18"/>
                <w:szCs w:val="18"/>
                <w:u w:val="none"/>
                <w:lang w:bidi="ar-SA"/>
              </w:rPr>
            </w:pPr>
          </w:p>
          <w:p>
            <w:pPr>
              <w:pStyle w:val="2"/>
              <w:rPr>
                <w:rFonts w:hint="eastAsia" w:ascii="宋体" w:eastAsia="宋体" w:cs="宋体"/>
                <w:color w:val="000000"/>
                <w:sz w:val="18"/>
                <w:szCs w:val="18"/>
                <w:u w:val="none"/>
                <w:lang w:bidi="ar-SA"/>
              </w:rPr>
            </w:pPr>
          </w:p>
          <w:p>
            <w:pPr>
              <w:pStyle w:val="2"/>
              <w:rPr>
                <w:rFonts w:hint="eastAsia" w:ascii="宋体" w:eastAsia="宋体" w:cs="宋体"/>
                <w:color w:val="000000"/>
                <w:sz w:val="18"/>
                <w:szCs w:val="18"/>
                <w:u w:val="none"/>
                <w:lang w:bidi="ar-SA"/>
              </w:rPr>
            </w:pPr>
          </w:p>
          <w:p>
            <w:pPr>
              <w:pStyle w:val="2"/>
              <w:rPr>
                <w:rFonts w:hint="eastAsia" w:ascii="宋体" w:eastAsia="宋体" w:cs="宋体"/>
                <w:color w:val="000000"/>
                <w:sz w:val="18"/>
                <w:szCs w:val="18"/>
                <w:u w:val="none"/>
                <w:lang w:bidi="ar-SA"/>
              </w:rPr>
            </w:pPr>
          </w:p>
        </w:tc>
        <w:tc>
          <w:tcPr>
            <w:tcW w:w="397"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414" w:type="dxa"/>
            <w:gridSpan w:val="5"/>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000000"/>
                <w:sz w:val="30"/>
                <w:szCs w:val="30"/>
                <w:u w:val="none"/>
                <w:lang w:bidi="ar-SA"/>
              </w:rPr>
            </w:pPr>
            <w:r>
              <w:rPr>
                <w:rFonts w:hint="eastAsia" w:ascii="黑体" w:eastAsia="黑体" w:cs="黑体"/>
                <w:b/>
                <w:bCs/>
                <w:color w:val="000000"/>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51080021T000000051604-烈士寻亲经费</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主管部门</w:t>
            </w:r>
          </w:p>
        </w:tc>
        <w:tc>
          <w:tcPr>
            <w:tcW w:w="4698" w:type="dxa"/>
            <w:gridSpan w:val="2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广元市退役军人事务局部门</w:t>
            </w:r>
          </w:p>
        </w:tc>
        <w:tc>
          <w:tcPr>
            <w:tcW w:w="784" w:type="dxa"/>
            <w:gridSpan w:val="6"/>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eastAsia="宋体" w:cs="宋体"/>
                <w:color w:val="000000"/>
                <w:sz w:val="18"/>
                <w:szCs w:val="18"/>
                <w:u w:val="none"/>
                <w:lang w:eastAsia="zh-CN" w:bidi="ar-SA"/>
              </w:rPr>
              <w:t>完成烈士寻亲，帮助安葬在市烈士陵园内的外籍烈士及安葬在外地的广元籍烈士找到亲人。</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color w:val="000000"/>
                <w:sz w:val="18"/>
                <w:szCs w:val="18"/>
                <w:u w:val="none"/>
                <w:lang w:bidi="ar-SA"/>
              </w:rPr>
            </w:pPr>
            <w:r>
              <w:rPr>
                <w:rFonts w:hint="eastAsia" w:ascii="黑体" w:hAnsi="黑体" w:eastAsia="黑体" w:cs="黑体"/>
                <w:color w:val="000000"/>
                <w:kern w:val="0"/>
                <w:sz w:val="18"/>
                <w:szCs w:val="18"/>
                <w:u w:val="none"/>
                <w:lang w:val="en-US" w:eastAsia="zh-CN" w:bidi="ar"/>
              </w:rPr>
              <w:t>因疫情原因未全面开展该项工作。</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eastAsia="宋体" w:cs="宋体"/>
                <w:color w:val="000000"/>
                <w:sz w:val="18"/>
                <w:szCs w:val="18"/>
                <w:u w:val="none"/>
                <w:lang w:eastAsia="zh-CN" w:bidi="ar-SA"/>
              </w:rPr>
              <w:t>因疫情，未外出开展烈士寻亲工作</w:t>
            </w:r>
            <w:r>
              <w:rPr>
                <w:rFonts w:hint="eastAsia" w:ascii="宋体" w:cs="宋体"/>
                <w:color w:val="000000"/>
                <w:sz w:val="18"/>
                <w:szCs w:val="18"/>
                <w:u w:val="none"/>
                <w:lang w:eastAsia="zh-CN" w:bidi="ar-SA"/>
              </w:rPr>
              <w:t>，仅周边小范围开展</w:t>
            </w:r>
            <w:r>
              <w:rPr>
                <w:rFonts w:hint="eastAsia" w:ascii="宋体" w:eastAsia="宋体" w:cs="宋体"/>
                <w:color w:val="000000"/>
                <w:sz w:val="18"/>
                <w:szCs w:val="18"/>
                <w:u w:val="none"/>
                <w:lang w:eastAsia="zh-CN" w:bidi="ar-SA"/>
              </w:rPr>
              <w:t>。</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0.03</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2.50%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黑体" w:hAnsi="黑体" w:eastAsia="宋体" w:cs="黑体"/>
                <w:i/>
                <w:iCs/>
                <w:color w:val="000000"/>
                <w:sz w:val="18"/>
                <w:szCs w:val="18"/>
                <w:u w:val="none"/>
                <w:lang w:eastAsia="zh-CN" w:bidi="ar-SA"/>
              </w:rPr>
            </w:pPr>
            <w:r>
              <w:rPr>
                <w:rFonts w:hint="eastAsia" w:ascii="宋体" w:eastAsia="宋体" w:cs="宋体"/>
                <w:color w:val="000000"/>
                <w:sz w:val="18"/>
                <w:szCs w:val="18"/>
                <w:u w:val="none"/>
                <w:lang w:eastAsia="zh-CN" w:bidi="ar-SA"/>
              </w:rPr>
              <w:t>因疫情，未外出开展烈士寻亲工作</w:t>
            </w:r>
            <w:r>
              <w:rPr>
                <w:rFonts w:hint="eastAsia" w:ascii="宋体" w:cs="宋体"/>
                <w:color w:val="000000"/>
                <w:sz w:val="18"/>
                <w:szCs w:val="18"/>
                <w:u w:val="none"/>
                <w:lang w:eastAsia="zh-CN" w:bidi="ar-SA"/>
              </w:rPr>
              <w:t>，仅周边小范围开展，故基本未产生费用支出，</w:t>
            </w: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0.03</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2.50%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指标性质</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指标值</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产出指标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烈士寻亲</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eastAsia="zh-CN" w:bidi="ar-SA"/>
              </w:rPr>
              <w:t>人</w:t>
            </w:r>
            <w:r>
              <w:rPr>
                <w:rFonts w:hint="eastAsia" w:ascii="宋体" w:cs="宋体"/>
                <w:color w:val="000000"/>
                <w:sz w:val="18"/>
                <w:szCs w:val="18"/>
                <w:u w:val="none"/>
                <w:lang w:val="en-US" w:eastAsia="zh-CN" w:bidi="ar-SA"/>
              </w:rPr>
              <w:t>/户</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16</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16</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质量指标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烈士寻亲工作完成度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16</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16</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时效指标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完成时间</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bidi="ar-SA"/>
              </w:rPr>
            </w:pPr>
            <w:r>
              <w:rPr>
                <w:rFonts w:hint="eastAsia" w:ascii="宋体" w:cs="宋体"/>
                <w:color w:val="000000"/>
                <w:sz w:val="18"/>
                <w:szCs w:val="18"/>
                <w:u w:val="none"/>
                <w:lang w:eastAsia="zh-CN" w:bidi="ar-SA"/>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年</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18</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18</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效益指标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社会效益指标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对英烈褒扬的促进作用</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定性</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优良中低差</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eastAsia="zh-CN" w:bidi="ar-SA"/>
              </w:rPr>
            </w:pPr>
            <w:r>
              <w:rPr>
                <w:rFonts w:hint="eastAsia" w:ascii="微软雅黑" w:eastAsia="微软雅黑" w:cs="微软雅黑"/>
                <w:i/>
                <w:iCs/>
                <w:color w:val="000000"/>
                <w:sz w:val="16"/>
                <w:szCs w:val="16"/>
                <w:u w:val="none"/>
                <w:lang w:eastAsia="zh-CN" w:bidi="ar-SA"/>
              </w:rPr>
              <w:t>优</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30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30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满意度指标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服务对象满意度指标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群众对烈士陵园工作满意度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97</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97</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合计</w:t>
            </w:r>
          </w:p>
        </w:tc>
        <w:tc>
          <w:tcPr>
            <w:tcW w:w="6399" w:type="dxa"/>
            <w:gridSpan w:val="3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91</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0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评价结论</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微软雅黑" w:eastAsia="微软雅黑" w:cs="微软雅黑"/>
                <w:i/>
                <w:iCs/>
                <w:color w:val="000000"/>
                <w:sz w:val="16"/>
                <w:szCs w:val="16"/>
                <w:u w:val="none"/>
                <w:lang w:val="en-US" w:eastAsia="en-US" w:bidi="ar-SA"/>
              </w:rPr>
            </w:pPr>
            <w:r>
              <w:rPr>
                <w:rFonts w:hint="eastAsia" w:ascii="宋体" w:eastAsia="宋体" w:cs="宋体"/>
                <w:color w:val="000000"/>
                <w:kern w:val="0"/>
                <w:sz w:val="16"/>
                <w:szCs w:val="16"/>
                <w:u w:val="none"/>
                <w:lang w:val="en-US" w:eastAsia="zh-CN" w:bidi="ar"/>
              </w:rPr>
              <w:t>结合自评情况，项目自评得分91分。通过项目的实施，对英烈褒扬工作起到促进作用。</w:t>
            </w:r>
          </w:p>
        </w:tc>
      </w:tr>
      <w:tr>
        <w:tblPrEx>
          <w:tblCellMar>
            <w:top w:w="0" w:type="dxa"/>
            <w:left w:w="108" w:type="dxa"/>
            <w:bottom w:w="0" w:type="dxa"/>
            <w:right w:w="108" w:type="dxa"/>
          </w:tblCellMar>
        </w:tblPrEx>
        <w:trPr>
          <w:gridBefore w:val="1"/>
          <w:gridAfter w:val="3"/>
          <w:wBefore w:w="216" w:type="dxa"/>
          <w:wAfter w:w="84" w:type="dxa"/>
          <w:trHeight w:val="572"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存在问题</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单位由于人力不足，绩效编制不够准确，测算标准有待细化。项目统筹协调有待加强。</w:t>
            </w:r>
          </w:p>
        </w:tc>
      </w:tr>
      <w:tr>
        <w:tblPrEx>
          <w:tblCellMar>
            <w:top w:w="0" w:type="dxa"/>
            <w:left w:w="108" w:type="dxa"/>
            <w:bottom w:w="0" w:type="dxa"/>
            <w:right w:w="108" w:type="dxa"/>
          </w:tblCellMar>
        </w:tblPrEx>
        <w:trPr>
          <w:gridBefore w:val="1"/>
          <w:gridAfter w:val="3"/>
          <w:wBefore w:w="216" w:type="dxa"/>
          <w:wAfter w:w="84" w:type="dxa"/>
          <w:trHeight w:val="63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改进措施</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在预算编制时参考上年度的预算编制、收支执行情况及根据本年度重点工作，细化编制预算，提高预算编制的科学性、严谨性和可控性。在上年支出基础上，结合实际，合理制定全年部门整体支出计划，为部门整体支出提供依据。严格按照计划执行，在保证资金使用安全前提下，加快资金使用进度，提高财政资金使用效益，有效提高我单位的整体支出率。定期开展资金支出进度自查，查找存在问题，及时反馈解决。</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项目负责人：</w:t>
            </w:r>
            <w:r>
              <w:rPr>
                <w:rFonts w:hint="eastAsia" w:ascii="黑体" w:hAnsi="黑体" w:eastAsia="黑体" w:cs="黑体"/>
                <w:color w:val="000000"/>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财务负责人：</w:t>
            </w:r>
            <w:r>
              <w:rPr>
                <w:rFonts w:hint="eastAsia" w:ascii="黑体" w:hAnsi="黑体" w:eastAsia="黑体" w:cs="黑体"/>
                <w:color w:val="000000"/>
                <w:kern w:val="0"/>
                <w:sz w:val="18"/>
                <w:szCs w:val="18"/>
                <w:u w:val="none"/>
                <w:lang w:val="en-US" w:eastAsia="zh-CN" w:bidi="ar"/>
              </w:rPr>
              <w:t>毕波</w:t>
            </w: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000000"/>
                <w:sz w:val="30"/>
                <w:szCs w:val="30"/>
                <w:u w:val="none"/>
                <w:lang w:bidi="ar-SA"/>
              </w:rPr>
            </w:pPr>
            <w:r>
              <w:rPr>
                <w:rFonts w:hint="eastAsia" w:ascii="黑体" w:eastAsia="黑体" w:cs="黑体"/>
                <w:b/>
                <w:bCs/>
                <w:color w:val="000000"/>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59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项目名称</w:t>
            </w:r>
          </w:p>
        </w:tc>
        <w:tc>
          <w:tcPr>
            <w:tcW w:w="7566" w:type="dxa"/>
            <w:gridSpan w:val="4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51080021T000000051611-慰问经费</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主管部门</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广元市退役军人事务局部门</w:t>
            </w:r>
          </w:p>
        </w:tc>
        <w:tc>
          <w:tcPr>
            <w:tcW w:w="4544" w:type="dxa"/>
            <w:gridSpan w:val="26"/>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完成烈属遗属慰问工作。</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color w:val="000000"/>
                <w:sz w:val="18"/>
                <w:szCs w:val="18"/>
                <w:u w:val="none"/>
                <w:lang w:bidi="ar-SA"/>
              </w:rPr>
            </w:pPr>
            <w:r>
              <w:rPr>
                <w:rFonts w:hint="eastAsia" w:ascii="宋体" w:eastAsia="宋体" w:cs="宋体"/>
                <w:color w:val="000000"/>
                <w:kern w:val="0"/>
                <w:sz w:val="18"/>
                <w:szCs w:val="18"/>
                <w:u w:val="none"/>
                <w:lang w:val="en-US" w:eastAsia="zh-CN" w:bidi="ar"/>
              </w:rPr>
              <w:t>做好烈士遗属的慰问工作。</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全年开展慰问活动三次，慰问烈属39人次。</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3.88</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77.55%</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7</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i/>
                <w:iCs/>
                <w:color w:val="000000"/>
                <w:sz w:val="18"/>
                <w:szCs w:val="18"/>
                <w:u w:val="none"/>
                <w:lang w:bidi="ar-SA"/>
              </w:rPr>
            </w:pPr>
            <w:r>
              <w:rPr>
                <w:rFonts w:hint="eastAsia" w:ascii="宋体" w:eastAsia="宋体" w:cs="宋体"/>
                <w:color w:val="000000"/>
                <w:kern w:val="0"/>
                <w:sz w:val="18"/>
                <w:szCs w:val="18"/>
                <w:u w:val="none"/>
                <w:lang w:val="en-US" w:eastAsia="zh-CN" w:bidi="ar"/>
              </w:rPr>
              <w:t>年初编制预算时，计划慰问烈属25人次，但实际执行时，全年慰问烈属39人次，其中26人次使用了上年结转资金。</w:t>
            </w: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3.88</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77.55%</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指标性质</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指标值</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产出指标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慰问烈士遗属人次</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25</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人/户</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39</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val="en-US" w:eastAsia="en-US" w:bidi="ar-SA"/>
              </w:rPr>
            </w:pPr>
            <w:r>
              <w:rPr>
                <w:rFonts w:hint="eastAsia" w:ascii="宋体" w:cs="宋体"/>
                <w:color w:val="000000"/>
                <w:kern w:val="0"/>
                <w:sz w:val="18"/>
                <w:szCs w:val="18"/>
                <w:u w:val="none"/>
                <w:lang w:val="en-US" w:eastAsia="zh-CN" w:bidi="ar"/>
              </w:rPr>
              <w:t>18</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18</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质量指标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慰问工作完成度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val="en-US" w:eastAsia="en-US" w:bidi="ar-SA"/>
              </w:rPr>
            </w:pPr>
            <w:r>
              <w:rPr>
                <w:rFonts w:hint="eastAsia" w:ascii="宋体" w:cs="宋体"/>
                <w:color w:val="000000"/>
                <w:kern w:val="0"/>
                <w:sz w:val="18"/>
                <w:szCs w:val="18"/>
                <w:u w:val="none"/>
                <w:lang w:val="en-US" w:eastAsia="zh-CN" w:bidi="ar"/>
              </w:rPr>
              <w:t>16</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16</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时效指标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完成时间</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val="en-US" w:eastAsia="en-US" w:bidi="ar-SA"/>
              </w:rPr>
            </w:pPr>
            <w:r>
              <w:rPr>
                <w:rFonts w:hint="eastAsia" w:ascii="宋体" w:cs="宋体"/>
                <w:color w:val="000000"/>
                <w:kern w:val="0"/>
                <w:sz w:val="18"/>
                <w:szCs w:val="18"/>
                <w:u w:val="none"/>
                <w:lang w:val="en-US" w:eastAsia="zh-CN" w:bidi="ar"/>
              </w:rPr>
              <w:t>16</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16</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效益指标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社会效益指标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对传承英烈精神的促进作用</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定性</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优良中低差</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eastAsia="zh-CN" w:bidi="ar-SA"/>
              </w:rPr>
            </w:pPr>
            <w:r>
              <w:rPr>
                <w:rFonts w:hint="eastAsia" w:ascii="微软雅黑" w:eastAsia="微软雅黑" w:cs="微软雅黑"/>
                <w:i/>
                <w:iCs/>
                <w:color w:val="000000"/>
                <w:sz w:val="16"/>
                <w:szCs w:val="16"/>
                <w:u w:val="none"/>
                <w:lang w:eastAsia="zh-CN" w:bidi="ar-SA"/>
              </w:rPr>
              <w:t>优</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val="en-US" w:eastAsia="en-US" w:bidi="ar-SA"/>
              </w:rPr>
            </w:pPr>
            <w:r>
              <w:rPr>
                <w:rFonts w:hint="eastAsia" w:ascii="宋体" w:cs="宋体"/>
                <w:color w:val="000000"/>
                <w:kern w:val="0"/>
                <w:sz w:val="18"/>
                <w:szCs w:val="18"/>
                <w:u w:val="none"/>
                <w:lang w:val="en-US" w:eastAsia="zh-CN" w:bidi="ar"/>
              </w:rPr>
              <w:t>30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30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满意度指标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服务对象满意度指标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烈士遗属对烈士陵园工作的满意度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98</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98</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val="en-US" w:eastAsia="en-US" w:bidi="ar-SA"/>
              </w:rPr>
            </w:pPr>
            <w:r>
              <w:rPr>
                <w:rFonts w:hint="eastAsia" w:ascii="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合计</w:t>
            </w:r>
          </w:p>
        </w:tc>
        <w:tc>
          <w:tcPr>
            <w:tcW w:w="6399" w:type="dxa"/>
            <w:gridSpan w:val="3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97</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0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评价结论</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auto"/>
                <w:kern w:val="0"/>
                <w:sz w:val="16"/>
                <w:szCs w:val="16"/>
                <w:u w:val="none"/>
                <w:lang w:val="en-US" w:eastAsia="zh-CN" w:bidi="ar"/>
              </w:rPr>
              <w:t>结合自评情况，项目自评总分97，全年共</w:t>
            </w:r>
            <w:r>
              <w:rPr>
                <w:rFonts w:hint="eastAsia" w:ascii="宋体" w:eastAsia="宋体" w:cs="宋体"/>
                <w:color w:val="000000"/>
                <w:kern w:val="0"/>
                <w:sz w:val="16"/>
                <w:szCs w:val="16"/>
                <w:u w:val="none"/>
                <w:lang w:val="en-US" w:eastAsia="zh-CN" w:bidi="ar"/>
              </w:rPr>
              <w:t>开展慰问活动两次，分别为春节前及八一期间，共慰问26人次。通过项目实施，保障了对烈属的关心关爱，做好对烈属的走访慰问工作，更好地传承了英烈精神。群众对烈士陵园日常管理工作满意度达到98%以上。</w:t>
            </w:r>
          </w:p>
        </w:tc>
      </w:tr>
      <w:tr>
        <w:tblPrEx>
          <w:tblCellMar>
            <w:top w:w="0" w:type="dxa"/>
            <w:left w:w="108" w:type="dxa"/>
            <w:bottom w:w="0" w:type="dxa"/>
            <w:right w:w="108" w:type="dxa"/>
          </w:tblCellMar>
        </w:tblPrEx>
        <w:trPr>
          <w:gridBefore w:val="1"/>
          <w:gridAfter w:val="3"/>
          <w:wBefore w:w="216" w:type="dxa"/>
          <w:wAfter w:w="84" w:type="dxa"/>
          <w:trHeight w:val="572"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存在问题</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单位由于人力不足，绩效编制不够准确，测算标准有待细化。项目统筹协调有待加强。</w:t>
            </w:r>
          </w:p>
        </w:tc>
      </w:tr>
      <w:tr>
        <w:tblPrEx>
          <w:tblCellMar>
            <w:top w:w="0" w:type="dxa"/>
            <w:left w:w="108" w:type="dxa"/>
            <w:bottom w:w="0" w:type="dxa"/>
            <w:right w:w="108" w:type="dxa"/>
          </w:tblCellMar>
        </w:tblPrEx>
        <w:trPr>
          <w:gridBefore w:val="1"/>
          <w:gridAfter w:val="3"/>
          <w:wBefore w:w="216" w:type="dxa"/>
          <w:wAfter w:w="84" w:type="dxa"/>
          <w:trHeight w:val="63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改进措施</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在预算编制时参考上年度的预算编制、收支执行情况及根据本年度重点工作，细化编制预算，提高预算编制的科学性、严谨性和可控性。在上年支出基础上，结合实际，合理制定全年部门整体支出计划，为部门整体支出提供依据。严格按照计划执行，在保证资金使用安全前提下，加快资金使用进度，提高财政资金使用效益，有效提高我单位的整体支出率。定期开展资金支出进度自查，查找存在问题，及时反馈解决。</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项目负责人：</w:t>
            </w:r>
            <w:r>
              <w:rPr>
                <w:rFonts w:hint="eastAsia" w:ascii="黑体" w:hAnsi="黑体" w:eastAsia="黑体" w:cs="黑体"/>
                <w:color w:val="000000"/>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财务负责人：</w:t>
            </w:r>
            <w:r>
              <w:rPr>
                <w:rFonts w:hint="eastAsia" w:ascii="黑体" w:hAnsi="黑体" w:eastAsia="黑体" w:cs="黑体"/>
                <w:color w:val="000000"/>
                <w:kern w:val="0"/>
                <w:sz w:val="18"/>
                <w:szCs w:val="18"/>
                <w:u w:val="none"/>
                <w:lang w:val="en-US" w:eastAsia="zh-CN" w:bidi="ar"/>
              </w:rPr>
              <w:t>毕波</w:t>
            </w: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000000"/>
                <w:sz w:val="30"/>
                <w:szCs w:val="30"/>
                <w:u w:val="none"/>
                <w:lang w:bidi="ar-SA"/>
              </w:rPr>
            </w:pPr>
            <w:r>
              <w:rPr>
                <w:rFonts w:hint="eastAsia" w:ascii="黑体" w:eastAsia="黑体" w:cs="黑体"/>
                <w:b/>
                <w:bCs/>
                <w:color w:val="000000"/>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51080021T000000051620-政府购买服务经费</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主管部门</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广元市退役军人事务局部门</w:t>
            </w:r>
          </w:p>
        </w:tc>
        <w:tc>
          <w:tcPr>
            <w:tcW w:w="4544" w:type="dxa"/>
            <w:gridSpan w:val="26"/>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配备安保人员，确保烈士陵园馆藏文物、烈士遗物、纪念设施安全；配备保洁人员，确保陵园环境干净整洁。</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eastAsia" w:ascii="宋体" w:eastAsia="宋体" w:cs="宋体"/>
                <w:color w:val="000000"/>
                <w:kern w:val="0"/>
                <w:sz w:val="18"/>
                <w:szCs w:val="18"/>
                <w:u w:val="none"/>
                <w:lang w:val="en-US" w:eastAsia="zh-CN" w:bidi="ar"/>
              </w:rPr>
              <w:t>配备安保人员，确保烈士陵园馆藏文物、烈士遗物、纪念设施安全；配备保洁人员，确保陵园环境干净整洁。</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配备安保、保洁人员，确保纪念设施安全、园区环境干净整洁。</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7.90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7.90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7.17</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90.76%</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9</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default" w:ascii="黑体" w:hAnsi="黑体" w:eastAsia="黑体" w:cs="黑体"/>
                <w:i/>
                <w:iCs/>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7.90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7.90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7.17</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90.76%</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指标性质</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指标值</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产出指标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保洁、安保服务</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17</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17</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质量指标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安保保洁工作完成度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17</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17</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时效指标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完成时间</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16</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16</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效益指标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社会效益指标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对英烈褒扬的促进作用</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定性</w:t>
            </w:r>
          </w:p>
        </w:tc>
        <w:tc>
          <w:tcPr>
            <w:tcW w:w="4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优良中低差</w:t>
            </w:r>
          </w:p>
        </w:tc>
        <w:tc>
          <w:tcPr>
            <w:tcW w:w="7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eastAsia="zh-CN" w:bidi="ar-SA"/>
              </w:rPr>
            </w:pPr>
            <w:r>
              <w:rPr>
                <w:rFonts w:hint="eastAsia" w:ascii="微软雅黑" w:eastAsia="微软雅黑" w:cs="微软雅黑"/>
                <w:i/>
                <w:iCs/>
                <w:color w:val="000000"/>
                <w:sz w:val="16"/>
                <w:szCs w:val="16"/>
                <w:u w:val="none"/>
                <w:lang w:eastAsia="zh-CN" w:bidi="ar-SA"/>
              </w:rPr>
              <w:t>优</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30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30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满意度指标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服务对象满意度指标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群众对烈士陵园日常管理工作的满意度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4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97</w:t>
            </w:r>
          </w:p>
        </w:tc>
        <w:tc>
          <w:tcPr>
            <w:tcW w:w="7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97</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合计</w:t>
            </w:r>
          </w:p>
        </w:tc>
        <w:tc>
          <w:tcPr>
            <w:tcW w:w="6399" w:type="dxa"/>
            <w:gridSpan w:val="3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99</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0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评价结论</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auto"/>
                <w:kern w:val="0"/>
                <w:sz w:val="16"/>
                <w:szCs w:val="16"/>
                <w:u w:val="none"/>
                <w:lang w:val="en-US" w:eastAsia="zh-CN" w:bidi="ar"/>
              </w:rPr>
              <w:t>结合自评情况，项目自评总分99，配备了安保保洁人员，确保烈士纪念设施安全及烈士陵园园区环境干净整洁。通过项目实施，营造更好的祭扫氛围。群众对烈</w:t>
            </w:r>
            <w:r>
              <w:rPr>
                <w:rFonts w:hint="eastAsia" w:ascii="宋体" w:eastAsia="宋体" w:cs="宋体"/>
                <w:color w:val="000000"/>
                <w:kern w:val="0"/>
                <w:sz w:val="16"/>
                <w:szCs w:val="16"/>
                <w:u w:val="none"/>
                <w:lang w:val="en-US" w:eastAsia="zh-CN" w:bidi="ar"/>
              </w:rPr>
              <w:t>士陵园日常管理工作满意度达到97%以上。</w:t>
            </w:r>
          </w:p>
        </w:tc>
      </w:tr>
      <w:tr>
        <w:tblPrEx>
          <w:tblCellMar>
            <w:top w:w="0" w:type="dxa"/>
            <w:left w:w="108" w:type="dxa"/>
            <w:bottom w:w="0" w:type="dxa"/>
            <w:right w:w="108" w:type="dxa"/>
          </w:tblCellMar>
        </w:tblPrEx>
        <w:trPr>
          <w:gridBefore w:val="1"/>
          <w:gridAfter w:val="3"/>
          <w:wBefore w:w="216" w:type="dxa"/>
          <w:wAfter w:w="84" w:type="dxa"/>
          <w:trHeight w:val="572"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存在问题</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在预算执行方面，资金使用进度较慢，没有较好地统一预算执行进度，资金使用效益有待进一步提高。</w:t>
            </w:r>
          </w:p>
        </w:tc>
      </w:tr>
      <w:tr>
        <w:tblPrEx>
          <w:tblCellMar>
            <w:top w:w="0" w:type="dxa"/>
            <w:left w:w="108" w:type="dxa"/>
            <w:bottom w:w="0" w:type="dxa"/>
            <w:right w:w="108" w:type="dxa"/>
          </w:tblCellMar>
        </w:tblPrEx>
        <w:trPr>
          <w:gridBefore w:val="1"/>
          <w:gridAfter w:val="3"/>
          <w:wBefore w:w="216" w:type="dxa"/>
          <w:wAfter w:w="84" w:type="dxa"/>
          <w:trHeight w:val="63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改进措施</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在预算编制时参考上年度的预算编制、收支执行情况及根据本年度重点工作，细化编制预算，提高预算编制的科学性、严谨性和可控性。在上年支出基础上，结合实际，合理制定全年部门整体支出计划，为部门整体支出提供依据。严格按照计划执行，在保证资金使用安全前提下，加快资金使用进度，提高财政资金使用效益，有效提高我单位的整体支出率。定期开展资金支出进度自查，查找存在问题，及时反馈解决。</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项目负责人：</w:t>
            </w:r>
            <w:r>
              <w:rPr>
                <w:rFonts w:hint="eastAsia" w:ascii="黑体" w:hAnsi="黑体" w:eastAsia="黑体" w:cs="黑体"/>
                <w:color w:val="000000"/>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财务负责人：</w:t>
            </w:r>
            <w:r>
              <w:rPr>
                <w:rFonts w:hint="eastAsia" w:ascii="黑体" w:hAnsi="黑体" w:eastAsia="黑体" w:cs="黑体"/>
                <w:color w:val="000000"/>
                <w:kern w:val="0"/>
                <w:sz w:val="18"/>
                <w:szCs w:val="18"/>
                <w:u w:val="none"/>
                <w:lang w:val="en-US" w:eastAsia="zh-CN" w:bidi="ar"/>
              </w:rPr>
              <w:t>毕波</w:t>
            </w:r>
          </w:p>
        </w:tc>
      </w:tr>
      <w:tr>
        <w:tblPrEx>
          <w:tblCellMar>
            <w:top w:w="0" w:type="dxa"/>
            <w:left w:w="108" w:type="dxa"/>
            <w:bottom w:w="0" w:type="dxa"/>
            <w:right w:w="108" w:type="dxa"/>
          </w:tblCellMar>
        </w:tblPrEx>
        <w:trPr>
          <w:gridBefore w:val="1"/>
          <w:gridAfter w:val="2"/>
          <w:wBefore w:w="216" w:type="dxa"/>
          <w:wAfter w:w="46" w:type="dxa"/>
          <w:trHeight w:val="286" w:hRule="atLeast"/>
        </w:trPr>
        <w:tc>
          <w:tcPr>
            <w:tcW w:w="817"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02"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13"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808" w:type="dxa"/>
            <w:gridSpan w:val="3"/>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779"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095" w:type="dxa"/>
            <w:gridSpan w:val="7"/>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804" w:type="dxa"/>
            <w:gridSpan w:val="7"/>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407" w:type="dxa"/>
            <w:gridSpan w:val="3"/>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516" w:type="dxa"/>
            <w:gridSpan w:val="9"/>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331"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423" w:type="dxa"/>
            <w:gridSpan w:val="5"/>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000000"/>
                <w:sz w:val="30"/>
                <w:szCs w:val="30"/>
                <w:u w:val="none"/>
                <w:lang w:bidi="ar-SA"/>
              </w:rPr>
            </w:pPr>
            <w:r>
              <w:rPr>
                <w:rFonts w:hint="eastAsia" w:ascii="黑体" w:eastAsia="黑体" w:cs="黑体"/>
                <w:b/>
                <w:bCs/>
                <w:color w:val="000000"/>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51080021T000000051643-祭扫经费</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主管部门</w:t>
            </w:r>
          </w:p>
        </w:tc>
        <w:tc>
          <w:tcPr>
            <w:tcW w:w="4698" w:type="dxa"/>
            <w:gridSpan w:val="2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广元市退役军人事务局部门</w:t>
            </w:r>
          </w:p>
        </w:tc>
        <w:tc>
          <w:tcPr>
            <w:tcW w:w="784" w:type="dxa"/>
            <w:gridSpan w:val="6"/>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　完成清明节等节日烈士陵园组织开展祭奠先烈活动；完成“9.30”烈士纪念日在烈士陵园举行烈士公祭活动；2022年新增烈士举行安葬仪式及新建墓碑。</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eastAsia" w:ascii="宋体" w:eastAsia="宋体" w:cs="宋体"/>
                <w:color w:val="000000"/>
                <w:kern w:val="0"/>
                <w:sz w:val="18"/>
                <w:szCs w:val="18"/>
                <w:u w:val="none"/>
                <w:lang w:val="en-US" w:eastAsia="zh-CN" w:bidi="ar"/>
              </w:rPr>
              <w:t>清明等节日烈士陵园组织开展祭奠先烈活动；举行9.30烈士纪念日敬献花篮仪式。</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完成清明节期间、9.30烈士纪念日及七一、八一等重要节点的祭扫活动，订制花篮、购买鲜花、环境氛围打造、环境卫生整治、音响设备等。</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12.82</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12.82</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11.51</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89.76%</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8</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i/>
                <w:iCs/>
                <w:color w:val="000000"/>
                <w:sz w:val="18"/>
                <w:szCs w:val="18"/>
                <w:u w:val="none"/>
                <w:lang w:bidi="ar-SA"/>
              </w:rPr>
            </w:pPr>
            <w:r>
              <w:rPr>
                <w:rFonts w:hint="eastAsia" w:ascii="宋体" w:eastAsia="宋体" w:cs="宋体"/>
                <w:color w:val="000000"/>
                <w:kern w:val="0"/>
                <w:sz w:val="18"/>
                <w:szCs w:val="18"/>
                <w:u w:val="none"/>
                <w:lang w:val="en-US" w:eastAsia="zh-CN" w:bidi="ar"/>
              </w:rPr>
              <w:t>预算编制时，计划了新安葬烈士举行仪式及新建墓碑的费用，但2022年全年无新增安葬烈士。</w:t>
            </w: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12.82</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12.82</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11.51</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89.76%</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指标性质</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指标值</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产出指标</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p>
        </w:tc>
        <w:tc>
          <w:tcPr>
            <w:tcW w:w="95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烈士公祭</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场次</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val="en-US" w:eastAsia="en-US" w:bidi="ar-SA"/>
              </w:rPr>
            </w:pPr>
            <w:r>
              <w:rPr>
                <w:rFonts w:hint="eastAsia" w:ascii="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8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清明节</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7</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日</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7</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val="en-US" w:eastAsia="en-US" w:bidi="ar-SA"/>
              </w:rPr>
            </w:pPr>
            <w:r>
              <w:rPr>
                <w:rFonts w:hint="eastAsia" w:ascii="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临时性祭扫活动</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场次</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60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val="en-US" w:eastAsia="en-US" w:bidi="ar-SA"/>
              </w:rPr>
            </w:pPr>
            <w:r>
              <w:rPr>
                <w:rFonts w:hint="eastAsia" w:ascii="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质量指标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祭扫活动顺利完成率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val="en-US" w:eastAsia="en-US" w:bidi="ar-SA"/>
              </w:rPr>
            </w:pPr>
            <w:r>
              <w:rPr>
                <w:rFonts w:hint="eastAsia" w:ascii="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时效指标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完成时间</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val="en-US" w:eastAsia="en-US" w:bidi="ar-SA"/>
              </w:rPr>
            </w:pPr>
            <w:r>
              <w:rPr>
                <w:rFonts w:hint="eastAsia" w:ascii="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效益指标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社会效益指标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对传承英烈精神的促进作用</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定性</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优良中低差</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eastAsia="zh-CN" w:bidi="ar-SA"/>
              </w:rPr>
            </w:pPr>
            <w:r>
              <w:rPr>
                <w:rFonts w:hint="eastAsia" w:ascii="微软雅黑" w:eastAsia="微软雅黑" w:cs="微软雅黑"/>
                <w:i/>
                <w:iCs/>
                <w:color w:val="000000"/>
                <w:sz w:val="16"/>
                <w:szCs w:val="16"/>
                <w:u w:val="none"/>
                <w:lang w:eastAsia="zh-CN" w:bidi="ar-SA"/>
              </w:rPr>
              <w:t>优</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30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30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满意度指标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服务对象满意度指标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参加祭扫群众满意度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98</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98</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合计</w:t>
            </w:r>
          </w:p>
        </w:tc>
        <w:tc>
          <w:tcPr>
            <w:tcW w:w="6399" w:type="dxa"/>
            <w:gridSpan w:val="3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98</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0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评价结论</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结合自评情况，项目自评总分98，圆满完成了清明节及“9·30”烈士纪念日等重要节点的祭扫活动。通过项目实施，保障了清明节、“9·30”烈士纪念日等重要节点的烈士祭扫活动顺利开展，更好地继承先烈遗志，更好地培育和践行社会主义核心价值观，增加中华民族的强大凝聚力。参加祭扫群众满意度达到98%以上。</w:t>
            </w:r>
          </w:p>
        </w:tc>
      </w:tr>
      <w:tr>
        <w:tblPrEx>
          <w:tblCellMar>
            <w:top w:w="0" w:type="dxa"/>
            <w:left w:w="108" w:type="dxa"/>
            <w:bottom w:w="0" w:type="dxa"/>
            <w:right w:w="108" w:type="dxa"/>
          </w:tblCellMar>
        </w:tblPrEx>
        <w:trPr>
          <w:gridBefore w:val="1"/>
          <w:gridAfter w:val="3"/>
          <w:wBefore w:w="216" w:type="dxa"/>
          <w:wAfter w:w="84" w:type="dxa"/>
          <w:trHeight w:val="282"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存在问题</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在预算执行方面，资金使用进度较慢，没有较好地统一预算执行进度，资金使用效益有待进一步提高。</w:t>
            </w:r>
          </w:p>
        </w:tc>
      </w:tr>
      <w:tr>
        <w:tblPrEx>
          <w:tblCellMar>
            <w:top w:w="0" w:type="dxa"/>
            <w:left w:w="108" w:type="dxa"/>
            <w:bottom w:w="0" w:type="dxa"/>
            <w:right w:w="108" w:type="dxa"/>
          </w:tblCellMar>
        </w:tblPrEx>
        <w:trPr>
          <w:gridBefore w:val="1"/>
          <w:gridAfter w:val="3"/>
          <w:wBefore w:w="216" w:type="dxa"/>
          <w:wAfter w:w="84" w:type="dxa"/>
          <w:trHeight w:val="63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改进措施</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在预算编制时参考上年度的预算编制、收支执行情况及根据本年度重点工作，细化编制预算，提高预算编制的科学性、严谨性和可控性。在上年支出基础上，结合实际，合理制定全年部门整体支出计划，为部门整体支出提供依据。严格按照计划执行，在保证资金使用安全前提下，加快资金使用进度，提高财政资金使用效益，有效提高我单位的整体支出率。定期开展资金支出进度自查，查找存在问题，及时反馈解决。</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项目负责人：</w:t>
            </w:r>
            <w:r>
              <w:rPr>
                <w:rFonts w:hint="eastAsia" w:ascii="黑体" w:hAnsi="黑体" w:eastAsia="黑体" w:cs="黑体"/>
                <w:color w:val="000000"/>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财务负责人：</w:t>
            </w:r>
            <w:r>
              <w:rPr>
                <w:rFonts w:hint="eastAsia" w:ascii="黑体" w:hAnsi="黑体" w:eastAsia="黑体" w:cs="黑体"/>
                <w:color w:val="000000"/>
                <w:kern w:val="0"/>
                <w:sz w:val="18"/>
                <w:szCs w:val="18"/>
                <w:u w:val="none"/>
                <w:lang w:val="en-US" w:eastAsia="zh-CN" w:bidi="ar"/>
              </w:rPr>
              <w:t>毕波</w:t>
            </w: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000000"/>
                <w:sz w:val="30"/>
                <w:szCs w:val="30"/>
                <w:u w:val="none"/>
                <w:lang w:bidi="ar-SA"/>
              </w:rPr>
            </w:pPr>
            <w:r>
              <w:rPr>
                <w:rFonts w:hint="eastAsia" w:ascii="黑体" w:eastAsia="黑体" w:cs="黑体"/>
                <w:b/>
                <w:bCs/>
                <w:color w:val="000000"/>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51080021T000000051651-宣传经费</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主管部门</w:t>
            </w:r>
          </w:p>
        </w:tc>
        <w:tc>
          <w:tcPr>
            <w:tcW w:w="4698" w:type="dxa"/>
            <w:gridSpan w:val="2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广元市退役军人事务局部门</w:t>
            </w:r>
          </w:p>
        </w:tc>
        <w:tc>
          <w:tcPr>
            <w:tcW w:w="784" w:type="dxa"/>
            <w:gridSpan w:val="6"/>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　完成红色文化宣讲及对外宣传工作</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eastAsia" w:ascii="宋体" w:eastAsia="宋体" w:cs="宋体"/>
                <w:color w:val="000000"/>
                <w:kern w:val="0"/>
                <w:sz w:val="18"/>
                <w:szCs w:val="18"/>
                <w:u w:val="none"/>
                <w:lang w:val="en-US" w:eastAsia="zh-CN" w:bidi="ar"/>
              </w:rPr>
              <w:t>完成红色文化宣讲及对外宣传工作。</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完成红色文化宣讲5次及通过标语、展板等进行对外宣传。</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6.06</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6.06</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5.62</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92.75%</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9</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default" w:ascii="黑体" w:hAnsi="黑体" w:eastAsia="黑体" w:cs="黑体"/>
                <w:i/>
                <w:iCs/>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6.06</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6.06</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5.62</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92.75%</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指标性质</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指标值</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产出指标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红色文化宣讲</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场</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5</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val="en-US" w:eastAsia="en-US" w:bidi="ar-SA"/>
              </w:rPr>
            </w:pPr>
            <w:r>
              <w:rPr>
                <w:rFonts w:hint="eastAsia" w:ascii="宋体" w:cs="宋体"/>
                <w:color w:val="000000"/>
                <w:kern w:val="0"/>
                <w:sz w:val="18"/>
                <w:szCs w:val="18"/>
                <w:u w:val="none"/>
                <w:lang w:val="en-US" w:eastAsia="zh-CN" w:bidi="ar"/>
              </w:rPr>
              <w:t>15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对外宣传</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val="en-US" w:eastAsia="en-US" w:bidi="ar-SA"/>
              </w:rPr>
            </w:pPr>
            <w:r>
              <w:rPr>
                <w:rFonts w:hint="eastAsia" w:ascii="宋体" w:cs="宋体"/>
                <w:color w:val="000000"/>
                <w:kern w:val="0"/>
                <w:sz w:val="18"/>
                <w:szCs w:val="18"/>
                <w:u w:val="none"/>
                <w:lang w:val="en-US" w:eastAsia="zh-CN" w:bidi="ar"/>
              </w:rPr>
              <w:t>15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质量指标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宣传工作完成度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val="en-US" w:eastAsia="en-US" w:bidi="ar-SA"/>
              </w:rPr>
            </w:pPr>
            <w:r>
              <w:rPr>
                <w:rFonts w:hint="eastAsia" w:ascii="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时效指标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完成时间</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val="en-US" w:eastAsia="en-US" w:bidi="ar-SA"/>
              </w:rPr>
            </w:pPr>
            <w:r>
              <w:rPr>
                <w:rFonts w:hint="eastAsia" w:ascii="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效益指标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社会效益指标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对传承英烈精神的促进作用</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定性</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优良中低差</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eastAsia="zh-CN" w:bidi="ar-SA"/>
              </w:rPr>
            </w:pPr>
            <w:r>
              <w:rPr>
                <w:rFonts w:hint="eastAsia" w:ascii="微软雅黑" w:eastAsia="微软雅黑" w:cs="微软雅黑"/>
                <w:i/>
                <w:iCs/>
                <w:color w:val="000000"/>
                <w:sz w:val="16"/>
                <w:szCs w:val="16"/>
                <w:u w:val="none"/>
                <w:lang w:eastAsia="zh-CN" w:bidi="ar-SA"/>
              </w:rPr>
              <w:t>优</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30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30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continue"/>
            <w:tcBorders>
              <w:top w:val="single" w:color="000000" w:sz="4" w:space="0"/>
              <w:left w:val="single" w:color="000000" w:sz="4" w:space="0"/>
              <w:bottom w:val="single" w:color="auto"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满意度指标</w:t>
            </w:r>
          </w:p>
        </w:tc>
        <w:tc>
          <w:tcPr>
            <w:tcW w:w="958" w:type="dxa"/>
            <w:gridSpan w:val="4"/>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服务对象满意度指标</w:t>
            </w:r>
          </w:p>
        </w:tc>
        <w:tc>
          <w:tcPr>
            <w:tcW w:w="981" w:type="dxa"/>
            <w:gridSpan w:val="4"/>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群众对烈士陵园日常管理工作满意度</w:t>
            </w:r>
          </w:p>
        </w:tc>
        <w:tc>
          <w:tcPr>
            <w:tcW w:w="581" w:type="dxa"/>
            <w:gridSpan w:val="4"/>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98</w:t>
            </w:r>
          </w:p>
        </w:tc>
        <w:tc>
          <w:tcPr>
            <w:tcW w:w="587" w:type="dxa"/>
            <w:gridSpan w:val="4"/>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98</w:t>
            </w:r>
          </w:p>
        </w:tc>
        <w:tc>
          <w:tcPr>
            <w:tcW w:w="917" w:type="dxa"/>
            <w:gridSpan w:val="4"/>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10</w:t>
            </w:r>
          </w:p>
        </w:tc>
        <w:tc>
          <w:tcPr>
            <w:tcW w:w="1266" w:type="dxa"/>
            <w:gridSpan w:val="10"/>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合计</w:t>
            </w:r>
          </w:p>
        </w:tc>
        <w:tc>
          <w:tcPr>
            <w:tcW w:w="7120" w:type="dxa"/>
            <w:gridSpan w:val="3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jc w:val="left"/>
              <w:rPr>
                <w:rFonts w:hint="eastAsia" w:ascii="宋体" w:eastAsia="宋体" w:cs="宋体"/>
                <w:color w:val="000000"/>
                <w:sz w:val="18"/>
                <w:szCs w:val="18"/>
                <w:u w:val="none"/>
                <w:lang w:val="en-US" w:eastAsia="en-US" w:bidi="ar-SA"/>
              </w:rPr>
            </w:pPr>
            <w:r>
              <w:rPr>
                <w:rFonts w:hint="eastAsia" w:ascii="宋体" w:eastAsia="宋体" w:cs="宋体"/>
                <w:color w:val="000000"/>
                <w:kern w:val="0"/>
                <w:sz w:val="18"/>
                <w:szCs w:val="18"/>
                <w:u w:val="none"/>
                <w:lang w:val="en-US" w:eastAsia="zh-CN" w:bidi="ar"/>
              </w:rPr>
              <w:t>100</w:t>
            </w:r>
            <w:r>
              <w:rPr>
                <w:rFonts w:hint="eastAsia" w:ascii="宋体" w:cs="宋体"/>
                <w:color w:val="000000"/>
                <w:kern w:val="0"/>
                <w:sz w:val="18"/>
                <w:szCs w:val="18"/>
                <w:u w:val="none"/>
                <w:lang w:val="en-US" w:eastAsia="zh-CN" w:bidi="ar"/>
              </w:rPr>
              <w:t xml:space="preserve">                                                                     99</w:t>
            </w:r>
          </w:p>
        </w:tc>
        <w:tc>
          <w:tcPr>
            <w:tcW w:w="1266" w:type="dxa"/>
            <w:gridSpan w:val="10"/>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03" w:hRule="atLeast"/>
        </w:trPr>
        <w:tc>
          <w:tcPr>
            <w:tcW w:w="817" w:type="dxa"/>
            <w:gridSpan w:val="2"/>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评价结论</w:t>
            </w:r>
          </w:p>
        </w:tc>
        <w:tc>
          <w:tcPr>
            <w:tcW w:w="8340" w:type="dxa"/>
            <w:gridSpan w:val="44"/>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auto"/>
                <w:kern w:val="0"/>
                <w:sz w:val="16"/>
                <w:szCs w:val="16"/>
                <w:u w:val="none"/>
                <w:lang w:val="en-US" w:eastAsia="zh-CN" w:bidi="ar"/>
              </w:rPr>
              <w:t>结合自评情况，项目自评总分99，</w:t>
            </w:r>
            <w:r>
              <w:rPr>
                <w:rFonts w:hint="eastAsia" w:ascii="宋体" w:eastAsia="宋体" w:cs="宋体"/>
                <w:color w:val="000000"/>
                <w:kern w:val="0"/>
                <w:sz w:val="16"/>
                <w:szCs w:val="16"/>
                <w:u w:val="none"/>
                <w:lang w:val="en-US" w:eastAsia="zh-CN" w:bidi="ar"/>
              </w:rPr>
              <w:t>全年完成红色文化宣讲5场及日常的对外宣传工作，通过项目实施，保障了烈士精神宣传工作的顺利开展，加强对红色文化的宣传，更好地进行爱国主义教育，传承英烈精神。群众对烈士陵园日常管理工作满意度达到98%以上。</w:t>
            </w:r>
          </w:p>
        </w:tc>
      </w:tr>
      <w:tr>
        <w:tblPrEx>
          <w:tblCellMar>
            <w:top w:w="0" w:type="dxa"/>
            <w:left w:w="108" w:type="dxa"/>
            <w:bottom w:w="0" w:type="dxa"/>
            <w:right w:w="108" w:type="dxa"/>
          </w:tblCellMar>
        </w:tblPrEx>
        <w:trPr>
          <w:gridBefore w:val="1"/>
          <w:gridAfter w:val="3"/>
          <w:wBefore w:w="216" w:type="dxa"/>
          <w:wAfter w:w="84" w:type="dxa"/>
          <w:trHeight w:val="362"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存在问题</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项目统筹协调有待加强。</w:t>
            </w:r>
          </w:p>
        </w:tc>
      </w:tr>
      <w:tr>
        <w:tblPrEx>
          <w:tblCellMar>
            <w:top w:w="0" w:type="dxa"/>
            <w:left w:w="108" w:type="dxa"/>
            <w:bottom w:w="0" w:type="dxa"/>
            <w:right w:w="108" w:type="dxa"/>
          </w:tblCellMar>
        </w:tblPrEx>
        <w:trPr>
          <w:gridBefore w:val="1"/>
          <w:gridAfter w:val="3"/>
          <w:wBefore w:w="216" w:type="dxa"/>
          <w:wAfter w:w="84" w:type="dxa"/>
          <w:trHeight w:val="63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改进措施</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在预算编制时参考上年度的预算编制、收支执行情况及根据本年度重点工作，细化编制预算，提高预算编制的科学性、严谨性和可控性。在上年支出基础上，结合实际，合理制定全年部门整体支出计划，为部门整体支出提供依据。严格按照计划执行，在保证资金使用安全前提下，加快资金使用进度，提高财政资金使用效益，有效提高我单位的整体支出率。定期开展资金支出进度自查，查找存在问题，及时反馈解决。</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项目负责人：</w:t>
            </w:r>
            <w:r>
              <w:rPr>
                <w:rFonts w:hint="eastAsia" w:ascii="黑体" w:hAnsi="黑体" w:eastAsia="黑体" w:cs="黑体"/>
                <w:color w:val="000000"/>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财务负责人：</w:t>
            </w:r>
            <w:r>
              <w:rPr>
                <w:rFonts w:hint="eastAsia" w:ascii="黑体" w:hAnsi="黑体" w:eastAsia="黑体" w:cs="黑体"/>
                <w:color w:val="000000"/>
                <w:kern w:val="0"/>
                <w:sz w:val="18"/>
                <w:szCs w:val="18"/>
                <w:u w:val="none"/>
                <w:lang w:val="en-US" w:eastAsia="zh-CN" w:bidi="ar"/>
              </w:rPr>
              <w:t>毕波</w:t>
            </w: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000000"/>
                <w:sz w:val="30"/>
                <w:szCs w:val="30"/>
                <w:u w:val="none"/>
                <w:lang w:bidi="ar-SA"/>
              </w:rPr>
            </w:pPr>
            <w:r>
              <w:rPr>
                <w:rFonts w:hint="eastAsia" w:ascii="黑体" w:eastAsia="黑体" w:cs="黑体"/>
                <w:b/>
                <w:bCs/>
                <w:color w:val="000000"/>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51080021T000000051676-红色文化研究经费</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主管部门</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广元市退役军人事务局部门</w:t>
            </w:r>
          </w:p>
        </w:tc>
        <w:tc>
          <w:tcPr>
            <w:tcW w:w="4544" w:type="dxa"/>
            <w:gridSpan w:val="26"/>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完成对英雄烈士遗物、史料的收集、保护和陈列展示工作，组织开展英雄烈士史料、英烈事迹和精神的研究工作。</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黑体" w:hAnsi="黑体" w:eastAsia="黑体" w:cs="黑体"/>
                <w:color w:val="000000"/>
                <w:sz w:val="18"/>
                <w:szCs w:val="18"/>
                <w:u w:val="none"/>
                <w:lang w:bidi="ar-SA"/>
              </w:rPr>
            </w:pPr>
            <w:r>
              <w:rPr>
                <w:rFonts w:hint="eastAsia" w:ascii="宋体" w:cs="宋体"/>
                <w:color w:val="000000"/>
                <w:sz w:val="18"/>
                <w:szCs w:val="18"/>
                <w:u w:val="none"/>
                <w:lang w:eastAsia="zh-CN" w:bidi="ar-SA"/>
              </w:rPr>
              <w:t>完成对英雄烈士遗物、史料的收集、保护和陈列展示工作，组织开展英雄烈士史料、英烈事迹和精神的研究工作。</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auto"/>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default" w:ascii="宋体" w:eastAsia="宋体" w:cs="宋体"/>
                <w:color w:val="000000"/>
                <w:sz w:val="18"/>
                <w:szCs w:val="18"/>
                <w:u w:val="none"/>
                <w:lang w:val="en-US" w:eastAsia="zh-CN" w:bidi="ar-SA"/>
              </w:rPr>
            </w:pPr>
            <w:r>
              <w:rPr>
                <w:rFonts w:hint="eastAsia" w:ascii="宋体" w:cs="宋体"/>
                <w:color w:val="000000"/>
                <w:sz w:val="18"/>
                <w:szCs w:val="18"/>
                <w:u w:val="none"/>
                <w:lang w:eastAsia="zh-CN" w:bidi="ar-SA"/>
              </w:rPr>
              <w:t>与广元市蜀道文学院签订英烈事迹挖掘整理宣传服务协议，做好烈士陵园内安葬的</w:t>
            </w:r>
            <w:r>
              <w:rPr>
                <w:rFonts w:hint="eastAsia" w:ascii="宋体" w:cs="宋体"/>
                <w:color w:val="000000"/>
                <w:sz w:val="18"/>
                <w:szCs w:val="18"/>
                <w:u w:val="none"/>
                <w:lang w:val="en-US" w:eastAsia="zh-CN" w:bidi="ar-SA"/>
              </w:rPr>
              <w:t>84位英烈事迹挖掘整理宣传服务。</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4.80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96.00%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9</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adjustRightInd/>
              <w:snapToGrid/>
              <w:spacing w:line="260" w:lineRule="exact"/>
              <w:jc w:val="left"/>
              <w:textAlignment w:val="center"/>
              <w:rPr>
                <w:rFonts w:hint="default" w:ascii="黑体" w:hAnsi="黑体" w:eastAsia="黑体" w:cs="黑体"/>
                <w:i/>
                <w:iCs/>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4.80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96.00%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指标性质</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指标值</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产出指标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质量指标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红色文化研究完成度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时效指标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完成时间</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年</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效益指标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社会效益指标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对传承英烈精神的促进作用</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定性</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优良中低差</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eastAsia="zh-CN" w:bidi="ar-SA"/>
              </w:rPr>
            </w:pPr>
            <w:r>
              <w:rPr>
                <w:rFonts w:hint="eastAsia" w:ascii="微软雅黑" w:eastAsia="微软雅黑" w:cs="微软雅黑"/>
                <w:i/>
                <w:iCs/>
                <w:color w:val="000000"/>
                <w:sz w:val="16"/>
                <w:szCs w:val="16"/>
                <w:u w:val="none"/>
                <w:lang w:eastAsia="zh-CN" w:bidi="ar-SA"/>
              </w:rPr>
              <w:t>优</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30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30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满意度指标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服务对象满意度指标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群众对烈士陵园工作的满意度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98</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98</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合计</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6182" w:type="dxa"/>
            <w:gridSpan w:val="3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left="5580" w:hanging="5580" w:hangingChars="3100"/>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 xml:space="preserve">                                                                                                                                                                 99     </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0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评价结论</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auto"/>
                <w:kern w:val="0"/>
                <w:sz w:val="16"/>
                <w:szCs w:val="16"/>
                <w:u w:val="none"/>
                <w:lang w:val="en-US" w:eastAsia="zh-CN" w:bidi="ar"/>
              </w:rPr>
              <w:t>结合自评情况，项目自评总分99，</w:t>
            </w:r>
            <w:r>
              <w:rPr>
                <w:rFonts w:hint="eastAsia" w:ascii="宋体" w:eastAsia="宋体" w:cs="宋体"/>
                <w:color w:val="000000"/>
                <w:kern w:val="0"/>
                <w:sz w:val="16"/>
                <w:szCs w:val="16"/>
                <w:u w:val="none"/>
                <w:lang w:val="en-US" w:eastAsia="zh-CN" w:bidi="ar"/>
              </w:rPr>
              <w:t>全年完成</w:t>
            </w:r>
            <w:r>
              <w:rPr>
                <w:rFonts w:hint="eastAsia" w:ascii="宋体" w:cs="宋体"/>
                <w:color w:val="000000"/>
                <w:kern w:val="0"/>
                <w:sz w:val="16"/>
                <w:szCs w:val="16"/>
                <w:u w:val="none"/>
                <w:lang w:val="en-US" w:eastAsia="zh-CN" w:bidi="ar"/>
              </w:rPr>
              <w:t>了对英烈事迹等的挖掘、保护工作</w:t>
            </w:r>
            <w:r>
              <w:rPr>
                <w:rFonts w:hint="eastAsia" w:ascii="宋体" w:eastAsia="宋体" w:cs="宋体"/>
                <w:color w:val="000000"/>
                <w:kern w:val="0"/>
                <w:sz w:val="16"/>
                <w:szCs w:val="16"/>
                <w:u w:val="none"/>
                <w:lang w:val="en-US" w:eastAsia="zh-CN" w:bidi="ar"/>
              </w:rPr>
              <w:t>，通过项目实施，</w:t>
            </w:r>
            <w:r>
              <w:rPr>
                <w:rFonts w:hint="eastAsia" w:ascii="宋体" w:cs="宋体"/>
                <w:color w:val="000000"/>
                <w:kern w:val="0"/>
                <w:sz w:val="16"/>
                <w:szCs w:val="16"/>
                <w:u w:val="none"/>
                <w:lang w:val="en-US" w:eastAsia="zh-CN" w:bidi="ar"/>
              </w:rPr>
              <w:t>对传承英烈精神起到促进作用</w:t>
            </w:r>
            <w:r>
              <w:rPr>
                <w:rFonts w:hint="eastAsia" w:ascii="宋体" w:eastAsia="宋体" w:cs="宋体"/>
                <w:color w:val="000000"/>
                <w:kern w:val="0"/>
                <w:sz w:val="16"/>
                <w:szCs w:val="16"/>
                <w:u w:val="none"/>
                <w:lang w:val="en-US" w:eastAsia="zh-CN" w:bidi="ar"/>
              </w:rPr>
              <w:t>。群众对烈士陵园日常管理工作满意度达到98%以上。</w:t>
            </w:r>
          </w:p>
        </w:tc>
      </w:tr>
      <w:tr>
        <w:tblPrEx>
          <w:tblCellMar>
            <w:top w:w="0" w:type="dxa"/>
            <w:left w:w="108" w:type="dxa"/>
            <w:bottom w:w="0" w:type="dxa"/>
            <w:right w:w="108" w:type="dxa"/>
          </w:tblCellMar>
        </w:tblPrEx>
        <w:trPr>
          <w:gridBefore w:val="1"/>
          <w:gridAfter w:val="3"/>
          <w:wBefore w:w="216" w:type="dxa"/>
          <w:wAfter w:w="84" w:type="dxa"/>
          <w:trHeight w:val="572"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存在问题</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项目统筹协调有待加强。</w:t>
            </w:r>
          </w:p>
        </w:tc>
      </w:tr>
      <w:tr>
        <w:tblPrEx>
          <w:tblCellMar>
            <w:top w:w="0" w:type="dxa"/>
            <w:left w:w="108" w:type="dxa"/>
            <w:bottom w:w="0" w:type="dxa"/>
            <w:right w:w="108" w:type="dxa"/>
          </w:tblCellMar>
        </w:tblPrEx>
        <w:trPr>
          <w:gridBefore w:val="1"/>
          <w:gridAfter w:val="3"/>
          <w:wBefore w:w="216" w:type="dxa"/>
          <w:wAfter w:w="84" w:type="dxa"/>
          <w:trHeight w:val="63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改进措施</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在预算编制时参考上年度的预算编制、收支执行情况及根据本年度重点工作，细化编制预算，提高预算编制的科学性、严谨性和可控性。在上年支出基础上，结合实际，合理制定全年部门整体支出计划，为部门整体支出提供依据。严格按照计划执行，在保证资金使用安全前提下，加快资金使用进度，提高财政资金使用效益，有效提高我单位的整体支出率。定期开展资金支出进度自查，查找存在问题，及时反馈解决。</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349" w:type="dxa"/>
            <w:gridSpan w:val="1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项目负责人：</w:t>
            </w:r>
            <w:r>
              <w:rPr>
                <w:rFonts w:hint="eastAsia" w:ascii="黑体" w:hAnsi="黑体" w:eastAsia="黑体" w:cs="黑体"/>
                <w:color w:val="000000"/>
                <w:kern w:val="0"/>
                <w:sz w:val="18"/>
                <w:szCs w:val="18"/>
                <w:u w:val="none"/>
                <w:lang w:val="en-US" w:eastAsia="zh-CN" w:bidi="ar"/>
              </w:rPr>
              <w:t>蒲海波</w:t>
            </w:r>
          </w:p>
        </w:tc>
        <w:tc>
          <w:tcPr>
            <w:tcW w:w="4808" w:type="dxa"/>
            <w:gridSpan w:val="2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财务负责人：</w:t>
            </w:r>
            <w:r>
              <w:rPr>
                <w:rFonts w:hint="eastAsia" w:ascii="黑体" w:hAnsi="黑体" w:eastAsia="黑体" w:cs="黑体"/>
                <w:color w:val="000000"/>
                <w:kern w:val="0"/>
                <w:sz w:val="18"/>
                <w:szCs w:val="18"/>
                <w:u w:val="none"/>
                <w:lang w:val="en-US" w:eastAsia="zh-CN" w:bidi="ar"/>
              </w:rPr>
              <w:t>毕波</w:t>
            </w:r>
          </w:p>
        </w:tc>
      </w:tr>
      <w:tr>
        <w:tblPrEx>
          <w:tblCellMar>
            <w:top w:w="0" w:type="dxa"/>
            <w:left w:w="108" w:type="dxa"/>
            <w:bottom w:w="0" w:type="dxa"/>
            <w:right w:w="108" w:type="dxa"/>
          </w:tblCellMar>
        </w:tblPrEx>
        <w:trPr>
          <w:gridBefore w:val="1"/>
          <w:gridAfter w:val="1"/>
          <w:wBefore w:w="216" w:type="dxa"/>
          <w:wAfter w:w="3" w:type="dxa"/>
          <w:trHeight w:val="286" w:hRule="atLeast"/>
        </w:trPr>
        <w:tc>
          <w:tcPr>
            <w:tcW w:w="817"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02"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016" w:type="dxa"/>
            <w:gridSpan w:val="5"/>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317" w:type="dxa"/>
            <w:gridSpan w:val="6"/>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77"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953" w:type="dxa"/>
            <w:gridSpan w:val="7"/>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346" w:type="dxa"/>
            <w:gridSpan w:val="9"/>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560"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917" w:type="dxa"/>
            <w:gridSpan w:val="9"/>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16"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17" w:type="dxa"/>
            <w:gridSpan w:val="3"/>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000000"/>
                <w:sz w:val="30"/>
                <w:szCs w:val="30"/>
                <w:u w:val="none"/>
                <w:lang w:bidi="ar-SA"/>
              </w:rPr>
            </w:pPr>
            <w:r>
              <w:rPr>
                <w:rFonts w:hint="eastAsia" w:ascii="黑体" w:eastAsia="黑体" w:cs="黑体"/>
                <w:b/>
                <w:bCs/>
                <w:color w:val="000000"/>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51080021T000000055043-办公用品采购经费</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主管部门</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广元市退役军人事务局部门</w:t>
            </w:r>
          </w:p>
        </w:tc>
        <w:tc>
          <w:tcPr>
            <w:tcW w:w="4544" w:type="dxa"/>
            <w:gridSpan w:val="26"/>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配备打印机，确保陵园日常工作顺利开展。</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eastAsia" w:ascii="宋体" w:eastAsia="宋体" w:cs="宋体"/>
                <w:color w:val="000000"/>
                <w:kern w:val="0"/>
                <w:sz w:val="18"/>
                <w:szCs w:val="18"/>
                <w:u w:val="none"/>
                <w:lang w:val="en-US" w:eastAsia="zh-CN" w:bidi="ar"/>
              </w:rPr>
              <w:t>配备打印机，确保陵园日常工作顺利开展。</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根据工作需要，按照采购程序购置打印机两台。</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10</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default" w:ascii="黑体" w:hAnsi="黑体" w:eastAsia="黑体" w:cs="黑体"/>
                <w:i/>
                <w:iCs/>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adjustRightInd/>
              <w:snapToGrid/>
              <w:spacing w:line="240" w:lineRule="exact"/>
              <w:jc w:val="left"/>
              <w:rPr>
                <w:rFonts w:hint="default" w:ascii="黑体" w:hAnsi="黑体" w:eastAsia="黑体" w:cs="黑体"/>
                <w:i/>
                <w:iCs/>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指标性质</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指标值</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产出指标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打印机</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8"/>
                <w:szCs w:val="18"/>
                <w:u w:val="none"/>
                <w:lang w:val="en-US" w:eastAsia="zh-CN" w:bidi="ar"/>
              </w:rPr>
              <w:t>2</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17</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17</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质量指标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日常工作完成度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8"/>
                <w:szCs w:val="18"/>
                <w:u w:val="none"/>
                <w:lang w:val="en-US" w:eastAsia="zh-CN" w:bidi="ar"/>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17</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17</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时效指标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完成时间</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8"/>
                <w:szCs w:val="18"/>
                <w:u w:val="none"/>
                <w:lang w:val="en-US" w:eastAsia="zh-CN" w:bidi="ar"/>
              </w:rPr>
              <w:t>1</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16</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16</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效益指标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社会效益指标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对工作的促进作用</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定性</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优良中低差</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8"/>
                <w:szCs w:val="18"/>
                <w:u w:val="none"/>
                <w:lang w:val="en-US" w:eastAsia="zh-CN" w:bidi="ar"/>
              </w:rPr>
              <w:t>优</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30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30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满意度指标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服务对象满意度指标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群众对烈士陵园日常管理工作的满意度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98</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8"/>
                <w:szCs w:val="18"/>
                <w:u w:val="none"/>
                <w:lang w:val="en-US" w:eastAsia="zh-CN" w:bidi="ar"/>
              </w:rPr>
              <w:t>98</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合计</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6182" w:type="dxa"/>
            <w:gridSpan w:val="3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firstLine="810" w:firstLineChars="450"/>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 xml:space="preserve">                                                     100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0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评价结论</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auto"/>
                <w:kern w:val="0"/>
                <w:sz w:val="16"/>
                <w:szCs w:val="16"/>
                <w:u w:val="none"/>
                <w:lang w:val="en-US" w:eastAsia="zh-CN" w:bidi="ar"/>
              </w:rPr>
              <w:t>结合自评情况，项目自评总分100，根据工作需要，购置打印机2台。通过项目实施，确保单位工作有序正常开展。群众对烈士陵园工作满意度达到98%以上。</w:t>
            </w:r>
          </w:p>
        </w:tc>
      </w:tr>
      <w:tr>
        <w:tblPrEx>
          <w:tblCellMar>
            <w:top w:w="0" w:type="dxa"/>
            <w:left w:w="108" w:type="dxa"/>
            <w:bottom w:w="0" w:type="dxa"/>
            <w:right w:w="108" w:type="dxa"/>
          </w:tblCellMar>
        </w:tblPrEx>
        <w:trPr>
          <w:gridBefore w:val="1"/>
          <w:gridAfter w:val="3"/>
          <w:wBefore w:w="216" w:type="dxa"/>
          <w:wAfter w:w="84" w:type="dxa"/>
          <w:trHeight w:val="572"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存在问题</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单位由于人力不足，绩效编制不够准确，测算标准有待细化。</w:t>
            </w:r>
          </w:p>
        </w:tc>
      </w:tr>
      <w:tr>
        <w:tblPrEx>
          <w:tblCellMar>
            <w:top w:w="0" w:type="dxa"/>
            <w:left w:w="108" w:type="dxa"/>
            <w:bottom w:w="0" w:type="dxa"/>
            <w:right w:w="108" w:type="dxa"/>
          </w:tblCellMar>
        </w:tblPrEx>
        <w:trPr>
          <w:gridBefore w:val="1"/>
          <w:gridAfter w:val="3"/>
          <w:wBefore w:w="216" w:type="dxa"/>
          <w:wAfter w:w="84" w:type="dxa"/>
          <w:trHeight w:val="63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改进措施</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在预算编制时参考上年度的预算编制、收支执行情况及根据本年度重点工作，细化编制预算，提高预算编制的科学性、严谨性和可控性。在上年支出基础上，结合实际，合理制定全年部门整体支出计划，为部门整体支出提供依据。严格按照计划执行，在保证资金使用安全前提下，加快资金使用进度，提高财政资金使用效益，有效提高我单位的整体支出率。定期开展资金支出进度自查，查找存在问题，及时反馈解决。</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项目负责人：</w:t>
            </w:r>
            <w:r>
              <w:rPr>
                <w:rFonts w:hint="eastAsia" w:ascii="黑体" w:hAnsi="黑体" w:eastAsia="黑体" w:cs="黑体"/>
                <w:color w:val="000000"/>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财务负责人：</w:t>
            </w:r>
            <w:r>
              <w:rPr>
                <w:rFonts w:hint="eastAsia" w:ascii="黑体" w:hAnsi="黑体" w:eastAsia="黑体" w:cs="黑体"/>
                <w:color w:val="000000"/>
                <w:kern w:val="0"/>
                <w:sz w:val="18"/>
                <w:szCs w:val="18"/>
                <w:u w:val="none"/>
                <w:lang w:val="en-US" w:eastAsia="zh-CN" w:bidi="ar"/>
              </w:rPr>
              <w:t>毕波</w:t>
            </w: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000000"/>
                <w:sz w:val="30"/>
                <w:szCs w:val="30"/>
                <w:u w:val="none"/>
                <w:lang w:bidi="ar-SA"/>
              </w:rPr>
            </w:pPr>
            <w:r>
              <w:rPr>
                <w:rFonts w:hint="eastAsia" w:ascii="黑体" w:eastAsia="黑体" w:cs="黑体"/>
                <w:b/>
                <w:bCs/>
                <w:color w:val="000000"/>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51080021Y000000176770-其他公用经费（福利、工会、公车补贴、党建、退休活动）</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主管部门</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广元市退役军人事务局部门</w:t>
            </w:r>
          </w:p>
        </w:tc>
        <w:tc>
          <w:tcPr>
            <w:tcW w:w="4544" w:type="dxa"/>
            <w:gridSpan w:val="26"/>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保障单位日常运转，提高预算编制质量，严格执行预算</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eastAsia" w:ascii="宋体" w:eastAsia="宋体" w:cs="宋体"/>
                <w:color w:val="000000"/>
                <w:kern w:val="0"/>
                <w:sz w:val="18"/>
                <w:szCs w:val="18"/>
                <w:u w:val="none"/>
                <w:lang w:val="en-US" w:eastAsia="zh-CN" w:bidi="ar"/>
              </w:rPr>
              <w:t>保障单位日常运转，提高预算编制质量，严格执行预算</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严格按照财经纪律及单位财务管理办法开支经费，保障单位日常运转。</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1.65</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1.56</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0.92</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58.89%</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6</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宋体" w:cs="黑体"/>
                <w:i/>
                <w:iCs/>
                <w:color w:val="000000"/>
                <w:sz w:val="18"/>
                <w:szCs w:val="18"/>
                <w:u w:val="none"/>
                <w:lang w:eastAsia="zh-CN" w:bidi="ar-SA"/>
              </w:rPr>
            </w:pPr>
            <w:r>
              <w:rPr>
                <w:rFonts w:hint="eastAsia" w:ascii="宋体" w:cs="宋体"/>
                <w:color w:val="000000"/>
                <w:sz w:val="18"/>
                <w:szCs w:val="18"/>
                <w:u w:val="none"/>
                <w:lang w:eastAsia="zh-CN" w:bidi="ar-SA"/>
              </w:rPr>
              <w:t>开展党建活动本着厉行节约的原则基本未产生费用。</w:t>
            </w: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1.65</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1.56</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0.92</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58.89%</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指标性质</w:t>
            </w:r>
          </w:p>
        </w:tc>
        <w:tc>
          <w:tcPr>
            <w:tcW w:w="6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指标值</w:t>
            </w:r>
          </w:p>
        </w:tc>
        <w:tc>
          <w:tcPr>
            <w:tcW w:w="55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产出指标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科目调整次数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55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次</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cs="宋体"/>
                <w:color w:val="000000"/>
                <w:sz w:val="18"/>
                <w:szCs w:val="18"/>
                <w:u w:val="none"/>
                <w:lang w:eastAsia="zh-CN" w:bidi="ar-SA"/>
              </w:rPr>
            </w:pPr>
          </w:p>
        </w:tc>
      </w:tr>
      <w:tr>
        <w:tblPrEx>
          <w:tblCellMar>
            <w:top w:w="0" w:type="dxa"/>
            <w:left w:w="108" w:type="dxa"/>
            <w:bottom w:w="0" w:type="dxa"/>
            <w:right w:w="108" w:type="dxa"/>
          </w:tblCellMar>
        </w:tblPrEx>
        <w:trPr>
          <w:gridBefore w:val="1"/>
          <w:gridAfter w:val="3"/>
          <w:wBefore w:w="216" w:type="dxa"/>
          <w:wAfter w:w="84" w:type="dxa"/>
          <w:trHeight w:val="67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质量指标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预算编制准确率（计算方法为：∣（执行数-预算数）/预算数∣）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6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5</w:t>
            </w:r>
          </w:p>
        </w:tc>
        <w:tc>
          <w:tcPr>
            <w:tcW w:w="55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auto"/>
                <w:sz w:val="16"/>
                <w:szCs w:val="16"/>
                <w:u w:val="none"/>
                <w:lang w:val="en-US" w:eastAsia="zh-CN" w:bidi="ar-SA"/>
              </w:rPr>
            </w:pPr>
            <w:r>
              <w:rPr>
                <w:rFonts w:hint="eastAsia" w:ascii="微软雅黑" w:eastAsia="微软雅黑" w:cs="微软雅黑"/>
                <w:i/>
                <w:iCs/>
                <w:color w:val="auto"/>
                <w:sz w:val="16"/>
                <w:szCs w:val="16"/>
                <w:u w:val="none"/>
                <w:lang w:bidi="ar-SA"/>
              </w:rPr>
              <w:t>41</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default" w:ascii="宋体" w:eastAsia="宋体" w:cs="宋体"/>
                <w:color w:val="auto"/>
                <w:sz w:val="18"/>
                <w:szCs w:val="18"/>
                <w:u w:val="none"/>
                <w:lang w:val="en-US" w:eastAsia="zh-CN" w:bidi="ar-SA"/>
              </w:rPr>
            </w:pPr>
            <w:r>
              <w:rPr>
                <w:rFonts w:hint="eastAsia" w:ascii="宋体" w:cs="宋体"/>
                <w:color w:val="auto"/>
                <w:sz w:val="18"/>
                <w:szCs w:val="18"/>
                <w:u w:val="none"/>
                <w:lang w:val="en-US" w:eastAsia="zh-CN" w:bidi="ar-SA"/>
              </w:rPr>
              <w:t>17</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cs="宋体"/>
                <w:color w:val="000000"/>
                <w:sz w:val="18"/>
                <w:szCs w:val="18"/>
                <w:u w:val="none"/>
                <w:lang w:eastAsia="zh-CN" w:bidi="ar-SA"/>
              </w:rPr>
            </w:pPr>
            <w:r>
              <w:rPr>
                <w:rFonts w:hint="eastAsia" w:ascii="宋体" w:cs="宋体"/>
                <w:color w:val="000000"/>
                <w:sz w:val="18"/>
                <w:szCs w:val="18"/>
                <w:u w:val="none"/>
                <w:lang w:eastAsia="zh-CN" w:bidi="ar-SA"/>
              </w:rPr>
              <w:t>按编准比例进行预算编制，在执行时本着厉行节约的原则实际产生的支出费用少于预算费用。</w:t>
            </w: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效益指标</w:t>
            </w:r>
          </w:p>
        </w:tc>
        <w:tc>
          <w:tcPr>
            <w:tcW w:w="95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经济效益指标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“三公经费”控制率[计算方法为：（三公经费实际支出数/预算安排数]×100%）</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6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100</w:t>
            </w:r>
          </w:p>
        </w:tc>
        <w:tc>
          <w:tcPr>
            <w:tcW w:w="55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default" w:ascii="微软雅黑" w:eastAsia="微软雅黑" w:cs="微软雅黑"/>
                <w:i/>
                <w:iCs/>
                <w:color w:val="auto"/>
                <w:sz w:val="16"/>
                <w:szCs w:val="16"/>
                <w:u w:val="none"/>
                <w:lang w:val="en-US" w:eastAsia="zh-CN" w:bidi="ar-SA"/>
              </w:rPr>
            </w:pPr>
            <w:r>
              <w:rPr>
                <w:rFonts w:hint="eastAsia" w:ascii="微软雅黑" w:eastAsia="微软雅黑" w:cs="微软雅黑"/>
                <w:i/>
                <w:iCs/>
                <w:color w:val="auto"/>
                <w:sz w:val="16"/>
                <w:szCs w:val="16"/>
                <w:u w:val="none"/>
                <w:lang w:val="en-US" w:eastAsia="zh-CN" w:bidi="ar-SA"/>
              </w:rPr>
              <w:t>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default" w:ascii="宋体" w:eastAsia="宋体" w:cs="宋体"/>
                <w:color w:val="auto"/>
                <w:sz w:val="18"/>
                <w:szCs w:val="18"/>
                <w:u w:val="none"/>
                <w:lang w:val="en-US" w:eastAsia="zh-CN" w:bidi="ar-SA"/>
              </w:rPr>
            </w:pPr>
            <w:r>
              <w:rPr>
                <w:rFonts w:hint="eastAsia" w:ascii="宋体" w:cs="宋体"/>
                <w:color w:val="auto"/>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auto"/>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运转保障率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5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合计</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cs="宋体"/>
                <w:color w:val="000000"/>
                <w:sz w:val="18"/>
                <w:szCs w:val="18"/>
                <w:u w:val="none"/>
                <w:lang w:eastAsia="zh-CN" w:bidi="ar-SA"/>
              </w:rPr>
            </w:pPr>
            <w:r>
              <w:rPr>
                <w:rFonts w:hint="eastAsia" w:ascii="宋体" w:cs="宋体"/>
                <w:color w:val="000000"/>
                <w:sz w:val="18"/>
                <w:szCs w:val="18"/>
                <w:u w:val="none"/>
                <w:lang w:val="en-US" w:eastAsia="zh-CN" w:bidi="ar-SA"/>
              </w:rPr>
              <w:t>100</w:t>
            </w:r>
          </w:p>
        </w:tc>
        <w:tc>
          <w:tcPr>
            <w:tcW w:w="6182" w:type="dxa"/>
            <w:gridSpan w:val="3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default" w:ascii="宋体" w:cs="宋体"/>
                <w:color w:val="000000"/>
                <w:sz w:val="18"/>
                <w:szCs w:val="18"/>
                <w:u w:val="none"/>
                <w:lang w:val="en-US" w:eastAsia="zh-CN" w:bidi="ar-SA"/>
              </w:rPr>
            </w:pPr>
            <w:r>
              <w:rPr>
                <w:rFonts w:hint="eastAsia" w:ascii="宋体" w:cs="宋体"/>
                <w:color w:val="000000"/>
                <w:sz w:val="18"/>
                <w:szCs w:val="18"/>
                <w:u w:val="none"/>
                <w:lang w:val="en-US" w:eastAsia="zh-CN" w:bidi="ar-SA"/>
              </w:rPr>
              <w:t>90.5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cs="宋体"/>
                <w:color w:val="000000"/>
                <w:sz w:val="18"/>
                <w:szCs w:val="18"/>
                <w:u w:val="none"/>
                <w:lang w:eastAsia="zh-CN" w:bidi="ar-SA"/>
              </w:rPr>
            </w:pPr>
          </w:p>
        </w:tc>
      </w:tr>
      <w:tr>
        <w:tblPrEx>
          <w:tblCellMar>
            <w:top w:w="0" w:type="dxa"/>
            <w:left w:w="108" w:type="dxa"/>
            <w:bottom w:w="0" w:type="dxa"/>
            <w:right w:w="108" w:type="dxa"/>
          </w:tblCellMar>
        </w:tblPrEx>
        <w:trPr>
          <w:gridBefore w:val="1"/>
          <w:gridAfter w:val="3"/>
          <w:wBefore w:w="216" w:type="dxa"/>
          <w:wAfter w:w="84" w:type="dxa"/>
          <w:trHeight w:val="90"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cs="宋体"/>
                <w:color w:val="000000"/>
                <w:sz w:val="18"/>
                <w:szCs w:val="18"/>
                <w:u w:val="none"/>
                <w:lang w:eastAsia="zh-CN" w:bidi="ar-SA"/>
              </w:rPr>
            </w:pPr>
            <w:r>
              <w:rPr>
                <w:rFonts w:hint="eastAsia" w:ascii="宋体" w:cs="宋体"/>
                <w:color w:val="000000"/>
                <w:sz w:val="18"/>
                <w:szCs w:val="18"/>
                <w:u w:val="none"/>
                <w:lang w:val="en-US" w:eastAsia="zh-CN" w:bidi="ar-SA"/>
              </w:rPr>
              <w:t>评价结论</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cs="宋体"/>
                <w:color w:val="000000"/>
                <w:sz w:val="18"/>
                <w:szCs w:val="18"/>
                <w:u w:val="none"/>
                <w:lang w:eastAsia="zh-CN" w:bidi="ar-SA"/>
              </w:rPr>
            </w:pPr>
            <w:r>
              <w:rPr>
                <w:rFonts w:hint="eastAsia" w:ascii="宋体" w:cs="宋体"/>
                <w:color w:val="000000"/>
                <w:sz w:val="18"/>
                <w:szCs w:val="18"/>
                <w:u w:val="none"/>
                <w:lang w:val="en-US" w:eastAsia="zh-CN" w:bidi="ar-SA"/>
              </w:rPr>
              <w:t>结合自评情况，项目自评总分90.5，</w:t>
            </w:r>
            <w:r>
              <w:rPr>
                <w:rFonts w:hint="eastAsia" w:ascii="宋体" w:cs="宋体"/>
                <w:color w:val="000000"/>
                <w:sz w:val="18"/>
                <w:szCs w:val="18"/>
                <w:u w:val="none"/>
                <w:lang w:eastAsia="zh-CN" w:bidi="ar-SA"/>
              </w:rPr>
              <w:t>严格按照财经纪律及单位财务管理办法开支经费，保障单位日常运转。</w:t>
            </w:r>
          </w:p>
        </w:tc>
      </w:tr>
      <w:tr>
        <w:tblPrEx>
          <w:tblCellMar>
            <w:top w:w="0" w:type="dxa"/>
            <w:left w:w="108" w:type="dxa"/>
            <w:bottom w:w="0" w:type="dxa"/>
            <w:right w:w="108" w:type="dxa"/>
          </w:tblCellMar>
        </w:tblPrEx>
        <w:trPr>
          <w:gridBefore w:val="1"/>
          <w:gridAfter w:val="3"/>
          <w:wBefore w:w="216" w:type="dxa"/>
          <w:wAfter w:w="84" w:type="dxa"/>
          <w:trHeight w:val="322"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存在问题</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单位由于人力不足，绩效编制不够准确，预算执行进度较慢。</w:t>
            </w:r>
          </w:p>
        </w:tc>
      </w:tr>
      <w:tr>
        <w:tblPrEx>
          <w:tblCellMar>
            <w:top w:w="0" w:type="dxa"/>
            <w:left w:w="108" w:type="dxa"/>
            <w:bottom w:w="0" w:type="dxa"/>
            <w:right w:w="108" w:type="dxa"/>
          </w:tblCellMar>
        </w:tblPrEx>
        <w:trPr>
          <w:gridBefore w:val="1"/>
          <w:gridAfter w:val="3"/>
          <w:wBefore w:w="216" w:type="dxa"/>
          <w:wAfter w:w="84" w:type="dxa"/>
          <w:trHeight w:val="46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改进措施</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严格按照计划执行，在保证资金使用安全前提下，加快资金使用进度，提高财政资金使用效益，有效提高我单位的整体支出率。定期开展资金支出进度自查，查找存在问题，及时反馈解决。</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项目负责人：</w:t>
            </w:r>
            <w:r>
              <w:rPr>
                <w:rFonts w:hint="eastAsia" w:ascii="黑体" w:hAnsi="黑体" w:eastAsia="黑体" w:cs="黑体"/>
                <w:color w:val="000000"/>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财务负责人：</w:t>
            </w:r>
            <w:r>
              <w:rPr>
                <w:rFonts w:hint="eastAsia" w:ascii="黑体" w:hAnsi="黑体" w:eastAsia="黑体" w:cs="黑体"/>
                <w:color w:val="000000"/>
                <w:kern w:val="0"/>
                <w:sz w:val="18"/>
                <w:szCs w:val="18"/>
                <w:u w:val="none"/>
                <w:lang w:val="en-US" w:eastAsia="zh-CN" w:bidi="ar"/>
              </w:rPr>
              <w:t>毕波</w:t>
            </w: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000000"/>
                <w:sz w:val="30"/>
                <w:szCs w:val="30"/>
                <w:u w:val="none"/>
                <w:lang w:bidi="ar-SA"/>
              </w:rPr>
            </w:pPr>
            <w:r>
              <w:rPr>
                <w:rFonts w:hint="eastAsia" w:ascii="黑体" w:eastAsia="黑体" w:cs="黑体"/>
                <w:b/>
                <w:bCs/>
                <w:color w:val="000000"/>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51080022R000000267546-工资性支出（事业）</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主管部门</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广元市退役军人事务局部门</w:t>
            </w:r>
          </w:p>
        </w:tc>
        <w:tc>
          <w:tcPr>
            <w:tcW w:w="4544" w:type="dxa"/>
            <w:gridSpan w:val="26"/>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严格执行相关政策，保障工资及时发放、足额发放，预算编制科学合理，减少结余资金</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黑体" w:hAnsi="黑体" w:eastAsia="黑体" w:cs="黑体"/>
                <w:color w:val="000000"/>
                <w:sz w:val="18"/>
                <w:szCs w:val="18"/>
                <w:u w:val="none"/>
                <w:lang w:bidi="ar-SA"/>
              </w:rPr>
            </w:pPr>
            <w:r>
              <w:rPr>
                <w:rFonts w:hint="eastAsia" w:ascii="宋体" w:eastAsia="宋体" w:cs="宋体"/>
                <w:color w:val="000000"/>
                <w:kern w:val="0"/>
                <w:sz w:val="18"/>
                <w:szCs w:val="18"/>
                <w:u w:val="none"/>
                <w:lang w:val="en-US" w:eastAsia="zh-CN" w:bidi="ar"/>
              </w:rPr>
              <w:t>严格执行相关政策，保障工资及时发放、足额发放，预算编制科学合理，减少结余资金</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严格执行相关政策，保障工资及时发放、足额发放</w:t>
            </w:r>
            <w:r>
              <w:rPr>
                <w:rFonts w:hint="eastAsia" w:ascii="宋体" w:cs="宋体"/>
                <w:color w:val="000000"/>
                <w:kern w:val="0"/>
                <w:sz w:val="18"/>
                <w:szCs w:val="18"/>
                <w:u w:val="none"/>
                <w:lang w:val="en-US" w:eastAsia="zh-CN" w:bidi="ar"/>
              </w:rPr>
              <w:t>。</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27.35</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38.37</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38.36</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99.98%</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黑体" w:hAnsi="黑体" w:eastAsia="黑体" w:cs="黑体"/>
                <w:i/>
                <w:iCs/>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27.35</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38.37</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38.36</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99.98%</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default" w:ascii="黑体" w:hAnsi="黑体" w:eastAsia="黑体" w:cs="黑体"/>
                <w:i/>
                <w:iCs/>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default" w:ascii="黑体" w:hAnsi="黑体" w:eastAsia="黑体" w:cs="黑体"/>
                <w:i/>
                <w:iCs/>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default" w:ascii="黑体" w:hAnsi="黑体" w:eastAsia="黑体" w:cs="黑体"/>
                <w:i/>
                <w:iCs/>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default" w:ascii="黑体" w:hAnsi="黑体" w:eastAsia="黑体" w:cs="黑体"/>
                <w:i/>
                <w:iCs/>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指标性质</w:t>
            </w:r>
          </w:p>
        </w:tc>
        <w:tc>
          <w:tcPr>
            <w:tcW w:w="6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指标值</w:t>
            </w:r>
          </w:p>
        </w:tc>
        <w:tc>
          <w:tcPr>
            <w:tcW w:w="55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产出指标</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p>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p>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p>
        </w:tc>
        <w:tc>
          <w:tcPr>
            <w:tcW w:w="95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科目调整次数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55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次</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足额保障率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5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时效指标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按时发放率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5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效益指标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经济效益指标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结余率（计算方法为：结余数/预算数）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w:t>
            </w:r>
          </w:p>
        </w:tc>
        <w:tc>
          <w:tcPr>
            <w:tcW w:w="55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0.03</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合计</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6182" w:type="dxa"/>
            <w:gridSpan w:val="3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righ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 xml:space="preserve">                                                                    100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7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评价结论</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kern w:val="0"/>
                <w:sz w:val="16"/>
                <w:szCs w:val="16"/>
                <w:u w:val="none"/>
                <w:lang w:val="en-US" w:eastAsia="zh-CN" w:bidi="ar"/>
              </w:rPr>
              <w:t>结合自评情况，项目自评总分100，保障工资及时足额发放。</w:t>
            </w:r>
          </w:p>
        </w:tc>
      </w:tr>
      <w:tr>
        <w:tblPrEx>
          <w:tblCellMar>
            <w:top w:w="0" w:type="dxa"/>
            <w:left w:w="108" w:type="dxa"/>
            <w:bottom w:w="0" w:type="dxa"/>
            <w:right w:w="108" w:type="dxa"/>
          </w:tblCellMar>
        </w:tblPrEx>
        <w:trPr>
          <w:gridBefore w:val="1"/>
          <w:gridAfter w:val="3"/>
          <w:wBefore w:w="216" w:type="dxa"/>
          <w:wAfter w:w="84" w:type="dxa"/>
          <w:trHeight w:val="302"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存在问题</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kern w:val="0"/>
                <w:sz w:val="16"/>
                <w:szCs w:val="16"/>
                <w:u w:val="none"/>
                <w:lang w:val="en-US" w:eastAsia="zh-CN" w:bidi="ar"/>
              </w:rPr>
              <w:t>无</w:t>
            </w:r>
          </w:p>
        </w:tc>
      </w:tr>
      <w:tr>
        <w:tblPrEx>
          <w:tblCellMar>
            <w:top w:w="0" w:type="dxa"/>
            <w:left w:w="108" w:type="dxa"/>
            <w:bottom w:w="0" w:type="dxa"/>
            <w:right w:w="108" w:type="dxa"/>
          </w:tblCellMar>
        </w:tblPrEx>
        <w:trPr>
          <w:gridBefore w:val="1"/>
          <w:gridAfter w:val="3"/>
          <w:wBefore w:w="216" w:type="dxa"/>
          <w:wAfter w:w="84" w:type="dxa"/>
          <w:trHeight w:val="38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改进措施</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eastAsia="微软雅黑" w:cs="微软雅黑"/>
                <w:i/>
                <w:iCs/>
                <w:color w:val="000000"/>
                <w:sz w:val="16"/>
                <w:szCs w:val="16"/>
                <w:u w:val="none"/>
                <w:lang w:eastAsia="zh-CN" w:bidi="ar-SA"/>
              </w:rPr>
            </w:pPr>
            <w:r>
              <w:rPr>
                <w:rFonts w:hint="eastAsia" w:ascii="微软雅黑" w:eastAsia="微软雅黑" w:cs="微软雅黑"/>
                <w:i/>
                <w:iCs/>
                <w:color w:val="000000"/>
                <w:sz w:val="16"/>
                <w:szCs w:val="16"/>
                <w:u w:val="none"/>
                <w:lang w:eastAsia="zh-CN" w:bidi="ar-SA"/>
              </w:rPr>
              <w:t>无</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项目负责人：</w:t>
            </w:r>
            <w:r>
              <w:rPr>
                <w:rFonts w:hint="eastAsia" w:ascii="黑体" w:hAnsi="黑体" w:eastAsia="黑体" w:cs="黑体"/>
                <w:color w:val="000000"/>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财务负责人：</w:t>
            </w:r>
            <w:r>
              <w:rPr>
                <w:rFonts w:hint="eastAsia" w:ascii="黑体" w:hAnsi="黑体" w:eastAsia="黑体" w:cs="黑体"/>
                <w:color w:val="000000"/>
                <w:kern w:val="0"/>
                <w:sz w:val="18"/>
                <w:szCs w:val="18"/>
                <w:u w:val="none"/>
                <w:lang w:val="en-US" w:eastAsia="zh-CN" w:bidi="ar"/>
              </w:rPr>
              <w:t>毕波</w:t>
            </w: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000000"/>
                <w:sz w:val="30"/>
                <w:szCs w:val="30"/>
                <w:u w:val="none"/>
                <w:lang w:bidi="ar-SA"/>
              </w:rPr>
            </w:pPr>
            <w:r>
              <w:rPr>
                <w:rFonts w:hint="eastAsia" w:ascii="黑体" w:eastAsia="黑体" w:cs="黑体"/>
                <w:b/>
                <w:bCs/>
                <w:color w:val="000000"/>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51080022T000005422760-广元市烈士陵园纪念设施改建项目</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主管部门</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广元市退役军人事务局部门</w:t>
            </w:r>
          </w:p>
        </w:tc>
        <w:tc>
          <w:tcPr>
            <w:tcW w:w="4544" w:type="dxa"/>
            <w:gridSpan w:val="26"/>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eastAsia="zh-CN" w:bidi="ar-SA"/>
              </w:rPr>
              <w:t>烈士墓区、纪念碑、悼念广场等主体建筑物及文化氛围改造、配套公共服务附属设施改造等。</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黑体" w:hAnsi="黑体" w:eastAsia="黑体" w:cs="黑体"/>
                <w:color w:val="000000"/>
                <w:sz w:val="18"/>
                <w:szCs w:val="18"/>
                <w:u w:val="none"/>
                <w:lang w:bidi="ar-SA"/>
              </w:rPr>
            </w:pPr>
            <w:r>
              <w:rPr>
                <w:rFonts w:hint="eastAsia" w:ascii="宋体" w:cs="宋体"/>
                <w:color w:val="000000"/>
                <w:sz w:val="18"/>
                <w:szCs w:val="18"/>
                <w:u w:val="none"/>
                <w:lang w:eastAsia="zh-CN" w:bidi="ar-SA"/>
              </w:rPr>
              <w:t>烈士墓区、纪念碑、悼念广场等主体建筑物改造。</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改造纪念碑、悼念广场，新建烈士英名录墙１座，新建烈士墓100座等主体建筑物12128平方米。</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691.79</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691.79</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463.54</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67.01%</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6</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黑体" w:hAnsi="黑体" w:eastAsia="黑体" w:cs="黑体"/>
                <w:i/>
                <w:iCs/>
                <w:color w:val="000000"/>
                <w:sz w:val="18"/>
                <w:szCs w:val="18"/>
                <w:u w:val="none"/>
                <w:lang w:bidi="ar-SA"/>
              </w:rPr>
            </w:pPr>
            <w:r>
              <w:rPr>
                <w:rFonts w:hint="eastAsia" w:ascii="宋体" w:cs="宋体"/>
                <w:color w:val="000000"/>
                <w:sz w:val="18"/>
                <w:szCs w:val="18"/>
                <w:u w:val="none"/>
                <w:lang w:val="en-US" w:eastAsia="zh-CN" w:bidi="ar-SA"/>
              </w:rPr>
              <w:t>根据改建项目工程进度支付工程款。</w:t>
            </w: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691.79</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691.79</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463.54</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67.01%</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指标性质</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指标值</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产出指标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纪念设施改造面积</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12128</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平方米</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12128</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13</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13</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质量指标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纪念设施改造完成度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80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13</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11</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r>
              <w:rPr>
                <w:rFonts w:hint="eastAsia" w:ascii="宋体" w:cs="宋体"/>
                <w:color w:val="000000"/>
                <w:sz w:val="18"/>
                <w:szCs w:val="18"/>
                <w:u w:val="none"/>
                <w:lang w:val="en-US" w:eastAsia="zh-CN" w:bidi="ar-SA"/>
              </w:rPr>
              <w:t>根据改建项目工程进度支付工程款。</w:t>
            </w: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时效指标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完成时间</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年</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12</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11</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r>
              <w:rPr>
                <w:rFonts w:hint="eastAsia" w:ascii="宋体" w:cs="宋体"/>
                <w:color w:val="000000"/>
                <w:sz w:val="18"/>
                <w:szCs w:val="18"/>
                <w:u w:val="none"/>
                <w:lang w:val="en-US" w:eastAsia="zh-CN" w:bidi="ar-SA"/>
              </w:rPr>
              <w:t>根据改建项目工程进度支付工程款。</w:t>
            </w: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成本指标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cs="宋体"/>
                <w:color w:val="000000"/>
                <w:sz w:val="18"/>
                <w:szCs w:val="18"/>
                <w:u w:val="none"/>
                <w:lang w:eastAsia="zh-CN" w:bidi="ar-SA"/>
              </w:rPr>
            </w:pPr>
            <w:r>
              <w:rPr>
                <w:rFonts w:hint="eastAsia" w:ascii="宋体" w:cs="宋体"/>
                <w:color w:val="000000"/>
                <w:sz w:val="18"/>
                <w:szCs w:val="18"/>
                <w:u w:val="none"/>
                <w:lang w:eastAsia="zh-CN" w:bidi="ar-SA"/>
              </w:rPr>
              <w:t>经济成本指标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cs="宋体"/>
                <w:color w:val="000000"/>
                <w:sz w:val="18"/>
                <w:szCs w:val="18"/>
                <w:u w:val="none"/>
                <w:lang w:eastAsia="zh-CN" w:bidi="ar-SA"/>
              </w:rPr>
            </w:pPr>
            <w:r>
              <w:rPr>
                <w:rFonts w:hint="eastAsia" w:ascii="宋体" w:cs="宋体"/>
                <w:color w:val="000000"/>
                <w:sz w:val="18"/>
                <w:szCs w:val="18"/>
                <w:u w:val="none"/>
                <w:lang w:eastAsia="zh-CN" w:bidi="ar-SA"/>
              </w:rPr>
              <w:t>项目支付金额</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cs="宋体"/>
                <w:color w:val="000000"/>
                <w:sz w:val="18"/>
                <w:szCs w:val="18"/>
                <w:u w:val="none"/>
                <w:lang w:val="en-US" w:eastAsia="zh-CN" w:bidi="ar-SA"/>
              </w:rPr>
            </w:pPr>
            <w:r>
              <w:rPr>
                <w:rFonts w:hint="eastAsia" w:ascii="宋体" w:cs="宋体"/>
                <w:color w:val="000000"/>
                <w:sz w:val="18"/>
                <w:szCs w:val="18"/>
                <w:u w:val="none"/>
                <w:lang w:val="en-US" w:eastAsia="zh-CN" w:bidi="ar-SA"/>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kern w:val="2"/>
                <w:sz w:val="18"/>
                <w:szCs w:val="18"/>
                <w:u w:val="none"/>
                <w:lang w:val="en-US" w:eastAsia="zh-CN" w:bidi="ar-SA"/>
              </w:rPr>
            </w:pPr>
            <w:r>
              <w:rPr>
                <w:rFonts w:hint="eastAsia" w:ascii="宋体" w:cs="宋体"/>
                <w:color w:val="000000"/>
                <w:sz w:val="18"/>
                <w:szCs w:val="18"/>
                <w:u w:val="none"/>
                <w:lang w:val="en-US" w:eastAsia="zh-CN" w:bidi="ar-SA"/>
              </w:rPr>
              <w:t>691.79</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kern w:val="2"/>
                <w:sz w:val="18"/>
                <w:szCs w:val="18"/>
                <w:u w:val="none"/>
                <w:lang w:val="en-US" w:eastAsia="zh-CN" w:bidi="ar-SA"/>
              </w:rPr>
            </w:pPr>
            <w:r>
              <w:rPr>
                <w:rFonts w:hint="eastAsia" w:ascii="宋体" w:cs="宋体"/>
                <w:color w:val="000000"/>
                <w:sz w:val="18"/>
                <w:szCs w:val="18"/>
                <w:u w:val="none"/>
                <w:lang w:val="en-US" w:eastAsia="zh-CN" w:bidi="ar-SA"/>
              </w:rPr>
              <w:t>万元</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463.54</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cs="宋体"/>
                <w:color w:val="000000"/>
                <w:sz w:val="18"/>
                <w:szCs w:val="18"/>
                <w:u w:val="none"/>
                <w:lang w:val="en-US" w:eastAsia="zh-CN" w:bidi="ar-SA"/>
              </w:rPr>
            </w:pPr>
            <w:r>
              <w:rPr>
                <w:rFonts w:hint="eastAsia" w:ascii="宋体" w:cs="宋体"/>
                <w:color w:val="000000"/>
                <w:sz w:val="18"/>
                <w:szCs w:val="18"/>
                <w:u w:val="none"/>
                <w:lang w:val="en-US" w:eastAsia="zh-CN" w:bidi="ar-SA"/>
              </w:rPr>
              <w:t>12</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cs="宋体"/>
                <w:color w:val="000000"/>
                <w:sz w:val="18"/>
                <w:szCs w:val="18"/>
                <w:u w:val="none"/>
                <w:lang w:val="en-US" w:eastAsia="zh-CN" w:bidi="ar-SA"/>
              </w:rPr>
            </w:pPr>
            <w:r>
              <w:rPr>
                <w:rFonts w:hint="eastAsia" w:ascii="宋体" w:cs="宋体"/>
                <w:color w:val="000000"/>
                <w:sz w:val="18"/>
                <w:szCs w:val="18"/>
                <w:u w:val="none"/>
                <w:lang w:val="en-US" w:eastAsia="zh-CN" w:bidi="ar-SA"/>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r>
              <w:rPr>
                <w:rFonts w:hint="eastAsia" w:ascii="宋体" w:cs="宋体"/>
                <w:color w:val="000000"/>
                <w:sz w:val="18"/>
                <w:szCs w:val="18"/>
                <w:u w:val="none"/>
                <w:lang w:val="en-US" w:eastAsia="zh-CN" w:bidi="ar-SA"/>
              </w:rPr>
              <w:t>根据改建项目工程进度支付工程款。</w:t>
            </w: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效益指标</w:t>
            </w:r>
          </w:p>
        </w:tc>
        <w:tc>
          <w:tcPr>
            <w:tcW w:w="95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社会效益指标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bidi="ar-SA"/>
              </w:rPr>
            </w:pPr>
            <w:r>
              <w:rPr>
                <w:rFonts w:hint="eastAsia" w:ascii="宋体" w:eastAsia="宋体" w:cs="宋体"/>
                <w:color w:val="000000"/>
                <w:sz w:val="18"/>
                <w:szCs w:val="18"/>
                <w:u w:val="none"/>
                <w:lang w:bidi="ar-SA"/>
              </w:rPr>
              <w:t>对保护烈士纪念设施的促进作用</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定性</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优良中低差</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eastAsia="zh-CN" w:bidi="ar-SA"/>
              </w:rPr>
            </w:pPr>
            <w:r>
              <w:rPr>
                <w:rFonts w:hint="eastAsia" w:ascii="微软雅黑" w:eastAsia="微软雅黑" w:cs="微软雅黑"/>
                <w:i/>
                <w:iCs/>
                <w:color w:val="000000"/>
                <w:sz w:val="16"/>
                <w:szCs w:val="16"/>
                <w:u w:val="none"/>
                <w:lang w:eastAsia="zh-CN" w:bidi="ar-SA"/>
              </w:rPr>
              <w:t>优</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left w:val="single" w:color="000000" w:sz="4" w:space="0"/>
              <w:bottom w:val="single" w:color="000000" w:sz="4" w:space="0"/>
              <w:right w:val="single" w:color="000000" w:sz="4" w:space="0"/>
            </w:tcBorders>
            <w:noWrap w:val="0"/>
            <w:vAlign w:val="center"/>
          </w:tcPr>
          <w:p/>
        </w:tc>
        <w:tc>
          <w:tcPr>
            <w:tcW w:w="95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bidi="ar-SA"/>
              </w:rPr>
            </w:pPr>
            <w:r>
              <w:rPr>
                <w:rFonts w:hint="eastAsia" w:ascii="宋体" w:eastAsia="宋体" w:cs="宋体"/>
                <w:color w:val="000000"/>
                <w:sz w:val="18"/>
                <w:szCs w:val="18"/>
                <w:u w:val="none"/>
                <w:lang w:bidi="ar-SA"/>
              </w:rPr>
              <w:t>对传承英烈精神的促进作用</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kern w:val="2"/>
                <w:sz w:val="18"/>
                <w:szCs w:val="18"/>
                <w:u w:val="none"/>
                <w:lang w:val="en-US" w:eastAsia="zh-CN" w:bidi="ar-SA"/>
              </w:rPr>
            </w:pPr>
            <w:r>
              <w:rPr>
                <w:rFonts w:hint="eastAsia" w:ascii="宋体" w:cs="宋体"/>
                <w:color w:val="000000"/>
                <w:sz w:val="18"/>
                <w:szCs w:val="18"/>
                <w:u w:val="none"/>
                <w:lang w:val="en-US" w:eastAsia="zh-CN" w:bidi="ar-SA"/>
              </w:rPr>
              <w:t>定性</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kern w:val="2"/>
                <w:sz w:val="18"/>
                <w:szCs w:val="18"/>
                <w:u w:val="none"/>
                <w:lang w:val="en-US" w:eastAsia="zh-CN" w:bidi="ar-SA"/>
              </w:rPr>
            </w:pPr>
            <w:r>
              <w:rPr>
                <w:rFonts w:hint="eastAsia" w:ascii="宋体" w:cs="宋体"/>
                <w:color w:val="000000"/>
                <w:sz w:val="18"/>
                <w:szCs w:val="18"/>
                <w:u w:val="none"/>
                <w:lang w:eastAsia="zh-CN" w:bidi="ar-SA"/>
              </w:rPr>
              <w:t>优良中低差</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kern w:val="2"/>
                <w:sz w:val="18"/>
                <w:szCs w:val="18"/>
                <w:u w:val="none"/>
                <w:lang w:val="en-US" w:eastAsia="zh-CN"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kern w:val="2"/>
                <w:sz w:val="16"/>
                <w:szCs w:val="16"/>
                <w:u w:val="none"/>
                <w:lang w:val="en-US" w:eastAsia="zh-CN" w:bidi="ar-SA"/>
              </w:rPr>
            </w:pPr>
            <w:r>
              <w:rPr>
                <w:rFonts w:hint="eastAsia" w:ascii="微软雅黑" w:eastAsia="微软雅黑" w:cs="微软雅黑"/>
                <w:i/>
                <w:iCs/>
                <w:color w:val="000000"/>
                <w:sz w:val="16"/>
                <w:szCs w:val="16"/>
                <w:u w:val="none"/>
                <w:lang w:eastAsia="zh-CN" w:bidi="ar-SA"/>
              </w:rPr>
              <w:t>优</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kern w:val="2"/>
                <w:sz w:val="18"/>
                <w:szCs w:val="18"/>
                <w:u w:val="none"/>
                <w:lang w:val="en-US" w:eastAsia="zh-CN" w:bidi="ar-SA"/>
              </w:rPr>
            </w:pPr>
            <w:r>
              <w:rPr>
                <w:rFonts w:hint="eastAsia" w:ascii="宋体" w:cs="宋体"/>
                <w:color w:val="000000"/>
                <w:sz w:val="18"/>
                <w:szCs w:val="18"/>
                <w:u w:val="none"/>
                <w:lang w:val="en-US" w:eastAsia="zh-CN" w:bidi="ar-SA"/>
              </w:rPr>
              <w:t>15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kern w:val="2"/>
                <w:sz w:val="18"/>
                <w:szCs w:val="18"/>
                <w:u w:val="none"/>
                <w:lang w:val="en-US" w:eastAsia="zh-CN" w:bidi="ar-SA"/>
              </w:rPr>
            </w:pPr>
            <w:r>
              <w:rPr>
                <w:rFonts w:hint="eastAsia" w:ascii="宋体" w:cs="宋体"/>
                <w:color w:val="000000"/>
                <w:sz w:val="18"/>
                <w:szCs w:val="18"/>
                <w:u w:val="none"/>
                <w:lang w:val="en-US" w:eastAsia="zh-CN" w:bidi="ar-SA"/>
              </w:rPr>
              <w:t>15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满意度指标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服务对象满意度指标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群众对烈士纪念设施保护管理满意度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98</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98</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合计</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6182" w:type="dxa"/>
            <w:gridSpan w:val="3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ind w:left="1530" w:hanging="1530" w:hangingChars="850"/>
              <w:jc w:val="righ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 xml:space="preserve">                                                                                            91</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0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评价结论</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cs="宋体"/>
                <w:color w:val="000000"/>
                <w:sz w:val="18"/>
                <w:szCs w:val="18"/>
                <w:u w:val="none"/>
                <w:lang w:eastAsia="zh-CN" w:bidi="ar-SA"/>
              </w:rPr>
            </w:pPr>
            <w:r>
              <w:rPr>
                <w:rFonts w:hint="eastAsia" w:ascii="宋体" w:cs="宋体"/>
                <w:color w:val="000000"/>
                <w:sz w:val="18"/>
                <w:szCs w:val="18"/>
                <w:u w:val="none"/>
                <w:lang w:val="en-US" w:eastAsia="zh-CN" w:bidi="ar-SA"/>
              </w:rPr>
              <w:t>结合自评情况，项目自评总分91，完成了纪念碑、悼念广场的改造，新建了烈士墓及英名墙。通过项目实施，更好地继承先烈遗志，传承英烈精神。群众对烈士陵园工作满意度达到98%以上。</w:t>
            </w:r>
          </w:p>
        </w:tc>
      </w:tr>
      <w:tr>
        <w:tblPrEx>
          <w:tblCellMar>
            <w:top w:w="0" w:type="dxa"/>
            <w:left w:w="108" w:type="dxa"/>
            <w:bottom w:w="0" w:type="dxa"/>
            <w:right w:w="108" w:type="dxa"/>
          </w:tblCellMar>
        </w:tblPrEx>
        <w:trPr>
          <w:gridBefore w:val="1"/>
          <w:gridAfter w:val="3"/>
          <w:wBefore w:w="216" w:type="dxa"/>
          <w:wAfter w:w="84" w:type="dxa"/>
          <w:trHeight w:val="572"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存在问题</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cs="宋体"/>
                <w:color w:val="000000"/>
                <w:sz w:val="18"/>
                <w:szCs w:val="18"/>
                <w:u w:val="none"/>
                <w:lang w:eastAsia="zh-CN" w:bidi="ar-SA"/>
              </w:rPr>
            </w:pPr>
            <w:r>
              <w:rPr>
                <w:rFonts w:hint="eastAsia" w:ascii="宋体" w:cs="宋体"/>
                <w:color w:val="000000"/>
                <w:sz w:val="18"/>
                <w:szCs w:val="18"/>
                <w:u w:val="none"/>
                <w:lang w:val="en-US" w:eastAsia="zh-CN" w:bidi="ar-SA"/>
              </w:rPr>
              <w:t>项目统筹协调有待加强。在预算执行方面，资金使用进度较慢，没有较好地统一预算执行进度，资金使用效益有待进一步提高。</w:t>
            </w:r>
          </w:p>
        </w:tc>
      </w:tr>
      <w:tr>
        <w:tblPrEx>
          <w:tblCellMar>
            <w:top w:w="0" w:type="dxa"/>
            <w:left w:w="108" w:type="dxa"/>
            <w:bottom w:w="0" w:type="dxa"/>
            <w:right w:w="108" w:type="dxa"/>
          </w:tblCellMar>
        </w:tblPrEx>
        <w:trPr>
          <w:gridBefore w:val="1"/>
          <w:gridAfter w:val="3"/>
          <w:wBefore w:w="216" w:type="dxa"/>
          <w:wAfter w:w="84" w:type="dxa"/>
          <w:trHeight w:val="63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改进措施</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cs="宋体"/>
                <w:color w:val="000000"/>
                <w:sz w:val="18"/>
                <w:szCs w:val="18"/>
                <w:u w:val="none"/>
                <w:lang w:eastAsia="zh-CN" w:bidi="ar-SA"/>
              </w:rPr>
            </w:pPr>
            <w:r>
              <w:rPr>
                <w:rFonts w:hint="eastAsia" w:ascii="宋体" w:cs="宋体"/>
                <w:color w:val="000000"/>
                <w:sz w:val="18"/>
                <w:szCs w:val="18"/>
                <w:u w:val="none"/>
                <w:lang w:val="en-US" w:eastAsia="zh-CN" w:bidi="ar-SA"/>
              </w:rPr>
              <w:t>在预算编制时参考上年度的预算编制、收支执行情况及根据本年度重点工作，细化编制预算，提高预算编制的科学性、严谨性和可控性。在上年支出基础上，结合实际，合理制定全年部门整体支出计划，为部门整体支出提供依据。严格按照计划执行，在保证资金使用安全前提下，加快资金使用进度，提高财政资金使用效益，有效提高我单位的整体支出率。定期开展资金支出进度自查，查找存在问题，及时反馈解决。</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项目负责人：</w:t>
            </w:r>
            <w:r>
              <w:rPr>
                <w:rFonts w:hint="eastAsia" w:ascii="黑体" w:hAnsi="黑体" w:eastAsia="黑体" w:cs="黑体"/>
                <w:color w:val="000000"/>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财务负责人：</w:t>
            </w:r>
            <w:r>
              <w:rPr>
                <w:rFonts w:hint="eastAsia" w:ascii="黑体" w:hAnsi="黑体" w:eastAsia="黑体" w:cs="黑体"/>
                <w:color w:val="000000"/>
                <w:kern w:val="0"/>
                <w:sz w:val="18"/>
                <w:szCs w:val="18"/>
                <w:u w:val="none"/>
                <w:lang w:val="en-US" w:eastAsia="zh-CN" w:bidi="ar"/>
              </w:rPr>
              <w:t>毕波</w:t>
            </w: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000000"/>
                <w:sz w:val="30"/>
                <w:szCs w:val="30"/>
                <w:u w:val="none"/>
                <w:lang w:bidi="ar-SA"/>
              </w:rPr>
            </w:pPr>
            <w:r>
              <w:rPr>
                <w:rFonts w:hint="eastAsia" w:ascii="黑体" w:eastAsia="黑体" w:cs="黑体"/>
                <w:b/>
                <w:bCs/>
                <w:color w:val="000000"/>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51080022T000005638225-市烈士陵园陈列馆综合楼展陈项目（陈列馆）</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主管部门</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广元市退役军人事务局部门</w:t>
            </w:r>
          </w:p>
        </w:tc>
        <w:tc>
          <w:tcPr>
            <w:tcW w:w="4544" w:type="dxa"/>
            <w:gridSpan w:val="26"/>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p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p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bidi="ar-SA"/>
              </w:rPr>
            </w:pPr>
            <w:r>
              <w:rPr>
                <w:rFonts w:hint="eastAsia" w:ascii="宋体" w:eastAsia="宋体" w:cs="宋体"/>
                <w:color w:val="000000"/>
                <w:sz w:val="18"/>
                <w:szCs w:val="18"/>
                <w:u w:val="none"/>
                <w:lang w:bidi="ar-SA"/>
              </w:rPr>
              <w:t>完成市烈士陵园陈列馆展陈布展。</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黑体" w:hAnsi="黑体" w:eastAsia="黑体" w:cs="黑体"/>
                <w:color w:val="000000"/>
                <w:sz w:val="18"/>
                <w:szCs w:val="18"/>
                <w:u w:val="none"/>
                <w:lang w:bidi="ar-SA"/>
              </w:rPr>
            </w:pPr>
            <w:r>
              <w:rPr>
                <w:rFonts w:hint="default" w:ascii="宋体" w:eastAsia="宋体" w:cs="宋体"/>
                <w:color w:val="000000"/>
                <w:sz w:val="18"/>
                <w:szCs w:val="18"/>
                <w:u w:val="none"/>
                <w:lang w:val="en-US" w:eastAsia="zh-CN" w:bidi="ar-SA"/>
              </w:rPr>
              <w:t>完成市烈士陵园陈列馆展陈布展。</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通过政府采购进行陈列馆展陈布展工作，根据合同约定支付合同款。</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114.26</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114.26</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101.77</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89.07%</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9</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黑体" w:hAnsi="黑体" w:eastAsia="黑体" w:cs="黑体"/>
                <w:i/>
                <w:iCs/>
                <w:color w:val="000000"/>
                <w:sz w:val="18"/>
                <w:szCs w:val="18"/>
                <w:u w:val="none"/>
                <w:lang w:bidi="ar-SA"/>
              </w:rPr>
            </w:pPr>
            <w:r>
              <w:rPr>
                <w:rFonts w:hint="eastAsia" w:ascii="宋体" w:eastAsia="宋体" w:cs="宋体"/>
                <w:color w:val="000000"/>
                <w:sz w:val="18"/>
                <w:szCs w:val="18"/>
                <w:u w:val="none"/>
                <w:lang w:val="en-US" w:eastAsia="zh-CN" w:bidi="ar-SA"/>
              </w:rPr>
              <w:t>按合同约定支付费用，剩余部分待2年质保期满后支付。</w:t>
            </w: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114.26</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114.26</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101.77</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89.07%</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p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p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p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p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指标性质</w:t>
            </w:r>
          </w:p>
        </w:tc>
        <w:tc>
          <w:tcPr>
            <w:tcW w:w="4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指标值</w:t>
            </w:r>
          </w:p>
        </w:tc>
        <w:tc>
          <w:tcPr>
            <w:tcW w:w="7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pP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产出指标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展陈布展服务</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w:t>
            </w:r>
          </w:p>
        </w:tc>
        <w:tc>
          <w:tcPr>
            <w:tcW w:w="4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w:t>
            </w:r>
          </w:p>
        </w:tc>
        <w:tc>
          <w:tcPr>
            <w:tcW w:w="7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批</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p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p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质量指标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项目按期完成度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w:t>
            </w:r>
          </w:p>
        </w:tc>
        <w:tc>
          <w:tcPr>
            <w:tcW w:w="4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100</w:t>
            </w:r>
          </w:p>
        </w:tc>
        <w:tc>
          <w:tcPr>
            <w:tcW w:w="7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p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p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时效指标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完成时间</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w:t>
            </w:r>
          </w:p>
        </w:tc>
        <w:tc>
          <w:tcPr>
            <w:tcW w:w="4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w:t>
            </w:r>
          </w:p>
        </w:tc>
        <w:tc>
          <w:tcPr>
            <w:tcW w:w="7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年</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成本指标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经济成本指标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展陈布展服务</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w:t>
            </w:r>
          </w:p>
        </w:tc>
        <w:tc>
          <w:tcPr>
            <w:tcW w:w="4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114.26</w:t>
            </w:r>
          </w:p>
        </w:tc>
        <w:tc>
          <w:tcPr>
            <w:tcW w:w="7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万元</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101.77</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9</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r>
              <w:rPr>
                <w:rFonts w:hint="eastAsia" w:ascii="宋体" w:eastAsia="宋体" w:cs="宋体"/>
                <w:color w:val="000000"/>
                <w:sz w:val="18"/>
                <w:szCs w:val="18"/>
                <w:u w:val="none"/>
                <w:lang w:val="en-US" w:eastAsia="zh-CN" w:bidi="ar-SA"/>
              </w:rPr>
              <w:t>按合同约定支付费用，剩余部分待2年质保期满后支付。</w:t>
            </w: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pPr>
          </w:p>
        </w:tc>
        <w:tc>
          <w:tcPr>
            <w:tcW w:w="938" w:type="dxa"/>
            <w:gridSpan w:val="4"/>
            <w:tcBorders>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效益指标</w:t>
            </w:r>
          </w:p>
        </w:tc>
        <w:tc>
          <w:tcPr>
            <w:tcW w:w="958" w:type="dxa"/>
            <w:gridSpan w:val="4"/>
            <w:tcBorders>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社会效益指标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bidi="ar-SA"/>
              </w:rPr>
            </w:pPr>
            <w:r>
              <w:rPr>
                <w:rFonts w:hint="eastAsia" w:ascii="宋体" w:eastAsia="宋体" w:cs="宋体"/>
                <w:color w:val="000000"/>
                <w:sz w:val="18"/>
                <w:szCs w:val="18"/>
                <w:u w:val="none"/>
                <w:lang w:bidi="ar-SA"/>
              </w:rPr>
              <w:t>对传承英烈精神的促进作用</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kern w:val="2"/>
                <w:sz w:val="18"/>
                <w:szCs w:val="18"/>
                <w:u w:val="none"/>
                <w:lang w:val="en-US" w:eastAsia="zh-CN" w:bidi="ar-SA"/>
              </w:rPr>
            </w:pPr>
            <w:r>
              <w:rPr>
                <w:rFonts w:hint="eastAsia" w:ascii="宋体" w:cs="宋体"/>
                <w:color w:val="000000"/>
                <w:sz w:val="18"/>
                <w:szCs w:val="18"/>
                <w:u w:val="none"/>
                <w:lang w:eastAsia="zh-CN" w:bidi="ar-SA"/>
              </w:rPr>
              <w:t>定性</w:t>
            </w:r>
          </w:p>
        </w:tc>
        <w:tc>
          <w:tcPr>
            <w:tcW w:w="4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kern w:val="2"/>
                <w:sz w:val="18"/>
                <w:szCs w:val="18"/>
                <w:u w:val="none"/>
                <w:lang w:val="en-US" w:eastAsia="zh-CN" w:bidi="ar-SA"/>
              </w:rPr>
            </w:pPr>
            <w:r>
              <w:rPr>
                <w:rFonts w:hint="eastAsia" w:ascii="宋体" w:cs="宋体"/>
                <w:color w:val="000000"/>
                <w:sz w:val="18"/>
                <w:szCs w:val="18"/>
                <w:u w:val="none"/>
                <w:lang w:eastAsia="zh-CN" w:bidi="ar-SA"/>
              </w:rPr>
              <w:t>优良中低差</w:t>
            </w:r>
          </w:p>
        </w:tc>
        <w:tc>
          <w:tcPr>
            <w:tcW w:w="7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kern w:val="2"/>
                <w:sz w:val="18"/>
                <w:szCs w:val="18"/>
                <w:u w:val="none"/>
                <w:lang w:val="en-US" w:eastAsia="zh-CN"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kern w:val="2"/>
                <w:sz w:val="16"/>
                <w:szCs w:val="16"/>
                <w:u w:val="none"/>
                <w:lang w:val="en-US" w:eastAsia="zh-CN" w:bidi="ar-SA"/>
              </w:rPr>
            </w:pPr>
            <w:r>
              <w:rPr>
                <w:rFonts w:hint="eastAsia" w:ascii="微软雅黑" w:eastAsia="微软雅黑" w:cs="微软雅黑"/>
                <w:i/>
                <w:iCs/>
                <w:color w:val="000000"/>
                <w:sz w:val="16"/>
                <w:szCs w:val="16"/>
                <w:u w:val="none"/>
                <w:lang w:eastAsia="zh-CN" w:bidi="ar-SA"/>
              </w:rPr>
              <w:t>优</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kern w:val="2"/>
                <w:sz w:val="18"/>
                <w:szCs w:val="18"/>
                <w:u w:val="none"/>
                <w:lang w:val="en-US" w:eastAsia="zh-CN" w:bidi="ar-SA"/>
              </w:rPr>
            </w:pPr>
            <w:r>
              <w:rPr>
                <w:rFonts w:hint="eastAsia" w:ascii="宋体" w:cs="宋体"/>
                <w:color w:val="000000"/>
                <w:sz w:val="18"/>
                <w:szCs w:val="18"/>
                <w:u w:val="none"/>
                <w:lang w:val="en-US" w:eastAsia="zh-CN" w:bidi="ar-SA"/>
              </w:rPr>
              <w:t>15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kern w:val="2"/>
                <w:sz w:val="18"/>
                <w:szCs w:val="18"/>
                <w:u w:val="none"/>
                <w:lang w:val="en-US" w:eastAsia="zh-CN" w:bidi="ar-SA"/>
              </w:rPr>
            </w:pPr>
            <w:r>
              <w:rPr>
                <w:rFonts w:hint="eastAsia" w:ascii="宋体" w:cs="宋体"/>
                <w:color w:val="000000"/>
                <w:sz w:val="18"/>
                <w:szCs w:val="18"/>
                <w:u w:val="none"/>
                <w:lang w:val="en-US" w:eastAsia="zh-CN" w:bidi="ar-SA"/>
              </w:rPr>
              <w:t>30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满意度指标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服务对象满意度指标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群众对烈士陵园工作的满意度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w:t>
            </w:r>
          </w:p>
        </w:tc>
        <w:tc>
          <w:tcPr>
            <w:tcW w:w="4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98</w:t>
            </w:r>
          </w:p>
        </w:tc>
        <w:tc>
          <w:tcPr>
            <w:tcW w:w="7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98</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合计</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6182" w:type="dxa"/>
            <w:gridSpan w:val="3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righ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 xml:space="preserve">                                                                     98</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0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评价结论</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微软雅黑" w:eastAsia="微软雅黑" w:cs="微软雅黑"/>
                <w:i/>
                <w:iCs/>
                <w:color w:val="000000"/>
                <w:sz w:val="16"/>
                <w:szCs w:val="16"/>
                <w:u w:val="none"/>
                <w:lang w:bidi="ar-SA"/>
              </w:rPr>
            </w:pPr>
            <w:r>
              <w:rPr>
                <w:rFonts w:hint="eastAsia" w:ascii="宋体" w:cs="宋体"/>
                <w:color w:val="000000"/>
                <w:sz w:val="18"/>
                <w:szCs w:val="18"/>
                <w:u w:val="none"/>
                <w:lang w:val="en-US" w:eastAsia="zh-CN" w:bidi="ar-SA"/>
              </w:rPr>
              <w:t>结合自评情况，项目自评总分98，完成了烈士陵园陈列馆的展陈布展。通过项目实施，更好地继承先烈遗志，传承英烈精神。群众对烈士陵园工作满意度达到98%以上。</w:t>
            </w:r>
          </w:p>
        </w:tc>
      </w:tr>
      <w:tr>
        <w:tblPrEx>
          <w:tblCellMar>
            <w:top w:w="0" w:type="dxa"/>
            <w:left w:w="108" w:type="dxa"/>
            <w:bottom w:w="0" w:type="dxa"/>
            <w:right w:w="108" w:type="dxa"/>
          </w:tblCellMar>
        </w:tblPrEx>
        <w:trPr>
          <w:gridBefore w:val="1"/>
          <w:gridAfter w:val="3"/>
          <w:wBefore w:w="216" w:type="dxa"/>
          <w:wAfter w:w="84" w:type="dxa"/>
          <w:trHeight w:val="572"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存在问题</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r>
              <w:rPr>
                <w:rFonts w:hint="eastAsia" w:ascii="宋体" w:cs="宋体"/>
                <w:color w:val="000000"/>
                <w:sz w:val="18"/>
                <w:szCs w:val="18"/>
                <w:u w:val="none"/>
                <w:lang w:val="en-US" w:eastAsia="zh-CN" w:bidi="ar-SA"/>
              </w:rPr>
              <w:t>项目统筹协调有待加强。在预算执行方面，资金使用进度较慢，没有较好地统一预算执行进度，资金使用效益有待进一步提高。</w:t>
            </w:r>
          </w:p>
        </w:tc>
      </w:tr>
      <w:tr>
        <w:tblPrEx>
          <w:tblCellMar>
            <w:top w:w="0" w:type="dxa"/>
            <w:left w:w="108" w:type="dxa"/>
            <w:bottom w:w="0" w:type="dxa"/>
            <w:right w:w="108" w:type="dxa"/>
          </w:tblCellMar>
        </w:tblPrEx>
        <w:trPr>
          <w:gridBefore w:val="1"/>
          <w:gridAfter w:val="3"/>
          <w:wBefore w:w="216" w:type="dxa"/>
          <w:wAfter w:w="84" w:type="dxa"/>
          <w:trHeight w:val="63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改进措施</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r>
              <w:rPr>
                <w:rFonts w:hint="eastAsia" w:ascii="宋体" w:cs="宋体"/>
                <w:color w:val="000000"/>
                <w:sz w:val="18"/>
                <w:szCs w:val="18"/>
                <w:u w:val="none"/>
                <w:lang w:val="en-US" w:eastAsia="zh-CN" w:bidi="ar-SA"/>
              </w:rPr>
              <w:t>在预算编制时参考上年度的预算编制、收支执行情况及根据本年度重点工作，细化编制预算，提高预算编制的科学性、严谨性和可控性。在上年支出基础上，结合实际，合理制定全年部门整体支出计划，为部门整体支出提供依据。严格按照计划执行，在保证资金使用安全前提下，加快资金使用进度，提高财政资金使用效益，有效提高我单位的整体支出率。定期开展资金支出进度自查，查找存在问题，及时反馈解决。</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项目负责人：</w:t>
            </w:r>
            <w:r>
              <w:rPr>
                <w:rFonts w:hint="eastAsia" w:ascii="黑体" w:hAnsi="黑体" w:eastAsia="黑体" w:cs="黑体"/>
                <w:color w:val="000000"/>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财务负责人：</w:t>
            </w:r>
            <w:r>
              <w:rPr>
                <w:rFonts w:hint="eastAsia" w:ascii="黑体" w:hAnsi="黑体" w:eastAsia="黑体" w:cs="黑体"/>
                <w:color w:val="000000"/>
                <w:kern w:val="0"/>
                <w:sz w:val="18"/>
                <w:szCs w:val="18"/>
                <w:u w:val="none"/>
                <w:lang w:val="en-US" w:eastAsia="zh-CN" w:bidi="ar"/>
              </w:rPr>
              <w:t>毕波</w:t>
            </w: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000000"/>
                <w:sz w:val="30"/>
                <w:szCs w:val="30"/>
                <w:u w:val="none"/>
                <w:lang w:bidi="ar-SA"/>
              </w:rPr>
            </w:pPr>
            <w:r>
              <w:rPr>
                <w:rFonts w:hint="eastAsia" w:ascii="黑体" w:eastAsia="黑体" w:cs="黑体"/>
                <w:b/>
                <w:bCs/>
                <w:color w:val="000000"/>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51080022T000005638505-机关事业单位基本养老保险缴费</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主管部门</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广元市退役军人事务局部门</w:t>
            </w:r>
          </w:p>
        </w:tc>
        <w:tc>
          <w:tcPr>
            <w:tcW w:w="4544" w:type="dxa"/>
            <w:gridSpan w:val="26"/>
            <w:tcBorders>
              <w:top w:val="nil"/>
              <w:left w:val="nil"/>
              <w:bottom w:val="nil"/>
              <w:right w:val="nil"/>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right w:val="single" w:color="000000" w:sz="4" w:space="0"/>
            </w:tcBorders>
            <w:noWrap w:val="0"/>
            <w:vAlign w:val="center"/>
          </w:tc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按时、足额缴纳职工基本养老保险。</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eastAsia" w:ascii="宋体" w:cs="宋体"/>
                <w:color w:val="000000"/>
                <w:sz w:val="18"/>
                <w:szCs w:val="18"/>
                <w:u w:val="none"/>
                <w:lang w:eastAsia="zh-CN" w:bidi="ar-SA"/>
              </w:rPr>
              <w:t>按时、足额缴纳职工基本养老保险。</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eastAsia="宋体" w:cs="宋体"/>
                <w:color w:val="000000"/>
                <w:sz w:val="18"/>
                <w:szCs w:val="18"/>
                <w:u w:val="none"/>
                <w:lang w:bidi="ar-SA"/>
              </w:rPr>
            </w:pPr>
            <w:r>
              <w:rPr>
                <w:rFonts w:hint="eastAsia" w:ascii="宋体" w:cs="宋体"/>
                <w:color w:val="000000"/>
                <w:sz w:val="18"/>
                <w:szCs w:val="18"/>
                <w:u w:val="none"/>
                <w:lang w:eastAsia="zh-CN" w:bidi="ar-SA"/>
              </w:rPr>
              <w:t>按时、足额缴纳职工基本养老保险。</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1.15</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1.15</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1.15</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10</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i/>
                <w:iCs/>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1.15</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1.15</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1.15</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指标性质</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指标值</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51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产出指标</w:t>
            </w:r>
          </w:p>
        </w:tc>
        <w:tc>
          <w:tcPr>
            <w:tcW w:w="95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足额保障率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51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科目调整次数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次</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sz w:val="16"/>
                <w:szCs w:val="16"/>
                <w:u w:val="none"/>
                <w:lang w:bidi="ar-SA"/>
              </w:rPr>
              <w:t>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bidi="ar-SA"/>
              </w:rPr>
            </w:pPr>
            <w:r>
              <w:rPr>
                <w:rFonts w:hint="eastAsia" w:ascii="宋体" w:eastAsia="宋体" w:cs="宋体"/>
                <w:color w:val="000000"/>
                <w:sz w:val="18"/>
                <w:szCs w:val="18"/>
                <w:u w:val="none"/>
                <w:lang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51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时效指标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按时缴纳率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131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效益指标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经济效益指标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结余率（计算方法为：结余数/预算数）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sz w:val="16"/>
                <w:szCs w:val="16"/>
                <w:u w:val="none"/>
                <w:lang w:bidi="ar-SA"/>
              </w:rPr>
              <w:t>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bidi="ar-SA"/>
              </w:rPr>
            </w:pPr>
            <w:r>
              <w:rPr>
                <w:rFonts w:hint="eastAsia" w:ascii="宋体" w:eastAsia="宋体" w:cs="宋体"/>
                <w:color w:val="000000"/>
                <w:sz w:val="18"/>
                <w:szCs w:val="18"/>
                <w:u w:val="none"/>
                <w:lang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合计</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6182" w:type="dxa"/>
            <w:gridSpan w:val="31"/>
            <w:tcBorders>
              <w:top w:val="single" w:color="000000" w:sz="4" w:space="0"/>
              <w:left w:val="single" w:color="000000" w:sz="4" w:space="0"/>
              <w:bottom w:val="single" w:color="000000" w:sz="4" w:space="0"/>
              <w:right w:val="single" w:color="000000" w:sz="4" w:space="0"/>
            </w:tcBorders>
            <w:noWrap w:val="0"/>
            <w:vAlign w:val="center"/>
          </w:tcPr>
          <w:p>
            <w:pPr>
              <w:jc w:val="right"/>
              <w:rPr>
                <w:rFonts w:hint="eastAsia" w:ascii="宋体" w:eastAsia="宋体" w:cs="宋体"/>
                <w:color w:val="000000"/>
                <w:sz w:val="18"/>
                <w:szCs w:val="18"/>
                <w:u w:val="none"/>
                <w:lang w:bidi="ar-SA"/>
              </w:rPr>
            </w:pPr>
            <w:r>
              <w:rPr>
                <w:rFonts w:hint="eastAsia" w:ascii="宋体" w:eastAsia="宋体" w:cs="宋体"/>
                <w:color w:val="000000"/>
                <w:sz w:val="18"/>
                <w:szCs w:val="18"/>
                <w:u w:val="none"/>
                <w:lang w:bidi="ar-SA"/>
              </w:rPr>
              <w:t xml:space="preserve">      100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0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评价结论</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kern w:val="0"/>
                <w:sz w:val="16"/>
                <w:szCs w:val="16"/>
                <w:u w:val="none"/>
                <w:lang w:val="en-US" w:eastAsia="zh-CN" w:bidi="ar"/>
              </w:rPr>
              <w:t>结合自评情况，项目自评总分100，通过项目实施，按时、足额缴纳职工基本养老保险。</w:t>
            </w:r>
          </w:p>
        </w:tc>
      </w:tr>
      <w:tr>
        <w:tblPrEx>
          <w:tblCellMar>
            <w:top w:w="0" w:type="dxa"/>
            <w:left w:w="108" w:type="dxa"/>
            <w:bottom w:w="0" w:type="dxa"/>
            <w:right w:w="108" w:type="dxa"/>
          </w:tblCellMar>
        </w:tblPrEx>
        <w:trPr>
          <w:gridBefore w:val="1"/>
          <w:gridAfter w:val="3"/>
          <w:wBefore w:w="216" w:type="dxa"/>
          <w:wAfter w:w="84" w:type="dxa"/>
          <w:trHeight w:val="572"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存在问题</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kern w:val="0"/>
                <w:sz w:val="16"/>
                <w:szCs w:val="16"/>
                <w:u w:val="none"/>
                <w:lang w:val="en-US" w:eastAsia="zh-CN" w:bidi="ar"/>
              </w:rPr>
              <w:t>无</w:t>
            </w:r>
          </w:p>
        </w:tc>
      </w:tr>
      <w:tr>
        <w:tblPrEx>
          <w:tblCellMar>
            <w:top w:w="0" w:type="dxa"/>
            <w:left w:w="108" w:type="dxa"/>
            <w:bottom w:w="0" w:type="dxa"/>
            <w:right w:w="108" w:type="dxa"/>
          </w:tblCellMar>
        </w:tblPrEx>
        <w:trPr>
          <w:gridBefore w:val="1"/>
          <w:gridAfter w:val="3"/>
          <w:wBefore w:w="216" w:type="dxa"/>
          <w:wAfter w:w="84" w:type="dxa"/>
          <w:trHeight w:val="63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改进措施</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kern w:val="0"/>
                <w:sz w:val="16"/>
                <w:szCs w:val="16"/>
                <w:u w:val="none"/>
                <w:lang w:val="en-US" w:eastAsia="zh-CN" w:bidi="ar"/>
              </w:rPr>
              <w:t>无</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项目负责人：</w:t>
            </w:r>
            <w:r>
              <w:rPr>
                <w:rFonts w:hint="eastAsia" w:ascii="黑体" w:hAnsi="黑体" w:eastAsia="黑体" w:cs="黑体"/>
                <w:color w:val="000000"/>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财务负责人：</w:t>
            </w:r>
            <w:r>
              <w:rPr>
                <w:rFonts w:hint="eastAsia" w:ascii="黑体" w:hAnsi="黑体" w:eastAsia="黑体" w:cs="黑体"/>
                <w:color w:val="000000"/>
                <w:kern w:val="0"/>
                <w:sz w:val="18"/>
                <w:szCs w:val="18"/>
                <w:u w:val="none"/>
                <w:lang w:val="en-US" w:eastAsia="zh-CN" w:bidi="ar"/>
              </w:rPr>
              <w:t>毕波</w:t>
            </w:r>
          </w:p>
        </w:tc>
      </w:tr>
      <w:tr>
        <w:tblPrEx>
          <w:tblCellMar>
            <w:top w:w="0" w:type="dxa"/>
            <w:left w:w="108" w:type="dxa"/>
            <w:bottom w:w="0" w:type="dxa"/>
            <w:right w:w="108" w:type="dxa"/>
          </w:tblCellMar>
        </w:tblPrEx>
        <w:trPr>
          <w:gridAfter w:val="5"/>
          <w:wAfter w:w="325" w:type="dxa"/>
          <w:trHeight w:val="286" w:hRule="atLeast"/>
        </w:trPr>
        <w:tc>
          <w:tcPr>
            <w:tcW w:w="216"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817"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02"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248" w:type="dxa"/>
            <w:gridSpan w:val="6"/>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83"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79" w:type="dxa"/>
            <w:gridSpan w:val="5"/>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819"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212" w:type="dxa"/>
            <w:gridSpan w:val="10"/>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404" w:type="dxa"/>
            <w:gridSpan w:val="3"/>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173" w:type="dxa"/>
            <w:gridSpan w:val="7"/>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79"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000000"/>
                <w:sz w:val="30"/>
                <w:szCs w:val="30"/>
                <w:u w:val="none"/>
                <w:lang w:bidi="ar-SA"/>
              </w:rPr>
            </w:pPr>
            <w:r>
              <w:rPr>
                <w:rFonts w:hint="eastAsia" w:ascii="黑体" w:eastAsia="黑体" w:cs="黑体"/>
                <w:b/>
                <w:bCs/>
                <w:color w:val="000000"/>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51080022T000005638584-党建经费</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主管部门</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广元市退役军人事务局部门</w:t>
            </w:r>
          </w:p>
        </w:tc>
        <w:tc>
          <w:tcPr>
            <w:tcW w:w="4544" w:type="dxa"/>
            <w:gridSpan w:val="26"/>
            <w:tcBorders>
              <w:top w:val="nil"/>
              <w:left w:val="nil"/>
              <w:bottom w:val="nil"/>
              <w:right w:val="nil"/>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按要求开展党建工作。</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eastAsia" w:ascii="宋体" w:cs="宋体"/>
                <w:color w:val="000000"/>
                <w:sz w:val="18"/>
                <w:szCs w:val="18"/>
                <w:u w:val="none"/>
                <w:lang w:eastAsia="zh-CN" w:bidi="ar-SA"/>
              </w:rPr>
              <w:t>按要求开展党建工作。</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eastAsia="宋体" w:cs="宋体"/>
                <w:color w:val="000000"/>
                <w:sz w:val="18"/>
                <w:szCs w:val="18"/>
                <w:u w:val="none"/>
                <w:lang w:bidi="ar-SA"/>
              </w:rPr>
            </w:pPr>
            <w:r>
              <w:rPr>
                <w:rFonts w:hint="eastAsia" w:ascii="宋体" w:cs="宋体"/>
                <w:color w:val="000000"/>
                <w:sz w:val="18"/>
                <w:szCs w:val="18"/>
                <w:u w:val="none"/>
                <w:lang w:eastAsia="zh-CN" w:bidi="ar-SA"/>
              </w:rPr>
              <w:t>按要求开展党建工作。</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0.53</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0.53</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0.53</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10</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i/>
                <w:iCs/>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0.53</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0.53</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0.53</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指标性质</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指标值</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47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产出指标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科目调整次数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次</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191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质量指标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预算编制准确率（计算方法为：∣（执行数-预算数）/预算数∣）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sz w:val="16"/>
                <w:szCs w:val="16"/>
                <w:u w:val="none"/>
                <w:lang w:bidi="ar-SA"/>
              </w:rPr>
              <w:t>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bidi="ar-SA"/>
              </w:rPr>
            </w:pPr>
            <w:r>
              <w:rPr>
                <w:rFonts w:hint="eastAsia" w:ascii="宋体" w:eastAsia="宋体" w:cs="宋体"/>
                <w:color w:val="000000"/>
                <w:sz w:val="18"/>
                <w:szCs w:val="18"/>
                <w:u w:val="none"/>
                <w:lang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000000"/>
                <w:sz w:val="18"/>
                <w:szCs w:val="18"/>
                <w:u w:val="none"/>
                <w:lang w:bidi="ar-SA"/>
              </w:rPr>
            </w:pPr>
            <w:r>
              <w:rPr>
                <w:rFonts w:hint="eastAsia" w:ascii="宋体" w:eastAsia="宋体" w:cs="宋体"/>
                <w:color w:val="000000"/>
                <w:sz w:val="18"/>
                <w:szCs w:val="18"/>
                <w:u w:val="none"/>
                <w:lang w:bidi="ar-SA"/>
              </w:rPr>
              <w:t>效益指标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000000"/>
                <w:sz w:val="18"/>
                <w:szCs w:val="18"/>
                <w:u w:val="none"/>
                <w:lang w:bidi="ar-SA"/>
              </w:rPr>
            </w:pPr>
            <w:r>
              <w:rPr>
                <w:rFonts w:hint="eastAsia" w:ascii="宋体" w:eastAsia="宋体" w:cs="宋体"/>
                <w:color w:val="000000"/>
                <w:sz w:val="18"/>
                <w:szCs w:val="18"/>
                <w:u w:val="none"/>
                <w:lang w:bidi="ar-SA"/>
              </w:rPr>
              <w:t>经济效益指标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运转保障率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50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合计</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6182" w:type="dxa"/>
            <w:gridSpan w:val="31"/>
            <w:tcBorders>
              <w:top w:val="single" w:color="000000" w:sz="4" w:space="0"/>
              <w:left w:val="single" w:color="000000" w:sz="4" w:space="0"/>
              <w:bottom w:val="single" w:color="000000" w:sz="4" w:space="0"/>
              <w:right w:val="single" w:color="000000" w:sz="4" w:space="0"/>
            </w:tcBorders>
            <w:noWrap w:val="0"/>
            <w:vAlign w:val="center"/>
          </w:tcPr>
          <w:p>
            <w:pPr>
              <w:jc w:val="right"/>
              <w:rPr>
                <w:rFonts w:hint="eastAsia" w:ascii="宋体" w:eastAsia="宋体" w:cs="宋体"/>
                <w:color w:val="000000"/>
                <w:sz w:val="18"/>
                <w:szCs w:val="18"/>
                <w:u w:val="none"/>
                <w:lang w:bidi="ar-SA"/>
              </w:rPr>
            </w:pPr>
            <w:r>
              <w:rPr>
                <w:rFonts w:hint="eastAsia" w:ascii="宋体" w:eastAsia="宋体" w:cs="宋体"/>
                <w:color w:val="000000"/>
                <w:sz w:val="18"/>
                <w:szCs w:val="18"/>
                <w:u w:val="none"/>
                <w:lang w:bidi="ar-SA"/>
              </w:rPr>
              <w:t>100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0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评价结论</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kern w:val="0"/>
                <w:sz w:val="16"/>
                <w:szCs w:val="16"/>
                <w:u w:val="none"/>
                <w:lang w:val="en-US" w:eastAsia="zh-CN" w:bidi="ar"/>
              </w:rPr>
              <w:t>结合自评情况，目自评总分100，通过项目实施，严格落实上级要求，开展党建工作。</w:t>
            </w:r>
          </w:p>
        </w:tc>
      </w:tr>
      <w:tr>
        <w:tblPrEx>
          <w:tblCellMar>
            <w:top w:w="0" w:type="dxa"/>
            <w:left w:w="108" w:type="dxa"/>
            <w:bottom w:w="0" w:type="dxa"/>
            <w:right w:w="108" w:type="dxa"/>
          </w:tblCellMar>
        </w:tblPrEx>
        <w:trPr>
          <w:gridBefore w:val="1"/>
          <w:gridAfter w:val="3"/>
          <w:wBefore w:w="216" w:type="dxa"/>
          <w:wAfter w:w="84" w:type="dxa"/>
          <w:trHeight w:val="572"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存在问题</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kern w:val="0"/>
                <w:sz w:val="16"/>
                <w:szCs w:val="16"/>
                <w:u w:val="none"/>
                <w:lang w:val="en-US" w:eastAsia="zh-CN" w:bidi="ar"/>
              </w:rPr>
              <w:t>无</w:t>
            </w:r>
          </w:p>
        </w:tc>
      </w:tr>
      <w:tr>
        <w:tblPrEx>
          <w:tblCellMar>
            <w:top w:w="0" w:type="dxa"/>
            <w:left w:w="108" w:type="dxa"/>
            <w:bottom w:w="0" w:type="dxa"/>
            <w:right w:w="108" w:type="dxa"/>
          </w:tblCellMar>
        </w:tblPrEx>
        <w:trPr>
          <w:gridBefore w:val="1"/>
          <w:gridAfter w:val="3"/>
          <w:wBefore w:w="216" w:type="dxa"/>
          <w:wAfter w:w="84" w:type="dxa"/>
          <w:trHeight w:val="63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改进措施</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kern w:val="0"/>
                <w:sz w:val="16"/>
                <w:szCs w:val="16"/>
                <w:u w:val="none"/>
                <w:lang w:val="en-US" w:eastAsia="zh-CN" w:bidi="ar"/>
              </w:rPr>
              <w:t>无</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项目负责人：</w:t>
            </w:r>
            <w:r>
              <w:rPr>
                <w:rFonts w:hint="eastAsia" w:ascii="黑体" w:hAnsi="黑体" w:eastAsia="黑体" w:cs="黑体"/>
                <w:color w:val="000000"/>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财务负责人：</w:t>
            </w:r>
            <w:r>
              <w:rPr>
                <w:rFonts w:hint="eastAsia" w:ascii="黑体" w:hAnsi="黑体" w:eastAsia="黑体" w:cs="黑体"/>
                <w:color w:val="000000"/>
                <w:kern w:val="0"/>
                <w:sz w:val="18"/>
                <w:szCs w:val="18"/>
                <w:u w:val="none"/>
                <w:lang w:val="en-US" w:eastAsia="zh-CN" w:bidi="ar"/>
              </w:rPr>
              <w:t>毕波</w:t>
            </w: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000000"/>
                <w:sz w:val="30"/>
                <w:szCs w:val="30"/>
                <w:u w:val="none"/>
                <w:lang w:bidi="ar-SA"/>
              </w:rPr>
            </w:pPr>
            <w:r>
              <w:rPr>
                <w:rFonts w:hint="eastAsia" w:ascii="黑体" w:eastAsia="黑体" w:cs="黑体"/>
                <w:b/>
                <w:bCs/>
                <w:color w:val="000000"/>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51080022T000005638728-住房公积金</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主管部门</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广元市退役军人事务局部门</w:t>
            </w:r>
          </w:p>
        </w:tc>
        <w:tc>
          <w:tcPr>
            <w:tcW w:w="4544" w:type="dxa"/>
            <w:gridSpan w:val="26"/>
            <w:tcBorders>
              <w:top w:val="nil"/>
              <w:left w:val="nil"/>
              <w:bottom w:val="nil"/>
              <w:right w:val="nil"/>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按时、足额缴纳职工住房公积金。</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eastAsia" w:ascii="宋体" w:cs="宋体"/>
                <w:color w:val="000000"/>
                <w:sz w:val="18"/>
                <w:szCs w:val="18"/>
                <w:u w:val="none"/>
                <w:lang w:eastAsia="zh-CN" w:bidi="ar-SA"/>
              </w:rPr>
              <w:t>按时、足额缴纳职工住房公积金。</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eastAsia="宋体" w:cs="宋体"/>
                <w:color w:val="000000"/>
                <w:sz w:val="18"/>
                <w:szCs w:val="18"/>
                <w:u w:val="none"/>
                <w:lang w:bidi="ar-SA"/>
              </w:rPr>
            </w:pPr>
            <w:r>
              <w:rPr>
                <w:rFonts w:hint="eastAsia" w:ascii="宋体" w:cs="宋体"/>
                <w:color w:val="000000"/>
                <w:sz w:val="18"/>
                <w:szCs w:val="18"/>
                <w:u w:val="none"/>
                <w:lang w:eastAsia="zh-CN" w:bidi="ar-SA"/>
              </w:rPr>
              <w:t>按时、足额缴纳职工住房公积金。</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0.33</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0.33</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0.33</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10</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i/>
                <w:iCs/>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0.33</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0.33</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0.33</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指标性质</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指标值</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51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产出指标</w:t>
            </w:r>
          </w:p>
        </w:tc>
        <w:tc>
          <w:tcPr>
            <w:tcW w:w="95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足额保障率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51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科目调整次数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次</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sz w:val="16"/>
                <w:szCs w:val="16"/>
                <w:u w:val="none"/>
                <w:lang w:bidi="ar-SA"/>
              </w:rPr>
              <w:t>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bidi="ar-SA"/>
              </w:rPr>
            </w:pPr>
            <w:r>
              <w:rPr>
                <w:rFonts w:hint="eastAsia" w:ascii="宋体" w:eastAsia="宋体" w:cs="宋体"/>
                <w:color w:val="000000"/>
                <w:sz w:val="18"/>
                <w:szCs w:val="18"/>
                <w:u w:val="none"/>
                <w:lang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51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时效指标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按时缴纳率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效益指标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经济效益指标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结余率（计算方法为：结余数/预算数）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sz w:val="16"/>
                <w:szCs w:val="16"/>
                <w:u w:val="none"/>
                <w:lang w:bidi="ar-SA"/>
              </w:rPr>
              <w:t>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宋体" w:eastAsia="宋体" w:cs="宋体"/>
                <w:color w:val="000000"/>
                <w:sz w:val="18"/>
                <w:szCs w:val="18"/>
                <w:u w:val="none"/>
                <w:lang w:bidi="ar-SA"/>
              </w:rPr>
            </w:pPr>
            <w:r>
              <w:rPr>
                <w:rFonts w:hint="eastAsia" w:ascii="宋体" w:eastAsia="宋体" w:cs="宋体"/>
                <w:color w:val="000000"/>
                <w:sz w:val="18"/>
                <w:szCs w:val="18"/>
                <w:u w:val="none"/>
                <w:lang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合计</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6182" w:type="dxa"/>
            <w:gridSpan w:val="31"/>
            <w:tcBorders>
              <w:top w:val="single" w:color="000000" w:sz="4" w:space="0"/>
              <w:left w:val="single" w:color="000000" w:sz="4" w:space="0"/>
              <w:bottom w:val="single" w:color="000000" w:sz="4" w:space="0"/>
              <w:right w:val="single" w:color="000000" w:sz="4" w:space="0"/>
            </w:tcBorders>
            <w:noWrap w:val="0"/>
            <w:vAlign w:val="center"/>
          </w:tcPr>
          <w:p>
            <w:pPr>
              <w:jc w:val="right"/>
              <w:rPr>
                <w:rFonts w:hint="eastAsia" w:ascii="宋体" w:eastAsia="宋体" w:cs="宋体"/>
                <w:color w:val="000000"/>
                <w:sz w:val="18"/>
                <w:szCs w:val="18"/>
                <w:u w:val="none"/>
                <w:lang w:bidi="ar-SA"/>
              </w:rPr>
            </w:pPr>
            <w:r>
              <w:rPr>
                <w:rFonts w:hint="eastAsia" w:ascii="宋体" w:eastAsia="宋体" w:cs="宋体"/>
                <w:color w:val="000000"/>
                <w:sz w:val="18"/>
                <w:szCs w:val="18"/>
                <w:u w:val="none"/>
                <w:lang w:bidi="ar-SA"/>
              </w:rPr>
              <w:t>100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0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评价结论</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kern w:val="0"/>
                <w:sz w:val="16"/>
                <w:szCs w:val="16"/>
                <w:u w:val="none"/>
                <w:lang w:val="en-US" w:eastAsia="zh-CN" w:bidi="ar"/>
              </w:rPr>
              <w:t>结合自评情况，项目自评总分100，通过项目实施，按时、足额缴纳职工住房公积金。</w:t>
            </w:r>
          </w:p>
        </w:tc>
      </w:tr>
      <w:tr>
        <w:tblPrEx>
          <w:tblCellMar>
            <w:top w:w="0" w:type="dxa"/>
            <w:left w:w="108" w:type="dxa"/>
            <w:bottom w:w="0" w:type="dxa"/>
            <w:right w:w="108" w:type="dxa"/>
          </w:tblCellMar>
        </w:tblPrEx>
        <w:trPr>
          <w:gridBefore w:val="1"/>
          <w:gridAfter w:val="3"/>
          <w:wBefore w:w="216" w:type="dxa"/>
          <w:wAfter w:w="84" w:type="dxa"/>
          <w:trHeight w:val="572"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存在问题</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kern w:val="0"/>
                <w:sz w:val="16"/>
                <w:szCs w:val="16"/>
                <w:u w:val="none"/>
                <w:lang w:val="en-US" w:eastAsia="zh-CN" w:bidi="ar"/>
              </w:rPr>
              <w:t>无</w:t>
            </w:r>
          </w:p>
        </w:tc>
      </w:tr>
      <w:tr>
        <w:tblPrEx>
          <w:tblCellMar>
            <w:top w:w="0" w:type="dxa"/>
            <w:left w:w="108" w:type="dxa"/>
            <w:bottom w:w="0" w:type="dxa"/>
            <w:right w:w="108" w:type="dxa"/>
          </w:tblCellMar>
        </w:tblPrEx>
        <w:trPr>
          <w:gridBefore w:val="1"/>
          <w:gridAfter w:val="3"/>
          <w:wBefore w:w="216" w:type="dxa"/>
          <w:wAfter w:w="84" w:type="dxa"/>
          <w:trHeight w:val="63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改进措施</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kern w:val="0"/>
                <w:sz w:val="16"/>
                <w:szCs w:val="16"/>
                <w:u w:val="none"/>
                <w:lang w:val="en-US" w:eastAsia="zh-CN" w:bidi="ar"/>
              </w:rPr>
              <w:t>无</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项目负责人：</w:t>
            </w:r>
            <w:r>
              <w:rPr>
                <w:rFonts w:hint="eastAsia" w:ascii="黑体" w:hAnsi="黑体" w:eastAsia="黑体" w:cs="黑体"/>
                <w:color w:val="000000"/>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财务负责人：</w:t>
            </w:r>
            <w:r>
              <w:rPr>
                <w:rFonts w:hint="eastAsia" w:ascii="黑体" w:hAnsi="黑体" w:eastAsia="黑体" w:cs="黑体"/>
                <w:color w:val="000000"/>
                <w:kern w:val="0"/>
                <w:sz w:val="18"/>
                <w:szCs w:val="18"/>
                <w:u w:val="none"/>
                <w:lang w:val="en-US" w:eastAsia="zh-CN" w:bidi="ar"/>
              </w:rPr>
              <w:t>毕波</w:t>
            </w: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000000"/>
                <w:sz w:val="30"/>
                <w:szCs w:val="30"/>
                <w:u w:val="none"/>
                <w:lang w:bidi="ar-SA"/>
              </w:rPr>
            </w:pPr>
            <w:r>
              <w:rPr>
                <w:rFonts w:hint="eastAsia" w:ascii="黑体" w:eastAsia="黑体" w:cs="黑体"/>
                <w:b/>
                <w:bCs/>
                <w:color w:val="000000"/>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51080022T000005638751-公务接待费</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主管部门</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广元市退役军人事务局部门</w:t>
            </w:r>
          </w:p>
        </w:tc>
        <w:tc>
          <w:tcPr>
            <w:tcW w:w="4544" w:type="dxa"/>
            <w:gridSpan w:val="26"/>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p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p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开展公务接待活动开支。</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黑体" w:hAnsi="黑体" w:eastAsia="黑体" w:cs="黑体"/>
                <w:color w:val="000000"/>
                <w:sz w:val="18"/>
                <w:szCs w:val="18"/>
                <w:u w:val="none"/>
                <w:lang w:bidi="ar-SA"/>
              </w:rPr>
            </w:pPr>
            <w:r>
              <w:rPr>
                <w:rFonts w:hint="eastAsia" w:ascii="宋体" w:cs="宋体"/>
                <w:color w:val="000000"/>
                <w:sz w:val="18"/>
                <w:szCs w:val="18"/>
                <w:u w:val="none"/>
                <w:lang w:eastAsia="zh-CN" w:bidi="ar-SA"/>
              </w:rPr>
              <w:t>开展公务接待活动开支。</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bidi="ar-SA"/>
              </w:rPr>
            </w:pPr>
            <w:r>
              <w:rPr>
                <w:rFonts w:hint="eastAsia" w:ascii="宋体" w:cs="宋体"/>
                <w:color w:val="000000"/>
                <w:sz w:val="18"/>
                <w:szCs w:val="18"/>
                <w:u w:val="none"/>
                <w:lang w:eastAsia="zh-CN" w:bidi="ar-SA"/>
              </w:rPr>
              <w:t>开展公务接待活动开支。</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0.11</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0.07</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0.04</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57.14%</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6</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黑体" w:hAnsi="黑体" w:eastAsia="黑体" w:cs="黑体"/>
                <w:i/>
                <w:iCs/>
                <w:color w:val="000000"/>
                <w:sz w:val="18"/>
                <w:szCs w:val="18"/>
                <w:u w:val="none"/>
                <w:lang w:bidi="ar-SA"/>
              </w:rPr>
            </w:pPr>
            <w:r>
              <w:rPr>
                <w:rFonts w:hint="eastAsia" w:ascii="宋体" w:eastAsia="宋体" w:cs="宋体"/>
                <w:color w:val="000000"/>
                <w:kern w:val="0"/>
                <w:sz w:val="18"/>
                <w:szCs w:val="18"/>
                <w:u w:val="none"/>
                <w:lang w:val="en-US" w:eastAsia="zh-CN" w:bidi="ar"/>
              </w:rPr>
              <w:t>因疫情</w:t>
            </w:r>
            <w:r>
              <w:rPr>
                <w:rFonts w:hint="eastAsia" w:ascii="宋体" w:cs="宋体"/>
                <w:color w:val="000000"/>
                <w:kern w:val="0"/>
                <w:sz w:val="18"/>
                <w:szCs w:val="18"/>
                <w:u w:val="none"/>
                <w:lang w:val="en-US" w:eastAsia="zh-CN" w:bidi="ar"/>
              </w:rPr>
              <w:t>原因公务接待次数减少，且本着</w:t>
            </w:r>
            <w:r>
              <w:rPr>
                <w:rFonts w:hint="eastAsia" w:ascii="宋体" w:eastAsia="宋体" w:cs="宋体"/>
                <w:color w:val="000000"/>
                <w:kern w:val="0"/>
                <w:sz w:val="18"/>
                <w:szCs w:val="18"/>
                <w:u w:val="none"/>
                <w:lang w:val="en-US" w:eastAsia="zh-CN" w:bidi="ar"/>
              </w:rPr>
              <w:t>厉行节约</w:t>
            </w:r>
            <w:r>
              <w:rPr>
                <w:rFonts w:hint="eastAsia" w:ascii="宋体" w:cs="宋体"/>
                <w:color w:val="000000"/>
                <w:kern w:val="0"/>
                <w:sz w:val="18"/>
                <w:szCs w:val="18"/>
                <w:u w:val="none"/>
                <w:lang w:val="en-US" w:eastAsia="zh-CN" w:bidi="ar"/>
              </w:rPr>
              <w:t>的原则严格控制开支</w:t>
            </w:r>
            <w:r>
              <w:rPr>
                <w:rFonts w:hint="eastAsia" w:ascii="宋体" w:eastAsia="宋体" w:cs="宋体"/>
                <w:color w:val="000000"/>
                <w:kern w:val="0"/>
                <w:sz w:val="18"/>
                <w:szCs w:val="18"/>
                <w:u w:val="none"/>
                <w:lang w:val="en-US" w:eastAsia="zh-CN" w:bidi="ar"/>
              </w:rPr>
              <w:t>。</w:t>
            </w: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0.11</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0.07</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0.04</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57.14%</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p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p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p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微软雅黑" w:eastAsia="微软雅黑" w:cs="微软雅黑"/>
                <w:i/>
                <w:iCs/>
                <w:color w:val="000000"/>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p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指标性质</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指标值</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47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color w:val="auto"/>
              </w:rPr>
            </w:pP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产出指标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科目调整次数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10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次</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微软雅黑" w:eastAsia="微软雅黑" w:cs="微软雅黑"/>
                <w:i/>
                <w:iCs/>
                <w:color w:val="auto"/>
                <w:sz w:val="16"/>
                <w:szCs w:val="16"/>
                <w:u w:val="none"/>
                <w:lang w:val="en-US" w:eastAsia="zh-CN" w:bidi="ar-SA"/>
              </w:rPr>
            </w:pPr>
            <w:r>
              <w:rPr>
                <w:rFonts w:hint="eastAsia" w:ascii="微软雅黑" w:eastAsia="微软雅黑" w:cs="微软雅黑"/>
                <w:i/>
                <w:iCs/>
                <w:color w:val="auto"/>
                <w:sz w:val="16"/>
                <w:szCs w:val="16"/>
                <w:u w:val="none"/>
                <w:lang w:val="en-US" w:eastAsia="zh-CN" w:bidi="ar-SA"/>
              </w:rPr>
              <w:t>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eastAsia="宋体" w:cs="宋体"/>
                <w:color w:val="auto"/>
                <w:sz w:val="18"/>
                <w:szCs w:val="18"/>
                <w:u w:val="none"/>
                <w:lang w:val="en-US" w:eastAsia="zh-CN" w:bidi="ar-SA"/>
              </w:rPr>
            </w:pPr>
            <w:r>
              <w:rPr>
                <w:rFonts w:hint="eastAsia" w:ascii="宋体" w:cs="宋体"/>
                <w:color w:val="auto"/>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微软雅黑" w:eastAsia="微软雅黑" w:cs="微软雅黑"/>
                <w:i/>
                <w:iCs/>
                <w:color w:val="auto"/>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1556"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color w:val="auto"/>
              </w:rPr>
            </w:p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color w:val="auto"/>
              </w:rPr>
            </w:p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质量指标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预算编制准确率（计算方法为：∣（执行数-预算数）/预算数∣）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5</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default" w:ascii="微软雅黑" w:eastAsia="微软雅黑" w:cs="微软雅黑"/>
                <w:i/>
                <w:iCs/>
                <w:color w:val="auto"/>
                <w:sz w:val="16"/>
                <w:szCs w:val="16"/>
                <w:u w:val="none"/>
                <w:lang w:val="en-US" w:eastAsia="zh-CN" w:bidi="ar-SA"/>
              </w:rPr>
            </w:pPr>
            <w:r>
              <w:rPr>
                <w:rFonts w:hint="eastAsia" w:ascii="微软雅黑" w:eastAsia="微软雅黑" w:cs="微软雅黑"/>
                <w:i/>
                <w:iCs/>
                <w:color w:val="auto"/>
                <w:sz w:val="16"/>
                <w:szCs w:val="16"/>
                <w:u w:val="none"/>
                <w:lang w:val="en-US" w:eastAsia="zh-CN" w:bidi="ar-SA"/>
              </w:rPr>
              <w:t>42.86</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default" w:ascii="宋体" w:eastAsia="宋体" w:cs="宋体"/>
                <w:color w:val="auto"/>
                <w:sz w:val="18"/>
                <w:szCs w:val="18"/>
                <w:u w:val="none"/>
                <w:lang w:val="en-US" w:eastAsia="zh-CN" w:bidi="ar-SA"/>
              </w:rPr>
            </w:pPr>
            <w:r>
              <w:rPr>
                <w:rFonts w:hint="eastAsia" w:ascii="宋体" w:cs="宋体"/>
                <w:color w:val="auto"/>
                <w:sz w:val="18"/>
                <w:szCs w:val="18"/>
                <w:u w:val="none"/>
                <w:lang w:val="en-US" w:eastAsia="zh-CN" w:bidi="ar-SA"/>
              </w:rPr>
              <w:t>17</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微软雅黑" w:eastAsia="微软雅黑" w:cs="微软雅黑"/>
                <w:i/>
                <w:iCs/>
                <w:color w:val="auto"/>
                <w:sz w:val="16"/>
                <w:szCs w:val="16"/>
                <w:u w:val="none"/>
                <w:lang w:bidi="ar-SA"/>
              </w:rPr>
            </w:pPr>
            <w:r>
              <w:rPr>
                <w:rFonts w:hint="eastAsia" w:ascii="宋体" w:eastAsia="宋体" w:cs="宋体"/>
                <w:color w:val="auto"/>
                <w:kern w:val="0"/>
                <w:sz w:val="18"/>
                <w:szCs w:val="18"/>
                <w:u w:val="none"/>
                <w:lang w:val="en-US" w:eastAsia="zh-CN" w:bidi="ar"/>
              </w:rPr>
              <w:t>因疫情</w:t>
            </w:r>
            <w:r>
              <w:rPr>
                <w:rFonts w:hint="eastAsia" w:ascii="宋体" w:cs="宋体"/>
                <w:color w:val="auto"/>
                <w:kern w:val="0"/>
                <w:sz w:val="18"/>
                <w:szCs w:val="18"/>
                <w:u w:val="none"/>
                <w:lang w:val="en-US" w:eastAsia="zh-CN" w:bidi="ar"/>
              </w:rPr>
              <w:t>原因公务接待次数减少，且本着</w:t>
            </w:r>
            <w:r>
              <w:rPr>
                <w:rFonts w:hint="eastAsia" w:ascii="宋体" w:eastAsia="宋体" w:cs="宋体"/>
                <w:color w:val="auto"/>
                <w:kern w:val="0"/>
                <w:sz w:val="18"/>
                <w:szCs w:val="18"/>
                <w:u w:val="none"/>
                <w:lang w:val="en-US" w:eastAsia="zh-CN" w:bidi="ar"/>
              </w:rPr>
              <w:t>厉行节约</w:t>
            </w:r>
            <w:r>
              <w:rPr>
                <w:rFonts w:hint="eastAsia" w:ascii="宋体" w:cs="宋体"/>
                <w:color w:val="auto"/>
                <w:kern w:val="0"/>
                <w:sz w:val="18"/>
                <w:szCs w:val="18"/>
                <w:u w:val="none"/>
                <w:lang w:val="en-US" w:eastAsia="zh-CN" w:bidi="ar"/>
              </w:rPr>
              <w:t>的原则严格控制开支</w:t>
            </w:r>
            <w:r>
              <w:rPr>
                <w:rFonts w:hint="eastAsia" w:ascii="宋体" w:eastAsia="宋体" w:cs="宋体"/>
                <w:color w:val="auto"/>
                <w:kern w:val="0"/>
                <w:sz w:val="18"/>
                <w:szCs w:val="18"/>
                <w:u w:val="none"/>
                <w:lang w:val="en-US" w:eastAsia="zh-CN" w:bidi="ar"/>
              </w:rPr>
              <w:t>。</w:t>
            </w:r>
          </w:p>
        </w:tc>
      </w:tr>
      <w:tr>
        <w:tblPrEx>
          <w:tblCellMar>
            <w:top w:w="0" w:type="dxa"/>
            <w:left w:w="108" w:type="dxa"/>
            <w:bottom w:w="0" w:type="dxa"/>
            <w:right w:w="108" w:type="dxa"/>
          </w:tblCellMar>
        </w:tblPrEx>
        <w:trPr>
          <w:gridBefore w:val="1"/>
          <w:gridAfter w:val="3"/>
          <w:wBefore w:w="216" w:type="dxa"/>
          <w:wAfter w:w="84" w:type="dxa"/>
          <w:trHeight w:val="1925"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color w:val="auto"/>
              </w:rPr>
            </w:pP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效益指标</w:t>
            </w:r>
          </w:p>
        </w:tc>
        <w:tc>
          <w:tcPr>
            <w:tcW w:w="958" w:type="dxa"/>
            <w:gridSpan w:val="4"/>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经济效益指标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“三公经费”控制率[计算方法为：（三公经费实际支出数/预算安排数]×100%）</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微软雅黑" w:eastAsia="微软雅黑" w:cs="微软雅黑"/>
                <w:i/>
                <w:iCs/>
                <w:color w:val="auto"/>
                <w:sz w:val="16"/>
                <w:szCs w:val="16"/>
                <w:u w:val="none"/>
                <w:lang w:val="en-US" w:eastAsia="zh-CN" w:bidi="ar-SA"/>
              </w:rPr>
            </w:pPr>
            <w:r>
              <w:rPr>
                <w:rFonts w:hint="eastAsia" w:ascii="微软雅黑" w:eastAsia="微软雅黑" w:cs="微软雅黑"/>
                <w:i/>
                <w:iCs/>
                <w:color w:val="auto"/>
                <w:sz w:val="16"/>
                <w:szCs w:val="16"/>
                <w:u w:val="none"/>
                <w:lang w:val="en-US" w:eastAsia="zh-CN" w:bidi="ar-SA"/>
              </w:rPr>
              <w:t>57.14</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eastAsia="宋体" w:cs="宋体"/>
                <w:color w:val="auto"/>
                <w:sz w:val="18"/>
                <w:szCs w:val="18"/>
                <w:u w:val="none"/>
                <w:lang w:bidi="ar-SA"/>
              </w:rPr>
            </w:pPr>
            <w:r>
              <w:rPr>
                <w:rFonts w:hint="eastAsia" w:ascii="宋体" w:eastAsia="宋体" w:cs="宋体"/>
                <w:color w:val="auto"/>
                <w:sz w:val="18"/>
                <w:szCs w:val="18"/>
                <w:u w:val="none"/>
                <w:lang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微软雅黑" w:eastAsia="微软雅黑" w:cs="微软雅黑"/>
                <w:i/>
                <w:iCs/>
                <w:color w:val="auto"/>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7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color w:val="auto"/>
              </w:rPr>
            </w:p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color w:val="auto"/>
              </w:rPr>
            </w:pPr>
          </w:p>
        </w:tc>
        <w:tc>
          <w:tcPr>
            <w:tcW w:w="958" w:type="dxa"/>
            <w:gridSpan w:val="4"/>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eastAsia="宋体" w:cs="宋体"/>
                <w:color w:val="auto"/>
                <w:sz w:val="18"/>
                <w:szCs w:val="18"/>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运转保障率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微软雅黑" w:eastAsia="微软雅黑" w:cs="微软雅黑"/>
                <w:i/>
                <w:iCs/>
                <w:color w:val="auto"/>
                <w:sz w:val="16"/>
                <w:szCs w:val="16"/>
                <w:u w:val="none"/>
                <w:lang w:val="en-US" w:eastAsia="zh-CN" w:bidi="ar-SA"/>
              </w:rPr>
            </w:pPr>
            <w:r>
              <w:rPr>
                <w:rFonts w:hint="eastAsia" w:ascii="微软雅黑" w:eastAsia="微软雅黑" w:cs="微软雅黑"/>
                <w:i/>
                <w:iCs/>
                <w:color w:val="auto"/>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eastAsia="宋体" w:cs="宋体"/>
                <w:color w:val="auto"/>
                <w:sz w:val="18"/>
                <w:szCs w:val="18"/>
                <w:u w:val="none"/>
                <w:lang w:val="en-US" w:eastAsia="zh-CN" w:bidi="ar-SA"/>
              </w:rPr>
            </w:pPr>
            <w:r>
              <w:rPr>
                <w:rFonts w:hint="eastAsia" w:ascii="宋体" w:cs="宋体"/>
                <w:color w:val="auto"/>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微软雅黑" w:eastAsia="微软雅黑" w:cs="微软雅黑"/>
                <w:i/>
                <w:iCs/>
                <w:color w:val="auto"/>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合计</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100</w:t>
            </w:r>
          </w:p>
        </w:tc>
        <w:tc>
          <w:tcPr>
            <w:tcW w:w="6182" w:type="dxa"/>
            <w:gridSpan w:val="3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default" w:ascii="宋体" w:eastAsia="宋体" w:cs="宋体"/>
                <w:color w:val="auto"/>
                <w:sz w:val="18"/>
                <w:szCs w:val="18"/>
                <w:u w:val="none"/>
                <w:lang w:val="en-US" w:eastAsia="zh-CN" w:bidi="ar-SA"/>
              </w:rPr>
            </w:pPr>
            <w:r>
              <w:rPr>
                <w:rFonts w:hint="eastAsia" w:ascii="宋体" w:cs="宋体"/>
                <w:color w:val="auto"/>
                <w:sz w:val="18"/>
                <w:szCs w:val="18"/>
                <w:u w:val="none"/>
                <w:lang w:val="en-US" w:eastAsia="zh-CN" w:bidi="ar-SA"/>
              </w:rPr>
              <w:t>90.5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eastAsia="宋体" w:cs="宋体"/>
                <w:color w:val="auto"/>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0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评价结论</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kern w:val="0"/>
                <w:sz w:val="16"/>
                <w:szCs w:val="16"/>
                <w:u w:val="none"/>
                <w:lang w:val="en-US" w:eastAsia="zh-CN" w:bidi="ar"/>
              </w:rPr>
              <w:t>结合自评情况，项目自评总分，严格执行财经纪律及公务接待相关要求，按标准开展公务接待活动。</w:t>
            </w:r>
          </w:p>
        </w:tc>
      </w:tr>
      <w:tr>
        <w:tblPrEx>
          <w:tblCellMar>
            <w:top w:w="0" w:type="dxa"/>
            <w:left w:w="108" w:type="dxa"/>
            <w:bottom w:w="0" w:type="dxa"/>
            <w:right w:w="108" w:type="dxa"/>
          </w:tblCellMar>
        </w:tblPrEx>
        <w:trPr>
          <w:gridBefore w:val="1"/>
          <w:gridAfter w:val="3"/>
          <w:wBefore w:w="216" w:type="dxa"/>
          <w:wAfter w:w="84" w:type="dxa"/>
          <w:trHeight w:val="572"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存在问题</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单位由于人力不足，绩效编制不够准确，预算执行进度较慢。</w:t>
            </w:r>
          </w:p>
        </w:tc>
      </w:tr>
      <w:tr>
        <w:tblPrEx>
          <w:tblCellMar>
            <w:top w:w="0" w:type="dxa"/>
            <w:left w:w="108" w:type="dxa"/>
            <w:bottom w:w="0" w:type="dxa"/>
            <w:right w:w="108" w:type="dxa"/>
          </w:tblCellMar>
        </w:tblPrEx>
        <w:trPr>
          <w:gridBefore w:val="1"/>
          <w:gridAfter w:val="3"/>
          <w:wBefore w:w="216" w:type="dxa"/>
          <w:wAfter w:w="84" w:type="dxa"/>
          <w:trHeight w:val="63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改进措施</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严格按照计划执行，在保证资金使用安全前提下，加快资金使用进度，提高财政资金使用效益，有效提高我单位的整体支出率。定期开展资金支出进度自查，查找存在问题，及时反馈解决。</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项目负责人：</w:t>
            </w:r>
            <w:r>
              <w:rPr>
                <w:rFonts w:hint="eastAsia" w:ascii="黑体" w:hAnsi="黑体" w:eastAsia="黑体" w:cs="黑体"/>
                <w:color w:val="000000"/>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财务负责人：</w:t>
            </w:r>
            <w:r>
              <w:rPr>
                <w:rFonts w:hint="eastAsia" w:ascii="黑体" w:hAnsi="黑体" w:eastAsia="黑体" w:cs="黑体"/>
                <w:color w:val="000000"/>
                <w:kern w:val="0"/>
                <w:sz w:val="18"/>
                <w:szCs w:val="18"/>
                <w:u w:val="none"/>
                <w:lang w:val="en-US" w:eastAsia="zh-CN" w:bidi="ar"/>
              </w:rPr>
              <w:t>毕波</w:t>
            </w:r>
          </w:p>
        </w:tc>
      </w:tr>
      <w:tr>
        <w:tblPrEx>
          <w:tblCellMar>
            <w:top w:w="0" w:type="dxa"/>
            <w:left w:w="108" w:type="dxa"/>
            <w:bottom w:w="0" w:type="dxa"/>
            <w:right w:w="108" w:type="dxa"/>
          </w:tblCellMar>
        </w:tblPrEx>
        <w:trPr>
          <w:gridAfter w:val="5"/>
          <w:wAfter w:w="325" w:type="dxa"/>
          <w:trHeight w:val="286" w:hRule="atLeast"/>
        </w:trPr>
        <w:tc>
          <w:tcPr>
            <w:tcW w:w="216"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817"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02"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248" w:type="dxa"/>
            <w:gridSpan w:val="6"/>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83"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79" w:type="dxa"/>
            <w:gridSpan w:val="5"/>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819"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212" w:type="dxa"/>
            <w:gridSpan w:val="10"/>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404" w:type="dxa"/>
            <w:gridSpan w:val="3"/>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173" w:type="dxa"/>
            <w:gridSpan w:val="7"/>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79"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000000"/>
                <w:sz w:val="30"/>
                <w:szCs w:val="30"/>
                <w:u w:val="none"/>
                <w:lang w:bidi="ar-SA"/>
              </w:rPr>
            </w:pPr>
            <w:r>
              <w:rPr>
                <w:rFonts w:hint="eastAsia" w:ascii="黑体" w:eastAsia="黑体" w:cs="黑体"/>
                <w:b/>
                <w:bCs/>
                <w:color w:val="000000"/>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51080022T000005638770-其他社会保障缴费</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主管部门</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广元市退役军人事务局部门</w:t>
            </w:r>
          </w:p>
        </w:tc>
        <w:tc>
          <w:tcPr>
            <w:tcW w:w="4544" w:type="dxa"/>
            <w:gridSpan w:val="26"/>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p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p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按时、足额缴纳职工失业保险及工伤保险。</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黑体" w:hAnsi="黑体" w:eastAsia="黑体" w:cs="黑体"/>
                <w:color w:val="000000"/>
                <w:sz w:val="18"/>
                <w:szCs w:val="18"/>
                <w:u w:val="none"/>
                <w:lang w:bidi="ar-SA"/>
              </w:rPr>
            </w:pPr>
            <w:r>
              <w:rPr>
                <w:rFonts w:hint="eastAsia" w:ascii="宋体" w:cs="宋体"/>
                <w:color w:val="000000"/>
                <w:sz w:val="18"/>
                <w:szCs w:val="18"/>
                <w:u w:val="none"/>
                <w:lang w:eastAsia="zh-CN" w:bidi="ar-SA"/>
              </w:rPr>
              <w:t>按时、足额缴纳职工失业保险及工伤保险。</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eastAsia="宋体" w:cs="宋体"/>
                <w:color w:val="000000"/>
                <w:sz w:val="18"/>
                <w:szCs w:val="18"/>
                <w:u w:val="none"/>
                <w:lang w:bidi="ar-SA"/>
              </w:rPr>
            </w:pPr>
            <w:r>
              <w:rPr>
                <w:rFonts w:hint="eastAsia" w:ascii="宋体" w:cs="宋体"/>
                <w:color w:val="000000"/>
                <w:sz w:val="18"/>
                <w:szCs w:val="18"/>
                <w:u w:val="none"/>
                <w:lang w:eastAsia="zh-CN" w:bidi="ar-SA"/>
              </w:rPr>
              <w:t>按时、足额缴纳职工失业保险及工伤保险。</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0.01</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0.01</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0.01</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10</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黑体" w:hAnsi="黑体" w:eastAsia="黑体" w:cs="黑体"/>
                <w:i/>
                <w:iCs/>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0.01</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0.01</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0.01</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p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p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p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p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指标性质</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指标值</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51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pP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产出指标</w:t>
            </w:r>
          </w:p>
        </w:tc>
        <w:tc>
          <w:tcPr>
            <w:tcW w:w="95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足额保障率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51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p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pPr>
          </w:p>
        </w:tc>
        <w:tc>
          <w:tcPr>
            <w:tcW w:w="95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科目调整次数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次</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sz w:val="16"/>
                <w:szCs w:val="16"/>
                <w:u w:val="none"/>
                <w:lang w:bidi="ar-SA"/>
              </w:rPr>
              <w:t>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eastAsia="宋体" w:cs="宋体"/>
                <w:color w:val="000000"/>
                <w:sz w:val="18"/>
                <w:szCs w:val="18"/>
                <w:u w:val="none"/>
                <w:lang w:bidi="ar-SA"/>
              </w:rPr>
            </w:pPr>
            <w:r>
              <w:rPr>
                <w:rFonts w:hint="eastAsia" w:ascii="宋体" w:eastAsia="宋体" w:cs="宋体"/>
                <w:color w:val="000000"/>
                <w:sz w:val="18"/>
                <w:szCs w:val="18"/>
                <w:u w:val="none"/>
                <w:lang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51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p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p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时效指标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按时缴纳率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效益指标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经济效益指标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结余率（计算方法为：结余数/预算数）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sz w:val="16"/>
                <w:szCs w:val="16"/>
                <w:u w:val="none"/>
                <w:lang w:bidi="ar-SA"/>
              </w:rPr>
              <w:t>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eastAsia="宋体" w:cs="宋体"/>
                <w:color w:val="000000"/>
                <w:sz w:val="18"/>
                <w:szCs w:val="18"/>
                <w:u w:val="none"/>
                <w:lang w:bidi="ar-SA"/>
              </w:rPr>
            </w:pPr>
            <w:r>
              <w:rPr>
                <w:rFonts w:hint="eastAsia" w:ascii="宋体" w:eastAsia="宋体" w:cs="宋体"/>
                <w:color w:val="000000"/>
                <w:sz w:val="18"/>
                <w:szCs w:val="18"/>
                <w:u w:val="none"/>
                <w:lang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合计</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6182" w:type="dxa"/>
            <w:gridSpan w:val="3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eastAsia="宋体" w:cs="宋体"/>
                <w:color w:val="000000"/>
                <w:sz w:val="18"/>
                <w:szCs w:val="18"/>
                <w:u w:val="none"/>
                <w:lang w:bidi="ar-SA"/>
              </w:rPr>
            </w:pPr>
            <w:r>
              <w:rPr>
                <w:rFonts w:hint="eastAsia" w:ascii="宋体" w:eastAsia="宋体" w:cs="宋体"/>
                <w:color w:val="000000"/>
                <w:sz w:val="18"/>
                <w:szCs w:val="18"/>
                <w:u w:val="none"/>
                <w:lang w:bidi="ar-SA"/>
              </w:rPr>
              <w:t xml:space="preserve">        100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0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评价结论</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kern w:val="0"/>
                <w:sz w:val="16"/>
                <w:szCs w:val="16"/>
                <w:u w:val="none"/>
                <w:lang w:val="en-US" w:eastAsia="zh-CN" w:bidi="ar"/>
              </w:rPr>
              <w:t>结合自评情况，项目自评总分100，通过项目实施，按时、足额缴纳职工失业及工伤保险。</w:t>
            </w:r>
          </w:p>
        </w:tc>
      </w:tr>
      <w:tr>
        <w:tblPrEx>
          <w:tblCellMar>
            <w:top w:w="0" w:type="dxa"/>
            <w:left w:w="108" w:type="dxa"/>
            <w:bottom w:w="0" w:type="dxa"/>
            <w:right w:w="108" w:type="dxa"/>
          </w:tblCellMar>
        </w:tblPrEx>
        <w:trPr>
          <w:gridBefore w:val="1"/>
          <w:gridAfter w:val="3"/>
          <w:wBefore w:w="216" w:type="dxa"/>
          <w:wAfter w:w="84" w:type="dxa"/>
          <w:trHeight w:val="572"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存在问题</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kern w:val="0"/>
                <w:sz w:val="16"/>
                <w:szCs w:val="16"/>
                <w:u w:val="none"/>
                <w:lang w:val="en-US" w:eastAsia="zh-CN" w:bidi="ar"/>
              </w:rPr>
              <w:t>无</w:t>
            </w:r>
          </w:p>
        </w:tc>
      </w:tr>
      <w:tr>
        <w:tblPrEx>
          <w:tblCellMar>
            <w:top w:w="0" w:type="dxa"/>
            <w:left w:w="108" w:type="dxa"/>
            <w:bottom w:w="0" w:type="dxa"/>
            <w:right w:w="108" w:type="dxa"/>
          </w:tblCellMar>
        </w:tblPrEx>
        <w:trPr>
          <w:gridBefore w:val="1"/>
          <w:gridAfter w:val="3"/>
          <w:wBefore w:w="216" w:type="dxa"/>
          <w:wAfter w:w="84" w:type="dxa"/>
          <w:trHeight w:val="63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改进措施</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kern w:val="0"/>
                <w:sz w:val="16"/>
                <w:szCs w:val="16"/>
                <w:u w:val="none"/>
                <w:lang w:val="en-US" w:eastAsia="zh-CN" w:bidi="ar"/>
              </w:rPr>
              <w:t>无</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项目负责人：</w:t>
            </w:r>
            <w:r>
              <w:rPr>
                <w:rFonts w:hint="eastAsia" w:ascii="黑体" w:hAnsi="黑体" w:eastAsia="黑体" w:cs="黑体"/>
                <w:color w:val="000000"/>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财务负责人：</w:t>
            </w:r>
            <w:r>
              <w:rPr>
                <w:rFonts w:hint="eastAsia" w:ascii="黑体" w:hAnsi="黑体" w:eastAsia="黑体" w:cs="黑体"/>
                <w:color w:val="000000"/>
                <w:kern w:val="0"/>
                <w:sz w:val="18"/>
                <w:szCs w:val="18"/>
                <w:u w:val="none"/>
                <w:lang w:val="en-US" w:eastAsia="zh-CN" w:bidi="ar"/>
              </w:rPr>
              <w:t>毕波</w:t>
            </w:r>
          </w:p>
        </w:tc>
      </w:tr>
      <w:tr>
        <w:tblPrEx>
          <w:tblCellMar>
            <w:top w:w="0" w:type="dxa"/>
            <w:left w:w="108" w:type="dxa"/>
            <w:bottom w:w="0" w:type="dxa"/>
            <w:right w:w="108" w:type="dxa"/>
          </w:tblCellMar>
        </w:tblPrEx>
        <w:trPr>
          <w:gridAfter w:val="5"/>
          <w:wAfter w:w="325" w:type="dxa"/>
          <w:trHeight w:val="286" w:hRule="atLeast"/>
        </w:trPr>
        <w:tc>
          <w:tcPr>
            <w:tcW w:w="216"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817"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02"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248" w:type="dxa"/>
            <w:gridSpan w:val="6"/>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83"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79" w:type="dxa"/>
            <w:gridSpan w:val="5"/>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819"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212" w:type="dxa"/>
            <w:gridSpan w:val="10"/>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404" w:type="dxa"/>
            <w:gridSpan w:val="3"/>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173" w:type="dxa"/>
            <w:gridSpan w:val="7"/>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79"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000000"/>
                <w:sz w:val="30"/>
                <w:szCs w:val="30"/>
                <w:u w:val="none"/>
                <w:lang w:bidi="ar-SA"/>
              </w:rPr>
            </w:pPr>
            <w:r>
              <w:rPr>
                <w:rFonts w:hint="eastAsia" w:ascii="黑体" w:eastAsia="黑体" w:cs="黑体"/>
                <w:b/>
                <w:bCs/>
                <w:color w:val="000000"/>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51080022T000005638804-职工基本医疗保险缴费</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主管部门</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广元市退役军人事务局部门</w:t>
            </w:r>
          </w:p>
        </w:tc>
        <w:tc>
          <w:tcPr>
            <w:tcW w:w="4544" w:type="dxa"/>
            <w:gridSpan w:val="26"/>
            <w:tcBorders>
              <w:top w:val="nil"/>
              <w:left w:val="nil"/>
              <w:bottom w:val="nil"/>
              <w:right w:val="nil"/>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eastAsia="宋体" w:cs="宋体"/>
                <w:color w:val="000000"/>
                <w:sz w:val="18"/>
                <w:szCs w:val="18"/>
                <w:u w:val="none"/>
                <w:lang w:eastAsia="zh-CN" w:bidi="ar-SA"/>
              </w:rPr>
            </w:pPr>
            <w:r>
              <w:rPr>
                <w:rFonts w:hint="eastAsia" w:ascii="宋体" w:cs="宋体"/>
                <w:color w:val="000000"/>
                <w:sz w:val="18"/>
                <w:szCs w:val="18"/>
                <w:u w:val="none"/>
                <w:lang w:eastAsia="zh-CN" w:bidi="ar-SA"/>
              </w:rPr>
              <w:t>按时足额缴纳职工医疗保险。</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eastAsia" w:ascii="宋体" w:cs="宋体"/>
                <w:color w:val="000000"/>
                <w:sz w:val="18"/>
                <w:szCs w:val="18"/>
                <w:u w:val="none"/>
                <w:lang w:eastAsia="zh-CN" w:bidi="ar-SA"/>
              </w:rPr>
              <w:t>按时足额缴纳职工医疗保险。</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eastAsia="宋体" w:cs="宋体"/>
                <w:color w:val="000000"/>
                <w:sz w:val="18"/>
                <w:szCs w:val="18"/>
                <w:u w:val="none"/>
                <w:lang w:bidi="ar-SA"/>
              </w:rPr>
            </w:pPr>
            <w:r>
              <w:rPr>
                <w:rFonts w:hint="eastAsia" w:ascii="宋体" w:cs="宋体"/>
                <w:color w:val="000000"/>
                <w:sz w:val="18"/>
                <w:szCs w:val="18"/>
                <w:u w:val="none"/>
                <w:lang w:eastAsia="zh-CN" w:bidi="ar-SA"/>
              </w:rPr>
              <w:t>按时足额缴纳职工医疗保险。</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0.23</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0.23</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0.23</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10</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i/>
                <w:iCs/>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0.23</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0.23</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0.23</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指标性质</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指标值</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47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产出指标</w:t>
            </w:r>
          </w:p>
        </w:tc>
        <w:tc>
          <w:tcPr>
            <w:tcW w:w="95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足额保障率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7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科目调整次数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次</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sz w:val="16"/>
                <w:szCs w:val="16"/>
                <w:u w:val="none"/>
                <w:lang w:bidi="ar-SA"/>
              </w:rPr>
              <w:t>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bidi="ar-SA"/>
              </w:rPr>
            </w:pPr>
            <w:r>
              <w:rPr>
                <w:rFonts w:hint="eastAsia" w:ascii="宋体" w:eastAsia="宋体" w:cs="宋体"/>
                <w:color w:val="000000"/>
                <w:sz w:val="18"/>
                <w:szCs w:val="18"/>
                <w:u w:val="none"/>
                <w:lang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7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时效指标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按时缴纳率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val="en-US" w:eastAsia="zh-CN" w:bidi="ar-SA"/>
              </w:rPr>
            </w:pPr>
            <w:r>
              <w:rPr>
                <w:rFonts w:hint="eastAsia" w:ascii="微软雅黑" w:eastAsia="微软雅黑" w:cs="微软雅黑"/>
                <w:i/>
                <w:iCs/>
                <w:color w:val="000000"/>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效益指标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经济效益指标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结余率（计算方法为：结余数/预算数）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sz w:val="16"/>
                <w:szCs w:val="16"/>
                <w:u w:val="none"/>
                <w:lang w:bidi="ar-SA"/>
              </w:rPr>
              <w:t>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bidi="ar-SA"/>
              </w:rPr>
            </w:pPr>
            <w:r>
              <w:rPr>
                <w:rFonts w:hint="eastAsia" w:ascii="宋体" w:eastAsia="宋体" w:cs="宋体"/>
                <w:color w:val="000000"/>
                <w:sz w:val="18"/>
                <w:szCs w:val="18"/>
                <w:u w:val="none"/>
                <w:lang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合计</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6182" w:type="dxa"/>
            <w:gridSpan w:val="31"/>
            <w:tcBorders>
              <w:top w:val="single" w:color="000000" w:sz="4" w:space="0"/>
              <w:left w:val="single" w:color="000000" w:sz="4" w:space="0"/>
              <w:bottom w:val="single" w:color="000000" w:sz="4" w:space="0"/>
              <w:right w:val="single" w:color="000000" w:sz="4" w:space="0"/>
            </w:tcBorders>
            <w:noWrap w:val="0"/>
            <w:vAlign w:val="center"/>
          </w:tcPr>
          <w:p>
            <w:pPr>
              <w:jc w:val="right"/>
              <w:rPr>
                <w:rFonts w:hint="eastAsia" w:ascii="宋体" w:eastAsia="宋体" w:cs="宋体"/>
                <w:color w:val="000000"/>
                <w:sz w:val="18"/>
                <w:szCs w:val="18"/>
                <w:u w:val="none"/>
                <w:lang w:bidi="ar-SA"/>
              </w:rPr>
            </w:pPr>
            <w:r>
              <w:rPr>
                <w:rFonts w:hint="eastAsia" w:ascii="宋体" w:eastAsia="宋体" w:cs="宋体"/>
                <w:color w:val="000000"/>
                <w:sz w:val="18"/>
                <w:szCs w:val="18"/>
                <w:u w:val="none"/>
                <w:lang w:bidi="ar-SA"/>
              </w:rPr>
              <w:t>100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0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评价结论</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left"/>
              <w:textAlignment w:val="center"/>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kern w:val="0"/>
                <w:sz w:val="16"/>
                <w:szCs w:val="16"/>
                <w:u w:val="none"/>
                <w:lang w:val="en-US" w:eastAsia="zh-CN" w:bidi="ar"/>
              </w:rPr>
              <w:t>结合自评情况，项目自评总分100，通过项目实施，按时、足额缴纳职工医疗保险。</w:t>
            </w:r>
          </w:p>
        </w:tc>
      </w:tr>
      <w:tr>
        <w:tblPrEx>
          <w:tblCellMar>
            <w:top w:w="0" w:type="dxa"/>
            <w:left w:w="108" w:type="dxa"/>
            <w:bottom w:w="0" w:type="dxa"/>
            <w:right w:w="108" w:type="dxa"/>
          </w:tblCellMar>
        </w:tblPrEx>
        <w:trPr>
          <w:gridBefore w:val="1"/>
          <w:gridAfter w:val="3"/>
          <w:wBefore w:w="216" w:type="dxa"/>
          <w:wAfter w:w="84" w:type="dxa"/>
          <w:trHeight w:val="572"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存在问题</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left"/>
              <w:textAlignment w:val="center"/>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kern w:val="0"/>
                <w:sz w:val="16"/>
                <w:szCs w:val="16"/>
                <w:u w:val="none"/>
                <w:lang w:val="en-US" w:eastAsia="zh-CN" w:bidi="ar"/>
              </w:rPr>
              <w:t>无</w:t>
            </w:r>
          </w:p>
        </w:tc>
      </w:tr>
      <w:tr>
        <w:tblPrEx>
          <w:tblCellMar>
            <w:top w:w="0" w:type="dxa"/>
            <w:left w:w="108" w:type="dxa"/>
            <w:bottom w:w="0" w:type="dxa"/>
            <w:right w:w="108" w:type="dxa"/>
          </w:tblCellMar>
        </w:tblPrEx>
        <w:trPr>
          <w:gridBefore w:val="1"/>
          <w:gridAfter w:val="3"/>
          <w:wBefore w:w="216" w:type="dxa"/>
          <w:wAfter w:w="84" w:type="dxa"/>
          <w:trHeight w:val="63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改进措施</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left"/>
              <w:textAlignment w:val="center"/>
              <w:rPr>
                <w:rFonts w:hint="eastAsia" w:ascii="微软雅黑" w:eastAsia="微软雅黑" w:cs="微软雅黑"/>
                <w:i/>
                <w:iCs/>
                <w:color w:val="000000"/>
                <w:sz w:val="16"/>
                <w:szCs w:val="16"/>
                <w:u w:val="none"/>
                <w:lang w:bidi="ar-SA"/>
              </w:rPr>
            </w:pPr>
            <w:r>
              <w:rPr>
                <w:rFonts w:hint="eastAsia" w:ascii="微软雅黑" w:eastAsia="微软雅黑" w:cs="微软雅黑"/>
                <w:i/>
                <w:iCs/>
                <w:color w:val="000000"/>
                <w:kern w:val="0"/>
                <w:sz w:val="16"/>
                <w:szCs w:val="16"/>
                <w:u w:val="none"/>
                <w:lang w:val="en-US" w:eastAsia="zh-CN" w:bidi="ar"/>
              </w:rPr>
              <w:t>无</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项目负责人：</w:t>
            </w:r>
            <w:r>
              <w:rPr>
                <w:rFonts w:hint="eastAsia" w:ascii="黑体" w:hAnsi="黑体" w:eastAsia="黑体" w:cs="黑体"/>
                <w:color w:val="000000"/>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财务负责人：</w:t>
            </w:r>
            <w:r>
              <w:rPr>
                <w:rFonts w:hint="eastAsia" w:ascii="黑体" w:hAnsi="黑体" w:eastAsia="黑体" w:cs="黑体"/>
                <w:color w:val="000000"/>
                <w:kern w:val="0"/>
                <w:sz w:val="18"/>
                <w:szCs w:val="18"/>
                <w:u w:val="none"/>
                <w:lang w:val="en-US" w:eastAsia="zh-CN" w:bidi="ar"/>
              </w:rPr>
              <w:t>毕波</w:t>
            </w:r>
          </w:p>
        </w:tc>
      </w:tr>
      <w:tr>
        <w:tblPrEx>
          <w:tblCellMar>
            <w:top w:w="0" w:type="dxa"/>
            <w:left w:w="108" w:type="dxa"/>
            <w:bottom w:w="0" w:type="dxa"/>
            <w:right w:w="108" w:type="dxa"/>
          </w:tblCellMar>
        </w:tblPrEx>
        <w:trPr>
          <w:gridAfter w:val="5"/>
          <w:wAfter w:w="325" w:type="dxa"/>
          <w:trHeight w:val="286" w:hRule="atLeast"/>
        </w:trPr>
        <w:tc>
          <w:tcPr>
            <w:tcW w:w="216"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817"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02"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248" w:type="dxa"/>
            <w:gridSpan w:val="6"/>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83"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79" w:type="dxa"/>
            <w:gridSpan w:val="5"/>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819"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212" w:type="dxa"/>
            <w:gridSpan w:val="10"/>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404" w:type="dxa"/>
            <w:gridSpan w:val="3"/>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173" w:type="dxa"/>
            <w:gridSpan w:val="7"/>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79"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eastAsia="黑体" w:cs="黑体"/>
                <w:b/>
                <w:bCs/>
                <w:color w:val="auto"/>
                <w:sz w:val="30"/>
                <w:szCs w:val="30"/>
                <w:u w:val="none"/>
                <w:lang w:bidi="ar-SA"/>
              </w:rPr>
            </w:pPr>
            <w:r>
              <w:rPr>
                <w:rFonts w:hint="eastAsia" w:ascii="黑体" w:eastAsia="黑体" w:cs="黑体"/>
                <w:b/>
                <w:bCs/>
                <w:color w:val="auto"/>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51080022T000005638861-基本工资</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主管部门</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广元市退役军人事务局部门</w:t>
            </w:r>
          </w:p>
        </w:tc>
        <w:tc>
          <w:tcPr>
            <w:tcW w:w="4544" w:type="dxa"/>
            <w:gridSpan w:val="26"/>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黑体" w:hAnsi="黑体" w:eastAsia="黑体" w:cs="黑体"/>
                <w:color w:val="auto"/>
                <w:sz w:val="18"/>
                <w:szCs w:val="18"/>
                <w:u w:val="none"/>
                <w:lang w:bidi="ar-SA"/>
              </w:rPr>
            </w:pPr>
            <w:r>
              <w:rPr>
                <w:rFonts w:hint="default" w:ascii="黑体" w:hAnsi="黑体" w:eastAsia="黑体" w:cs="黑体"/>
                <w:color w:val="auto"/>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黑体" w:hAnsi="黑体" w:eastAsia="黑体" w:cs="黑体"/>
                <w:color w:val="auto"/>
                <w:sz w:val="18"/>
                <w:szCs w:val="18"/>
                <w:u w:val="none"/>
                <w:lang w:bidi="ar-SA"/>
              </w:rPr>
            </w:pPr>
            <w:r>
              <w:rPr>
                <w:rFonts w:hint="default" w:ascii="黑体" w:hAnsi="黑体" w:eastAsia="黑体" w:cs="黑体"/>
                <w:color w:val="auto"/>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color w:val="auto"/>
              </w:rPr>
            </w:p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color w:val="auto"/>
              </w:rPr>
            </w:p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eastAsia="宋体" w:cs="宋体"/>
                <w:color w:val="auto"/>
                <w:sz w:val="18"/>
                <w:szCs w:val="18"/>
                <w:u w:val="none"/>
                <w:lang w:eastAsia="zh-CN" w:bidi="ar-SA"/>
              </w:rPr>
            </w:pPr>
            <w:r>
              <w:rPr>
                <w:rFonts w:hint="eastAsia" w:ascii="宋体" w:cs="宋体"/>
                <w:color w:val="auto"/>
                <w:sz w:val="18"/>
                <w:szCs w:val="18"/>
                <w:u w:val="none"/>
                <w:lang w:eastAsia="zh-CN" w:bidi="ar-SA"/>
              </w:rPr>
              <w:t>按时、足额发放职工工资。</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黑体" w:hAnsi="黑体" w:eastAsia="宋体" w:cs="黑体"/>
                <w:color w:val="auto"/>
                <w:sz w:val="18"/>
                <w:szCs w:val="18"/>
                <w:u w:val="none"/>
                <w:lang w:eastAsia="zh-CN" w:bidi="ar-SA"/>
              </w:rPr>
            </w:pPr>
            <w:r>
              <w:rPr>
                <w:rFonts w:hint="eastAsia" w:ascii="黑体" w:hAnsi="黑体" w:eastAsia="宋体" w:cs="黑体"/>
                <w:color w:val="auto"/>
                <w:sz w:val="18"/>
                <w:szCs w:val="18"/>
                <w:u w:val="none"/>
                <w:lang w:eastAsia="zh-CN" w:bidi="ar-SA"/>
              </w:rPr>
              <w:t>按时、足额发放职工工资。</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color w:val="auto"/>
              </w:rPr>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eastAsia="宋体" w:cs="宋体"/>
                <w:color w:val="auto"/>
                <w:sz w:val="18"/>
                <w:szCs w:val="18"/>
                <w:u w:val="none"/>
                <w:lang w:bidi="ar-SA"/>
              </w:rPr>
            </w:pPr>
            <w:r>
              <w:rPr>
                <w:rFonts w:hint="eastAsia" w:ascii="宋体" w:cs="宋体"/>
                <w:color w:val="auto"/>
                <w:sz w:val="18"/>
                <w:szCs w:val="18"/>
                <w:u w:val="none"/>
                <w:lang w:eastAsia="zh-CN" w:bidi="ar-SA"/>
              </w:rPr>
              <w:t>此项目为上年结转基本工资，用于发放职工工资。</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color w:val="auto"/>
              </w:rPr>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0.31</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0.31</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eastAsia="宋体" w:cs="宋体"/>
                <w:color w:val="auto"/>
                <w:sz w:val="18"/>
                <w:szCs w:val="18"/>
                <w:u w:val="none"/>
                <w:lang w:val="en-US" w:eastAsia="zh-CN" w:bidi="ar-SA"/>
              </w:rPr>
            </w:pPr>
            <w:r>
              <w:rPr>
                <w:rFonts w:hint="eastAsia" w:ascii="宋体" w:cs="宋体"/>
                <w:color w:val="auto"/>
                <w:sz w:val="18"/>
                <w:szCs w:val="18"/>
                <w:u w:val="none"/>
                <w:lang w:val="en-US" w:eastAsia="zh-CN" w:bidi="ar-SA"/>
              </w:rPr>
              <w:t>0</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黑体" w:hAnsi="黑体" w:eastAsia="黑体" w:cs="黑体"/>
                <w:i/>
                <w:iCs/>
                <w:color w:val="auto"/>
                <w:sz w:val="18"/>
                <w:szCs w:val="18"/>
                <w:u w:val="none"/>
                <w:lang w:bidi="ar-SA"/>
              </w:rPr>
            </w:pPr>
            <w:r>
              <w:rPr>
                <w:rFonts w:hint="eastAsia" w:ascii="宋体" w:cs="宋体"/>
                <w:color w:val="auto"/>
                <w:sz w:val="18"/>
                <w:szCs w:val="18"/>
                <w:u w:val="none"/>
                <w:lang w:eastAsia="zh-CN" w:bidi="ar-SA"/>
              </w:rPr>
              <w:t>上年结转基本工资。</w:t>
            </w: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color w:val="auto"/>
              </w:rPr>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0.31</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0.31</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color w:val="auto"/>
              </w:rPr>
            </w:p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color w:val="auto"/>
              </w:rPr>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color w:val="auto"/>
              </w:rPr>
            </w:p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color w:val="auto"/>
              </w:rPr>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color w:val="auto"/>
              </w:rPr>
            </w:p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color w:val="auto"/>
              </w:rPr>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微软雅黑" w:eastAsia="微软雅黑" w:cs="微软雅黑"/>
                <w:i/>
                <w:iCs/>
                <w:color w:val="auto"/>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微软雅黑" w:eastAsia="微软雅黑" w:cs="微软雅黑"/>
                <w:i/>
                <w:iCs/>
                <w:color w:val="auto"/>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微软雅黑" w:eastAsia="微软雅黑" w:cs="微软雅黑"/>
                <w:i/>
                <w:iCs/>
                <w:color w:val="auto"/>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微软雅黑" w:eastAsia="微软雅黑" w:cs="微软雅黑"/>
                <w:i/>
                <w:iCs/>
                <w:color w:val="auto"/>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color w:val="auto"/>
              </w:rPr>
            </w:p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指标性质</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指标值</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9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color w:val="auto"/>
              </w:rPr>
            </w:pPr>
          </w:p>
        </w:tc>
        <w:tc>
          <w:tcPr>
            <w:tcW w:w="938" w:type="dxa"/>
            <w:gridSpan w:val="4"/>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产出指标</w:t>
            </w:r>
          </w:p>
        </w:tc>
        <w:tc>
          <w:tcPr>
            <w:tcW w:w="958" w:type="dxa"/>
            <w:gridSpan w:val="4"/>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足额保障率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微软雅黑" w:hAnsi="Calibri" w:eastAsia="微软雅黑" w:cs="微软雅黑"/>
                <w:i/>
                <w:iCs/>
                <w:color w:val="auto"/>
                <w:kern w:val="2"/>
                <w:sz w:val="16"/>
                <w:szCs w:val="16"/>
                <w:u w:val="none"/>
                <w:lang w:val="en-US" w:eastAsia="zh-CN" w:bidi="ar-SA"/>
              </w:rPr>
            </w:pPr>
            <w:r>
              <w:rPr>
                <w:rFonts w:hint="eastAsia" w:ascii="微软雅黑" w:eastAsia="微软雅黑" w:cs="微软雅黑"/>
                <w:i/>
                <w:iCs/>
                <w:color w:val="auto"/>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宋体" w:hAnsi="Calibri" w:eastAsia="宋体" w:cs="宋体"/>
                <w:color w:val="auto"/>
                <w:kern w:val="2"/>
                <w:sz w:val="18"/>
                <w:szCs w:val="18"/>
                <w:u w:val="none"/>
                <w:lang w:val="en-US" w:eastAsia="zh-CN" w:bidi="ar-SA"/>
              </w:rPr>
            </w:pPr>
            <w:r>
              <w:rPr>
                <w:rFonts w:hint="eastAsia" w:ascii="宋体" w:cs="宋体"/>
                <w:color w:val="auto"/>
                <w:kern w:val="0"/>
                <w:sz w:val="18"/>
                <w:szCs w:val="18"/>
                <w:u w:val="none"/>
                <w:lang w:val="en-US" w:eastAsia="zh-CN" w:bidi="ar"/>
              </w:rPr>
              <w:t>30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default" w:ascii="宋体" w:hAnsi="Calibri" w:eastAsia="宋体" w:cs="宋体"/>
                <w:color w:val="auto"/>
                <w:kern w:val="2"/>
                <w:sz w:val="18"/>
                <w:szCs w:val="18"/>
                <w:u w:val="none"/>
                <w:lang w:val="en-US" w:eastAsia="zh-CN" w:bidi="ar-SA"/>
              </w:rPr>
            </w:pPr>
            <w:r>
              <w:rPr>
                <w:rFonts w:hint="eastAsia" w:ascii="宋体" w:cs="宋体"/>
                <w:color w:val="auto"/>
                <w:sz w:val="18"/>
                <w:szCs w:val="18"/>
                <w:u w:val="none"/>
                <w:lang w:val="en-US" w:eastAsia="zh-CN" w:bidi="ar-SA"/>
              </w:rPr>
              <w:t>30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微软雅黑" w:eastAsia="微软雅黑" w:cs="微软雅黑"/>
                <w:i/>
                <w:iCs/>
                <w:color w:val="auto"/>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color w:val="auto"/>
              </w:rPr>
            </w:pPr>
          </w:p>
        </w:tc>
        <w:tc>
          <w:tcPr>
            <w:tcW w:w="938" w:type="dxa"/>
            <w:gridSpan w:val="4"/>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eastAsia="宋体" w:cs="宋体"/>
                <w:color w:val="auto"/>
                <w:sz w:val="18"/>
                <w:szCs w:val="18"/>
                <w:u w:val="none"/>
                <w:lang w:bidi="ar-SA"/>
              </w:rPr>
            </w:pPr>
          </w:p>
        </w:tc>
        <w:tc>
          <w:tcPr>
            <w:tcW w:w="958" w:type="dxa"/>
            <w:gridSpan w:val="4"/>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eastAsia="宋体" w:cs="宋体"/>
                <w:color w:val="auto"/>
                <w:sz w:val="18"/>
                <w:szCs w:val="18"/>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科目调整次数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10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次</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微软雅黑" w:hAnsi="Calibri" w:eastAsia="微软雅黑" w:cs="微软雅黑"/>
                <w:i/>
                <w:iCs/>
                <w:color w:val="auto"/>
                <w:kern w:val="2"/>
                <w:sz w:val="16"/>
                <w:szCs w:val="16"/>
                <w:u w:val="none"/>
                <w:lang w:val="en-US" w:eastAsia="zh-CN" w:bidi="ar-SA"/>
              </w:rPr>
            </w:pPr>
            <w:r>
              <w:rPr>
                <w:rFonts w:hint="eastAsia" w:ascii="微软雅黑" w:eastAsia="微软雅黑" w:cs="微软雅黑"/>
                <w:i/>
                <w:iCs/>
                <w:color w:val="auto"/>
                <w:sz w:val="16"/>
                <w:szCs w:val="16"/>
                <w:u w:val="none"/>
                <w:lang w:bidi="ar-SA"/>
              </w:rPr>
              <w:t>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宋体" w:hAnsi="Calibri" w:eastAsia="宋体" w:cs="宋体"/>
                <w:color w:val="auto"/>
                <w:kern w:val="2"/>
                <w:sz w:val="18"/>
                <w:szCs w:val="18"/>
                <w:u w:val="none"/>
                <w:lang w:val="en-US" w:eastAsia="zh-CN" w:bidi="ar-SA"/>
              </w:rPr>
            </w:pPr>
            <w:r>
              <w:rPr>
                <w:rFonts w:hint="eastAsia" w:ascii="宋体" w:cs="宋体"/>
                <w:color w:val="auto"/>
                <w:kern w:val="2"/>
                <w:sz w:val="18"/>
                <w:szCs w:val="18"/>
                <w:u w:val="none"/>
                <w:lang w:val="en-US" w:eastAsia="zh-CN" w:bidi="ar-SA"/>
              </w:rPr>
              <w:t>30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Calibri" w:eastAsia="宋体" w:cs="宋体"/>
                <w:color w:val="auto"/>
                <w:kern w:val="2"/>
                <w:sz w:val="18"/>
                <w:szCs w:val="18"/>
                <w:u w:val="none"/>
                <w:lang w:val="en-US" w:eastAsia="zh-CN" w:bidi="ar-SA"/>
              </w:rPr>
            </w:pPr>
            <w:r>
              <w:rPr>
                <w:rFonts w:hint="eastAsia" w:ascii="宋体" w:cs="宋体"/>
                <w:color w:val="auto"/>
                <w:sz w:val="18"/>
                <w:szCs w:val="18"/>
                <w:u w:val="none"/>
                <w:lang w:val="en-US" w:eastAsia="zh-CN" w:bidi="ar-SA"/>
              </w:rPr>
              <w:t>30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微软雅黑" w:eastAsia="微软雅黑" w:cs="微软雅黑"/>
                <w:i/>
                <w:iCs/>
                <w:color w:val="auto"/>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color w:val="auto"/>
              </w:rPr>
            </w:pPr>
          </w:p>
        </w:tc>
        <w:tc>
          <w:tcPr>
            <w:tcW w:w="938" w:type="dxa"/>
            <w:gridSpan w:val="4"/>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eastAsia="宋体" w:cs="宋体"/>
                <w:color w:val="auto"/>
                <w:sz w:val="18"/>
                <w:szCs w:val="18"/>
                <w:u w:val="none"/>
                <w:lang w:bidi="ar-SA"/>
              </w:rPr>
            </w:p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时效指标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按时</w:t>
            </w:r>
            <w:r>
              <w:rPr>
                <w:rFonts w:hint="eastAsia" w:ascii="宋体" w:cs="宋体"/>
                <w:color w:val="auto"/>
                <w:kern w:val="0"/>
                <w:sz w:val="18"/>
                <w:szCs w:val="18"/>
                <w:u w:val="none"/>
                <w:lang w:val="en-US" w:eastAsia="zh-CN" w:bidi="ar"/>
              </w:rPr>
              <w:t>发放</w:t>
            </w:r>
            <w:r>
              <w:rPr>
                <w:rFonts w:hint="eastAsia" w:ascii="宋体" w:eastAsia="宋体" w:cs="宋体"/>
                <w:color w:val="auto"/>
                <w:kern w:val="0"/>
                <w:sz w:val="18"/>
                <w:szCs w:val="18"/>
                <w:u w:val="none"/>
                <w:lang w:val="en-US" w:eastAsia="zh-CN" w:bidi="ar"/>
              </w:rPr>
              <w:t>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微软雅黑" w:hAnsi="Calibri" w:eastAsia="微软雅黑" w:cs="微软雅黑"/>
                <w:i/>
                <w:iCs/>
                <w:color w:val="auto"/>
                <w:kern w:val="2"/>
                <w:sz w:val="16"/>
                <w:szCs w:val="16"/>
                <w:u w:val="none"/>
                <w:lang w:val="en-US" w:eastAsia="zh-CN" w:bidi="ar-SA"/>
              </w:rPr>
            </w:pPr>
            <w:r>
              <w:rPr>
                <w:rFonts w:hint="eastAsia" w:ascii="微软雅黑" w:eastAsia="微软雅黑" w:cs="微软雅黑"/>
                <w:i/>
                <w:iCs/>
                <w:color w:val="auto"/>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宋体" w:hAnsi="Calibri" w:eastAsia="宋体" w:cs="宋体"/>
                <w:color w:val="auto"/>
                <w:kern w:val="2"/>
                <w:sz w:val="18"/>
                <w:szCs w:val="18"/>
                <w:u w:val="none"/>
                <w:lang w:val="en-US" w:eastAsia="zh-CN" w:bidi="ar-SA"/>
              </w:rPr>
            </w:pPr>
            <w:r>
              <w:rPr>
                <w:rFonts w:hint="eastAsia" w:ascii="宋体" w:cs="宋体"/>
                <w:color w:val="auto"/>
                <w:kern w:val="0"/>
                <w:sz w:val="18"/>
                <w:szCs w:val="18"/>
                <w:u w:val="none"/>
                <w:lang w:val="en-US" w:eastAsia="zh-CN" w:bidi="ar"/>
              </w:rPr>
              <w:t>30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Calibri" w:eastAsia="宋体" w:cs="宋体"/>
                <w:color w:val="auto"/>
                <w:kern w:val="2"/>
                <w:sz w:val="18"/>
                <w:szCs w:val="18"/>
                <w:u w:val="none"/>
                <w:lang w:val="en-US" w:eastAsia="zh-CN" w:bidi="ar-SA"/>
              </w:rPr>
            </w:pPr>
            <w:r>
              <w:rPr>
                <w:rFonts w:hint="eastAsia" w:ascii="宋体" w:cs="宋体"/>
                <w:color w:val="auto"/>
                <w:sz w:val="18"/>
                <w:szCs w:val="18"/>
                <w:u w:val="none"/>
                <w:lang w:val="en-US" w:eastAsia="zh-CN" w:bidi="ar-SA"/>
              </w:rPr>
              <w:t>30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微软雅黑" w:eastAsia="微软雅黑" w:cs="微软雅黑"/>
                <w:i/>
                <w:iCs/>
                <w:color w:val="auto"/>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合计</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100</w:t>
            </w:r>
          </w:p>
        </w:tc>
        <w:tc>
          <w:tcPr>
            <w:tcW w:w="6182" w:type="dxa"/>
            <w:gridSpan w:val="3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right"/>
              <w:rPr>
                <w:rFonts w:hint="default" w:ascii="宋体" w:eastAsia="宋体" w:cs="宋体"/>
                <w:color w:val="auto"/>
                <w:sz w:val="18"/>
                <w:szCs w:val="18"/>
                <w:u w:val="none"/>
                <w:lang w:val="en-US" w:eastAsia="zh-CN" w:bidi="ar-SA"/>
              </w:rPr>
            </w:pPr>
            <w:r>
              <w:rPr>
                <w:rFonts w:hint="eastAsia" w:ascii="宋体" w:cs="宋体"/>
                <w:color w:val="auto"/>
                <w:sz w:val="18"/>
                <w:szCs w:val="18"/>
                <w:u w:val="none"/>
                <w:lang w:val="en-US" w:eastAsia="zh-CN" w:bidi="ar-SA"/>
              </w:rPr>
              <w:t>90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eastAsia="宋体" w:cs="宋体"/>
                <w:color w:val="auto"/>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0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评价结论</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微软雅黑" w:eastAsia="微软雅黑" w:cs="微软雅黑"/>
                <w:i/>
                <w:iCs/>
                <w:color w:val="auto"/>
                <w:sz w:val="16"/>
                <w:szCs w:val="16"/>
                <w:u w:val="none"/>
                <w:lang w:bidi="ar-SA"/>
              </w:rPr>
            </w:pPr>
            <w:r>
              <w:rPr>
                <w:rFonts w:hint="eastAsia" w:ascii="微软雅黑" w:eastAsia="微软雅黑" w:cs="微软雅黑"/>
                <w:i/>
                <w:iCs/>
                <w:color w:val="auto"/>
                <w:kern w:val="0"/>
                <w:sz w:val="16"/>
                <w:szCs w:val="16"/>
                <w:u w:val="none"/>
                <w:lang w:val="en-US" w:eastAsia="zh-CN" w:bidi="ar"/>
              </w:rPr>
              <w:t>结合自评情况，项目自评总分90，此项目为上年结转基本工资，因正常年度预算能满足足额发放职工工资的需求，故未使用到该笔结转资金。</w:t>
            </w:r>
          </w:p>
        </w:tc>
      </w:tr>
      <w:tr>
        <w:tblPrEx>
          <w:tblCellMar>
            <w:top w:w="0" w:type="dxa"/>
            <w:left w:w="108" w:type="dxa"/>
            <w:bottom w:w="0" w:type="dxa"/>
            <w:right w:w="108" w:type="dxa"/>
          </w:tblCellMar>
        </w:tblPrEx>
        <w:trPr>
          <w:gridBefore w:val="1"/>
          <w:gridAfter w:val="3"/>
          <w:wBefore w:w="216" w:type="dxa"/>
          <w:wAfter w:w="84" w:type="dxa"/>
          <w:trHeight w:val="572"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存在问题</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微软雅黑" w:eastAsia="微软雅黑" w:cs="微软雅黑"/>
                <w:i/>
                <w:iCs/>
                <w:color w:val="auto"/>
                <w:sz w:val="16"/>
                <w:szCs w:val="16"/>
                <w:u w:val="none"/>
                <w:lang w:bidi="ar-SA"/>
              </w:rPr>
            </w:pPr>
            <w:r>
              <w:rPr>
                <w:rFonts w:hint="eastAsia" w:ascii="微软雅黑" w:eastAsia="微软雅黑" w:cs="微软雅黑"/>
                <w:i/>
                <w:iCs/>
                <w:color w:val="auto"/>
                <w:kern w:val="0"/>
                <w:sz w:val="16"/>
                <w:szCs w:val="16"/>
                <w:u w:val="none"/>
                <w:lang w:val="en-US" w:eastAsia="zh-CN" w:bidi="ar"/>
              </w:rPr>
              <w:t>无</w:t>
            </w:r>
          </w:p>
        </w:tc>
      </w:tr>
      <w:tr>
        <w:tblPrEx>
          <w:tblCellMar>
            <w:top w:w="0" w:type="dxa"/>
            <w:left w:w="108" w:type="dxa"/>
            <w:bottom w:w="0" w:type="dxa"/>
            <w:right w:w="108" w:type="dxa"/>
          </w:tblCellMar>
        </w:tblPrEx>
        <w:trPr>
          <w:gridBefore w:val="1"/>
          <w:gridAfter w:val="3"/>
          <w:wBefore w:w="216" w:type="dxa"/>
          <w:wAfter w:w="84" w:type="dxa"/>
          <w:trHeight w:val="63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改进措施</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微软雅黑" w:eastAsia="微软雅黑" w:cs="微软雅黑"/>
                <w:i/>
                <w:iCs/>
                <w:color w:val="auto"/>
                <w:sz w:val="16"/>
                <w:szCs w:val="16"/>
                <w:u w:val="none"/>
                <w:lang w:bidi="ar-SA"/>
              </w:rPr>
            </w:pPr>
            <w:r>
              <w:rPr>
                <w:rFonts w:hint="eastAsia" w:ascii="微软雅黑" w:eastAsia="微软雅黑" w:cs="微软雅黑"/>
                <w:i/>
                <w:iCs/>
                <w:color w:val="auto"/>
                <w:kern w:val="0"/>
                <w:sz w:val="16"/>
                <w:szCs w:val="16"/>
                <w:u w:val="none"/>
                <w:lang w:val="en-US" w:eastAsia="zh-CN" w:bidi="ar"/>
              </w:rPr>
              <w:t>无</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黑体" w:hAnsi="黑体" w:eastAsia="黑体" w:cs="黑体"/>
                <w:color w:val="auto"/>
                <w:sz w:val="18"/>
                <w:szCs w:val="18"/>
                <w:u w:val="none"/>
                <w:lang w:bidi="ar-SA"/>
              </w:rPr>
            </w:pPr>
            <w:r>
              <w:rPr>
                <w:rFonts w:hint="default" w:ascii="黑体" w:hAnsi="黑体" w:eastAsia="黑体" w:cs="黑体"/>
                <w:color w:val="auto"/>
                <w:kern w:val="0"/>
                <w:sz w:val="18"/>
                <w:szCs w:val="18"/>
                <w:u w:val="none"/>
                <w:lang w:val="en-US" w:eastAsia="zh-CN" w:bidi="ar"/>
              </w:rPr>
              <w:t>项目负责人：</w:t>
            </w:r>
            <w:r>
              <w:rPr>
                <w:rFonts w:hint="eastAsia" w:ascii="黑体" w:hAnsi="黑体" w:eastAsia="黑体" w:cs="黑体"/>
                <w:color w:val="auto"/>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黑体" w:hAnsi="黑体" w:eastAsia="黑体" w:cs="黑体"/>
                <w:color w:val="auto"/>
                <w:sz w:val="18"/>
                <w:szCs w:val="18"/>
                <w:u w:val="none"/>
                <w:lang w:bidi="ar-SA"/>
              </w:rPr>
            </w:pPr>
            <w:r>
              <w:rPr>
                <w:rFonts w:hint="default" w:ascii="黑体" w:hAnsi="黑体" w:eastAsia="黑体" w:cs="黑体"/>
                <w:color w:val="auto"/>
                <w:kern w:val="0"/>
                <w:sz w:val="18"/>
                <w:szCs w:val="18"/>
                <w:u w:val="none"/>
                <w:lang w:val="en-US" w:eastAsia="zh-CN" w:bidi="ar"/>
              </w:rPr>
              <w:t>财务负责人：</w:t>
            </w:r>
            <w:r>
              <w:rPr>
                <w:rFonts w:hint="eastAsia" w:ascii="黑体" w:hAnsi="黑体" w:eastAsia="黑体" w:cs="黑体"/>
                <w:color w:val="auto"/>
                <w:kern w:val="0"/>
                <w:sz w:val="18"/>
                <w:szCs w:val="18"/>
                <w:u w:val="none"/>
                <w:lang w:val="en-US" w:eastAsia="zh-CN" w:bidi="ar"/>
              </w:rPr>
              <w:t>毕波</w:t>
            </w:r>
          </w:p>
        </w:tc>
      </w:tr>
      <w:tr>
        <w:tblPrEx>
          <w:tblCellMar>
            <w:top w:w="0" w:type="dxa"/>
            <w:left w:w="108" w:type="dxa"/>
            <w:bottom w:w="0" w:type="dxa"/>
            <w:right w:w="108" w:type="dxa"/>
          </w:tblCellMar>
        </w:tblPrEx>
        <w:trPr>
          <w:gridAfter w:val="5"/>
          <w:wAfter w:w="325" w:type="dxa"/>
          <w:trHeight w:val="286" w:hRule="atLeast"/>
        </w:trPr>
        <w:tc>
          <w:tcPr>
            <w:tcW w:w="216"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817"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02"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p>
            <w:pPr>
              <w:pStyle w:val="2"/>
              <w:rPr>
                <w:rFonts w:hint="eastAsia"/>
              </w:rPr>
            </w:pPr>
          </w:p>
        </w:tc>
        <w:tc>
          <w:tcPr>
            <w:tcW w:w="1248" w:type="dxa"/>
            <w:gridSpan w:val="6"/>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83"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79" w:type="dxa"/>
            <w:gridSpan w:val="5"/>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819"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212" w:type="dxa"/>
            <w:gridSpan w:val="10"/>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404" w:type="dxa"/>
            <w:gridSpan w:val="3"/>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173" w:type="dxa"/>
            <w:gridSpan w:val="7"/>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79"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auto"/>
                <w:sz w:val="30"/>
                <w:szCs w:val="30"/>
                <w:u w:val="none"/>
                <w:lang w:bidi="ar-SA"/>
              </w:rPr>
            </w:pPr>
            <w:r>
              <w:rPr>
                <w:rFonts w:hint="eastAsia" w:ascii="黑体" w:eastAsia="黑体" w:cs="黑体"/>
                <w:b/>
                <w:bCs/>
                <w:color w:val="auto"/>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51080022T000005773953-工资福利</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主管部门</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广元市退役军人事务局部门</w:t>
            </w:r>
          </w:p>
        </w:tc>
        <w:tc>
          <w:tcPr>
            <w:tcW w:w="4544" w:type="dxa"/>
            <w:gridSpan w:val="26"/>
            <w:tcBorders>
              <w:top w:val="nil"/>
              <w:left w:val="nil"/>
              <w:bottom w:val="nil"/>
              <w:right w:val="nil"/>
            </w:tcBorders>
            <w:noWrap w:val="0"/>
            <w:vAlign w:val="center"/>
          </w:tcPr>
          <w:p>
            <w:pPr>
              <w:keepNext w:val="0"/>
              <w:keepLines w:val="0"/>
              <w:widowControl/>
              <w:suppressLineNumbers w:val="0"/>
              <w:jc w:val="left"/>
              <w:textAlignment w:val="center"/>
              <w:rPr>
                <w:rFonts w:hint="default" w:ascii="黑体" w:hAnsi="黑体" w:eastAsia="黑体" w:cs="黑体"/>
                <w:color w:val="auto"/>
                <w:sz w:val="18"/>
                <w:szCs w:val="18"/>
                <w:u w:val="none"/>
                <w:lang w:bidi="ar-SA"/>
              </w:rPr>
            </w:pPr>
            <w:r>
              <w:rPr>
                <w:rFonts w:hint="default" w:ascii="黑体" w:hAnsi="黑体" w:eastAsia="黑体" w:cs="黑体"/>
                <w:color w:val="auto"/>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黑体" w:hAnsi="黑体" w:eastAsia="黑体" w:cs="黑体"/>
                <w:color w:val="auto"/>
                <w:sz w:val="18"/>
                <w:szCs w:val="18"/>
                <w:u w:val="none"/>
                <w:lang w:bidi="ar-SA"/>
              </w:rPr>
            </w:pPr>
            <w:r>
              <w:rPr>
                <w:rFonts w:hint="default" w:ascii="黑体" w:hAnsi="黑体" w:eastAsia="黑体" w:cs="黑体"/>
                <w:color w:val="auto"/>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eastAsia="宋体" w:cs="宋体"/>
                <w:color w:val="auto"/>
                <w:sz w:val="18"/>
                <w:szCs w:val="18"/>
                <w:u w:val="none"/>
                <w:lang w:eastAsia="zh-CN" w:bidi="ar-SA"/>
              </w:rPr>
            </w:pPr>
            <w:r>
              <w:rPr>
                <w:rFonts w:hint="eastAsia" w:ascii="宋体" w:cs="宋体"/>
                <w:color w:val="auto"/>
                <w:sz w:val="18"/>
                <w:szCs w:val="18"/>
                <w:u w:val="none"/>
                <w:lang w:eastAsia="zh-CN" w:bidi="ar-SA"/>
              </w:rPr>
              <w:t>足额发放绩效目标奖。</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auto"/>
                <w:sz w:val="18"/>
                <w:szCs w:val="18"/>
                <w:u w:val="none"/>
                <w:lang w:bidi="ar-SA"/>
              </w:rPr>
            </w:pPr>
            <w:r>
              <w:rPr>
                <w:rFonts w:hint="eastAsia" w:ascii="宋体" w:cs="宋体"/>
                <w:color w:val="auto"/>
                <w:sz w:val="18"/>
                <w:szCs w:val="18"/>
                <w:u w:val="none"/>
                <w:lang w:eastAsia="zh-CN" w:bidi="ar-SA"/>
              </w:rPr>
              <w:t>足额发放绩效目标奖。</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eastAsia="宋体" w:cs="宋体"/>
                <w:color w:val="auto"/>
                <w:sz w:val="18"/>
                <w:szCs w:val="18"/>
                <w:u w:val="none"/>
                <w:lang w:bidi="ar-SA"/>
              </w:rPr>
            </w:pPr>
            <w:r>
              <w:rPr>
                <w:rFonts w:hint="eastAsia" w:ascii="宋体" w:cs="宋体"/>
                <w:color w:val="auto"/>
                <w:sz w:val="18"/>
                <w:szCs w:val="18"/>
                <w:u w:val="none"/>
                <w:lang w:eastAsia="zh-CN" w:bidi="ar-SA"/>
              </w:rPr>
              <w:t>此项目为上年结转绩效目标奖。</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0.03</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0.03</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auto"/>
                <w:sz w:val="18"/>
                <w:szCs w:val="18"/>
                <w:u w:val="none"/>
                <w:lang w:val="en-US" w:eastAsia="zh-CN" w:bidi="ar-SA"/>
              </w:rPr>
            </w:pPr>
            <w:r>
              <w:rPr>
                <w:rFonts w:hint="eastAsia" w:ascii="宋体" w:cs="宋体"/>
                <w:color w:val="auto"/>
                <w:sz w:val="18"/>
                <w:szCs w:val="18"/>
                <w:u w:val="none"/>
                <w:lang w:val="en-US" w:eastAsia="zh-CN" w:bidi="ar-SA"/>
              </w:rPr>
              <w:t>0</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i/>
                <w:iCs/>
                <w:color w:val="auto"/>
                <w:sz w:val="18"/>
                <w:szCs w:val="18"/>
                <w:u w:val="none"/>
                <w:lang w:bidi="ar-SA"/>
              </w:rPr>
            </w:pPr>
            <w:r>
              <w:rPr>
                <w:rFonts w:hint="eastAsia" w:ascii="宋体" w:cs="宋体"/>
                <w:color w:val="auto"/>
                <w:sz w:val="18"/>
                <w:szCs w:val="18"/>
                <w:u w:val="none"/>
                <w:lang w:eastAsia="zh-CN" w:bidi="ar-SA"/>
              </w:rPr>
              <w:t>上年结转绩效目标奖。</w:t>
            </w: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0.03</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0.03</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auto"/>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auto"/>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auto"/>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auto"/>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指标性质</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指标值</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938" w:type="dxa"/>
            <w:gridSpan w:val="4"/>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产出指标</w:t>
            </w:r>
          </w:p>
        </w:tc>
        <w:tc>
          <w:tcPr>
            <w:tcW w:w="958" w:type="dxa"/>
            <w:gridSpan w:val="4"/>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足额保障率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微软雅黑" w:hAnsi="Calibri" w:eastAsia="微软雅黑" w:cs="微软雅黑"/>
                <w:i/>
                <w:iCs/>
                <w:color w:val="auto"/>
                <w:kern w:val="2"/>
                <w:sz w:val="16"/>
                <w:szCs w:val="16"/>
                <w:u w:val="none"/>
                <w:lang w:val="en-US" w:eastAsia="zh-CN" w:bidi="ar-SA"/>
              </w:rPr>
            </w:pPr>
            <w:r>
              <w:rPr>
                <w:rFonts w:hint="eastAsia" w:ascii="微软雅黑" w:eastAsia="微软雅黑" w:cs="微软雅黑"/>
                <w:i/>
                <w:iCs/>
                <w:color w:val="auto"/>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宋体" w:hAnsi="Calibri" w:eastAsia="宋体" w:cs="宋体"/>
                <w:color w:val="auto"/>
                <w:kern w:val="2"/>
                <w:sz w:val="18"/>
                <w:szCs w:val="18"/>
                <w:u w:val="none"/>
                <w:lang w:val="en-US" w:eastAsia="zh-CN" w:bidi="ar-SA"/>
              </w:rPr>
            </w:pPr>
            <w:r>
              <w:rPr>
                <w:rFonts w:hint="eastAsia" w:ascii="宋体" w:cs="宋体"/>
                <w:color w:val="auto"/>
                <w:kern w:val="0"/>
                <w:sz w:val="18"/>
                <w:szCs w:val="18"/>
                <w:u w:val="none"/>
                <w:lang w:val="en-US" w:eastAsia="zh-CN" w:bidi="ar"/>
              </w:rPr>
              <w:t>30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Calibri" w:eastAsia="宋体" w:cs="宋体"/>
                <w:color w:val="auto"/>
                <w:kern w:val="2"/>
                <w:sz w:val="18"/>
                <w:szCs w:val="18"/>
                <w:u w:val="none"/>
                <w:lang w:val="en-US" w:eastAsia="zh-CN" w:bidi="ar-SA"/>
              </w:rPr>
            </w:pPr>
            <w:r>
              <w:rPr>
                <w:rFonts w:hint="eastAsia" w:ascii="宋体" w:cs="宋体"/>
                <w:color w:val="auto"/>
                <w:sz w:val="18"/>
                <w:szCs w:val="18"/>
                <w:u w:val="none"/>
                <w:lang w:val="en-US" w:eastAsia="zh-CN" w:bidi="ar-SA"/>
              </w:rPr>
              <w:t>30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auto"/>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938" w:type="dxa"/>
            <w:gridSpan w:val="4"/>
            <w:vMerge w:val="continue"/>
            <w:tcBorders>
              <w:left w:val="single" w:color="000000" w:sz="4" w:space="0"/>
              <w:right w:val="single" w:color="000000" w:sz="4" w:space="0"/>
            </w:tcBorders>
            <w:noWrap w:val="0"/>
            <w:vAlign w:val="center"/>
          </w:tcPr>
          <w:p>
            <w:pPr>
              <w:jc w:val="center"/>
              <w:rPr>
                <w:rFonts w:hint="eastAsia" w:ascii="宋体" w:eastAsia="宋体" w:cs="宋体"/>
                <w:color w:val="auto"/>
                <w:sz w:val="18"/>
                <w:szCs w:val="18"/>
                <w:u w:val="none"/>
                <w:lang w:bidi="ar-SA"/>
              </w:rPr>
            </w:pPr>
          </w:p>
        </w:tc>
        <w:tc>
          <w:tcPr>
            <w:tcW w:w="958" w:type="dxa"/>
            <w:gridSpan w:val="4"/>
            <w:vMerge w:val="continue"/>
            <w:tcBorders>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auto"/>
                <w:sz w:val="18"/>
                <w:szCs w:val="18"/>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科目调整次数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10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次</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微软雅黑" w:hAnsi="Calibri" w:eastAsia="微软雅黑" w:cs="微软雅黑"/>
                <w:i/>
                <w:iCs/>
                <w:color w:val="auto"/>
                <w:kern w:val="2"/>
                <w:sz w:val="16"/>
                <w:szCs w:val="16"/>
                <w:u w:val="none"/>
                <w:lang w:val="en-US" w:eastAsia="zh-CN" w:bidi="ar-SA"/>
              </w:rPr>
            </w:pPr>
            <w:r>
              <w:rPr>
                <w:rFonts w:hint="eastAsia" w:ascii="微软雅黑" w:eastAsia="微软雅黑" w:cs="微软雅黑"/>
                <w:i/>
                <w:iCs/>
                <w:color w:val="auto"/>
                <w:sz w:val="16"/>
                <w:szCs w:val="16"/>
                <w:u w:val="none"/>
                <w:lang w:bidi="ar-SA"/>
              </w:rPr>
              <w:t>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宋体" w:hAnsi="Calibri" w:eastAsia="宋体" w:cs="宋体"/>
                <w:color w:val="auto"/>
                <w:kern w:val="2"/>
                <w:sz w:val="18"/>
                <w:szCs w:val="18"/>
                <w:u w:val="none"/>
                <w:lang w:val="en-US" w:eastAsia="zh-CN" w:bidi="ar-SA"/>
              </w:rPr>
            </w:pPr>
            <w:r>
              <w:rPr>
                <w:rFonts w:hint="eastAsia" w:ascii="宋体" w:cs="宋体"/>
                <w:color w:val="auto"/>
                <w:kern w:val="0"/>
                <w:sz w:val="18"/>
                <w:szCs w:val="18"/>
                <w:u w:val="none"/>
                <w:lang w:val="en-US" w:eastAsia="zh-CN" w:bidi="ar"/>
              </w:rPr>
              <w:t>30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Calibri" w:eastAsia="宋体" w:cs="宋体"/>
                <w:color w:val="auto"/>
                <w:kern w:val="2"/>
                <w:sz w:val="18"/>
                <w:szCs w:val="18"/>
                <w:u w:val="none"/>
                <w:lang w:val="en-US" w:eastAsia="zh-CN" w:bidi="ar-SA"/>
              </w:rPr>
            </w:pPr>
            <w:r>
              <w:rPr>
                <w:rFonts w:hint="eastAsia" w:ascii="宋体" w:cs="宋体"/>
                <w:color w:val="auto"/>
                <w:sz w:val="18"/>
                <w:szCs w:val="18"/>
                <w:u w:val="none"/>
                <w:lang w:val="en-US" w:eastAsia="zh-CN" w:bidi="ar-SA"/>
              </w:rPr>
              <w:t>30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auto"/>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938" w:type="dxa"/>
            <w:gridSpan w:val="4"/>
            <w:vMerge w:val="continue"/>
            <w:tcBorders>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auto"/>
                <w:sz w:val="18"/>
                <w:szCs w:val="18"/>
                <w:u w:val="none"/>
                <w:lang w:bidi="ar-SA"/>
              </w:rPr>
            </w:p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时效指标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按时</w:t>
            </w:r>
            <w:r>
              <w:rPr>
                <w:rFonts w:hint="eastAsia" w:ascii="宋体" w:cs="宋体"/>
                <w:color w:val="auto"/>
                <w:kern w:val="0"/>
                <w:sz w:val="18"/>
                <w:szCs w:val="18"/>
                <w:u w:val="none"/>
                <w:lang w:val="en-US" w:eastAsia="zh-CN" w:bidi="ar"/>
              </w:rPr>
              <w:t>发放</w:t>
            </w:r>
            <w:r>
              <w:rPr>
                <w:rFonts w:hint="eastAsia" w:ascii="宋体" w:eastAsia="宋体" w:cs="宋体"/>
                <w:color w:val="auto"/>
                <w:kern w:val="0"/>
                <w:sz w:val="18"/>
                <w:szCs w:val="18"/>
                <w:u w:val="none"/>
                <w:lang w:val="en-US" w:eastAsia="zh-CN" w:bidi="ar"/>
              </w:rPr>
              <w:t>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微软雅黑" w:hAnsi="Calibri" w:eastAsia="微软雅黑" w:cs="微软雅黑"/>
                <w:i/>
                <w:iCs/>
                <w:color w:val="auto"/>
                <w:kern w:val="2"/>
                <w:sz w:val="16"/>
                <w:szCs w:val="16"/>
                <w:u w:val="none"/>
                <w:lang w:val="en-US" w:eastAsia="zh-CN" w:bidi="ar-SA"/>
              </w:rPr>
            </w:pPr>
            <w:r>
              <w:rPr>
                <w:rFonts w:hint="eastAsia" w:ascii="微软雅黑" w:eastAsia="微软雅黑" w:cs="微软雅黑"/>
                <w:i/>
                <w:iCs/>
                <w:color w:val="auto"/>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宋体" w:hAnsi="Calibri" w:eastAsia="宋体" w:cs="宋体"/>
                <w:color w:val="auto"/>
                <w:kern w:val="2"/>
                <w:sz w:val="18"/>
                <w:szCs w:val="18"/>
                <w:u w:val="none"/>
                <w:lang w:val="en-US" w:eastAsia="zh-CN" w:bidi="ar-SA"/>
              </w:rPr>
            </w:pPr>
            <w:r>
              <w:rPr>
                <w:rFonts w:hint="eastAsia" w:ascii="宋体" w:cs="宋体"/>
                <w:color w:val="auto"/>
                <w:kern w:val="0"/>
                <w:sz w:val="18"/>
                <w:szCs w:val="18"/>
                <w:u w:val="none"/>
                <w:lang w:val="en-US" w:eastAsia="zh-CN" w:bidi="ar"/>
              </w:rPr>
              <w:t>30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Calibri" w:eastAsia="宋体" w:cs="宋体"/>
                <w:color w:val="auto"/>
                <w:kern w:val="2"/>
                <w:sz w:val="18"/>
                <w:szCs w:val="18"/>
                <w:u w:val="none"/>
                <w:lang w:val="en-US" w:eastAsia="zh-CN" w:bidi="ar-SA"/>
              </w:rPr>
            </w:pPr>
            <w:r>
              <w:rPr>
                <w:rFonts w:hint="eastAsia" w:ascii="宋体" w:cs="宋体"/>
                <w:color w:val="auto"/>
                <w:sz w:val="18"/>
                <w:szCs w:val="18"/>
                <w:u w:val="none"/>
                <w:lang w:val="en-US" w:eastAsia="zh-CN" w:bidi="ar-SA"/>
              </w:rPr>
              <w:t>30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auto"/>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合计</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100</w:t>
            </w:r>
          </w:p>
        </w:tc>
        <w:tc>
          <w:tcPr>
            <w:tcW w:w="6182" w:type="dxa"/>
            <w:gridSpan w:val="31"/>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宋体" w:eastAsia="宋体" w:cs="宋体"/>
                <w:color w:val="auto"/>
                <w:sz w:val="18"/>
                <w:szCs w:val="18"/>
                <w:u w:val="none"/>
                <w:lang w:val="en-US" w:eastAsia="zh-CN" w:bidi="ar-SA"/>
              </w:rPr>
            </w:pPr>
            <w:r>
              <w:rPr>
                <w:rFonts w:hint="eastAsia" w:ascii="宋体" w:cs="宋体"/>
                <w:color w:val="auto"/>
                <w:sz w:val="18"/>
                <w:szCs w:val="18"/>
                <w:u w:val="none"/>
                <w:lang w:val="en-US" w:eastAsia="zh-CN" w:bidi="ar-SA"/>
              </w:rPr>
              <w:t>90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eastAsia="宋体" w:cs="宋体"/>
                <w:color w:val="auto"/>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0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评价结论</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微软雅黑" w:eastAsia="微软雅黑" w:cs="微软雅黑"/>
                <w:i/>
                <w:iCs/>
                <w:color w:val="auto"/>
                <w:sz w:val="16"/>
                <w:szCs w:val="16"/>
                <w:u w:val="none"/>
                <w:lang w:bidi="ar-SA"/>
              </w:rPr>
            </w:pPr>
            <w:r>
              <w:rPr>
                <w:rFonts w:hint="eastAsia" w:ascii="微软雅黑" w:eastAsia="微软雅黑" w:cs="微软雅黑"/>
                <w:i/>
                <w:iCs/>
                <w:color w:val="auto"/>
                <w:kern w:val="0"/>
                <w:sz w:val="16"/>
                <w:szCs w:val="16"/>
                <w:u w:val="none"/>
                <w:lang w:val="en-US" w:eastAsia="zh-CN" w:bidi="ar"/>
              </w:rPr>
              <w:t>结合自评情况，项目自评总分90，此项目为上年结转绩效目标奖，因正常年度预算能满足足额发放职工绩效目标奖的需求，故未使用到该笔结转资金。</w:t>
            </w:r>
          </w:p>
        </w:tc>
      </w:tr>
      <w:tr>
        <w:tblPrEx>
          <w:tblCellMar>
            <w:top w:w="0" w:type="dxa"/>
            <w:left w:w="108" w:type="dxa"/>
            <w:bottom w:w="0" w:type="dxa"/>
            <w:right w:w="108" w:type="dxa"/>
          </w:tblCellMar>
        </w:tblPrEx>
        <w:trPr>
          <w:gridBefore w:val="1"/>
          <w:gridAfter w:val="3"/>
          <w:wBefore w:w="216" w:type="dxa"/>
          <w:wAfter w:w="84" w:type="dxa"/>
          <w:trHeight w:val="572"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存在问题</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微软雅黑" w:eastAsia="微软雅黑" w:cs="微软雅黑"/>
                <w:i/>
                <w:iCs/>
                <w:color w:val="auto"/>
                <w:sz w:val="16"/>
                <w:szCs w:val="16"/>
                <w:u w:val="none"/>
                <w:lang w:bidi="ar-SA"/>
              </w:rPr>
            </w:pPr>
            <w:r>
              <w:rPr>
                <w:rFonts w:hint="eastAsia" w:ascii="微软雅黑" w:eastAsia="微软雅黑" w:cs="微软雅黑"/>
                <w:i/>
                <w:iCs/>
                <w:color w:val="auto"/>
                <w:kern w:val="0"/>
                <w:sz w:val="16"/>
                <w:szCs w:val="16"/>
                <w:u w:val="none"/>
                <w:lang w:val="en-US" w:eastAsia="zh-CN" w:bidi="ar"/>
              </w:rPr>
              <w:t>无</w:t>
            </w:r>
          </w:p>
        </w:tc>
      </w:tr>
      <w:tr>
        <w:tblPrEx>
          <w:tblCellMar>
            <w:top w:w="0" w:type="dxa"/>
            <w:left w:w="108" w:type="dxa"/>
            <w:bottom w:w="0" w:type="dxa"/>
            <w:right w:w="108" w:type="dxa"/>
          </w:tblCellMar>
        </w:tblPrEx>
        <w:trPr>
          <w:gridBefore w:val="1"/>
          <w:gridAfter w:val="3"/>
          <w:wBefore w:w="216" w:type="dxa"/>
          <w:wAfter w:w="84" w:type="dxa"/>
          <w:trHeight w:val="63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改进措施</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微软雅黑" w:eastAsia="微软雅黑" w:cs="微软雅黑"/>
                <w:i/>
                <w:iCs/>
                <w:color w:val="auto"/>
                <w:sz w:val="16"/>
                <w:szCs w:val="16"/>
                <w:u w:val="none"/>
                <w:lang w:bidi="ar-SA"/>
              </w:rPr>
            </w:pPr>
            <w:r>
              <w:rPr>
                <w:rFonts w:hint="eastAsia" w:ascii="微软雅黑" w:eastAsia="微软雅黑" w:cs="微软雅黑"/>
                <w:i/>
                <w:iCs/>
                <w:color w:val="auto"/>
                <w:kern w:val="0"/>
                <w:sz w:val="16"/>
                <w:szCs w:val="16"/>
                <w:u w:val="none"/>
                <w:lang w:val="en-US" w:eastAsia="zh-CN" w:bidi="ar"/>
              </w:rPr>
              <w:t>无</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auto"/>
                <w:sz w:val="18"/>
                <w:szCs w:val="18"/>
                <w:u w:val="none"/>
                <w:lang w:bidi="ar-SA"/>
              </w:rPr>
            </w:pPr>
            <w:r>
              <w:rPr>
                <w:rFonts w:hint="default" w:ascii="黑体" w:hAnsi="黑体" w:eastAsia="黑体" w:cs="黑体"/>
                <w:color w:val="auto"/>
                <w:kern w:val="0"/>
                <w:sz w:val="18"/>
                <w:szCs w:val="18"/>
                <w:u w:val="none"/>
                <w:lang w:val="en-US" w:eastAsia="zh-CN" w:bidi="ar"/>
              </w:rPr>
              <w:t>项目负责人：</w:t>
            </w:r>
            <w:r>
              <w:rPr>
                <w:rFonts w:hint="eastAsia" w:ascii="黑体" w:hAnsi="黑体" w:eastAsia="黑体" w:cs="黑体"/>
                <w:color w:val="auto"/>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auto"/>
                <w:sz w:val="18"/>
                <w:szCs w:val="18"/>
                <w:u w:val="none"/>
                <w:lang w:bidi="ar-SA"/>
              </w:rPr>
            </w:pPr>
            <w:r>
              <w:rPr>
                <w:rFonts w:hint="default" w:ascii="黑体" w:hAnsi="黑体" w:eastAsia="黑体" w:cs="黑体"/>
                <w:color w:val="auto"/>
                <w:kern w:val="0"/>
                <w:sz w:val="18"/>
                <w:szCs w:val="18"/>
                <w:u w:val="none"/>
                <w:lang w:val="en-US" w:eastAsia="zh-CN" w:bidi="ar"/>
              </w:rPr>
              <w:t>财务负责人：</w:t>
            </w:r>
            <w:r>
              <w:rPr>
                <w:rFonts w:hint="eastAsia" w:ascii="黑体" w:hAnsi="黑体" w:eastAsia="黑体" w:cs="黑体"/>
                <w:color w:val="auto"/>
                <w:kern w:val="0"/>
                <w:sz w:val="18"/>
                <w:szCs w:val="18"/>
                <w:u w:val="none"/>
                <w:lang w:val="en-US" w:eastAsia="zh-CN" w:bidi="ar"/>
              </w:rPr>
              <w:t>毕波</w:t>
            </w:r>
          </w:p>
        </w:tc>
      </w:tr>
      <w:tr>
        <w:tblPrEx>
          <w:tblCellMar>
            <w:top w:w="0" w:type="dxa"/>
            <w:left w:w="108" w:type="dxa"/>
            <w:bottom w:w="0" w:type="dxa"/>
            <w:right w:w="108" w:type="dxa"/>
          </w:tblCellMar>
        </w:tblPrEx>
        <w:trPr>
          <w:gridAfter w:val="5"/>
          <w:wAfter w:w="325" w:type="dxa"/>
          <w:trHeight w:val="286" w:hRule="atLeast"/>
        </w:trPr>
        <w:tc>
          <w:tcPr>
            <w:tcW w:w="216"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817"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02"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248" w:type="dxa"/>
            <w:gridSpan w:val="6"/>
            <w:tcBorders>
              <w:top w:val="nil"/>
              <w:left w:val="nil"/>
              <w:bottom w:val="nil"/>
              <w:right w:val="nil"/>
            </w:tcBorders>
            <w:noWrap w:val="0"/>
            <w:vAlign w:val="center"/>
          </w:tcPr>
          <w:p>
            <w:pPr>
              <w:rPr>
                <w:rFonts w:hint="eastAsia" w:ascii="宋体" w:eastAsia="宋体" w:cs="宋体"/>
                <w:color w:val="000000"/>
                <w:sz w:val="18"/>
                <w:szCs w:val="18"/>
                <w:u w:val="none"/>
                <w:lang w:bidi="ar-SA"/>
              </w:rPr>
            </w:pPr>
          </w:p>
          <w:p>
            <w:pPr>
              <w:pStyle w:val="2"/>
              <w:rPr>
                <w:rFonts w:hint="eastAsia"/>
              </w:rPr>
            </w:pPr>
          </w:p>
        </w:tc>
        <w:tc>
          <w:tcPr>
            <w:tcW w:w="683"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79" w:type="dxa"/>
            <w:gridSpan w:val="5"/>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819"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212" w:type="dxa"/>
            <w:gridSpan w:val="10"/>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404" w:type="dxa"/>
            <w:gridSpan w:val="3"/>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173" w:type="dxa"/>
            <w:gridSpan w:val="7"/>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79"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000000"/>
                <w:sz w:val="30"/>
                <w:szCs w:val="30"/>
                <w:u w:val="none"/>
                <w:lang w:bidi="ar-SA"/>
              </w:rPr>
            </w:pPr>
            <w:r>
              <w:rPr>
                <w:rFonts w:hint="eastAsia" w:ascii="黑体" w:eastAsia="黑体" w:cs="黑体"/>
                <w:b/>
                <w:bCs/>
                <w:color w:val="000000"/>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51080022T000005823250-烈士陵园灾后重建项目和迁建工程扩建项目资金</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主管部门</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广元市退役军人事务局部门</w:t>
            </w:r>
          </w:p>
        </w:tc>
        <w:tc>
          <w:tcPr>
            <w:tcW w:w="4544" w:type="dxa"/>
            <w:gridSpan w:val="26"/>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支付续扩建项目（一期）项目附属工程历史欠款。</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eastAsia" w:ascii="宋体" w:eastAsia="宋体" w:cs="宋体"/>
                <w:color w:val="000000"/>
                <w:kern w:val="0"/>
                <w:sz w:val="18"/>
                <w:szCs w:val="18"/>
                <w:u w:val="none"/>
                <w:lang w:val="en-US" w:eastAsia="zh-CN" w:bidi="ar"/>
              </w:rPr>
              <w:t>支付续扩建项目（一期）项目附属工程历史欠款。</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根据《广元市财政局关于广元市烈士陵园灾后重建项目和迁建工程续扩建项目（一期）竣工财务决算批复的通知》（广财社〔2021〕87号）文件精神，支付续扩建项目（一期）项目附属工程历史欠款。</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59.71</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59.71</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59.71</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10</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default" w:ascii="黑体" w:hAnsi="黑体" w:eastAsia="黑体" w:cs="黑体"/>
                <w:i/>
                <w:iCs/>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59.71</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59.71</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59.71</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指标性质</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指标值</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产出指标</w:t>
            </w:r>
          </w:p>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bidi="ar-SA"/>
              </w:rPr>
            </w:p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历史欠款支付</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59.71</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万</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59.71</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17</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17</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质量指标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历史欠款支付完成度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17</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17</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时效指标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完成时间</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年</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16</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16</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效益指标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社会效益指标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对传承英烈精神的促进作用</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定性</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优良中低差</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kern w:val="2"/>
                <w:sz w:val="18"/>
                <w:szCs w:val="18"/>
                <w:u w:val="none"/>
                <w:lang w:val="en-US" w:eastAsia="zh-CN"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优</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30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30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满意度指标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服务对象满意度指标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群众对烈士陵园工作的满意度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98</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98</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合计</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6182" w:type="dxa"/>
            <w:gridSpan w:val="3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firstLine="6300" w:firstLineChars="3500"/>
              <w:jc w:val="righ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1100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0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评价结论</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auto"/>
                <w:kern w:val="0"/>
                <w:sz w:val="16"/>
                <w:szCs w:val="16"/>
                <w:u w:val="none"/>
                <w:lang w:val="en-US" w:eastAsia="zh-CN" w:bidi="ar"/>
              </w:rPr>
              <w:t>结合自评情况，项目自评总分100，结</w:t>
            </w:r>
            <w:r>
              <w:rPr>
                <w:rFonts w:hint="eastAsia" w:ascii="宋体" w:eastAsia="宋体" w:cs="宋体"/>
                <w:color w:val="000000"/>
                <w:kern w:val="0"/>
                <w:sz w:val="16"/>
                <w:szCs w:val="16"/>
                <w:u w:val="none"/>
                <w:lang w:val="en-US" w:eastAsia="zh-CN" w:bidi="ar"/>
              </w:rPr>
              <w:t>清了续扩建项目（一期）项目附属工程历史欠款。通过项目实施，更好地继承先烈遗志，传承英烈精神。群众对烈士陵园工作满意度达到98%以上。</w:t>
            </w:r>
          </w:p>
        </w:tc>
      </w:tr>
      <w:tr>
        <w:tblPrEx>
          <w:tblCellMar>
            <w:top w:w="0" w:type="dxa"/>
            <w:left w:w="108" w:type="dxa"/>
            <w:bottom w:w="0" w:type="dxa"/>
            <w:right w:w="108" w:type="dxa"/>
          </w:tblCellMar>
        </w:tblPrEx>
        <w:trPr>
          <w:gridBefore w:val="1"/>
          <w:gridAfter w:val="3"/>
          <w:wBefore w:w="216" w:type="dxa"/>
          <w:wAfter w:w="84" w:type="dxa"/>
          <w:trHeight w:val="572"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存在问题</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单位由于人力不足，绩效编制不够准确，测算标准有待细化。</w:t>
            </w:r>
          </w:p>
        </w:tc>
      </w:tr>
      <w:tr>
        <w:tblPrEx>
          <w:tblCellMar>
            <w:top w:w="0" w:type="dxa"/>
            <w:left w:w="108" w:type="dxa"/>
            <w:bottom w:w="0" w:type="dxa"/>
            <w:right w:w="108" w:type="dxa"/>
          </w:tblCellMar>
        </w:tblPrEx>
        <w:trPr>
          <w:gridBefore w:val="1"/>
          <w:gridAfter w:val="3"/>
          <w:wBefore w:w="216" w:type="dxa"/>
          <w:wAfter w:w="84" w:type="dxa"/>
          <w:trHeight w:val="63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改进措施</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在预算编制时参考上年度的预算编制、收支执行情况及根据本年度重点工作，细化编制预算，提高预算编制的科学性、严谨性和可控性。在上年支出基础上，结合实际，合理制定全年部门整体支出计划，为部门整体支出提供依据。严格按照计划执行，在保证资金使用安全前提下，加快资金使用进度，提高财政资金使用效益，有效提高我单位的整体支出率。定期开展资金支出进度自查，查找存在问题，及时反馈解决。</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项目负责人：</w:t>
            </w:r>
            <w:r>
              <w:rPr>
                <w:rFonts w:hint="eastAsia" w:ascii="黑体" w:hAnsi="黑体" w:eastAsia="黑体" w:cs="黑体"/>
                <w:color w:val="000000"/>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财务负责人：</w:t>
            </w:r>
            <w:r>
              <w:rPr>
                <w:rFonts w:hint="eastAsia" w:ascii="黑体" w:hAnsi="黑体" w:eastAsia="黑体" w:cs="黑体"/>
                <w:color w:val="000000"/>
                <w:kern w:val="0"/>
                <w:sz w:val="18"/>
                <w:szCs w:val="18"/>
                <w:u w:val="none"/>
                <w:lang w:val="en-US" w:eastAsia="zh-CN" w:bidi="ar"/>
              </w:rPr>
              <w:t>毕波</w:t>
            </w:r>
          </w:p>
        </w:tc>
      </w:tr>
      <w:tr>
        <w:tblPrEx>
          <w:tblCellMar>
            <w:top w:w="0" w:type="dxa"/>
            <w:left w:w="108" w:type="dxa"/>
            <w:bottom w:w="0" w:type="dxa"/>
            <w:right w:w="108" w:type="dxa"/>
          </w:tblCellMar>
        </w:tblPrEx>
        <w:trPr>
          <w:gridAfter w:val="5"/>
          <w:wAfter w:w="325" w:type="dxa"/>
          <w:trHeight w:val="286" w:hRule="atLeast"/>
        </w:trPr>
        <w:tc>
          <w:tcPr>
            <w:tcW w:w="216"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817"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02"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248" w:type="dxa"/>
            <w:gridSpan w:val="6"/>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83"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79" w:type="dxa"/>
            <w:gridSpan w:val="5"/>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819"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212" w:type="dxa"/>
            <w:gridSpan w:val="10"/>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404" w:type="dxa"/>
            <w:gridSpan w:val="3"/>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173" w:type="dxa"/>
            <w:gridSpan w:val="7"/>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79"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000000"/>
                <w:sz w:val="30"/>
                <w:szCs w:val="30"/>
                <w:u w:val="none"/>
                <w:lang w:bidi="ar-SA"/>
              </w:rPr>
            </w:pPr>
            <w:r>
              <w:rPr>
                <w:rFonts w:hint="eastAsia" w:ascii="黑体" w:eastAsia="黑体" w:cs="黑体"/>
                <w:b/>
                <w:bCs/>
                <w:color w:val="000000"/>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51080022T000006844716-政府购买服务（讲解员）</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主管部门</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广元市退役军人事务局部门</w:t>
            </w:r>
          </w:p>
        </w:tc>
        <w:tc>
          <w:tcPr>
            <w:tcW w:w="4544" w:type="dxa"/>
            <w:gridSpan w:val="26"/>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为到烈士陵园开展活动、参观的群众提供讲解服务。</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color w:val="000000"/>
                <w:sz w:val="18"/>
                <w:szCs w:val="18"/>
                <w:u w:val="none"/>
                <w:lang w:bidi="ar-SA"/>
              </w:rPr>
            </w:pPr>
            <w:r>
              <w:rPr>
                <w:rFonts w:hint="eastAsia" w:ascii="宋体" w:eastAsia="宋体" w:cs="宋体"/>
                <w:color w:val="000000"/>
                <w:kern w:val="0"/>
                <w:sz w:val="18"/>
                <w:szCs w:val="18"/>
                <w:u w:val="none"/>
                <w:lang w:val="en-US" w:eastAsia="zh-CN" w:bidi="ar"/>
              </w:rPr>
              <w:t>为到烈士陵园开展活动、参观的群众提供讲解服务。</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通过政府购买服务的方式配备专业讲解员，为到烈士陵园开展活动、参观的群众提供讲解服务。</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2.60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52.05%</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5</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黑体" w:eastAsia="黑体" w:cs="黑体"/>
                <w:i/>
                <w:iCs/>
                <w:color w:val="000000"/>
                <w:sz w:val="18"/>
                <w:szCs w:val="18"/>
                <w:u w:val="none"/>
                <w:lang w:bidi="ar-SA"/>
              </w:rPr>
            </w:pPr>
            <w:r>
              <w:rPr>
                <w:rFonts w:hint="default" w:ascii="黑体" w:hAnsi="黑体" w:eastAsia="黑体" w:cs="黑体"/>
                <w:i/>
                <w:iCs/>
                <w:color w:val="000000"/>
                <w:kern w:val="0"/>
                <w:sz w:val="18"/>
                <w:szCs w:val="18"/>
                <w:u w:val="none"/>
                <w:lang w:val="en-US" w:eastAsia="zh-CN" w:bidi="ar"/>
              </w:rPr>
              <w:t>1</w:t>
            </w:r>
            <w:r>
              <w:rPr>
                <w:rFonts w:hint="eastAsia" w:ascii="宋体" w:eastAsia="宋体" w:cs="宋体"/>
                <w:color w:val="000000"/>
                <w:kern w:val="0"/>
                <w:sz w:val="18"/>
                <w:szCs w:val="18"/>
                <w:u w:val="none"/>
                <w:lang w:val="en-US" w:eastAsia="zh-CN" w:bidi="ar"/>
              </w:rPr>
              <w:t>预算编制为全年5万元，实际7月开始实施该项目。</w:t>
            </w: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2.60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52.05%</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指标性质</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指标值</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产出指标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提供讲解服务接待人次</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5000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人次</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6000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17</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17</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质量指标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讲解工作完成度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17</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17</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时效指标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完成时间</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年</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16</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16</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效益指标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社会效益指标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对传承英烈精神的促进作用</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定性</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优良中低差</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kern w:val="2"/>
                <w:sz w:val="18"/>
                <w:szCs w:val="18"/>
                <w:u w:val="none"/>
                <w:lang w:val="en-US" w:eastAsia="zh-CN"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优</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30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30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满意度指标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服务对象满意度指标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群众对烈士陵园工作满意度</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98</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98</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kern w:val="2"/>
                <w:sz w:val="18"/>
                <w:szCs w:val="18"/>
                <w:u w:val="none"/>
                <w:lang w:val="en-US" w:eastAsia="zh-CN" w:bidi="ar-SA"/>
              </w:rPr>
            </w:pPr>
            <w:r>
              <w:rPr>
                <w:rFonts w:hint="eastAsia" w:ascii="宋体" w:eastAsia="宋体" w:cs="宋体"/>
                <w:color w:val="000000"/>
                <w:kern w:val="0"/>
                <w:sz w:val="18"/>
                <w:szCs w:val="18"/>
                <w:u w:val="none"/>
                <w:lang w:val="en-US" w:eastAsia="zh-CN" w:bidi="ar"/>
              </w:rPr>
              <w:t>10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eastAsia="微软雅黑" w:cs="微软雅黑"/>
                <w:i/>
                <w:iCs/>
                <w:color w:val="000000"/>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合计</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100</w:t>
            </w:r>
          </w:p>
        </w:tc>
        <w:tc>
          <w:tcPr>
            <w:tcW w:w="6182" w:type="dxa"/>
            <w:gridSpan w:val="31"/>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eastAsia="宋体" w:cs="宋体"/>
                <w:color w:val="000000"/>
                <w:sz w:val="18"/>
                <w:szCs w:val="18"/>
                <w:u w:val="none"/>
                <w:lang w:val="en-US" w:eastAsia="zh-CN" w:bidi="ar-SA"/>
              </w:rPr>
            </w:pPr>
            <w:r>
              <w:rPr>
                <w:rFonts w:hint="eastAsia" w:ascii="宋体" w:eastAsia="宋体" w:cs="宋体"/>
                <w:color w:val="000000"/>
                <w:sz w:val="18"/>
                <w:szCs w:val="18"/>
                <w:u w:val="none"/>
                <w:lang w:val="en-US" w:eastAsia="zh-CN" w:bidi="ar-SA"/>
              </w:rPr>
              <w:t>95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0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评价结论</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auto"/>
                <w:kern w:val="0"/>
                <w:sz w:val="16"/>
                <w:szCs w:val="16"/>
                <w:u w:val="none"/>
                <w:lang w:val="en-US" w:eastAsia="zh-CN" w:bidi="ar"/>
              </w:rPr>
              <w:t>结合自评情况，项目自评总分95，通过政府购买服务方式配备讲解员，为前来烈士陵园开展活动及参观的单位、学校及群众提供讲解服务。通过项目实施，讲好英烈</w:t>
            </w:r>
            <w:r>
              <w:rPr>
                <w:rFonts w:hint="eastAsia" w:ascii="宋体" w:eastAsia="宋体" w:cs="宋体"/>
                <w:color w:val="000000"/>
                <w:kern w:val="0"/>
                <w:sz w:val="16"/>
                <w:szCs w:val="16"/>
                <w:u w:val="none"/>
                <w:lang w:val="en-US" w:eastAsia="zh-CN" w:bidi="ar"/>
              </w:rPr>
              <w:t>故事、传承英烈精神。群众对烈士陵园工作满意度达到98%以上。</w:t>
            </w:r>
          </w:p>
        </w:tc>
      </w:tr>
      <w:tr>
        <w:tblPrEx>
          <w:tblCellMar>
            <w:top w:w="0" w:type="dxa"/>
            <w:left w:w="108" w:type="dxa"/>
            <w:bottom w:w="0" w:type="dxa"/>
            <w:right w:w="108" w:type="dxa"/>
          </w:tblCellMar>
        </w:tblPrEx>
        <w:trPr>
          <w:gridBefore w:val="1"/>
          <w:gridAfter w:val="3"/>
          <w:wBefore w:w="216" w:type="dxa"/>
          <w:wAfter w:w="84" w:type="dxa"/>
          <w:trHeight w:val="572"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存在问题</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项目统筹协调有待加强。</w:t>
            </w:r>
          </w:p>
        </w:tc>
      </w:tr>
      <w:tr>
        <w:tblPrEx>
          <w:tblCellMar>
            <w:top w:w="0" w:type="dxa"/>
            <w:left w:w="108" w:type="dxa"/>
            <w:bottom w:w="0" w:type="dxa"/>
            <w:right w:w="108" w:type="dxa"/>
          </w:tblCellMar>
        </w:tblPrEx>
        <w:trPr>
          <w:gridBefore w:val="1"/>
          <w:gridAfter w:val="3"/>
          <w:wBefore w:w="216" w:type="dxa"/>
          <w:wAfter w:w="84" w:type="dxa"/>
          <w:trHeight w:val="63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改进措施</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微软雅黑" w:eastAsia="微软雅黑" w:cs="微软雅黑"/>
                <w:i/>
                <w:iCs/>
                <w:color w:val="000000"/>
                <w:sz w:val="16"/>
                <w:szCs w:val="16"/>
                <w:u w:val="none"/>
                <w:lang w:bidi="ar-SA"/>
              </w:rPr>
            </w:pPr>
            <w:r>
              <w:rPr>
                <w:rFonts w:hint="eastAsia" w:ascii="宋体" w:eastAsia="宋体" w:cs="宋体"/>
                <w:color w:val="000000"/>
                <w:kern w:val="0"/>
                <w:sz w:val="16"/>
                <w:szCs w:val="16"/>
                <w:u w:val="none"/>
                <w:lang w:val="en-US" w:eastAsia="zh-CN" w:bidi="ar"/>
              </w:rPr>
              <w:t>在预算编制时参考上年度的预算编制、收支执行情况及根据本年度重点工作，细化编制预算，提高预算编制的科学性、严谨性和可控性。在上年支出基础上，结合实际，合理制定全年部门整体支出计划，为部门整体支出提供依据。严格按照计划执行，在保证资金使用安全前提下，加快资金使用进度，提高财政资金使用效益，有效提高我单位的整体支出率。定期开展资金支出进度自查，查找存在问题，及时反馈解决。</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项目负责人：</w:t>
            </w:r>
            <w:r>
              <w:rPr>
                <w:rFonts w:hint="eastAsia" w:ascii="黑体" w:hAnsi="黑体" w:eastAsia="黑体" w:cs="黑体"/>
                <w:color w:val="000000"/>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财务负责人：</w:t>
            </w:r>
            <w:r>
              <w:rPr>
                <w:rFonts w:hint="eastAsia" w:ascii="黑体" w:hAnsi="黑体" w:eastAsia="黑体" w:cs="黑体"/>
                <w:color w:val="000000"/>
                <w:kern w:val="0"/>
                <w:sz w:val="18"/>
                <w:szCs w:val="18"/>
                <w:u w:val="none"/>
                <w:lang w:val="en-US" w:eastAsia="zh-CN" w:bidi="ar"/>
              </w:rPr>
              <w:t>毕波</w:t>
            </w:r>
          </w:p>
        </w:tc>
      </w:tr>
      <w:tr>
        <w:tblPrEx>
          <w:tblCellMar>
            <w:top w:w="0" w:type="dxa"/>
            <w:left w:w="108" w:type="dxa"/>
            <w:bottom w:w="0" w:type="dxa"/>
            <w:right w:w="108" w:type="dxa"/>
          </w:tblCellMar>
        </w:tblPrEx>
        <w:trPr>
          <w:gridAfter w:val="5"/>
          <w:wAfter w:w="325" w:type="dxa"/>
          <w:trHeight w:val="286" w:hRule="atLeast"/>
        </w:trPr>
        <w:tc>
          <w:tcPr>
            <w:tcW w:w="216"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817"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02"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248" w:type="dxa"/>
            <w:gridSpan w:val="6"/>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83"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79" w:type="dxa"/>
            <w:gridSpan w:val="5"/>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819"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212" w:type="dxa"/>
            <w:gridSpan w:val="10"/>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404" w:type="dxa"/>
            <w:gridSpan w:val="3"/>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173" w:type="dxa"/>
            <w:gridSpan w:val="7"/>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79" w:type="dxa"/>
            <w:gridSpan w:val="4"/>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000000"/>
                <w:sz w:val="30"/>
                <w:szCs w:val="30"/>
                <w:u w:val="none"/>
                <w:lang w:bidi="ar-SA"/>
              </w:rPr>
            </w:pPr>
            <w:r>
              <w:rPr>
                <w:rFonts w:hint="eastAsia" w:ascii="黑体" w:eastAsia="黑体" w:cs="黑体"/>
                <w:b/>
                <w:bCs/>
                <w:color w:val="000000"/>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51080022Y000000267568-定额公用经费（事业）</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主管部门</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广元市退役军人事务局部门</w:t>
            </w:r>
          </w:p>
        </w:tc>
        <w:tc>
          <w:tcPr>
            <w:tcW w:w="4544" w:type="dxa"/>
            <w:gridSpan w:val="26"/>
            <w:tcBorders>
              <w:top w:val="nil"/>
              <w:left w:val="nil"/>
              <w:bottom w:val="nil"/>
              <w:right w:val="nil"/>
            </w:tcBorders>
            <w:noWrap w:val="0"/>
            <w:vAlign w:val="center"/>
          </w:tcPr>
          <w:p>
            <w:pPr>
              <w:keepNext w:val="0"/>
              <w:keepLines w:val="0"/>
              <w:widowControl/>
              <w:suppressLineNumbers w:val="0"/>
              <w:spacing w:line="200" w:lineRule="exact"/>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保障单位日常运转，提高预算编制质量，严格执行预算</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left"/>
              <w:textAlignment w:val="center"/>
              <w:rPr>
                <w:rFonts w:hint="default" w:ascii="黑体" w:hAnsi="黑体" w:eastAsia="黑体" w:cs="黑体"/>
                <w:color w:val="000000"/>
                <w:sz w:val="18"/>
                <w:szCs w:val="18"/>
                <w:u w:val="none"/>
                <w:lang w:bidi="ar-SA"/>
              </w:rPr>
            </w:pPr>
            <w:r>
              <w:rPr>
                <w:rFonts w:hint="eastAsia" w:ascii="宋体" w:eastAsia="宋体" w:cs="宋体"/>
                <w:color w:val="000000"/>
                <w:kern w:val="0"/>
                <w:sz w:val="18"/>
                <w:szCs w:val="18"/>
                <w:u w:val="none"/>
                <w:lang w:val="en-US" w:eastAsia="zh-CN" w:bidi="ar"/>
              </w:rPr>
              <w:t>保障单位日常运转，提高预算编制质量，严格执行预算</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left"/>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spacing w:line="200" w:lineRule="exact"/>
              <w:rPr>
                <w:rFonts w:hint="eastAsia" w:ascii="宋体" w:eastAsia="宋体" w:cs="宋体"/>
                <w:color w:val="000000"/>
                <w:sz w:val="18"/>
                <w:szCs w:val="18"/>
                <w:u w:val="none"/>
                <w:lang w:bidi="ar-SA"/>
              </w:rPr>
            </w:pPr>
            <w:r>
              <w:rPr>
                <w:rFonts w:hint="eastAsia" w:ascii="宋体" w:cs="宋体"/>
                <w:color w:val="000000"/>
                <w:kern w:val="0"/>
                <w:sz w:val="18"/>
                <w:szCs w:val="18"/>
                <w:u w:val="none"/>
                <w:lang w:val="en-US" w:eastAsia="zh-CN" w:bidi="ar"/>
              </w:rPr>
              <w:t>严格各项开支，保障单位日常运转。</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4.80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4.80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4.65</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96.85%</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spacing w:line="200" w:lineRule="exact"/>
              <w:jc w:val="center"/>
              <w:rPr>
                <w:rFonts w:hint="eastAsia" w:ascii="宋体" w:eastAsia="宋体" w:cs="宋体"/>
                <w:color w:val="000000"/>
                <w:sz w:val="18"/>
                <w:szCs w:val="18"/>
                <w:u w:val="none"/>
                <w:lang w:val="en-US" w:eastAsia="zh-CN" w:bidi="ar-SA"/>
              </w:rPr>
            </w:pPr>
            <w:r>
              <w:rPr>
                <w:rFonts w:hint="eastAsia" w:ascii="宋体" w:cs="宋体"/>
                <w:color w:val="000000"/>
                <w:sz w:val="18"/>
                <w:szCs w:val="18"/>
                <w:u w:val="none"/>
                <w:lang w:val="en-US" w:eastAsia="zh-CN" w:bidi="ar-SA"/>
              </w:rPr>
              <w:t>9</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left"/>
              <w:textAlignment w:val="center"/>
              <w:rPr>
                <w:rFonts w:hint="default" w:ascii="黑体" w:hAnsi="黑体" w:eastAsia="黑体" w:cs="黑体"/>
                <w:i/>
                <w:iCs/>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4.80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4.80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4.65</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96.85%</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spacing w:line="200" w:lineRule="exact"/>
              <w:jc w:val="center"/>
              <w:rPr>
                <w:rFonts w:hint="eastAsia" w:ascii="微软雅黑" w:eastAsia="微软雅黑" w:cs="微软雅黑"/>
                <w:i/>
                <w:iCs/>
                <w:color w:val="000000"/>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spacing w:line="200" w:lineRule="exact"/>
              <w:jc w:val="center"/>
              <w:rPr>
                <w:rFonts w:hint="eastAsia" w:ascii="微软雅黑" w:eastAsia="微软雅黑" w:cs="微软雅黑"/>
                <w:i/>
                <w:iCs/>
                <w:color w:val="000000"/>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spacing w:line="200" w:lineRule="exact"/>
              <w:jc w:val="center"/>
              <w:rPr>
                <w:rFonts w:hint="eastAsia" w:ascii="微软雅黑" w:eastAsia="微软雅黑" w:cs="微软雅黑"/>
                <w:i/>
                <w:iCs/>
                <w:color w:val="000000"/>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spacing w:line="200" w:lineRule="exact"/>
              <w:jc w:val="center"/>
              <w:rPr>
                <w:rFonts w:hint="eastAsia" w:ascii="微软雅黑" w:eastAsia="微软雅黑" w:cs="微软雅黑"/>
                <w:i/>
                <w:iCs/>
                <w:color w:val="000000"/>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三级指标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指标性质</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指标值</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产出指标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科目调整次数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10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次</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spacing w:line="200" w:lineRule="exact"/>
              <w:jc w:val="center"/>
              <w:rPr>
                <w:rFonts w:hint="eastAsia" w:ascii="微软雅黑" w:eastAsia="微软雅黑" w:cs="微软雅黑"/>
                <w:i/>
                <w:iCs/>
                <w:color w:val="auto"/>
                <w:sz w:val="16"/>
                <w:szCs w:val="16"/>
                <w:u w:val="none"/>
                <w:lang w:val="en-US" w:eastAsia="zh-CN" w:bidi="ar-SA"/>
              </w:rPr>
            </w:pPr>
            <w:r>
              <w:rPr>
                <w:rFonts w:hint="eastAsia" w:ascii="微软雅黑" w:eastAsia="微软雅黑" w:cs="微软雅黑"/>
                <w:i/>
                <w:iCs/>
                <w:color w:val="auto"/>
                <w:sz w:val="16"/>
                <w:szCs w:val="16"/>
                <w:u w:val="none"/>
                <w:lang w:val="en-US" w:eastAsia="zh-CN" w:bidi="ar-SA"/>
              </w:rPr>
              <w:t>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spacing w:line="200" w:lineRule="exact"/>
              <w:jc w:val="center"/>
              <w:rPr>
                <w:rFonts w:hint="eastAsia" w:ascii="宋体" w:eastAsia="宋体" w:cs="宋体"/>
                <w:color w:val="auto"/>
                <w:sz w:val="18"/>
                <w:szCs w:val="18"/>
                <w:u w:val="none"/>
                <w:lang w:val="en-US" w:eastAsia="zh-CN" w:bidi="ar-SA"/>
              </w:rPr>
            </w:pPr>
            <w:r>
              <w:rPr>
                <w:rFonts w:hint="eastAsia" w:ascii="宋体" w:cs="宋体"/>
                <w:color w:val="auto"/>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spacing w:line="200" w:lineRule="exact"/>
              <w:jc w:val="center"/>
              <w:rPr>
                <w:rFonts w:hint="eastAsia" w:ascii="微软雅黑" w:eastAsia="微软雅黑" w:cs="微软雅黑"/>
                <w:i/>
                <w:iCs/>
                <w:color w:val="auto"/>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7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质量指标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预算编制准确率（计算方法为：∣（执行数-预算数）/预算数∣）</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5</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spacing w:line="200" w:lineRule="exact"/>
              <w:jc w:val="center"/>
              <w:rPr>
                <w:rFonts w:hint="eastAsia" w:ascii="微软雅黑" w:eastAsia="微软雅黑" w:cs="微软雅黑"/>
                <w:i/>
                <w:iCs/>
                <w:color w:val="auto"/>
                <w:sz w:val="16"/>
                <w:szCs w:val="16"/>
                <w:u w:val="none"/>
                <w:lang w:bidi="ar-SA"/>
              </w:rPr>
            </w:pPr>
            <w:r>
              <w:rPr>
                <w:rFonts w:hint="eastAsia" w:ascii="微软雅黑" w:eastAsia="微软雅黑" w:cs="微软雅黑"/>
                <w:i/>
                <w:iCs/>
                <w:color w:val="auto"/>
                <w:sz w:val="16"/>
                <w:szCs w:val="16"/>
                <w:u w:val="none"/>
                <w:lang w:bidi="ar-SA"/>
              </w:rPr>
              <w:t>3.13</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spacing w:line="200" w:lineRule="exact"/>
              <w:jc w:val="center"/>
              <w:rPr>
                <w:rFonts w:hint="eastAsia" w:ascii="宋体" w:eastAsia="宋体" w:cs="宋体"/>
                <w:color w:val="auto"/>
                <w:sz w:val="18"/>
                <w:szCs w:val="18"/>
                <w:u w:val="none"/>
                <w:lang w:bidi="ar-SA"/>
              </w:rPr>
            </w:pPr>
            <w:r>
              <w:rPr>
                <w:rFonts w:hint="eastAsia" w:ascii="宋体" w:eastAsia="宋体" w:cs="宋体"/>
                <w:color w:val="auto"/>
                <w:sz w:val="18"/>
                <w:szCs w:val="18"/>
                <w:u w:val="none"/>
                <w:lang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spacing w:line="200" w:lineRule="exact"/>
              <w:jc w:val="center"/>
              <w:rPr>
                <w:rFonts w:hint="eastAsia" w:ascii="微软雅黑" w:eastAsia="微软雅黑" w:cs="微软雅黑"/>
                <w:i/>
                <w:iCs/>
                <w:color w:val="auto"/>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效益指标</w:t>
            </w:r>
          </w:p>
        </w:tc>
        <w:tc>
          <w:tcPr>
            <w:tcW w:w="958" w:type="dxa"/>
            <w:gridSpan w:val="4"/>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经济效益指标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运转保障率</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spacing w:line="200" w:lineRule="exact"/>
              <w:jc w:val="center"/>
              <w:rPr>
                <w:rFonts w:hint="eastAsia" w:ascii="微软雅黑" w:eastAsia="微软雅黑" w:cs="微软雅黑"/>
                <w:i/>
                <w:iCs/>
                <w:color w:val="auto"/>
                <w:sz w:val="16"/>
                <w:szCs w:val="16"/>
                <w:u w:val="none"/>
                <w:lang w:val="en-US" w:eastAsia="zh-CN" w:bidi="ar-SA"/>
              </w:rPr>
            </w:pPr>
            <w:r>
              <w:rPr>
                <w:rFonts w:hint="eastAsia" w:ascii="微软雅黑" w:eastAsia="微软雅黑" w:cs="微软雅黑"/>
                <w:i/>
                <w:iCs/>
                <w:color w:val="auto"/>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spacing w:line="200" w:lineRule="exact"/>
              <w:jc w:val="center"/>
              <w:rPr>
                <w:rFonts w:hint="eastAsia" w:ascii="宋体" w:eastAsia="宋体" w:cs="宋体"/>
                <w:color w:val="auto"/>
                <w:sz w:val="18"/>
                <w:szCs w:val="18"/>
                <w:u w:val="none"/>
                <w:lang w:val="en-US" w:eastAsia="zh-CN" w:bidi="ar-SA"/>
              </w:rPr>
            </w:pPr>
            <w:r>
              <w:rPr>
                <w:rFonts w:hint="eastAsia" w:ascii="宋体" w:cs="宋体"/>
                <w:color w:val="auto"/>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spacing w:line="200" w:lineRule="exact"/>
              <w:jc w:val="center"/>
              <w:rPr>
                <w:rFonts w:hint="eastAsia" w:ascii="微软雅黑" w:eastAsia="微软雅黑" w:cs="微软雅黑"/>
                <w:i/>
                <w:iCs/>
                <w:color w:val="auto"/>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tc>
        <w:tc>
          <w:tcPr>
            <w:tcW w:w="938" w:type="dxa"/>
            <w:gridSpan w:val="4"/>
            <w:vMerge w:val="continue"/>
            <w:tcBorders>
              <w:left w:val="single" w:color="000000" w:sz="4" w:space="0"/>
              <w:right w:val="single" w:color="000000" w:sz="4" w:space="0"/>
            </w:tcBorders>
            <w:noWrap w:val="0"/>
            <w:vAlign w:val="center"/>
          </w:tcPr>
          <w:p>
            <w:pPr>
              <w:spacing w:line="200" w:lineRule="exact"/>
              <w:jc w:val="center"/>
              <w:rPr>
                <w:rFonts w:hint="eastAsia" w:ascii="宋体" w:eastAsia="宋体" w:cs="宋体"/>
                <w:color w:val="auto"/>
                <w:sz w:val="18"/>
                <w:szCs w:val="18"/>
                <w:u w:val="none"/>
                <w:lang w:bidi="ar-SA"/>
              </w:rPr>
            </w:pPr>
          </w:p>
        </w:tc>
        <w:tc>
          <w:tcPr>
            <w:tcW w:w="958" w:type="dxa"/>
            <w:gridSpan w:val="4"/>
            <w:vMerge w:val="continue"/>
            <w:tcBorders>
              <w:left w:val="single" w:color="000000" w:sz="4" w:space="0"/>
              <w:right w:val="single" w:color="000000" w:sz="4" w:space="0"/>
            </w:tcBorders>
            <w:noWrap w:val="0"/>
            <w:vAlign w:val="center"/>
          </w:tcPr>
          <w:p>
            <w:pPr>
              <w:spacing w:line="200" w:lineRule="exact"/>
              <w:jc w:val="center"/>
              <w:rPr>
                <w:rFonts w:hint="eastAsia" w:ascii="宋体" w:eastAsia="宋体" w:cs="宋体"/>
                <w:color w:val="auto"/>
                <w:sz w:val="18"/>
                <w:szCs w:val="18"/>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“三公经费”控制率[计算方法为：（三公经费实际支出数/预算安排数]×100%）</w:t>
            </w:r>
          </w:p>
        </w:tc>
        <w:tc>
          <w:tcPr>
            <w:tcW w:w="5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6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spacing w:line="200" w:lineRule="exact"/>
              <w:jc w:val="center"/>
              <w:rPr>
                <w:rFonts w:hint="default" w:ascii="微软雅黑" w:eastAsia="微软雅黑" w:cs="微软雅黑"/>
                <w:i/>
                <w:iCs/>
                <w:color w:val="auto"/>
                <w:sz w:val="16"/>
                <w:szCs w:val="16"/>
                <w:u w:val="none"/>
                <w:lang w:val="en-US" w:eastAsia="zh-CN" w:bidi="ar-SA"/>
              </w:rPr>
            </w:pPr>
            <w:r>
              <w:rPr>
                <w:rFonts w:hint="eastAsia" w:ascii="微软雅黑" w:eastAsia="微软雅黑" w:cs="微软雅黑"/>
                <w:i/>
                <w:iCs/>
                <w:color w:val="auto"/>
                <w:sz w:val="16"/>
                <w:szCs w:val="16"/>
                <w:u w:val="none"/>
                <w:lang w:val="en-US" w:eastAsia="zh-CN" w:bidi="ar-SA"/>
              </w:rPr>
              <w:t>25</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spacing w:line="200" w:lineRule="exact"/>
              <w:jc w:val="center"/>
              <w:rPr>
                <w:rFonts w:hint="default" w:ascii="宋体" w:eastAsia="宋体" w:cs="宋体"/>
                <w:color w:val="auto"/>
                <w:sz w:val="18"/>
                <w:szCs w:val="18"/>
                <w:u w:val="none"/>
                <w:lang w:val="en-US" w:eastAsia="zh-CN" w:bidi="ar-SA"/>
              </w:rPr>
            </w:pPr>
            <w:r>
              <w:rPr>
                <w:rFonts w:hint="eastAsia" w:ascii="宋体" w:cs="宋体"/>
                <w:color w:val="auto"/>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spacing w:line="200" w:lineRule="exact"/>
              <w:jc w:val="center"/>
              <w:rPr>
                <w:rFonts w:hint="eastAsia" w:ascii="微软雅黑" w:eastAsia="微软雅黑" w:cs="微软雅黑"/>
                <w:i/>
                <w:iCs/>
                <w:color w:val="auto"/>
                <w:sz w:val="16"/>
                <w:szCs w:val="16"/>
                <w:u w:val="none"/>
                <w:lang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000000"/>
                <w:sz w:val="18"/>
                <w:szCs w:val="18"/>
                <w:u w:val="none"/>
                <w:lang w:bidi="ar-SA"/>
              </w:rPr>
            </w:pPr>
            <w:r>
              <w:rPr>
                <w:rFonts w:hint="eastAsia" w:ascii="宋体" w:eastAsia="宋体" w:cs="宋体"/>
                <w:color w:val="000000"/>
                <w:kern w:val="0"/>
                <w:sz w:val="18"/>
                <w:szCs w:val="18"/>
                <w:u w:val="none"/>
                <w:lang w:val="en-US" w:eastAsia="zh-CN" w:bidi="ar"/>
              </w:rPr>
              <w:t>合计</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100</w:t>
            </w:r>
          </w:p>
        </w:tc>
        <w:tc>
          <w:tcPr>
            <w:tcW w:w="6182" w:type="dxa"/>
            <w:gridSpan w:val="31"/>
            <w:tcBorders>
              <w:top w:val="single" w:color="000000" w:sz="4" w:space="0"/>
              <w:left w:val="single" w:color="000000" w:sz="4" w:space="0"/>
              <w:bottom w:val="single" w:color="000000" w:sz="4" w:space="0"/>
              <w:right w:val="single" w:color="000000" w:sz="4" w:space="0"/>
            </w:tcBorders>
            <w:noWrap w:val="0"/>
            <w:vAlign w:val="center"/>
          </w:tcPr>
          <w:p>
            <w:pPr>
              <w:spacing w:line="200" w:lineRule="exact"/>
              <w:jc w:val="right"/>
              <w:rPr>
                <w:rFonts w:hint="default" w:ascii="宋体" w:eastAsia="宋体" w:cs="宋体"/>
                <w:color w:val="auto"/>
                <w:sz w:val="18"/>
                <w:szCs w:val="18"/>
                <w:u w:val="none"/>
                <w:lang w:val="en-US" w:eastAsia="zh-CN" w:bidi="ar-SA"/>
              </w:rPr>
            </w:pPr>
            <w:r>
              <w:rPr>
                <w:rFonts w:hint="eastAsia" w:ascii="宋体" w:cs="宋体"/>
                <w:color w:val="auto"/>
                <w:sz w:val="18"/>
                <w:szCs w:val="18"/>
                <w:u w:val="none"/>
                <w:lang w:val="en-US" w:eastAsia="zh-CN" w:bidi="ar-SA"/>
              </w:rPr>
              <w:t>100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spacing w:line="200" w:lineRule="exact"/>
              <w:rPr>
                <w:rFonts w:hint="eastAsia" w:ascii="宋体" w:eastAsia="宋体" w:cs="宋体"/>
                <w:color w:val="auto"/>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0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评价结论</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left"/>
              <w:textAlignment w:val="center"/>
              <w:rPr>
                <w:rFonts w:hint="eastAsia" w:ascii="微软雅黑" w:eastAsia="微软雅黑" w:cs="微软雅黑"/>
                <w:i/>
                <w:iCs/>
                <w:color w:val="auto"/>
                <w:sz w:val="16"/>
                <w:szCs w:val="16"/>
                <w:u w:val="none"/>
                <w:lang w:bidi="ar-SA"/>
              </w:rPr>
            </w:pPr>
            <w:r>
              <w:rPr>
                <w:rFonts w:hint="eastAsia" w:ascii="微软雅黑" w:eastAsia="微软雅黑" w:cs="微软雅黑"/>
                <w:i/>
                <w:iCs/>
                <w:color w:val="auto"/>
                <w:kern w:val="0"/>
                <w:sz w:val="16"/>
                <w:szCs w:val="16"/>
                <w:u w:val="none"/>
                <w:lang w:val="en-US" w:eastAsia="zh-CN" w:bidi="ar"/>
              </w:rPr>
              <w:t>结合自评情况，项目自评总分100，通过项目实施，保障单位日常运转。</w:t>
            </w:r>
          </w:p>
        </w:tc>
      </w:tr>
      <w:tr>
        <w:tblPrEx>
          <w:tblCellMar>
            <w:top w:w="0" w:type="dxa"/>
            <w:left w:w="108" w:type="dxa"/>
            <w:bottom w:w="0" w:type="dxa"/>
            <w:right w:w="108" w:type="dxa"/>
          </w:tblCellMar>
        </w:tblPrEx>
        <w:trPr>
          <w:gridBefore w:val="1"/>
          <w:gridAfter w:val="3"/>
          <w:wBefore w:w="216" w:type="dxa"/>
          <w:wAfter w:w="84" w:type="dxa"/>
          <w:trHeight w:val="572"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存在问题</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微软雅黑" w:eastAsia="微软雅黑" w:cs="微软雅黑"/>
                <w:i/>
                <w:iCs/>
                <w:color w:val="auto"/>
                <w:sz w:val="16"/>
                <w:szCs w:val="16"/>
                <w:u w:val="none"/>
                <w:lang w:bidi="ar-SA"/>
              </w:rPr>
            </w:pPr>
            <w:r>
              <w:rPr>
                <w:rFonts w:hint="eastAsia" w:ascii="宋体" w:cs="宋体"/>
                <w:color w:val="auto"/>
                <w:kern w:val="0"/>
                <w:sz w:val="16"/>
                <w:szCs w:val="16"/>
                <w:u w:val="none"/>
                <w:lang w:val="en-US" w:eastAsia="zh-CN" w:bidi="ar"/>
              </w:rPr>
              <w:t>无</w:t>
            </w:r>
          </w:p>
        </w:tc>
      </w:tr>
      <w:tr>
        <w:tblPrEx>
          <w:tblCellMar>
            <w:top w:w="0" w:type="dxa"/>
            <w:left w:w="108" w:type="dxa"/>
            <w:bottom w:w="0" w:type="dxa"/>
            <w:right w:w="108" w:type="dxa"/>
          </w:tblCellMar>
        </w:tblPrEx>
        <w:trPr>
          <w:gridBefore w:val="1"/>
          <w:gridAfter w:val="3"/>
          <w:wBefore w:w="216" w:type="dxa"/>
          <w:wAfter w:w="84" w:type="dxa"/>
          <w:trHeight w:val="633" w:hRule="atLeast"/>
        </w:trPr>
        <w:tc>
          <w:tcPr>
            <w:tcW w:w="8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改进措施</w:t>
            </w:r>
          </w:p>
        </w:tc>
        <w:tc>
          <w:tcPr>
            <w:tcW w:w="8340" w:type="dxa"/>
            <w:gridSpan w:val="4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微软雅黑" w:eastAsia="微软雅黑" w:cs="微软雅黑"/>
                <w:i/>
                <w:iCs/>
                <w:color w:val="auto"/>
                <w:sz w:val="16"/>
                <w:szCs w:val="16"/>
                <w:u w:val="none"/>
                <w:lang w:bidi="ar-SA"/>
              </w:rPr>
            </w:pPr>
            <w:r>
              <w:rPr>
                <w:rFonts w:hint="eastAsia" w:ascii="宋体" w:cs="宋体"/>
                <w:color w:val="auto"/>
                <w:kern w:val="0"/>
                <w:sz w:val="16"/>
                <w:szCs w:val="16"/>
                <w:u w:val="none"/>
                <w:lang w:val="en-US" w:eastAsia="zh-CN" w:bidi="ar"/>
              </w:rPr>
              <w:t>无</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229"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项目负责人：</w:t>
            </w:r>
            <w:r>
              <w:rPr>
                <w:rFonts w:hint="eastAsia" w:ascii="黑体" w:hAnsi="黑体" w:eastAsia="黑体" w:cs="黑体"/>
                <w:color w:val="000000"/>
                <w:kern w:val="0"/>
                <w:sz w:val="18"/>
                <w:szCs w:val="18"/>
                <w:u w:val="none"/>
                <w:lang w:val="en-US" w:eastAsia="zh-CN" w:bidi="ar"/>
              </w:rPr>
              <w:t>蒲海波</w:t>
            </w:r>
          </w:p>
        </w:tc>
        <w:tc>
          <w:tcPr>
            <w:tcW w:w="4928" w:type="dxa"/>
            <w:gridSpan w:val="2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000000"/>
                <w:sz w:val="18"/>
                <w:szCs w:val="18"/>
                <w:u w:val="none"/>
                <w:lang w:bidi="ar-SA"/>
              </w:rPr>
            </w:pPr>
            <w:r>
              <w:rPr>
                <w:rFonts w:hint="default" w:ascii="黑体" w:hAnsi="黑体" w:eastAsia="黑体" w:cs="黑体"/>
                <w:color w:val="000000"/>
                <w:kern w:val="0"/>
                <w:sz w:val="18"/>
                <w:szCs w:val="18"/>
                <w:u w:val="none"/>
                <w:lang w:val="en-US" w:eastAsia="zh-CN" w:bidi="ar"/>
              </w:rPr>
              <w:t>财务负责人：</w:t>
            </w:r>
            <w:r>
              <w:rPr>
                <w:rFonts w:hint="eastAsia" w:ascii="黑体" w:hAnsi="黑体" w:eastAsia="黑体" w:cs="黑体"/>
                <w:color w:val="000000"/>
                <w:kern w:val="0"/>
                <w:sz w:val="18"/>
                <w:szCs w:val="18"/>
                <w:u w:val="none"/>
                <w:lang w:val="en-US" w:eastAsia="zh-CN" w:bidi="ar"/>
              </w:rPr>
              <w:t>毕波</w:t>
            </w:r>
          </w:p>
        </w:tc>
      </w:tr>
      <w:tr>
        <w:tblPrEx>
          <w:tblCellMar>
            <w:top w:w="0" w:type="dxa"/>
            <w:left w:w="108" w:type="dxa"/>
            <w:bottom w:w="0" w:type="dxa"/>
            <w:right w:w="108" w:type="dxa"/>
          </w:tblCellMar>
        </w:tblPrEx>
        <w:trPr>
          <w:gridBefore w:val="1"/>
          <w:wBefore w:w="216" w:type="dxa"/>
          <w:trHeight w:val="286" w:hRule="atLeast"/>
        </w:trPr>
        <w:tc>
          <w:tcPr>
            <w:tcW w:w="817"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02"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478" w:type="dxa"/>
            <w:gridSpan w:val="3"/>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751" w:type="dxa"/>
            <w:gridSpan w:val="7"/>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40"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1026" w:type="dxa"/>
            <w:gridSpan w:val="7"/>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337"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18" w:type="dxa"/>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877" w:type="dxa"/>
            <w:gridSpan w:val="1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220" w:type="dxa"/>
            <w:gridSpan w:val="2"/>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c>
          <w:tcPr>
            <w:tcW w:w="675" w:type="dxa"/>
            <w:gridSpan w:val="10"/>
            <w:tcBorders>
              <w:top w:val="nil"/>
              <w:left w:val="nil"/>
              <w:bottom w:val="nil"/>
              <w:right w:val="nil"/>
            </w:tcBorders>
            <w:noWrap w:val="0"/>
            <w:vAlign w:val="center"/>
          </w:tcPr>
          <w:p>
            <w:pPr>
              <w:rPr>
                <w:rFonts w:hint="eastAsia" w:ascii="宋体" w:eastAsia="宋体" w:cs="宋体"/>
                <w:color w:val="000000"/>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904" w:hRule="atLeast"/>
        </w:trPr>
        <w:tc>
          <w:tcPr>
            <w:tcW w:w="9157" w:type="dxa"/>
            <w:gridSpan w:val="4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eastAsia="黑体" w:cs="黑体"/>
                <w:b/>
                <w:bCs/>
                <w:color w:val="auto"/>
                <w:sz w:val="30"/>
                <w:szCs w:val="30"/>
                <w:u w:val="none"/>
                <w:lang w:bidi="ar-SA"/>
              </w:rPr>
            </w:pPr>
            <w:r>
              <w:rPr>
                <w:rFonts w:hint="eastAsia" w:ascii="黑体" w:eastAsia="黑体" w:cs="黑体"/>
                <w:b/>
                <w:bCs/>
                <w:color w:val="auto"/>
                <w:kern w:val="0"/>
                <w:sz w:val="30"/>
                <w:szCs w:val="30"/>
                <w:u w:val="none"/>
                <w:lang w:val="en-US" w:eastAsia="zh-CN" w:bidi="ar"/>
              </w:rPr>
              <w:t>部门预算项目支出绩效自评表（2022年度）</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170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项目名称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51080023R000007612345-规范后市级基础绩效奖及生活补助</w:t>
            </w:r>
          </w:p>
        </w:tc>
      </w:tr>
      <w:tr>
        <w:tblPrEx>
          <w:tblCellMar>
            <w:top w:w="0" w:type="dxa"/>
            <w:left w:w="108" w:type="dxa"/>
            <w:bottom w:w="0" w:type="dxa"/>
            <w:right w:w="108" w:type="dxa"/>
          </w:tblCellMar>
        </w:tblPrEx>
        <w:trPr>
          <w:gridBefore w:val="1"/>
          <w:gridAfter w:val="3"/>
          <w:wBefore w:w="216" w:type="dxa"/>
          <w:wAfter w:w="84" w:type="dxa"/>
          <w:trHeight w:val="51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主管部门</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广元市退役军人事务局部门</w:t>
            </w:r>
          </w:p>
        </w:tc>
        <w:tc>
          <w:tcPr>
            <w:tcW w:w="4544" w:type="dxa"/>
            <w:gridSpan w:val="26"/>
            <w:tcBorders>
              <w:top w:val="nil"/>
              <w:left w:val="nil"/>
              <w:bottom w:val="nil"/>
              <w:right w:val="nil"/>
            </w:tcBorders>
            <w:noWrap w:val="0"/>
            <w:vAlign w:val="center"/>
          </w:tcPr>
          <w:p>
            <w:pPr>
              <w:keepNext w:val="0"/>
              <w:keepLines w:val="0"/>
              <w:widowControl/>
              <w:suppressLineNumbers w:val="0"/>
              <w:jc w:val="left"/>
              <w:textAlignment w:val="center"/>
              <w:rPr>
                <w:rFonts w:hint="default" w:ascii="黑体" w:hAnsi="黑体" w:eastAsia="黑体" w:cs="黑体"/>
                <w:color w:val="auto"/>
                <w:sz w:val="18"/>
                <w:szCs w:val="18"/>
                <w:u w:val="none"/>
                <w:lang w:bidi="ar-SA"/>
              </w:rPr>
            </w:pPr>
            <w:r>
              <w:rPr>
                <w:rFonts w:hint="default" w:ascii="黑体" w:hAnsi="黑体" w:eastAsia="黑体" w:cs="黑体"/>
                <w:color w:val="auto"/>
                <w:kern w:val="0"/>
                <w:sz w:val="18"/>
                <w:szCs w:val="18"/>
                <w:u w:val="none"/>
                <w:lang w:val="en-US" w:eastAsia="zh-CN" w:bidi="ar"/>
              </w:rPr>
              <w:t>实施单位 （盖章）</w:t>
            </w:r>
          </w:p>
        </w:tc>
        <w:tc>
          <w:tcPr>
            <w:tcW w:w="2904"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广元市烈士陵园管理所</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项目基本情况</w:t>
            </w:r>
          </w:p>
        </w:tc>
        <w:tc>
          <w:tcPr>
            <w:tcW w:w="938"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1.项目年度目标完成情况</w:t>
            </w: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项目年度目标</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黑体" w:hAnsi="黑体" w:eastAsia="黑体" w:cs="黑体"/>
                <w:color w:val="auto"/>
                <w:sz w:val="18"/>
                <w:szCs w:val="18"/>
                <w:u w:val="none"/>
                <w:lang w:bidi="ar-SA"/>
              </w:rPr>
            </w:pPr>
            <w:r>
              <w:rPr>
                <w:rFonts w:hint="default" w:ascii="黑体" w:hAnsi="黑体" w:eastAsia="黑体" w:cs="黑体"/>
                <w:color w:val="auto"/>
                <w:kern w:val="0"/>
                <w:sz w:val="18"/>
                <w:szCs w:val="18"/>
                <w:u w:val="none"/>
                <w:lang w:val="en-US" w:eastAsia="zh-CN" w:bidi="ar"/>
              </w:rPr>
              <w:t>年度目标完成情况</w:t>
            </w:r>
          </w:p>
        </w:tc>
      </w:tr>
      <w:tr>
        <w:tblPrEx>
          <w:tblCellMar>
            <w:top w:w="0" w:type="dxa"/>
            <w:left w:w="108" w:type="dxa"/>
            <w:bottom w:w="0" w:type="dxa"/>
            <w:right w:w="108" w:type="dxa"/>
          </w:tblCellMar>
        </w:tblPrEx>
        <w:trPr>
          <w:gridBefore w:val="1"/>
          <w:gridAfter w:val="3"/>
          <w:wBefore w:w="216" w:type="dxa"/>
          <w:wAfter w:w="84" w:type="dxa"/>
          <w:trHeight w:val="708"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938"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3760" w:type="dxa"/>
            <w:gridSpan w:val="20"/>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eastAsia="宋体" w:cs="宋体"/>
                <w:color w:val="auto"/>
                <w:sz w:val="18"/>
                <w:szCs w:val="18"/>
                <w:u w:val="none"/>
                <w:lang w:eastAsia="zh-CN" w:bidi="ar-SA"/>
              </w:rPr>
            </w:pPr>
            <w:r>
              <w:rPr>
                <w:rFonts w:hint="eastAsia" w:ascii="宋体" w:cs="宋体"/>
                <w:color w:val="auto"/>
                <w:sz w:val="18"/>
                <w:szCs w:val="18"/>
                <w:u w:val="none"/>
                <w:lang w:eastAsia="zh-CN" w:bidi="ar-SA"/>
              </w:rPr>
              <w:t>足额发放</w:t>
            </w:r>
            <w:r>
              <w:rPr>
                <w:rFonts w:hint="eastAsia" w:ascii="宋体" w:cs="宋体"/>
                <w:color w:val="auto"/>
                <w:sz w:val="18"/>
                <w:szCs w:val="18"/>
                <w:u w:val="none"/>
                <w:lang w:val="en-US" w:eastAsia="zh-CN" w:bidi="ar-SA"/>
              </w:rPr>
              <w:t>2021年度绩效</w:t>
            </w:r>
            <w:r>
              <w:rPr>
                <w:rFonts w:hint="eastAsia" w:ascii="宋体" w:cs="宋体"/>
                <w:color w:val="auto"/>
                <w:sz w:val="18"/>
                <w:szCs w:val="18"/>
                <w:u w:val="none"/>
                <w:lang w:eastAsia="zh-CN" w:bidi="ar-SA"/>
              </w:rPr>
              <w:t>考核奖。</w:t>
            </w:r>
          </w:p>
        </w:tc>
        <w:tc>
          <w:tcPr>
            <w:tcW w:w="3688" w:type="dxa"/>
            <w:gridSpan w:val="2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宋体" w:cs="黑体"/>
                <w:color w:val="auto"/>
                <w:sz w:val="18"/>
                <w:szCs w:val="18"/>
                <w:u w:val="none"/>
                <w:lang w:eastAsia="zh-CN" w:bidi="ar-SA"/>
              </w:rPr>
            </w:pPr>
            <w:r>
              <w:rPr>
                <w:rFonts w:hint="eastAsia" w:ascii="宋体" w:cs="宋体"/>
                <w:color w:val="auto"/>
                <w:sz w:val="18"/>
                <w:szCs w:val="18"/>
                <w:u w:val="none"/>
                <w:lang w:eastAsia="zh-CN" w:bidi="ar-SA"/>
              </w:rPr>
              <w:t>足额发放</w:t>
            </w:r>
            <w:r>
              <w:rPr>
                <w:rFonts w:hint="eastAsia" w:ascii="宋体" w:cs="宋体"/>
                <w:color w:val="auto"/>
                <w:sz w:val="18"/>
                <w:szCs w:val="18"/>
                <w:u w:val="none"/>
                <w:lang w:val="en-US" w:eastAsia="zh-CN" w:bidi="ar-SA"/>
              </w:rPr>
              <w:t>2021年度绩效</w:t>
            </w:r>
            <w:r>
              <w:rPr>
                <w:rFonts w:hint="eastAsia" w:ascii="宋体" w:cs="宋体"/>
                <w:color w:val="auto"/>
                <w:sz w:val="18"/>
                <w:szCs w:val="18"/>
                <w:u w:val="none"/>
                <w:lang w:eastAsia="zh-CN" w:bidi="ar-SA"/>
              </w:rPr>
              <w:t>考核奖。</w:t>
            </w:r>
          </w:p>
        </w:tc>
      </w:tr>
      <w:tr>
        <w:tblPrEx>
          <w:tblCellMar>
            <w:top w:w="0" w:type="dxa"/>
            <w:left w:w="108" w:type="dxa"/>
            <w:bottom w:w="0" w:type="dxa"/>
            <w:right w:w="108" w:type="dxa"/>
          </w:tblCellMar>
        </w:tblPrEx>
        <w:trPr>
          <w:gridBefore w:val="1"/>
          <w:gridAfter w:val="3"/>
          <w:wBefore w:w="216" w:type="dxa"/>
          <w:wAfter w:w="84" w:type="dxa"/>
          <w:trHeight w:val="693"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2.项目实施内容及过程概述</w:t>
            </w:r>
          </w:p>
        </w:tc>
        <w:tc>
          <w:tcPr>
            <w:tcW w:w="7448" w:type="dxa"/>
            <w:gridSpan w:val="41"/>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eastAsia="宋体" w:cs="宋体"/>
                <w:color w:val="auto"/>
                <w:sz w:val="18"/>
                <w:szCs w:val="18"/>
                <w:u w:val="none"/>
                <w:lang w:eastAsia="zh-CN" w:bidi="ar-SA"/>
              </w:rPr>
            </w:pPr>
            <w:r>
              <w:rPr>
                <w:rFonts w:hint="eastAsia" w:ascii="宋体" w:cs="宋体"/>
                <w:color w:val="auto"/>
                <w:sz w:val="18"/>
                <w:szCs w:val="18"/>
                <w:u w:val="none"/>
                <w:lang w:eastAsia="zh-CN" w:bidi="ar-SA"/>
              </w:rPr>
              <w:t>按标准足额发放</w:t>
            </w:r>
            <w:r>
              <w:rPr>
                <w:rFonts w:hint="eastAsia" w:ascii="宋体" w:cs="宋体"/>
                <w:color w:val="auto"/>
                <w:sz w:val="18"/>
                <w:szCs w:val="18"/>
                <w:u w:val="none"/>
                <w:lang w:val="en-US" w:eastAsia="zh-CN" w:bidi="ar-SA"/>
              </w:rPr>
              <w:t>2021年度绩效</w:t>
            </w:r>
            <w:r>
              <w:rPr>
                <w:rFonts w:hint="eastAsia" w:ascii="宋体" w:cs="宋体"/>
                <w:color w:val="auto"/>
                <w:sz w:val="18"/>
                <w:szCs w:val="18"/>
                <w:u w:val="none"/>
                <w:lang w:eastAsia="zh-CN" w:bidi="ar-SA"/>
              </w:rPr>
              <w:t>考核奖。</w:t>
            </w:r>
          </w:p>
        </w:tc>
      </w:tr>
      <w:tr>
        <w:tblPrEx>
          <w:tblCellMar>
            <w:top w:w="0" w:type="dxa"/>
            <w:left w:w="108" w:type="dxa"/>
            <w:bottom w:w="0" w:type="dxa"/>
            <w:right w:w="108" w:type="dxa"/>
          </w:tblCellMar>
        </w:tblPrEx>
        <w:trPr>
          <w:gridBefore w:val="1"/>
          <w:gridAfter w:val="3"/>
          <w:wBefore w:w="216" w:type="dxa"/>
          <w:wAfter w:w="84" w:type="dxa"/>
          <w:trHeight w:val="361"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预算执行情况（10分）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年度预算数（万元）</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年初预算</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调整后预算数</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预算执行数</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预算执行率</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原因</w:t>
            </w:r>
          </w:p>
        </w:tc>
      </w:tr>
      <w:tr>
        <w:tblPrEx>
          <w:tblCellMar>
            <w:top w:w="0" w:type="dxa"/>
            <w:left w:w="108" w:type="dxa"/>
            <w:bottom w:w="0" w:type="dxa"/>
            <w:right w:w="108" w:type="dxa"/>
          </w:tblCellMar>
        </w:tblPrEx>
        <w:trPr>
          <w:gridBefore w:val="1"/>
          <w:gridAfter w:val="3"/>
          <w:wBefore w:w="216" w:type="dxa"/>
          <w:wAfter w:w="84" w:type="dxa"/>
          <w:trHeight w:val="38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总额</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2.98</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2.59</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87.10%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10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eastAsia="宋体" w:cs="宋体"/>
                <w:color w:val="auto"/>
                <w:sz w:val="18"/>
                <w:szCs w:val="18"/>
                <w:u w:val="none"/>
                <w:lang w:val="en-US" w:eastAsia="zh-CN" w:bidi="ar-SA"/>
              </w:rPr>
            </w:pPr>
            <w:r>
              <w:rPr>
                <w:rFonts w:hint="eastAsia" w:ascii="宋体" w:cs="宋体"/>
                <w:color w:val="auto"/>
                <w:sz w:val="18"/>
                <w:szCs w:val="18"/>
                <w:u w:val="none"/>
                <w:lang w:val="en-US" w:eastAsia="zh-CN" w:bidi="ar-SA"/>
              </w:rPr>
              <w:t>8.7</w:t>
            </w:r>
          </w:p>
        </w:tc>
        <w:tc>
          <w:tcPr>
            <w:tcW w:w="1266"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i/>
                <w:iCs/>
                <w:color w:val="auto"/>
                <w:sz w:val="18"/>
                <w:szCs w:val="18"/>
                <w:u w:val="none"/>
                <w:lang w:val="en-US" w:bidi="ar-SA"/>
              </w:rPr>
            </w:pPr>
            <w:r>
              <w:rPr>
                <w:rFonts w:hint="eastAsia" w:ascii="黑体" w:hAnsi="黑体" w:eastAsia="黑体" w:cs="黑体"/>
                <w:i/>
                <w:iCs/>
                <w:color w:val="auto"/>
                <w:kern w:val="0"/>
                <w:sz w:val="18"/>
                <w:szCs w:val="18"/>
                <w:u w:val="none"/>
                <w:lang w:val="en-US" w:eastAsia="zh-CN" w:bidi="ar"/>
              </w:rPr>
              <w:t>按标准足额发放2021年度绩效考核奖后剩余资金。</w:t>
            </w:r>
          </w:p>
        </w:tc>
      </w:tr>
      <w:tr>
        <w:tblPrEx>
          <w:tblCellMar>
            <w:top w:w="0" w:type="dxa"/>
            <w:left w:w="108" w:type="dxa"/>
            <w:bottom w:w="0" w:type="dxa"/>
            <w:right w:w="108" w:type="dxa"/>
          </w:tblCellMar>
        </w:tblPrEx>
        <w:trPr>
          <w:gridBefore w:val="1"/>
          <w:gridAfter w:val="3"/>
          <w:wBefore w:w="216" w:type="dxa"/>
          <w:wAfter w:w="84" w:type="dxa"/>
          <w:trHeight w:val="43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其中：财政资金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2.98</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2.59</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87.10%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r>
      <w:tr>
        <w:tblPrEx>
          <w:tblCellMar>
            <w:top w:w="0" w:type="dxa"/>
            <w:left w:w="108" w:type="dxa"/>
            <w:bottom w:w="0" w:type="dxa"/>
            <w:right w:w="108" w:type="dxa"/>
          </w:tblCellMar>
        </w:tblPrEx>
        <w:trPr>
          <w:gridBefore w:val="1"/>
          <w:gridAfter w:val="3"/>
          <w:wBefore w:w="216" w:type="dxa"/>
          <w:wAfter w:w="84" w:type="dxa"/>
          <w:trHeight w:val="447"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财政专户管理资金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r>
      <w:tr>
        <w:tblPrEx>
          <w:tblCellMar>
            <w:top w:w="0" w:type="dxa"/>
            <w:left w:w="108" w:type="dxa"/>
            <w:bottom w:w="0" w:type="dxa"/>
            <w:right w:w="108" w:type="dxa"/>
          </w:tblCellMar>
        </w:tblPrEx>
        <w:trPr>
          <w:gridBefore w:val="1"/>
          <w:gridAfter w:val="3"/>
          <w:wBefore w:w="216" w:type="dxa"/>
          <w:wAfter w:w="84" w:type="dxa"/>
          <w:trHeight w:val="402"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单位资金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0.00%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r>
      <w:tr>
        <w:tblPrEx>
          <w:tblCellMar>
            <w:top w:w="0" w:type="dxa"/>
            <w:left w:w="108" w:type="dxa"/>
            <w:bottom w:w="0" w:type="dxa"/>
            <w:right w:w="108" w:type="dxa"/>
          </w:tblCellMar>
        </w:tblPrEx>
        <w:trPr>
          <w:gridBefore w:val="1"/>
          <w:gridAfter w:val="3"/>
          <w:wBefore w:w="216" w:type="dxa"/>
          <w:wAfter w:w="84" w:type="dxa"/>
          <w:trHeight w:val="37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其他资金</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auto"/>
                <w:sz w:val="16"/>
                <w:szCs w:val="16"/>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auto"/>
                <w:sz w:val="16"/>
                <w:szCs w:val="16"/>
                <w:u w:val="none"/>
                <w:lang w:bidi="ar-SA"/>
              </w:rPr>
            </w:pPr>
          </w:p>
        </w:tc>
        <w:tc>
          <w:tcPr>
            <w:tcW w:w="1821" w:type="dxa"/>
            <w:gridSpan w:val="1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auto"/>
                <w:sz w:val="16"/>
                <w:szCs w:val="16"/>
                <w:u w:val="none"/>
                <w:lang w:bidi="ar-SA"/>
              </w:rPr>
            </w:pP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eastAsia="微软雅黑" w:cs="微软雅黑"/>
                <w:i/>
                <w:iCs/>
                <w:color w:val="auto"/>
                <w:sz w:val="16"/>
                <w:szCs w:val="16"/>
                <w:u w:val="none"/>
                <w:lang w:bidi="ar-SA"/>
              </w:rPr>
            </w:pP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w:t>
            </w:r>
          </w:p>
        </w:tc>
        <w:tc>
          <w:tcPr>
            <w:tcW w:w="1266"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r>
      <w:tr>
        <w:tblPrEx>
          <w:tblCellMar>
            <w:top w:w="0" w:type="dxa"/>
            <w:left w:w="108" w:type="dxa"/>
            <w:bottom w:w="0" w:type="dxa"/>
            <w:right w:w="108" w:type="dxa"/>
          </w:tblCellMar>
        </w:tblPrEx>
        <w:trPr>
          <w:gridBefore w:val="1"/>
          <w:gridAfter w:val="3"/>
          <w:wBefore w:w="216" w:type="dxa"/>
          <w:wAfter w:w="84" w:type="dxa"/>
          <w:trHeight w:val="452"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绩效指标（90分）</w:t>
            </w: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一级指标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二级指标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三级指标</w:t>
            </w:r>
          </w:p>
        </w:tc>
        <w:tc>
          <w:tcPr>
            <w:tcW w:w="70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指标性质</w:t>
            </w:r>
          </w:p>
        </w:tc>
        <w:tc>
          <w:tcPr>
            <w:tcW w:w="53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指标值</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度量单位</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完成值</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权重</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得分</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未完成原因分析</w:t>
            </w: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938" w:type="dxa"/>
            <w:gridSpan w:val="4"/>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产出指标</w:t>
            </w:r>
          </w:p>
        </w:tc>
        <w:tc>
          <w:tcPr>
            <w:tcW w:w="958" w:type="dxa"/>
            <w:gridSpan w:val="4"/>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数量指标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足额保障率</w:t>
            </w:r>
          </w:p>
        </w:tc>
        <w:tc>
          <w:tcPr>
            <w:tcW w:w="70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w:t>
            </w:r>
          </w:p>
        </w:tc>
        <w:tc>
          <w:tcPr>
            <w:tcW w:w="53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hAnsi="Calibri" w:eastAsia="微软雅黑" w:cs="微软雅黑"/>
                <w:i/>
                <w:iCs/>
                <w:color w:val="auto"/>
                <w:kern w:val="2"/>
                <w:sz w:val="16"/>
                <w:szCs w:val="16"/>
                <w:u w:val="none"/>
                <w:lang w:val="en-US" w:eastAsia="zh-CN" w:bidi="ar-SA"/>
              </w:rPr>
            </w:pPr>
            <w:r>
              <w:rPr>
                <w:rFonts w:hint="eastAsia" w:ascii="微软雅黑" w:eastAsia="微软雅黑" w:cs="微软雅黑"/>
                <w:i/>
                <w:iCs/>
                <w:color w:val="auto"/>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Calibri" w:eastAsia="微软雅黑" w:cs="微软雅黑"/>
                <w:i/>
                <w:iCs/>
                <w:color w:val="auto"/>
                <w:kern w:val="2"/>
                <w:sz w:val="16"/>
                <w:szCs w:val="16"/>
                <w:u w:val="none"/>
                <w:lang w:val="en-US" w:eastAsia="zh-CN"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938" w:type="dxa"/>
            <w:gridSpan w:val="4"/>
            <w:vMerge w:val="continue"/>
            <w:tcBorders>
              <w:left w:val="single" w:color="000000" w:sz="4" w:space="0"/>
              <w:right w:val="single" w:color="000000" w:sz="4" w:space="0"/>
            </w:tcBorders>
            <w:noWrap w:val="0"/>
            <w:vAlign w:val="center"/>
          </w:tcPr>
          <w:p>
            <w:pPr>
              <w:jc w:val="center"/>
              <w:rPr>
                <w:rFonts w:hint="eastAsia" w:ascii="宋体" w:eastAsia="宋体" w:cs="宋体"/>
                <w:color w:val="auto"/>
                <w:sz w:val="18"/>
                <w:szCs w:val="18"/>
                <w:u w:val="none"/>
                <w:lang w:bidi="ar-SA"/>
              </w:rPr>
            </w:pPr>
          </w:p>
        </w:tc>
        <w:tc>
          <w:tcPr>
            <w:tcW w:w="958" w:type="dxa"/>
            <w:gridSpan w:val="4"/>
            <w:vMerge w:val="continue"/>
            <w:tcBorders>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auto"/>
                <w:sz w:val="18"/>
                <w:szCs w:val="18"/>
                <w:u w:val="none"/>
                <w:lang w:bidi="ar-SA"/>
              </w:rPr>
            </w:pP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科目调整次数</w:t>
            </w:r>
          </w:p>
        </w:tc>
        <w:tc>
          <w:tcPr>
            <w:tcW w:w="70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w:t>
            </w:r>
          </w:p>
        </w:tc>
        <w:tc>
          <w:tcPr>
            <w:tcW w:w="53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10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次</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hAnsi="Calibri" w:eastAsia="微软雅黑" w:cs="微软雅黑"/>
                <w:i/>
                <w:iCs/>
                <w:color w:val="auto"/>
                <w:kern w:val="2"/>
                <w:sz w:val="16"/>
                <w:szCs w:val="16"/>
                <w:u w:val="none"/>
                <w:lang w:val="en-US" w:eastAsia="zh-CN" w:bidi="ar-SA"/>
              </w:rPr>
            </w:pPr>
            <w:r>
              <w:rPr>
                <w:rFonts w:hint="eastAsia" w:ascii="微软雅黑" w:eastAsia="微软雅黑" w:cs="微软雅黑"/>
                <w:i/>
                <w:iCs/>
                <w:color w:val="auto"/>
                <w:sz w:val="16"/>
                <w:szCs w:val="16"/>
                <w:u w:val="none"/>
                <w:lang w:bidi="ar-SA"/>
              </w:rPr>
              <w:t>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sz w:val="18"/>
                <w:szCs w:val="18"/>
                <w:u w:val="none"/>
                <w:lang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Calibri" w:eastAsia="微软雅黑" w:cs="微软雅黑"/>
                <w:i/>
                <w:iCs/>
                <w:color w:val="auto"/>
                <w:kern w:val="2"/>
                <w:sz w:val="16"/>
                <w:szCs w:val="16"/>
                <w:u w:val="none"/>
                <w:lang w:val="en-US" w:eastAsia="zh-CN"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938" w:type="dxa"/>
            <w:gridSpan w:val="4"/>
            <w:vMerge w:val="continue"/>
            <w:tcBorders>
              <w:left w:val="single" w:color="000000" w:sz="4" w:space="0"/>
              <w:bottom w:val="single" w:color="000000" w:sz="4" w:space="0"/>
              <w:right w:val="single" w:color="000000" w:sz="4" w:space="0"/>
            </w:tcBorders>
            <w:noWrap w:val="0"/>
            <w:vAlign w:val="center"/>
          </w:tcPr>
          <w:p>
            <w:pPr>
              <w:jc w:val="center"/>
              <w:rPr>
                <w:rFonts w:hint="eastAsia" w:ascii="宋体" w:eastAsia="宋体" w:cs="宋体"/>
                <w:color w:val="auto"/>
                <w:sz w:val="18"/>
                <w:szCs w:val="18"/>
                <w:u w:val="none"/>
                <w:lang w:bidi="ar-SA"/>
              </w:rPr>
            </w:pP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时效指标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按时缴纳率</w:t>
            </w:r>
          </w:p>
        </w:tc>
        <w:tc>
          <w:tcPr>
            <w:tcW w:w="70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w:t>
            </w:r>
          </w:p>
        </w:tc>
        <w:tc>
          <w:tcPr>
            <w:tcW w:w="53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100</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微软雅黑" w:hAnsi="Calibri" w:eastAsia="微软雅黑" w:cs="微软雅黑"/>
                <w:i/>
                <w:iCs/>
                <w:color w:val="auto"/>
                <w:kern w:val="2"/>
                <w:sz w:val="16"/>
                <w:szCs w:val="16"/>
                <w:u w:val="none"/>
                <w:lang w:val="en-US" w:eastAsia="zh-CN" w:bidi="ar-SA"/>
              </w:rPr>
            </w:pPr>
            <w:r>
              <w:rPr>
                <w:rFonts w:hint="eastAsia" w:ascii="微软雅黑" w:eastAsia="微软雅黑" w:cs="微软雅黑"/>
                <w:i/>
                <w:iCs/>
                <w:color w:val="auto"/>
                <w:sz w:val="16"/>
                <w:szCs w:val="16"/>
                <w:u w:val="none"/>
                <w:lang w:val="en-US" w:eastAsia="zh-CN" w:bidi="ar-SA"/>
              </w:rPr>
              <w:t>100</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sz w:val="18"/>
                <w:szCs w:val="18"/>
                <w:u w:val="none"/>
                <w:lang w:val="en-US" w:eastAsia="zh-CN" w:bidi="ar-SA"/>
              </w:rPr>
              <w:t>22.5</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Calibri" w:eastAsia="微软雅黑" w:cs="微软雅黑"/>
                <w:i/>
                <w:iCs/>
                <w:color w:val="auto"/>
                <w:kern w:val="2"/>
                <w:sz w:val="16"/>
                <w:szCs w:val="16"/>
                <w:u w:val="none"/>
                <w:lang w:val="en-US" w:eastAsia="zh-CN" w:bidi="ar-SA"/>
              </w:rPr>
            </w:pPr>
          </w:p>
        </w:tc>
      </w:tr>
      <w:tr>
        <w:tblPrEx>
          <w:tblCellMar>
            <w:top w:w="0" w:type="dxa"/>
            <w:left w:w="108" w:type="dxa"/>
            <w:bottom w:w="0" w:type="dxa"/>
            <w:right w:w="108" w:type="dxa"/>
          </w:tblCellMar>
        </w:tblPrEx>
        <w:trPr>
          <w:gridBefore w:val="1"/>
          <w:gridAfter w:val="3"/>
          <w:wBefore w:w="216" w:type="dxa"/>
          <w:wAfter w:w="84" w:type="dxa"/>
          <w:trHeight w:val="339"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color w:val="auto"/>
              </w:rPr>
            </w:pPr>
          </w:p>
        </w:tc>
        <w:tc>
          <w:tcPr>
            <w:tcW w:w="93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效益指标</w:t>
            </w:r>
          </w:p>
        </w:tc>
        <w:tc>
          <w:tcPr>
            <w:tcW w:w="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经济效益指标</w:t>
            </w:r>
          </w:p>
        </w:tc>
        <w:tc>
          <w:tcPr>
            <w:tcW w:w="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结余率（计算方法为：结余数/预算数）</w:t>
            </w:r>
          </w:p>
        </w:tc>
        <w:tc>
          <w:tcPr>
            <w:tcW w:w="70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w:t>
            </w:r>
          </w:p>
        </w:tc>
        <w:tc>
          <w:tcPr>
            <w:tcW w:w="53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5</w:t>
            </w:r>
          </w:p>
        </w:tc>
        <w:tc>
          <w:tcPr>
            <w:tcW w:w="5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w:t>
            </w:r>
          </w:p>
        </w:tc>
        <w:tc>
          <w:tcPr>
            <w:tcW w:w="7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default" w:ascii="微软雅黑" w:hAnsi="Calibri" w:eastAsia="微软雅黑" w:cs="微软雅黑"/>
                <w:i/>
                <w:iCs/>
                <w:color w:val="auto"/>
                <w:kern w:val="2"/>
                <w:sz w:val="16"/>
                <w:szCs w:val="16"/>
                <w:u w:val="none"/>
                <w:lang w:val="en-US" w:eastAsia="zh-CN" w:bidi="ar-SA"/>
              </w:rPr>
            </w:pPr>
            <w:r>
              <w:rPr>
                <w:rFonts w:hint="eastAsia" w:ascii="微软雅黑" w:eastAsia="微软雅黑" w:cs="微软雅黑"/>
                <w:i/>
                <w:iCs/>
                <w:color w:val="auto"/>
                <w:sz w:val="16"/>
                <w:szCs w:val="16"/>
                <w:u w:val="none"/>
                <w:lang w:val="en-US" w:eastAsia="zh-CN" w:bidi="ar-SA"/>
              </w:rPr>
              <w:t>13.09</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Calibri" w:eastAsia="宋体" w:cs="宋体"/>
                <w:color w:val="auto"/>
                <w:kern w:val="2"/>
                <w:sz w:val="18"/>
                <w:szCs w:val="18"/>
                <w:u w:val="none"/>
                <w:lang w:val="en-US" w:eastAsia="zh-CN" w:bidi="ar-SA"/>
              </w:rPr>
            </w:pPr>
            <w:r>
              <w:rPr>
                <w:rFonts w:hint="eastAsia" w:ascii="宋体" w:eastAsia="宋体" w:cs="宋体"/>
                <w:color w:val="auto"/>
                <w:kern w:val="0"/>
                <w:sz w:val="18"/>
                <w:szCs w:val="18"/>
                <w:u w:val="none"/>
                <w:lang w:val="en-US" w:eastAsia="zh-CN" w:bidi="ar"/>
              </w:rPr>
              <w:t>22.5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default" w:ascii="宋体" w:hAnsi="Calibri" w:eastAsia="宋体" w:cs="宋体"/>
                <w:color w:val="auto"/>
                <w:kern w:val="2"/>
                <w:sz w:val="18"/>
                <w:szCs w:val="18"/>
                <w:u w:val="none"/>
                <w:lang w:val="en-US" w:eastAsia="zh-CN" w:bidi="ar-SA"/>
              </w:rPr>
            </w:pPr>
            <w:r>
              <w:rPr>
                <w:rFonts w:hint="eastAsia" w:ascii="宋体" w:cs="宋体"/>
                <w:color w:val="auto"/>
                <w:sz w:val="18"/>
                <w:szCs w:val="18"/>
                <w:u w:val="none"/>
                <w:lang w:val="en-US" w:eastAsia="zh-CN" w:bidi="ar-SA"/>
              </w:rPr>
              <w:t>20</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Calibri" w:eastAsia="微软雅黑" w:cs="微软雅黑"/>
                <w:i/>
                <w:iCs/>
                <w:color w:val="auto"/>
                <w:kern w:val="2"/>
                <w:sz w:val="16"/>
                <w:szCs w:val="16"/>
                <w:u w:val="none"/>
                <w:lang w:val="en-US" w:eastAsia="zh-CN" w:bidi="ar-SA"/>
              </w:rPr>
            </w:pP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6253" w:type="dxa"/>
            <w:gridSpan w:val="3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合计</w:t>
            </w:r>
          </w:p>
        </w:tc>
        <w:tc>
          <w:tcPr>
            <w:tcW w:w="9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100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eastAsia="宋体" w:cs="宋体"/>
                <w:color w:val="auto"/>
                <w:sz w:val="18"/>
                <w:szCs w:val="18"/>
                <w:u w:val="none"/>
                <w:lang w:val="en-US" w:eastAsia="zh-CN" w:bidi="ar-SA"/>
              </w:rPr>
            </w:pPr>
            <w:r>
              <w:rPr>
                <w:rFonts w:hint="eastAsia" w:ascii="宋体" w:cs="宋体"/>
                <w:color w:val="auto"/>
                <w:sz w:val="18"/>
                <w:szCs w:val="18"/>
                <w:u w:val="none"/>
                <w:lang w:val="en-US" w:eastAsia="zh-CN" w:bidi="ar-SA"/>
              </w:rPr>
              <w:t>96.2</w:t>
            </w:r>
          </w:p>
        </w:tc>
        <w:tc>
          <w:tcPr>
            <w:tcW w:w="1266" w:type="dxa"/>
            <w:gridSpan w:val="10"/>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eastAsia="宋体" w:cs="宋体"/>
                <w:color w:val="auto"/>
                <w:sz w:val="18"/>
                <w:szCs w:val="18"/>
                <w:u w:val="none"/>
                <w:lang w:bidi="ar-SA"/>
              </w:rPr>
            </w:pPr>
          </w:p>
        </w:tc>
      </w:tr>
      <w:tr>
        <w:tblPrEx>
          <w:tblCellMar>
            <w:top w:w="0" w:type="dxa"/>
            <w:left w:w="108" w:type="dxa"/>
            <w:bottom w:w="0" w:type="dxa"/>
            <w:right w:w="108" w:type="dxa"/>
          </w:tblCellMar>
        </w:tblPrEx>
        <w:trPr>
          <w:gridBefore w:val="1"/>
          <w:gridAfter w:val="3"/>
          <w:wBefore w:w="216" w:type="dxa"/>
          <w:wAfter w:w="84" w:type="dxa"/>
          <w:trHeight w:val="603"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评价结论</w:t>
            </w:r>
          </w:p>
        </w:tc>
        <w:tc>
          <w:tcPr>
            <w:tcW w:w="8386" w:type="dxa"/>
            <w:gridSpan w:val="4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微软雅黑" w:eastAsia="微软雅黑" w:cs="微软雅黑"/>
                <w:i/>
                <w:iCs/>
                <w:color w:val="auto"/>
                <w:sz w:val="16"/>
                <w:szCs w:val="16"/>
                <w:u w:val="none"/>
                <w:lang w:val="en-US" w:bidi="ar-SA"/>
              </w:rPr>
            </w:pPr>
            <w:r>
              <w:rPr>
                <w:rFonts w:hint="eastAsia" w:ascii="微软雅黑" w:eastAsia="微软雅黑" w:cs="微软雅黑"/>
                <w:i/>
                <w:iCs/>
                <w:color w:val="auto"/>
                <w:kern w:val="0"/>
                <w:sz w:val="16"/>
                <w:szCs w:val="16"/>
                <w:u w:val="none"/>
                <w:lang w:val="en-US" w:eastAsia="zh-CN" w:bidi="ar"/>
              </w:rPr>
              <w:t>结合自评情况，项目自评总分96.2，按标准足额发放2021年度绩效考核奖。</w:t>
            </w:r>
          </w:p>
        </w:tc>
      </w:tr>
      <w:tr>
        <w:tblPrEx>
          <w:tblCellMar>
            <w:top w:w="0" w:type="dxa"/>
            <w:left w:w="108" w:type="dxa"/>
            <w:bottom w:w="0" w:type="dxa"/>
            <w:right w:w="108" w:type="dxa"/>
          </w:tblCellMar>
        </w:tblPrEx>
        <w:trPr>
          <w:gridBefore w:val="1"/>
          <w:gridAfter w:val="3"/>
          <w:wBefore w:w="216" w:type="dxa"/>
          <w:wAfter w:w="84" w:type="dxa"/>
          <w:trHeight w:val="572"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存在问题</w:t>
            </w:r>
          </w:p>
        </w:tc>
        <w:tc>
          <w:tcPr>
            <w:tcW w:w="8386" w:type="dxa"/>
            <w:gridSpan w:val="4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eastAsia="微软雅黑" w:cs="微软雅黑"/>
                <w:i/>
                <w:iCs/>
                <w:color w:val="auto"/>
                <w:sz w:val="16"/>
                <w:szCs w:val="16"/>
                <w:u w:val="none"/>
                <w:lang w:bidi="ar-SA"/>
              </w:rPr>
            </w:pPr>
            <w:r>
              <w:rPr>
                <w:rFonts w:hint="eastAsia" w:ascii="微软雅黑" w:eastAsia="微软雅黑" w:cs="微软雅黑"/>
                <w:i/>
                <w:iCs/>
                <w:color w:val="auto"/>
                <w:kern w:val="0"/>
                <w:sz w:val="16"/>
                <w:szCs w:val="16"/>
                <w:u w:val="none"/>
                <w:lang w:val="en-US" w:eastAsia="zh-CN" w:bidi="ar"/>
              </w:rPr>
              <w:t>无</w:t>
            </w:r>
          </w:p>
        </w:tc>
      </w:tr>
      <w:tr>
        <w:tblPrEx>
          <w:tblCellMar>
            <w:top w:w="0" w:type="dxa"/>
            <w:left w:w="108" w:type="dxa"/>
            <w:bottom w:w="0" w:type="dxa"/>
            <w:right w:w="108" w:type="dxa"/>
          </w:tblCellMar>
        </w:tblPrEx>
        <w:trPr>
          <w:gridBefore w:val="1"/>
          <w:gridAfter w:val="3"/>
          <w:wBefore w:w="216" w:type="dxa"/>
          <w:wAfter w:w="84" w:type="dxa"/>
          <w:trHeight w:val="633" w:hRule="atLeast"/>
        </w:trPr>
        <w:tc>
          <w:tcPr>
            <w:tcW w:w="7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eastAsia="宋体" w:cs="宋体"/>
                <w:color w:val="auto"/>
                <w:sz w:val="18"/>
                <w:szCs w:val="18"/>
                <w:u w:val="none"/>
                <w:lang w:bidi="ar-SA"/>
              </w:rPr>
            </w:pPr>
            <w:r>
              <w:rPr>
                <w:rFonts w:hint="eastAsia" w:ascii="宋体" w:eastAsia="宋体" w:cs="宋体"/>
                <w:color w:val="auto"/>
                <w:kern w:val="0"/>
                <w:sz w:val="18"/>
                <w:szCs w:val="18"/>
                <w:u w:val="none"/>
                <w:lang w:val="en-US" w:eastAsia="zh-CN" w:bidi="ar"/>
              </w:rPr>
              <w:t>改进措施</w:t>
            </w:r>
          </w:p>
        </w:tc>
        <w:tc>
          <w:tcPr>
            <w:tcW w:w="8386" w:type="dxa"/>
            <w:gridSpan w:val="4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eastAsia="微软雅黑" w:cs="微软雅黑"/>
                <w:i/>
                <w:iCs/>
                <w:color w:val="auto"/>
                <w:sz w:val="16"/>
                <w:szCs w:val="16"/>
                <w:u w:val="none"/>
                <w:lang w:eastAsia="zh-CN" w:bidi="ar-SA"/>
              </w:rPr>
            </w:pPr>
            <w:r>
              <w:rPr>
                <w:rFonts w:hint="eastAsia" w:ascii="微软雅黑" w:eastAsia="微软雅黑" w:cs="微软雅黑"/>
                <w:i/>
                <w:iCs/>
                <w:color w:val="auto"/>
                <w:sz w:val="16"/>
                <w:szCs w:val="16"/>
                <w:u w:val="none"/>
                <w:lang w:eastAsia="zh-CN" w:bidi="ar-SA"/>
              </w:rPr>
              <w:t>无</w:t>
            </w:r>
          </w:p>
        </w:tc>
      </w:tr>
      <w:tr>
        <w:tblPrEx>
          <w:tblCellMar>
            <w:top w:w="0" w:type="dxa"/>
            <w:left w:w="108" w:type="dxa"/>
            <w:bottom w:w="0" w:type="dxa"/>
            <w:right w:w="108" w:type="dxa"/>
          </w:tblCellMar>
        </w:tblPrEx>
        <w:trPr>
          <w:gridBefore w:val="1"/>
          <w:gridAfter w:val="3"/>
          <w:wBefore w:w="216" w:type="dxa"/>
          <w:wAfter w:w="84" w:type="dxa"/>
          <w:trHeight w:val="286" w:hRule="atLeast"/>
        </w:trPr>
        <w:tc>
          <w:tcPr>
            <w:tcW w:w="4349" w:type="dxa"/>
            <w:gridSpan w:val="1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auto"/>
                <w:sz w:val="18"/>
                <w:szCs w:val="18"/>
                <w:u w:val="none"/>
                <w:lang w:bidi="ar-SA"/>
              </w:rPr>
            </w:pPr>
            <w:r>
              <w:rPr>
                <w:rFonts w:hint="default" w:ascii="黑体" w:hAnsi="黑体" w:eastAsia="黑体" w:cs="黑体"/>
                <w:color w:val="auto"/>
                <w:kern w:val="0"/>
                <w:sz w:val="18"/>
                <w:szCs w:val="18"/>
                <w:u w:val="none"/>
                <w:lang w:val="en-US" w:eastAsia="zh-CN" w:bidi="ar"/>
              </w:rPr>
              <w:t>项目负责人：</w:t>
            </w:r>
            <w:r>
              <w:rPr>
                <w:rFonts w:hint="eastAsia" w:ascii="黑体" w:hAnsi="黑体" w:eastAsia="黑体" w:cs="黑体"/>
                <w:color w:val="auto"/>
                <w:kern w:val="0"/>
                <w:sz w:val="18"/>
                <w:szCs w:val="18"/>
                <w:u w:val="none"/>
                <w:lang w:val="en-US" w:eastAsia="zh-CN" w:bidi="ar"/>
              </w:rPr>
              <w:t>蒲海波</w:t>
            </w:r>
          </w:p>
        </w:tc>
        <w:tc>
          <w:tcPr>
            <w:tcW w:w="4808" w:type="dxa"/>
            <w:gridSpan w:val="2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黑体" w:eastAsia="黑体" w:cs="黑体"/>
                <w:color w:val="auto"/>
                <w:sz w:val="18"/>
                <w:szCs w:val="18"/>
                <w:u w:val="none"/>
                <w:lang w:bidi="ar-SA"/>
              </w:rPr>
            </w:pPr>
            <w:r>
              <w:rPr>
                <w:rFonts w:hint="default" w:ascii="黑体" w:hAnsi="黑体" w:eastAsia="黑体" w:cs="黑体"/>
                <w:color w:val="auto"/>
                <w:kern w:val="0"/>
                <w:sz w:val="18"/>
                <w:szCs w:val="18"/>
                <w:u w:val="none"/>
                <w:lang w:val="en-US" w:eastAsia="zh-CN" w:bidi="ar"/>
              </w:rPr>
              <w:t>财务负责人：</w:t>
            </w:r>
            <w:r>
              <w:rPr>
                <w:rFonts w:hint="eastAsia" w:ascii="黑体" w:hAnsi="黑体" w:eastAsia="黑体" w:cs="黑体"/>
                <w:color w:val="auto"/>
                <w:kern w:val="0"/>
                <w:sz w:val="18"/>
                <w:szCs w:val="18"/>
                <w:u w:val="none"/>
                <w:lang w:val="en-US" w:eastAsia="zh-CN" w:bidi="ar"/>
              </w:rPr>
              <w:t>毕波</w:t>
            </w:r>
          </w:p>
        </w:tc>
      </w:tr>
    </w:tbl>
    <w:p>
      <w:pPr>
        <w:pStyle w:val="7"/>
        <w:rPr>
          <w:rFonts w:hint="eastAsia" w:ascii="仿宋_GB2312" w:hAnsi="Calibri" w:eastAsia="仿宋_GB2312" w:cs="仿宋"/>
          <w:color w:val="auto"/>
          <w:kern w:val="0"/>
          <w:sz w:val="32"/>
          <w:szCs w:val="32"/>
          <w:highlight w:val="none"/>
          <w:lang w:val="en-US" w:eastAsia="zh-CN" w:bidi="ar-SA"/>
        </w:rPr>
      </w:pPr>
    </w:p>
    <w:p>
      <w:pPr>
        <w:spacing w:line="600" w:lineRule="exact"/>
        <w:jc w:val="center"/>
        <w:outlineLvl w:val="0"/>
        <w:rPr>
          <w:rFonts w:hint="eastAsia" w:ascii="仿宋" w:hAnsi="仿宋" w:eastAsia="仿宋"/>
          <w:b w:val="0"/>
          <w:color w:val="auto"/>
          <w:highlight w:val="none"/>
        </w:rPr>
      </w:pPr>
      <w:bookmarkStart w:id="75" w:name="_Toc12920"/>
      <w:r>
        <w:rPr>
          <w:rFonts w:hint="eastAsia" w:ascii="黑体" w:hAnsi="黑体" w:eastAsia="黑体"/>
          <w:color w:val="auto"/>
          <w:sz w:val="44"/>
          <w:szCs w:val="44"/>
          <w:highlight w:val="none"/>
        </w:rPr>
        <w:t>第</w:t>
      </w:r>
      <w:r>
        <w:rPr>
          <w:rStyle w:val="18"/>
          <w:rFonts w:hint="eastAsia" w:ascii="黑体" w:hAnsi="黑体" w:eastAsia="黑体"/>
          <w:b w:val="0"/>
          <w:color w:val="auto"/>
          <w:highlight w:val="none"/>
        </w:rPr>
        <w:t>五部分 附表</w:t>
      </w:r>
      <w:bookmarkEnd w:id="71"/>
      <w:bookmarkEnd w:id="74"/>
      <w:bookmarkEnd w:id="75"/>
      <w:bookmarkStart w:id="76" w:name="_Toc15396619"/>
    </w:p>
    <w:p>
      <w:pPr>
        <w:pStyle w:val="5"/>
        <w:rPr>
          <w:rFonts w:ascii="仿宋" w:hAnsi="仿宋" w:eastAsia="仿宋"/>
          <w:color w:val="auto"/>
          <w:highlight w:val="none"/>
        </w:rPr>
      </w:pPr>
      <w:bookmarkStart w:id="77" w:name="_Toc25275"/>
      <w:r>
        <w:rPr>
          <w:rFonts w:hint="eastAsia" w:ascii="仿宋" w:hAnsi="仿宋" w:eastAsia="仿宋"/>
          <w:b w:val="0"/>
          <w:color w:val="auto"/>
          <w:highlight w:val="none"/>
        </w:rPr>
        <w:t>一、收</w:t>
      </w:r>
      <w:r>
        <w:rPr>
          <w:rStyle w:val="19"/>
          <w:rFonts w:hint="eastAsia" w:ascii="仿宋" w:hAnsi="仿宋" w:eastAsia="仿宋"/>
          <w:b w:val="0"/>
          <w:bCs w:val="0"/>
          <w:color w:val="auto"/>
          <w:highlight w:val="none"/>
        </w:rPr>
        <w:t>入支出决算总表</w:t>
      </w:r>
      <w:bookmarkEnd w:id="76"/>
      <w:bookmarkEnd w:id="77"/>
    </w:p>
    <w:p>
      <w:pPr>
        <w:pStyle w:val="5"/>
        <w:rPr>
          <w:rFonts w:ascii="仿宋" w:hAnsi="仿宋" w:eastAsia="仿宋"/>
          <w:color w:val="auto"/>
          <w:highlight w:val="none"/>
        </w:rPr>
      </w:pPr>
      <w:bookmarkStart w:id="78" w:name="_Toc20860"/>
      <w:bookmarkStart w:id="79" w:name="_Toc15396620"/>
      <w:r>
        <w:rPr>
          <w:rFonts w:hint="eastAsia" w:ascii="仿宋" w:hAnsi="仿宋" w:eastAsia="仿宋"/>
          <w:b w:val="0"/>
          <w:color w:val="auto"/>
          <w:highlight w:val="none"/>
        </w:rPr>
        <w:t>二、收</w:t>
      </w:r>
      <w:r>
        <w:rPr>
          <w:rStyle w:val="19"/>
          <w:rFonts w:hint="eastAsia" w:ascii="仿宋" w:hAnsi="仿宋" w:eastAsia="仿宋"/>
          <w:b w:val="0"/>
          <w:bCs w:val="0"/>
          <w:color w:val="auto"/>
          <w:highlight w:val="none"/>
        </w:rPr>
        <w:t>入决算表</w:t>
      </w:r>
      <w:bookmarkEnd w:id="78"/>
      <w:bookmarkEnd w:id="79"/>
    </w:p>
    <w:p>
      <w:pPr>
        <w:pStyle w:val="5"/>
        <w:rPr>
          <w:rFonts w:ascii="仿宋" w:hAnsi="仿宋" w:eastAsia="仿宋"/>
          <w:color w:val="auto"/>
          <w:highlight w:val="none"/>
        </w:rPr>
      </w:pPr>
      <w:bookmarkStart w:id="80" w:name="_Toc3214"/>
      <w:bookmarkStart w:id="81" w:name="_Toc15396621"/>
      <w:r>
        <w:rPr>
          <w:rStyle w:val="19"/>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9"/>
          <w:rFonts w:hint="eastAsia" w:ascii="仿宋" w:hAnsi="仿宋" w:eastAsia="仿宋"/>
          <w:b w:val="0"/>
          <w:bCs w:val="0"/>
          <w:color w:val="auto"/>
          <w:highlight w:val="none"/>
        </w:rPr>
        <w:t>出决算表</w:t>
      </w:r>
      <w:bookmarkEnd w:id="80"/>
      <w:bookmarkEnd w:id="81"/>
    </w:p>
    <w:p>
      <w:pPr>
        <w:pStyle w:val="5"/>
        <w:rPr>
          <w:rFonts w:ascii="仿宋" w:hAnsi="仿宋" w:eastAsia="仿宋"/>
          <w:b w:val="0"/>
          <w:color w:val="auto"/>
          <w:highlight w:val="none"/>
        </w:rPr>
      </w:pPr>
      <w:bookmarkStart w:id="82" w:name="_Toc15396622"/>
      <w:bookmarkStart w:id="83" w:name="_Toc29575"/>
      <w:r>
        <w:rPr>
          <w:rStyle w:val="19"/>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9"/>
          <w:rFonts w:hint="eastAsia" w:ascii="仿宋" w:hAnsi="仿宋" w:eastAsia="仿宋"/>
          <w:b w:val="0"/>
          <w:bCs w:val="0"/>
          <w:color w:val="auto"/>
          <w:highlight w:val="none"/>
        </w:rPr>
        <w:t>政拨款收入支出决算总表</w:t>
      </w:r>
      <w:bookmarkEnd w:id="82"/>
      <w:bookmarkEnd w:id="83"/>
    </w:p>
    <w:p>
      <w:pPr>
        <w:pStyle w:val="5"/>
        <w:rPr>
          <w:rStyle w:val="19"/>
          <w:rFonts w:ascii="仿宋" w:hAnsi="仿宋" w:eastAsia="仿宋"/>
          <w:b w:val="0"/>
          <w:bCs w:val="0"/>
          <w:color w:val="auto"/>
          <w:highlight w:val="none"/>
        </w:rPr>
      </w:pPr>
      <w:bookmarkStart w:id="84" w:name="_Toc11135"/>
      <w:bookmarkStart w:id="85" w:name="_Toc15396623"/>
      <w:r>
        <w:rPr>
          <w:rStyle w:val="19"/>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9"/>
          <w:rFonts w:hint="eastAsia" w:ascii="仿宋" w:hAnsi="仿宋" w:eastAsia="仿宋"/>
          <w:b w:val="0"/>
          <w:bCs w:val="0"/>
          <w:color w:val="auto"/>
          <w:highlight w:val="none"/>
        </w:rPr>
        <w:t>政拨款支出决算明细表</w:t>
      </w:r>
      <w:bookmarkEnd w:id="84"/>
      <w:bookmarkEnd w:id="85"/>
      <w:bookmarkStart w:id="86" w:name="_Toc15396624"/>
    </w:p>
    <w:p>
      <w:pPr>
        <w:pStyle w:val="5"/>
        <w:rPr>
          <w:rFonts w:ascii="仿宋" w:hAnsi="仿宋" w:eastAsia="仿宋"/>
          <w:color w:val="auto"/>
          <w:highlight w:val="none"/>
        </w:rPr>
      </w:pPr>
      <w:bookmarkStart w:id="87" w:name="_Toc23709"/>
      <w:r>
        <w:rPr>
          <w:rStyle w:val="19"/>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9"/>
          <w:rFonts w:hint="eastAsia" w:ascii="仿宋" w:hAnsi="仿宋" w:eastAsia="仿宋"/>
          <w:b w:val="0"/>
          <w:bCs w:val="0"/>
          <w:color w:val="auto"/>
          <w:highlight w:val="none"/>
        </w:rPr>
        <w:t>般公共预算财政拨款支出决算表</w:t>
      </w:r>
      <w:bookmarkEnd w:id="86"/>
      <w:bookmarkEnd w:id="87"/>
    </w:p>
    <w:p>
      <w:pPr>
        <w:pStyle w:val="5"/>
        <w:rPr>
          <w:rFonts w:ascii="仿宋" w:hAnsi="仿宋" w:eastAsia="仿宋"/>
          <w:color w:val="auto"/>
          <w:highlight w:val="none"/>
        </w:rPr>
      </w:pPr>
      <w:bookmarkStart w:id="88" w:name="_Toc15396625"/>
      <w:bookmarkStart w:id="89" w:name="_Toc7976"/>
      <w:r>
        <w:rPr>
          <w:rStyle w:val="19"/>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9"/>
          <w:rFonts w:hint="eastAsia" w:ascii="仿宋" w:hAnsi="仿宋" w:eastAsia="仿宋"/>
          <w:b w:val="0"/>
          <w:bCs w:val="0"/>
          <w:color w:val="auto"/>
          <w:highlight w:val="none"/>
        </w:rPr>
        <w:t>般公共预算财政拨款支出决算明细表</w:t>
      </w:r>
      <w:bookmarkEnd w:id="88"/>
      <w:bookmarkEnd w:id="89"/>
    </w:p>
    <w:p>
      <w:pPr>
        <w:pStyle w:val="5"/>
        <w:rPr>
          <w:rFonts w:ascii="仿宋" w:hAnsi="仿宋" w:eastAsia="仿宋"/>
          <w:color w:val="auto"/>
          <w:highlight w:val="none"/>
        </w:rPr>
      </w:pPr>
      <w:bookmarkStart w:id="90" w:name="_Toc29447"/>
      <w:bookmarkStart w:id="91" w:name="_Toc15396626"/>
      <w:r>
        <w:rPr>
          <w:rStyle w:val="19"/>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9"/>
          <w:rFonts w:hint="eastAsia" w:ascii="仿宋" w:hAnsi="仿宋" w:eastAsia="仿宋"/>
          <w:b w:val="0"/>
          <w:bCs w:val="0"/>
          <w:color w:val="auto"/>
          <w:highlight w:val="none"/>
        </w:rPr>
        <w:t>般公共预算财政拨款基本支出决算表</w:t>
      </w:r>
      <w:bookmarkEnd w:id="90"/>
      <w:bookmarkEnd w:id="91"/>
    </w:p>
    <w:p>
      <w:pPr>
        <w:pStyle w:val="5"/>
        <w:rPr>
          <w:rFonts w:ascii="仿宋" w:hAnsi="仿宋" w:eastAsia="仿宋"/>
          <w:color w:val="auto"/>
          <w:highlight w:val="none"/>
        </w:rPr>
      </w:pPr>
      <w:bookmarkStart w:id="92" w:name="_Toc3419"/>
      <w:bookmarkStart w:id="93" w:name="_Toc15396627"/>
      <w:r>
        <w:rPr>
          <w:rStyle w:val="19"/>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9"/>
          <w:rFonts w:hint="eastAsia" w:ascii="仿宋" w:hAnsi="仿宋" w:eastAsia="仿宋"/>
          <w:b w:val="0"/>
          <w:bCs w:val="0"/>
          <w:color w:val="auto"/>
          <w:highlight w:val="none"/>
        </w:rPr>
        <w:t>般公共预算财政拨款项目支出决算表</w:t>
      </w:r>
      <w:bookmarkEnd w:id="92"/>
      <w:bookmarkEnd w:id="93"/>
    </w:p>
    <w:p>
      <w:pPr>
        <w:pStyle w:val="5"/>
        <w:rPr>
          <w:rFonts w:ascii="仿宋" w:hAnsi="仿宋" w:eastAsia="仿宋"/>
          <w:color w:val="auto"/>
          <w:highlight w:val="none"/>
        </w:rPr>
      </w:pPr>
      <w:bookmarkStart w:id="94" w:name="_Toc15396628"/>
      <w:bookmarkStart w:id="95" w:name="_Toc824"/>
      <w:r>
        <w:rPr>
          <w:rStyle w:val="19"/>
          <w:rFonts w:hint="eastAsia" w:ascii="仿宋" w:hAnsi="仿宋" w:eastAsia="仿宋"/>
          <w:b w:val="0"/>
          <w:bCs w:val="0"/>
          <w:color w:val="auto"/>
          <w:highlight w:val="none"/>
        </w:rPr>
        <w:t>十、</w:t>
      </w:r>
      <w:bookmarkEnd w:id="94"/>
      <w:r>
        <w:rPr>
          <w:rFonts w:hint="eastAsia" w:ascii="仿宋" w:hAnsi="仿宋" w:eastAsia="仿宋"/>
          <w:b w:val="0"/>
          <w:color w:val="auto"/>
          <w:highlight w:val="none"/>
        </w:rPr>
        <w:t>政</w:t>
      </w:r>
      <w:r>
        <w:rPr>
          <w:rStyle w:val="19"/>
          <w:rFonts w:hint="eastAsia" w:ascii="仿宋" w:hAnsi="仿宋" w:eastAsia="仿宋"/>
          <w:b w:val="0"/>
          <w:bCs w:val="0"/>
          <w:color w:val="auto"/>
          <w:highlight w:val="none"/>
        </w:rPr>
        <w:t>府性基金预算财政拨款收入支出决算表</w:t>
      </w:r>
      <w:bookmarkEnd w:id="95"/>
    </w:p>
    <w:p>
      <w:pPr>
        <w:pStyle w:val="5"/>
        <w:rPr>
          <w:rFonts w:ascii="仿宋" w:hAnsi="仿宋" w:eastAsia="仿宋"/>
          <w:color w:val="auto"/>
          <w:highlight w:val="none"/>
        </w:rPr>
      </w:pPr>
      <w:bookmarkStart w:id="96" w:name="_Toc15396629"/>
      <w:bookmarkStart w:id="97" w:name="_Toc32516"/>
      <w:r>
        <w:rPr>
          <w:rStyle w:val="19"/>
          <w:rFonts w:hint="eastAsia" w:ascii="仿宋" w:hAnsi="仿宋" w:eastAsia="仿宋"/>
          <w:b w:val="0"/>
          <w:bCs w:val="0"/>
          <w:color w:val="auto"/>
          <w:highlight w:val="none"/>
        </w:rPr>
        <w:t>十一、</w:t>
      </w:r>
      <w:bookmarkEnd w:id="96"/>
      <w:r>
        <w:rPr>
          <w:rFonts w:hint="eastAsia" w:ascii="仿宋" w:hAnsi="仿宋" w:eastAsia="仿宋"/>
          <w:b w:val="0"/>
          <w:color w:val="auto"/>
          <w:highlight w:val="none"/>
        </w:rPr>
        <w:t>国</w:t>
      </w:r>
      <w:r>
        <w:rPr>
          <w:rStyle w:val="19"/>
          <w:rFonts w:hint="eastAsia" w:ascii="仿宋" w:hAnsi="仿宋" w:eastAsia="仿宋"/>
          <w:b w:val="0"/>
          <w:bCs w:val="0"/>
          <w:color w:val="auto"/>
          <w:highlight w:val="none"/>
        </w:rPr>
        <w:t>有资本经营预算</w:t>
      </w:r>
      <w:r>
        <w:rPr>
          <w:rStyle w:val="19"/>
          <w:rFonts w:hint="eastAsia" w:ascii="仿宋" w:hAnsi="仿宋" w:eastAsia="仿宋"/>
          <w:b w:val="0"/>
          <w:bCs w:val="0"/>
          <w:color w:val="auto"/>
          <w:highlight w:val="none"/>
          <w:lang w:eastAsia="zh-CN"/>
        </w:rPr>
        <w:t>财政拨款收入</w:t>
      </w:r>
      <w:r>
        <w:rPr>
          <w:rStyle w:val="19"/>
          <w:rFonts w:hint="eastAsia" w:ascii="仿宋" w:hAnsi="仿宋" w:eastAsia="仿宋"/>
          <w:b w:val="0"/>
          <w:bCs w:val="0"/>
          <w:color w:val="auto"/>
          <w:highlight w:val="none"/>
        </w:rPr>
        <w:t>支出决算表</w:t>
      </w:r>
      <w:bookmarkEnd w:id="97"/>
    </w:p>
    <w:p>
      <w:pPr>
        <w:pStyle w:val="5"/>
        <w:rPr>
          <w:rFonts w:ascii="仿宋" w:hAnsi="仿宋" w:eastAsia="仿宋"/>
          <w:color w:val="auto"/>
          <w:highlight w:val="none"/>
        </w:rPr>
      </w:pPr>
      <w:bookmarkStart w:id="98" w:name="_Toc15396630"/>
      <w:bookmarkStart w:id="99" w:name="_Toc12204"/>
      <w:r>
        <w:rPr>
          <w:rStyle w:val="19"/>
          <w:rFonts w:hint="eastAsia" w:ascii="仿宋" w:hAnsi="仿宋" w:eastAsia="仿宋"/>
          <w:b w:val="0"/>
          <w:bCs w:val="0"/>
          <w:color w:val="auto"/>
          <w:highlight w:val="none"/>
        </w:rPr>
        <w:t>十二、</w:t>
      </w:r>
      <w:bookmarkEnd w:id="98"/>
      <w:r>
        <w:rPr>
          <w:rStyle w:val="19"/>
          <w:rFonts w:hint="eastAsia" w:ascii="仿宋" w:hAnsi="仿宋" w:eastAsia="仿宋"/>
          <w:b w:val="0"/>
          <w:bCs w:val="0"/>
          <w:color w:val="auto"/>
          <w:highlight w:val="none"/>
          <w:lang w:eastAsia="zh-CN"/>
        </w:rPr>
        <w:t>国有资本经营预算财政拨款支出决算表</w:t>
      </w:r>
      <w:bookmarkEnd w:id="99"/>
    </w:p>
    <w:p>
      <w:pPr>
        <w:pStyle w:val="5"/>
        <w:rPr>
          <w:rFonts w:hint="eastAsia" w:eastAsia="仿宋"/>
          <w:color w:val="auto"/>
          <w:highlight w:val="none"/>
          <w:lang w:eastAsia="zh-CN"/>
        </w:rPr>
      </w:pPr>
      <w:bookmarkStart w:id="100" w:name="_Toc15396631"/>
      <w:bookmarkStart w:id="101" w:name="_Toc15615"/>
      <w:r>
        <w:rPr>
          <w:rStyle w:val="19"/>
          <w:rFonts w:hint="eastAsia" w:ascii="仿宋" w:hAnsi="仿宋" w:eastAsia="仿宋"/>
          <w:b w:val="0"/>
          <w:bCs w:val="0"/>
          <w:color w:val="auto"/>
          <w:highlight w:val="none"/>
        </w:rPr>
        <w:t>十三、</w:t>
      </w:r>
      <w:bookmarkEnd w:id="100"/>
      <w:r>
        <w:rPr>
          <w:rStyle w:val="19"/>
          <w:rFonts w:hint="eastAsia" w:ascii="仿宋" w:hAnsi="仿宋" w:eastAsia="仿宋"/>
          <w:b w:val="0"/>
          <w:bCs w:val="0"/>
          <w:color w:val="auto"/>
          <w:highlight w:val="none"/>
          <w:lang w:eastAsia="zh-CN"/>
        </w:rPr>
        <w:t>财政拨款“三公”经费支出决算表</w:t>
      </w:r>
      <w:bookmarkEnd w:id="101"/>
    </w:p>
    <w:sectPr>
      <w:footerReference r:id="rId6" w:type="first"/>
      <w:footerReference r:id="rId5"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Cambria">
    <w:altName w:val="Georgia"/>
    <w:panose1 w:val="02040503050406030204"/>
    <w:charset w:val="00"/>
    <w:family w:val="roman"/>
    <w:pitch w:val="default"/>
    <w:sig w:usb0="00000000" w:usb1="00000000" w:usb2="02000000" w:usb3="00000000" w:csb0="2000019F" w:csb1="00000000"/>
  </w:font>
  <w:font w:name="Georgia">
    <w:panose1 w:val="02040502050405020303"/>
    <w:charset w:val="00"/>
    <w:family w:val="auto"/>
    <w:pitch w:val="default"/>
    <w:sig w:usb0="00000287" w:usb1="00000000"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仿宋简体">
    <w:panose1 w:val="03000509000000000000"/>
    <w:charset w:val="86"/>
    <w:family w:val="auto"/>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文泉驿正黑">
    <w:panose1 w:val="02000603000000000000"/>
    <w:charset w:val="86"/>
    <w:family w:val="auto"/>
    <w:pitch w:val="default"/>
    <w:sig w:usb0="900002BF" w:usb1="2BDF7DFB" w:usb2="00000036" w:usb3="00000000" w:csb0="603E000D" w:csb1="D2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pqK+VMQIAAGM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&#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qaivlTECAABjBAAADgAAAAAAAAABACAAAAA1&#10;AQAAZHJzL2Uyb0RvYy54bWxQSwUGAAAAAAYABgBZAQAA2A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left" w:pos="4742"/>
        <w:tab w:val="clear" w:pos="4153"/>
      </w:tabs>
      <w:rPr>
        <w:rFonts w:hint="eastAsia" w:eastAsia="宋体"/>
        <w:lang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6wA4ejECAABjBAAADgAAAAAAAAABACAAAAA1&#10;AQAAZHJzL2Uyb0RvYy54bWxQSwUGAAAAAAYABgBZAQAA2A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CF8AE5CF"/>
    <w:multiLevelType w:val="singleLevel"/>
    <w:tmpl w:val="CF8AE5CF"/>
    <w:lvl w:ilvl="0" w:tentative="0">
      <w:start w:val="1"/>
      <w:numFmt w:val="decimal"/>
      <w:suff w:val="nothing"/>
      <w:lvlText w:val="%1．"/>
      <w:lvlJc w:val="left"/>
      <w:pPr>
        <w:ind w:left="0" w:firstLine="400"/>
      </w:pPr>
      <w:rPr>
        <w:rFonts w:hint="default"/>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docVars>
    <w:docVar w:name="commondata" w:val="eyJoZGlkIjoiYTc2ZGZiNzZiNDVlOGViOWVmM2JhOTY0NGJkNjUyYzgifQ=="/>
  </w:docVars>
  <w:rsids>
    <w:rsidRoot w:val="00000000"/>
    <w:rsid w:val="1D6FCA0B"/>
    <w:rsid w:val="1E898921"/>
    <w:rsid w:val="2FFE2C81"/>
    <w:rsid w:val="3FDFF096"/>
    <w:rsid w:val="4B77961D"/>
    <w:rsid w:val="4FFD8451"/>
    <w:rsid w:val="5D3B1808"/>
    <w:rsid w:val="5D963596"/>
    <w:rsid w:val="5EFF12DF"/>
    <w:rsid w:val="5FDF5A47"/>
    <w:rsid w:val="5FFC174C"/>
    <w:rsid w:val="6DB36B45"/>
    <w:rsid w:val="717B0D6F"/>
    <w:rsid w:val="75F72731"/>
    <w:rsid w:val="7C770683"/>
    <w:rsid w:val="7E4921CB"/>
    <w:rsid w:val="7FC5BFBC"/>
    <w:rsid w:val="AF3F4D1B"/>
    <w:rsid w:val="AFBFBBB7"/>
    <w:rsid w:val="BE7DBCA4"/>
    <w:rsid w:val="CD3EE788"/>
    <w:rsid w:val="CFF9E017"/>
    <w:rsid w:val="DEFCE129"/>
    <w:rsid w:val="DF7EC252"/>
    <w:rsid w:val="DFD7AC7A"/>
    <w:rsid w:val="E1EE821B"/>
    <w:rsid w:val="EEDF5BE7"/>
    <w:rsid w:val="FECD6855"/>
    <w:rsid w:val="FEED5ED5"/>
    <w:rsid w:val="FFFBB4B9"/>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8"/>
    <w:qFormat/>
    <w:uiPriority w:val="0"/>
    <w:pPr>
      <w:keepNext/>
      <w:keepLines/>
      <w:widowControl w:val="0"/>
      <w:spacing w:before="340" w:after="330" w:line="578" w:lineRule="auto"/>
      <w:outlineLvl w:val="0"/>
    </w:pPr>
    <w:rPr>
      <w:b/>
      <w:bCs/>
      <w:kern w:val="44"/>
      <w:sz w:val="44"/>
      <w:szCs w:val="44"/>
    </w:rPr>
  </w:style>
  <w:style w:type="paragraph" w:styleId="5">
    <w:name w:val="heading 2"/>
    <w:basedOn w:val="1"/>
    <w:next w:val="1"/>
    <w:link w:val="19"/>
    <w:qFormat/>
    <w:uiPriority w:val="0"/>
    <w:pPr>
      <w:keepNext/>
      <w:keepLines/>
      <w:widowControl w:val="0"/>
      <w:spacing w:before="260" w:after="260" w:line="415" w:lineRule="auto"/>
      <w:outlineLvl w:val="1"/>
    </w:pPr>
    <w:rPr>
      <w:rFonts w:ascii="Cambria" w:hAnsi="Cambria" w:eastAsia="宋体" w:cs="Times New Roman"/>
      <w:b/>
      <w:bCs/>
      <w:sz w:val="32"/>
      <w:szCs w:val="32"/>
    </w:rPr>
  </w:style>
  <w:style w:type="paragraph" w:styleId="6">
    <w:name w:val="heading 3"/>
    <w:basedOn w:val="1"/>
    <w:next w:val="1"/>
    <w:qFormat/>
    <w:uiPriority w:val="0"/>
    <w:pPr>
      <w:keepNext/>
      <w:keepLines/>
      <w:widowControl w:val="0"/>
      <w:spacing w:before="260" w:after="260" w:line="415" w:lineRule="auto"/>
      <w:outlineLvl w:val="2"/>
    </w:pPr>
    <w:rPr>
      <w:b/>
      <w:bCs/>
      <w:sz w:val="32"/>
      <w:szCs w:val="32"/>
    </w:rPr>
  </w:style>
  <w:style w:type="character" w:default="1" w:styleId="15">
    <w:name w:val="Default Paragraph Font"/>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200" w:firstLineChars="200"/>
    </w:pPr>
  </w:style>
  <w:style w:type="paragraph" w:styleId="3">
    <w:name w:val="Body Text Indent"/>
    <w:basedOn w:val="1"/>
    <w:qFormat/>
    <w:uiPriority w:val="0"/>
    <w:pPr>
      <w:spacing w:after="120"/>
      <w:ind w:left="200" w:leftChars="200"/>
    </w:pPr>
    <w:rPr>
      <w:rFonts w:ascii="仿宋_GB2312" w:hAnsi="仿宋_GB2312"/>
      <w:szCs w:val="32"/>
    </w:rPr>
  </w:style>
  <w:style w:type="paragraph" w:styleId="7">
    <w:name w:val="Body Text"/>
    <w:basedOn w:val="1"/>
    <w:qFormat/>
    <w:uiPriority w:val="0"/>
    <w:pPr>
      <w:spacing w:before="30" w:beforeLines="30"/>
    </w:pPr>
    <w:rPr>
      <w:rFonts w:ascii="仿宋_GB2312" w:eastAsia="仿宋_GB2312"/>
      <w:kern w:val="0"/>
      <w:sz w:val="30"/>
    </w:rPr>
  </w:style>
  <w:style w:type="paragraph" w:styleId="8">
    <w:name w:val="toc 3"/>
    <w:basedOn w:val="1"/>
    <w:next w:val="1"/>
    <w:qFormat/>
    <w:uiPriority w:val="0"/>
    <w:pPr>
      <w:tabs>
        <w:tab w:val="right" w:leader="dot" w:pos="8296"/>
      </w:tabs>
      <w:ind w:left="400" w:leftChars="400"/>
    </w:p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rFonts w:ascii="Calibri" w:hAnsi="Calibri"/>
      <w:kern w:val="0"/>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qFormat/>
    <w:uiPriority w:val="0"/>
    <w:pPr>
      <w:tabs>
        <w:tab w:val="right" w:leader="dot" w:pos="8296"/>
      </w:tabs>
      <w:spacing w:before="93"/>
      <w:jc w:val="center"/>
    </w:pPr>
    <w:rPr>
      <w:rFonts w:ascii="仿宋" w:hAnsi="仿宋" w:eastAsia="仿宋"/>
      <w:sz w:val="28"/>
      <w:szCs w:val="28"/>
    </w:rPr>
  </w:style>
  <w:style w:type="paragraph" w:styleId="13">
    <w:name w:val="toc 2"/>
    <w:basedOn w:val="1"/>
    <w:next w:val="1"/>
    <w:qFormat/>
    <w:uiPriority w:val="0"/>
    <w:pPr>
      <w:tabs>
        <w:tab w:val="right" w:leader="dot" w:pos="8296"/>
      </w:tabs>
      <w:ind w:left="200" w:leftChars="200"/>
    </w:pPr>
  </w:style>
  <w:style w:type="character" w:styleId="16">
    <w:name w:val="Strong"/>
    <w:basedOn w:val="15"/>
    <w:qFormat/>
    <w:uiPriority w:val="0"/>
    <w:rPr>
      <w:b/>
    </w:rPr>
  </w:style>
  <w:style w:type="character" w:styleId="17">
    <w:name w:val="Hyperlink"/>
    <w:basedOn w:val="15"/>
    <w:qFormat/>
    <w:uiPriority w:val="0"/>
    <w:rPr>
      <w:color w:val="0000FF"/>
      <w:u w:val="single"/>
    </w:rPr>
  </w:style>
  <w:style w:type="character" w:customStyle="1" w:styleId="18">
    <w:name w:val="heading 1 Char"/>
    <w:basedOn w:val="15"/>
    <w:link w:val="4"/>
    <w:qFormat/>
    <w:uiPriority w:val="0"/>
    <w:rPr>
      <w:rFonts w:ascii="Times New Roman" w:hAnsi="Times New Roman" w:eastAsia="宋体" w:cs="Times New Roman"/>
      <w:b/>
      <w:bCs/>
      <w:kern w:val="44"/>
      <w:sz w:val="44"/>
      <w:szCs w:val="44"/>
      <w:lang w:val="en-US" w:eastAsia="zh-CN" w:bidi="ar-SA"/>
    </w:rPr>
  </w:style>
  <w:style w:type="character" w:customStyle="1" w:styleId="19">
    <w:name w:val="heading 2 Char"/>
    <w:basedOn w:val="15"/>
    <w:link w:val="5"/>
    <w:qFormat/>
    <w:uiPriority w:val="0"/>
    <w:rPr>
      <w:rFonts w:ascii="Cambria" w:hAnsi="Cambria" w:eastAsia="宋体" w:cs="Times New Roman"/>
      <w:b/>
      <w:bCs/>
      <w:kern w:val="2"/>
      <w:sz w:val="32"/>
      <w:szCs w:val="32"/>
      <w:lang w:val="en-US" w:eastAsia="zh-CN" w:bidi="ar-SA"/>
    </w:rPr>
  </w:style>
  <w:style w:type="character" w:customStyle="1" w:styleId="20">
    <w:name w:val="Header Char"/>
    <w:basedOn w:val="15"/>
    <w:qFormat/>
    <w:uiPriority w:val="0"/>
    <w:rPr>
      <w:rFonts w:ascii="Times New Roman" w:hAnsi="Times New Roman"/>
      <w:sz w:val="18"/>
      <w:szCs w:val="18"/>
    </w:rPr>
  </w:style>
  <w:style w:type="character" w:customStyle="1" w:styleId="21">
    <w:name w:val="Footer Char"/>
    <w:basedOn w:val="15"/>
    <w:qFormat/>
    <w:uiPriority w:val="0"/>
    <w:rPr>
      <w:rFonts w:ascii="Times New Roman" w:hAnsi="Times New Roman"/>
      <w:sz w:val="18"/>
      <w:szCs w:val="18"/>
    </w:rPr>
  </w:style>
  <w:style w:type="character" w:customStyle="1" w:styleId="22">
    <w:name w:val="Body Text Char"/>
    <w:basedOn w:val="15"/>
    <w:qFormat/>
    <w:uiPriority w:val="0"/>
    <w:rPr>
      <w:rFonts w:ascii="Times New Roman" w:hAnsi="Times New Roman"/>
      <w:szCs w:val="24"/>
    </w:rPr>
  </w:style>
  <w:style w:type="paragraph" w:customStyle="1" w:styleId="23">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4">
    <w:name w:val="List Paragraph"/>
    <w:basedOn w:val="1"/>
    <w:qFormat/>
    <w:uiPriority w:val="0"/>
    <w:pPr>
      <w:ind w:firstLine="200" w:firstLineChars="200"/>
    </w:pPr>
  </w:style>
  <w:style w:type="paragraph" w:customStyle="1" w:styleId="25">
    <w:name w:val="TOC 标题1"/>
    <w:basedOn w:val="4"/>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paragraph" w:customStyle="1" w:styleId="26">
    <w:name w:val="TOC Heading"/>
    <w:basedOn w:val="4"/>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paragraph" w:customStyle="1" w:styleId="27">
    <w:name w:val="常用样式（方正仿宋简）"/>
    <w:basedOn w:val="1"/>
    <w:qFormat/>
    <w:uiPriority w:val="0"/>
    <w:pPr>
      <w:spacing w:line="560" w:lineRule="exact"/>
      <w:ind w:firstLine="200" w:firstLineChars="200"/>
    </w:pPr>
    <w:rPr>
      <w:rFonts w:ascii="Times New Roman" w:hAnsi="Times New Roman" w:eastAsia="方正仿宋简体" w:cs="Times New Roman"/>
      <w:sz w:val="32"/>
      <w:szCs w:val="24"/>
    </w:rPr>
  </w:style>
  <w:style w:type="paragraph" w:customStyle="1" w:styleId="28">
    <w:name w:val="WPSOffice手动目录 1"/>
    <w:qFormat/>
    <w:uiPriority w:val="0"/>
    <w:pPr>
      <w:ind w:leftChars="0"/>
    </w:pPr>
    <w:rPr>
      <w:rFonts w:ascii="Times New Roman" w:hAnsi="Times New Roman" w:eastAsia="宋体" w:cs="Lucida Sans"/>
      <w:sz w:val="20"/>
      <w:szCs w:val="20"/>
    </w:rPr>
  </w:style>
  <w:style w:type="paragraph" w:customStyle="1" w:styleId="29">
    <w:name w:val="WPSOffice手动目录 2"/>
    <w:qFormat/>
    <w:uiPriority w:val="0"/>
    <w:pPr>
      <w:ind w:leftChars="200"/>
    </w:pPr>
    <w:rPr>
      <w:rFonts w:ascii="Times New Roman" w:hAnsi="Times New Roman" w:eastAsia="宋体" w:cs="Lucida Sans"/>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965.78万元</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774.73万元</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Sheet1!$A$2:$A$3</c15:sqref>
                  </c15:fullRef>
                </c:ext>
              </c:extLst>
              <c:f>Sheet1!$A$2:$A$3</c:f>
              <c:strCache>
                <c:ptCount val="2"/>
                <c:pt idx="0">
                  <c:v>2021年</c:v>
                </c:pt>
                <c:pt idx="1">
                  <c:v>2022年</c:v>
                </c:pt>
              </c:strCache>
            </c:strRef>
          </c:cat>
          <c:val>
            <c:numRef>
              <c:extLst>
                <c:ext xmlns:c15="http://schemas.microsoft.com/office/drawing/2012/chart" uri="{02D57815-91ED-43cb-92C2-25804820EDAC}">
                  <c15:fullRef>
                    <c15:sqref>Sheet1!$B$2:$B$3</c15:sqref>
                  </c15:fullRef>
                </c:ext>
              </c:extLst>
              <c:f>Sheet1!$B$2:$B$3</c:f>
              <c:numCache>
                <c:formatCode>General</c:formatCode>
                <c:ptCount val="2"/>
                <c:pt idx="0">
                  <c:v>965.78</c:v>
                </c:pt>
                <c:pt idx="1">
                  <c:v>774.73</c:v>
                </c:pt>
              </c:numCache>
            </c:numRef>
          </c:val>
        </c:ser>
        <c:dLbls>
          <c:showLegendKey val="0"/>
          <c:showVal val="1"/>
          <c:showCatName val="0"/>
          <c:showSerName val="0"/>
          <c:showPercent val="0"/>
          <c:showBubbleSize val="0"/>
        </c:dLbls>
        <c:gapWidth val="219"/>
        <c:overlap val="-27"/>
        <c:axId val="35512683"/>
        <c:axId val="536154105"/>
      </c:barChart>
      <c:catAx>
        <c:axId val="3551268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36154105"/>
        <c:crosses val="autoZero"/>
        <c:auto val="1"/>
        <c:lblAlgn val="ctr"/>
        <c:lblOffset val="100"/>
        <c:noMultiLvlLbl val="0"/>
      </c:catAx>
      <c:valAx>
        <c:axId val="53615410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551268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收入决算</c:v>
                </c:pt>
              </c:strCache>
            </c:strRef>
          </c:tx>
          <c:spPr/>
          <c:explosion val="0"/>
          <c:dPt>
            <c:idx val="0"/>
            <c:bubble3D val="0"/>
            <c:spPr>
              <a:solidFill>
                <a:schemeClr val="accent1"/>
              </a:solidFill>
              <a:ln w="19050">
                <a:noFill/>
              </a:ln>
              <a:effectLst/>
            </c:spPr>
          </c:dPt>
          <c:dLbls>
            <c:dLbl>
              <c:idx val="0"/>
              <c:layout>
                <c:manualLayout>
                  <c:x val="0.0123740632084418"/>
                  <c:y val="-0.439234171401932"/>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649.91万元，占</a:t>
                    </a:r>
                    <a:r>
                      <a:rPr lang="en-US" altLang="zh-CN"/>
                      <a:t>100%</a:t>
                    </a:r>
                    <a:endParaRPr lang="en-US" altLang="zh-CN"/>
                  </a:p>
                </c:rich>
              </c:tx>
              <c:dLblPos val="bestFit"/>
              <c:showLegendKey val="0"/>
              <c:showVal val="1"/>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General</c:formatCode>
                <c:ptCount val="1"/>
                <c:pt idx="0">
                  <c:v>649.91</c:v>
                </c:pt>
              </c:numCache>
            </c:numRef>
          </c:val>
        </c:ser>
        <c:dLbls>
          <c:showLegendKey val="0"/>
          <c:showVal val="1"/>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支出决算</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manualLayout>
                  <c:x val="-0.0346459247663444"/>
                  <c:y val="0.147446585430643"/>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79.68万元, 占10</a:t>
                    </a:r>
                    <a:r>
                      <a:rPr lang="en-US" altLang="zh-CN"/>
                      <a:t>.29</a:t>
                    </a:r>
                    <a:r>
                      <a:t>%</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dLbl>
              <c:idx val="1"/>
              <c:layout>
                <c:manualLayout>
                  <c:x val="0.0945036270044764"/>
                  <c:y val="-0.299160493356805"/>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694.73万元, </a:t>
                    </a:r>
                    <a:r>
                      <a:rPr lang="en-US" altLang="zh-CN"/>
                      <a:t>89.71</a:t>
                    </a:r>
                    <a:r>
                      <a:t>%</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79.68</c:v>
                </c:pt>
                <c:pt idx="1">
                  <c:v>694.73</c:v>
                </c:pt>
              </c:numCache>
            </c:numRef>
          </c:val>
        </c:ser>
        <c:dLbls>
          <c:showLegendKey val="0"/>
          <c:showVal val="1"/>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财政拨款收、支决算总计</c:v>
                </c:pt>
              </c:strCache>
            </c:strRef>
          </c:tx>
          <c:spPr>
            <a:solidFill>
              <a:schemeClr val="accent1"/>
            </a:solidFill>
            <a:ln>
              <a:noFill/>
            </a:ln>
            <a:effectLst/>
          </c:spPr>
          <c:invertIfNegative val="0"/>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965.78万元</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774.73万元</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Sheet1!$A$2:$A$3</c15:sqref>
                  </c15:fullRef>
                </c:ext>
              </c:extLst>
              <c:f>Sheet1!$A$2:$A$3</c:f>
              <c:strCache>
                <c:ptCount val="2"/>
                <c:pt idx="0">
                  <c:v>2021年</c:v>
                </c:pt>
                <c:pt idx="1">
                  <c:v>2022年</c:v>
                </c:pt>
              </c:strCache>
            </c:strRef>
          </c:cat>
          <c:val>
            <c:numRef>
              <c:extLst>
                <c:ext xmlns:c15="http://schemas.microsoft.com/office/drawing/2012/chart" uri="{02D57815-91ED-43cb-92C2-25804820EDAC}">
                  <c15:fullRef>
                    <c15:sqref>Sheet1!$B$2:$B$3</c15:sqref>
                  </c15:fullRef>
                </c:ext>
              </c:extLst>
              <c:f>Sheet1!$B$2:$B$3</c:f>
              <c:numCache>
                <c:formatCode>General</c:formatCode>
                <c:ptCount val="2"/>
                <c:pt idx="0">
                  <c:v>965.78</c:v>
                </c:pt>
                <c:pt idx="1">
                  <c:v>774.73</c:v>
                </c:pt>
              </c:numCache>
            </c:numRef>
          </c:val>
        </c:ser>
        <c:dLbls>
          <c:showLegendKey val="0"/>
          <c:showVal val="1"/>
          <c:showCatName val="0"/>
          <c:showSerName val="0"/>
          <c:showPercent val="0"/>
          <c:showBubbleSize val="0"/>
        </c:dLbls>
        <c:gapWidth val="219"/>
        <c:overlap val="-27"/>
        <c:axId val="777774503"/>
        <c:axId val="99015648"/>
      </c:barChart>
      <c:catAx>
        <c:axId val="77777450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9015648"/>
        <c:crosses val="autoZero"/>
        <c:auto val="1"/>
        <c:lblAlgn val="ctr"/>
        <c:lblOffset val="100"/>
        <c:noMultiLvlLbl val="0"/>
      </c:catAx>
      <c:valAx>
        <c:axId val="990156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7777450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549.55万元</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774.41万元</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Sheet1!$A$2:$A$3</c15:sqref>
                  </c15:fullRef>
                </c:ext>
              </c:extLst>
              <c:f>Sheet1!$A$2:$A$3</c:f>
              <c:strCache>
                <c:ptCount val="2"/>
                <c:pt idx="0">
                  <c:v>2021年</c:v>
                </c:pt>
                <c:pt idx="1">
                  <c:v>2022年</c:v>
                </c:pt>
              </c:strCache>
            </c:strRef>
          </c:cat>
          <c:val>
            <c:numRef>
              <c:extLst>
                <c:ext xmlns:c15="http://schemas.microsoft.com/office/drawing/2012/chart" uri="{02D57815-91ED-43cb-92C2-25804820EDAC}">
                  <c15:fullRef>
                    <c15:sqref>Sheet1!$B$2:$B$3</c15:sqref>
                  </c15:fullRef>
                </c:ext>
              </c:extLst>
              <c:f>Sheet1!$B$2:$B$3</c:f>
              <c:numCache>
                <c:formatCode>General</c:formatCode>
                <c:ptCount val="2"/>
                <c:pt idx="0">
                  <c:v>549.55</c:v>
                </c:pt>
                <c:pt idx="1">
                  <c:v>774.41</c:v>
                </c:pt>
              </c:numCache>
            </c:numRef>
          </c:val>
        </c:ser>
        <c:dLbls>
          <c:showLegendKey val="0"/>
          <c:showVal val="1"/>
          <c:showCatName val="0"/>
          <c:showSerName val="0"/>
          <c:showPercent val="0"/>
          <c:showBubbleSize val="0"/>
        </c:dLbls>
        <c:gapWidth val="219"/>
        <c:overlap val="-27"/>
        <c:axId val="136992525"/>
        <c:axId val="170313109"/>
      </c:barChart>
      <c:catAx>
        <c:axId val="13699252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0313109"/>
        <c:crosses val="autoZero"/>
        <c:auto val="1"/>
        <c:lblAlgn val="ctr"/>
        <c:lblOffset val="100"/>
        <c:noMultiLvlLbl val="0"/>
      </c:catAx>
      <c:valAx>
        <c:axId val="17031310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699252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19115"/>
          <c:y val="0.0844033333333333"/>
          <c:w val="0.56177"/>
          <c:h val="0.749026666666667"/>
        </c:manualLayout>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layout>
                <c:manualLayout>
                  <c:x val="-0.0724767480901897"/>
                  <c:y val="-0.330923992169803"/>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765.59万元, 占</a:t>
                    </a:r>
                    <a:r>
                      <a:rPr lang="en-US" altLang="zh-CN"/>
                      <a:t>98.86</a:t>
                    </a:r>
                    <a:r>
                      <a:t>%</a:t>
                    </a:r>
                  </a:p>
                </c:rich>
              </c:tx>
              <c:dLblPos val="bestFit"/>
              <c:showLegendKey val="0"/>
              <c:showVal val="1"/>
              <c:showCatName val="0"/>
              <c:showSerName val="0"/>
              <c:showPercent val="1"/>
              <c:showBubbleSize val="0"/>
              <c:extLst>
                <c:ext xmlns:c15="http://schemas.microsoft.com/office/drawing/2012/chart" uri="{CE6537A1-D6FC-4f65-9D91-7224C49458BB}">
                  <c15:layout>
                    <c:manualLayout>
                      <c:w val="0.247625"/>
                      <c:h val="0.171833333333333"/>
                    </c:manualLayout>
                  </c15:layout>
                </c:ext>
              </c:extLst>
            </c:dLbl>
            <c:dLbl>
              <c:idx val="1"/>
              <c:layout>
                <c:manualLayout>
                  <c:x val="-0.120480819326017"/>
                  <c:y val="0.0135329887651251"/>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2.7万元, 占0</a:t>
                    </a:r>
                    <a:r>
                      <a:rPr lang="en-US" altLang="zh-CN"/>
                      <a:t>.35</a:t>
                    </a:r>
                    <a:r>
                      <a:t>%</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dLbl>
              <c:idx val="2"/>
              <c:layout>
                <c:manualLayout>
                  <c:x val="0.189996227800903"/>
                  <c:y val="0.0035357562830597"/>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6.12万元, 占</a:t>
                    </a:r>
                    <a:r>
                      <a:rPr lang="en-US" altLang="zh-CN"/>
                      <a:t>0.79</a:t>
                    </a:r>
                    <a:r>
                      <a:t>%</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Sheet1!$A$2:$A$4</c15:sqref>
                  </c15:fullRef>
                </c:ext>
              </c:extLst>
              <c:f>Sheet1!$A$2:$A$4</c:f>
              <c:strCache>
                <c:ptCount val="3"/>
                <c:pt idx="0">
                  <c:v>社会保障和就业支出</c:v>
                </c:pt>
                <c:pt idx="1">
                  <c:v>卫生健康支出</c:v>
                </c:pt>
                <c:pt idx="2">
                  <c:v>住房保障支出</c:v>
                </c:pt>
              </c:strCache>
            </c:strRef>
          </c:cat>
          <c:val>
            <c:numRef>
              <c:extLst>
                <c:ext xmlns:c15="http://schemas.microsoft.com/office/drawing/2012/chart" uri="{02D57815-91ED-43cb-92C2-25804820EDAC}">
                  <c15:fullRef>
                    <c15:sqref>Sheet1!$B$2:$B$4</c15:sqref>
                  </c15:fullRef>
                </c:ext>
              </c:extLst>
              <c:f>Sheet1!$B$2:$B$4</c:f>
              <c:numCache>
                <c:formatCode>General</c:formatCode>
                <c:ptCount val="3"/>
                <c:pt idx="0">
                  <c:v>765.59</c:v>
                </c:pt>
                <c:pt idx="1">
                  <c:v>2.7</c:v>
                </c:pt>
                <c:pt idx="2">
                  <c:v>6.12</c:v>
                </c:pt>
              </c:numCache>
            </c:numRef>
          </c:val>
        </c:ser>
        <c:dLbls>
          <c:showLegendKey val="0"/>
          <c:showVal val="1"/>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“三公”经费财政拨款支出决算</c:v>
                </c:pt>
              </c:strCache>
            </c:strRef>
          </c:tx>
          <c:spPr>
            <a:solidFill>
              <a:schemeClr val="accent1"/>
            </a:solidFill>
            <a:ln w="19050">
              <a:noFill/>
            </a:ln>
          </c:spPr>
          <c:explosion val="0"/>
          <c:dPt>
            <c:idx val="0"/>
            <c:bubble3D val="0"/>
            <c:spPr>
              <a:solidFill>
                <a:schemeClr val="accent1"/>
              </a:solidFill>
              <a:ln w="19050">
                <a:noFill/>
              </a:ln>
              <a:effectLst/>
            </c:spPr>
          </c:dPt>
          <c:dLbls>
            <c:dLbl>
              <c:idx val="0"/>
              <c:layout>
                <c:manualLayout>
                  <c:x val="0.00749901429762349"/>
                  <c:y val="-0.368382233082343"/>
                </c:manualLayout>
              </c:layout>
              <c:tx>
                <c:rich>
                  <a:bodyPr rot="0" spcFirstLastPara="0" vertOverflow="ellipsis" vert="horz" wrap="square" lIns="38100" tIns="19050" rIns="38100" bIns="19050" anchor="ctr" anchorCtr="1"/>
                  <a:lstStyle/>
                  <a:p>
                    <a:pPr defTabSz="914400">
                      <a:defRPr lang="zh-CN" sz="900" b="0" i="0" u="none" strike="noStrike" kern="1200" baseline="0">
                        <a:ln>
                          <a:noFill/>
                        </a:ln>
                        <a:solidFill>
                          <a:schemeClr val="tx1">
                            <a:lumMod val="75000"/>
                            <a:lumOff val="25000"/>
                          </a:schemeClr>
                        </a:solidFill>
                        <a:latin typeface="+mn-lt"/>
                        <a:ea typeface="+mn-ea"/>
                        <a:cs typeface="+mn-cs"/>
                      </a:defRPr>
                    </a:pPr>
                    <a:r>
                      <a:rPr>
                        <a:ln>
                          <a:noFill/>
                        </a:ln>
                        <a:solidFill>
                          <a:schemeClr val="tx1">
                            <a:lumMod val="75000"/>
                            <a:lumOff val="25000"/>
                          </a:schemeClr>
                        </a:solidFill>
                      </a:rPr>
                      <a:t>0.09万元,占 100%</a:t>
                    </a:r>
                    <a:endParaRPr>
                      <a:ln>
                        <a:noFill/>
                      </a:ln>
                      <a:solidFill>
                        <a:schemeClr val="tx1">
                          <a:lumMod val="75000"/>
                          <a:lumOff val="25000"/>
                        </a:schemeClr>
                      </a:solidFill>
                    </a:endParaRPr>
                  </a:p>
                </c:rich>
              </c:tx>
              <c:dLblPos val="bestFit"/>
              <c:showLegendKey val="0"/>
              <c:showVal val="1"/>
              <c:showCatName val="0"/>
              <c:showSerName val="0"/>
              <c:showPercent val="1"/>
              <c:showBubbleSize val="0"/>
              <c:extLst>
                <c:ext xmlns:c15="http://schemas.microsoft.com/office/drawing/2012/chart" uri="{CE6537A1-D6FC-4f65-9D91-7224C49458BB}">
                  <c15:layout>
                    <c:manualLayout>
                      <c:w val="0.3105"/>
                      <c:h val="0.3065"/>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ln>
                      <a:noFill/>
                    </a:ln>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公务接待费支出</c:v>
                </c:pt>
              </c:strCache>
            </c:strRef>
          </c:cat>
          <c:val>
            <c:numRef>
              <c:f>Sheet1!$B$2</c:f>
              <c:numCache>
                <c:formatCode>General</c:formatCode>
                <c:ptCount val="1"/>
                <c:pt idx="0">
                  <c:v>0.09</c:v>
                </c:pt>
              </c:numCache>
            </c:numRef>
          </c:val>
        </c:ser>
        <c:dLbls>
          <c:showLegendKey val="0"/>
          <c:showVal val="1"/>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3</Pages>
  <Words>0</Words>
  <Characters>4932</Characters>
  <Lines>0</Lines>
  <Paragraphs>218</Paragraphs>
  <TotalTime>39</TotalTime>
  <ScaleCrop>false</ScaleCrop>
  <LinksUpToDate>false</LinksUpToDate>
  <CharactersWithSpaces>6577</CharactersWithSpaces>
  <Application>WPS Office_11.8.2.1127_F1E327BC-269C-435d-A152-05C5408002CA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2020-08-07T17:49:00Z</dcterms:created>
  <dc:creator>曹颖</dc:creator>
  <cp:lastModifiedBy>user</cp:lastModifiedBy>
  <cp:lastPrinted>2023-10-17T17:42:00Z</cp:lastPrinted>
  <dcterms:modified xsi:type="dcterms:W3CDTF">2023-10-17T17:40:22Z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2052-11.8.2.1127</vt:lpwstr>
  </property>
  <property fmtid="{D5CDD505-2E9C-101B-9397-08002B2CF9AE}" pid="3" name="ICV">
    <vt:lpwstr>2C15F9184B0EC58BAF9F27653118A667</vt:lpwstr>
  </property>
</Properties>
</file>