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pacing w:line="600" w:lineRule="exact"/>
        <w:jc w:val="left"/>
        <w:textAlignment w:val="auto"/>
        <w:outlineLvl w:val="9"/>
        <w:rPr>
          <w:rFonts w:ascii="方正小标宋简体" w:hAnsi="宋体" w:eastAsia="方正小标宋简体"/>
          <w:color w:val="auto"/>
          <w:sz w:val="21"/>
          <w:szCs w:val="21"/>
          <w:highlight w:val="none"/>
        </w:rPr>
      </w:pPr>
      <w:bookmarkStart w:id="0" w:name="_Toc15306267"/>
    </w:p>
    <w:p>
      <w:pPr>
        <w:pageBreakBefore w:val="0"/>
        <w:kinsoku/>
        <w:wordWrap/>
        <w:overflowPunct/>
        <w:topLinePunct w:val="0"/>
        <w:bidi w:val="0"/>
        <w:spacing w:line="600" w:lineRule="exact"/>
        <w:jc w:val="center"/>
        <w:textAlignment w:val="auto"/>
        <w:outlineLvl w:val="9"/>
        <w:rPr>
          <w:rFonts w:ascii="方正小标宋简体" w:hAnsi="宋体" w:eastAsia="方正小标宋简体"/>
          <w:color w:val="auto"/>
          <w:sz w:val="72"/>
          <w:szCs w:val="72"/>
          <w:highlight w:val="none"/>
        </w:rPr>
      </w:pPr>
    </w:p>
    <w:p>
      <w:pPr>
        <w:pageBreakBefore w:val="0"/>
        <w:kinsoku/>
        <w:wordWrap/>
        <w:overflowPunct/>
        <w:topLinePunct w:val="0"/>
        <w:bidi w:val="0"/>
        <w:spacing w:line="600" w:lineRule="exact"/>
        <w:jc w:val="center"/>
        <w:textAlignment w:val="auto"/>
        <w:outlineLvl w:val="9"/>
        <w:rPr>
          <w:rFonts w:ascii="方正小标宋简体" w:hAnsi="宋体" w:eastAsia="方正小标宋简体"/>
          <w:color w:val="auto"/>
          <w:sz w:val="72"/>
          <w:szCs w:val="72"/>
          <w:highlight w:val="none"/>
        </w:rPr>
      </w:pPr>
    </w:p>
    <w:p>
      <w:pPr>
        <w:pageBreakBefore w:val="0"/>
        <w:kinsoku/>
        <w:wordWrap/>
        <w:overflowPunct/>
        <w:topLinePunct w:val="0"/>
        <w:bidi w:val="0"/>
        <w:adjustRightInd w:val="0"/>
        <w:snapToGrid w:val="0"/>
        <w:spacing w:line="360" w:lineRule="auto"/>
        <w:jc w:val="center"/>
        <w:textAlignment w:val="auto"/>
        <w:outlineLvl w:val="0"/>
        <w:rPr>
          <w:rFonts w:hint="eastAsia" w:ascii="方正小标宋简体" w:hAnsi="方正小标宋简体" w:eastAsia="方正小标宋简体" w:cs="方正小标宋简体"/>
          <w:color w:val="auto"/>
          <w:sz w:val="72"/>
          <w:szCs w:val="72"/>
          <w:highlight w:val="none"/>
        </w:rPr>
      </w:pPr>
      <w:bookmarkStart w:id="1" w:name="_Toc15396597"/>
      <w:bookmarkStart w:id="2" w:name="_Toc15377193"/>
      <w:bookmarkStart w:id="3" w:name="_Toc15378441"/>
      <w:bookmarkStart w:id="4" w:name="_Toc15377425"/>
      <w:bookmarkStart w:id="5" w:name="_Toc32302"/>
      <w:bookmarkStart w:id="6" w:name="_Toc15396475"/>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pageBreakBefore w:val="0"/>
        <w:kinsoku/>
        <w:wordWrap/>
        <w:overflowPunct/>
        <w:topLinePunct w:val="0"/>
        <w:bidi w:val="0"/>
        <w:adjustRightInd w:val="0"/>
        <w:snapToGrid w:val="0"/>
        <w:spacing w:line="360" w:lineRule="auto"/>
        <w:jc w:val="center"/>
        <w:textAlignment w:val="auto"/>
        <w:outlineLvl w:val="0"/>
        <w:rPr>
          <w:rFonts w:hint="eastAsia" w:ascii="方正小标宋简体" w:hAnsi="方正小标宋简体" w:eastAsia="方正小标宋简体" w:cs="方正小标宋简体"/>
          <w:color w:val="auto"/>
          <w:sz w:val="72"/>
          <w:szCs w:val="72"/>
          <w:highlight w:val="none"/>
        </w:rPr>
      </w:pPr>
      <w:bookmarkStart w:id="7" w:name="_Toc28927"/>
      <w:bookmarkStart w:id="8" w:name="_Toc15396598"/>
      <w:bookmarkStart w:id="9" w:name="_Toc15377426"/>
      <w:bookmarkStart w:id="10" w:name="_Toc15377194"/>
      <w:bookmarkStart w:id="11" w:name="_Toc15378442"/>
      <w:bookmarkStart w:id="12" w:name="_Toc15396476"/>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作家协会单位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pageBreakBefore w:val="0"/>
        <w:widowControl/>
        <w:kinsoku/>
        <w:wordWrap/>
        <w:overflowPunct/>
        <w:topLinePunct w:val="0"/>
        <w:bidi w:val="0"/>
        <w:jc w:val="center"/>
        <w:textAlignment w:val="auto"/>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1"/>
        <w:pageBreakBefore w:val="0"/>
        <w:kinsoku/>
        <w:wordWrap/>
        <w:overflowPunct/>
        <w:topLinePunct w:val="0"/>
        <w:bidi w:val="0"/>
        <w:spacing w:before="0"/>
        <w:textAlignment w:val="auto"/>
        <w:rPr>
          <w:rFonts w:hint="eastAsia" w:eastAsia="仿宋"/>
          <w:color w:val="auto"/>
          <w:highlight w:val="none"/>
          <w:lang w:val="en-US" w:eastAsia="zh-CN"/>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10</w:t>
      </w:r>
      <w:r>
        <w:rPr>
          <w:rFonts w:hint="eastAsia"/>
          <w:color w:val="FF0000"/>
          <w:highlight w:val="none"/>
          <w:lang w:val="en-US" w:eastAsia="zh-CN"/>
        </w:rPr>
        <w:t xml:space="preserve"> </w:t>
      </w:r>
      <w:r>
        <w:rPr>
          <w:rFonts w:hint="eastAsia"/>
          <w:color w:val="FF0000"/>
          <w:highlight w:val="none"/>
        </w:rPr>
        <w:t>月</w:t>
      </w:r>
      <w:r>
        <w:rPr>
          <w:rFonts w:hint="eastAsia"/>
          <w:color w:val="FF0000"/>
          <w:highlight w:val="none"/>
          <w:lang w:val="en-US" w:eastAsia="zh-CN"/>
        </w:rPr>
        <w:t>17</w:t>
      </w:r>
      <w:r>
        <w:rPr>
          <w:rFonts w:hint="eastAsia"/>
          <w:color w:val="FF0000"/>
          <w:highlight w:val="none"/>
        </w:rPr>
        <w:t>日</w:t>
      </w:r>
    </w:p>
    <w:sdt>
      <w:sdtPr>
        <w:rPr>
          <w:rFonts w:ascii="宋体" w:hAnsi="宋体" w:eastAsia="宋体" w:cs="Times New Roman"/>
          <w:kern w:val="2"/>
          <w:sz w:val="21"/>
          <w:szCs w:val="24"/>
          <w:lang w:val="en-US" w:eastAsia="zh-CN" w:bidi="ar-SA"/>
        </w:rPr>
        <w:id w:val="147481326"/>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b/>
            </w:rPr>
          </w:pPr>
          <w:bookmarkStart w:id="14" w:name="_Toc15377196"/>
          <w:bookmarkStart w:id="15" w:name="_Toc15396599"/>
          <w:r>
            <w:fldChar w:fldCharType="begin"/>
          </w:r>
          <w:r>
            <w:instrText xml:space="preserve">TOC \o "1-2" \h \u </w:instrText>
          </w:r>
          <w:r>
            <w:fldChar w:fldCharType="separate"/>
          </w:r>
        </w:p>
        <w:p>
          <w:pPr>
            <w:pStyle w:val="32"/>
            <w:tabs>
              <w:tab w:val="right" w:leader="dot" w:pos="8306"/>
            </w:tabs>
            <w:rPr>
              <w:b/>
            </w:rPr>
          </w:pPr>
          <w:r>
            <w:rPr>
              <w:b/>
            </w:rPr>
            <w:fldChar w:fldCharType="begin"/>
          </w:r>
          <w:r>
            <w:rPr>
              <w:b/>
            </w:rPr>
            <w:instrText xml:space="preserve"> HYPERLINK \l _Toc29935 </w:instrText>
          </w:r>
          <w:r>
            <w:rPr>
              <w:b/>
            </w:rPr>
            <w:fldChar w:fldCharType="separate"/>
          </w:r>
          <w:r>
            <w:rPr>
              <w:rFonts w:hint="eastAsia" w:ascii="黑体" w:hAnsi="黑体" w:eastAsia="黑体"/>
              <w:b/>
              <w:highlight w:val="none"/>
            </w:rPr>
            <w:t xml:space="preserve">第一部分 </w:t>
          </w:r>
          <w:r>
            <w:rPr>
              <w:rFonts w:hint="eastAsia" w:ascii="黑体" w:hAnsi="黑体" w:eastAsia="黑体"/>
              <w:b/>
              <w:highlight w:val="none"/>
              <w:lang w:eastAsia="zh-CN"/>
            </w:rPr>
            <w:t>单位</w:t>
          </w:r>
          <w:r>
            <w:rPr>
              <w:rFonts w:hint="eastAsia" w:ascii="黑体" w:hAnsi="黑体" w:eastAsia="黑体"/>
              <w:b/>
              <w:bCs w:val="0"/>
              <w:highlight w:val="none"/>
            </w:rPr>
            <w:t>概况</w:t>
          </w:r>
          <w:r>
            <w:rPr>
              <w:b/>
            </w:rPr>
            <w:tab/>
          </w:r>
          <w:r>
            <w:rPr>
              <w:b/>
            </w:rPr>
            <w:fldChar w:fldCharType="begin"/>
          </w:r>
          <w:r>
            <w:rPr>
              <w:b/>
            </w:rPr>
            <w:instrText xml:space="preserve"> PAGEREF _Toc29935 \h </w:instrText>
          </w:r>
          <w:r>
            <w:rPr>
              <w:b/>
            </w:rPr>
            <w:fldChar w:fldCharType="separate"/>
          </w:r>
          <w:r>
            <w:rPr>
              <w:b/>
            </w:rPr>
            <w:t>1</w:t>
          </w:r>
          <w:r>
            <w:rPr>
              <w:b/>
            </w:rPr>
            <w:fldChar w:fldCharType="end"/>
          </w:r>
          <w:r>
            <w:rPr>
              <w:b/>
            </w:rPr>
            <w:fldChar w:fldCharType="end"/>
          </w:r>
        </w:p>
        <w:p>
          <w:pPr>
            <w:pStyle w:val="33"/>
            <w:tabs>
              <w:tab w:val="right" w:leader="dot" w:pos="8306"/>
            </w:tabs>
          </w:pPr>
          <w:r>
            <w:fldChar w:fldCharType="begin"/>
          </w:r>
          <w:r>
            <w:instrText xml:space="preserve"> HYPERLINK \l _Toc4137 </w:instrText>
          </w:r>
          <w:r>
            <w:fldChar w:fldCharType="separate"/>
          </w:r>
          <w:r>
            <w:rPr>
              <w:rFonts w:hint="eastAsia" w:ascii="黑体" w:hAnsi="黑体" w:eastAsia="黑体"/>
              <w:bCs w:val="0"/>
              <w:highlight w:val="none"/>
              <w:lang w:eastAsia="zh-CN"/>
            </w:rPr>
            <w:t>一、主要职责</w:t>
          </w:r>
          <w:r>
            <w:tab/>
          </w:r>
          <w:r>
            <w:fldChar w:fldCharType="begin"/>
          </w:r>
          <w:r>
            <w:instrText xml:space="preserve"> PAGEREF _Toc4137 \h </w:instrText>
          </w:r>
          <w:r>
            <w:fldChar w:fldCharType="separate"/>
          </w:r>
          <w:r>
            <w:t>1</w:t>
          </w:r>
          <w:r>
            <w:fldChar w:fldCharType="end"/>
          </w:r>
          <w:r>
            <w:fldChar w:fldCharType="end"/>
          </w:r>
        </w:p>
        <w:p>
          <w:pPr>
            <w:pStyle w:val="33"/>
            <w:tabs>
              <w:tab w:val="right" w:leader="dot" w:pos="8306"/>
            </w:tabs>
          </w:pPr>
          <w:r>
            <w:fldChar w:fldCharType="begin"/>
          </w:r>
          <w:r>
            <w:instrText xml:space="preserve"> HYPERLINK \l _Toc21703 </w:instrText>
          </w:r>
          <w:r>
            <w:fldChar w:fldCharType="separate"/>
          </w:r>
          <w:r>
            <w:rPr>
              <w:rFonts w:hint="eastAsia" w:ascii="黑体" w:hAnsi="黑体" w:eastAsia="黑体"/>
              <w:highlight w:val="none"/>
              <w:lang w:val="en-US" w:eastAsia="zh-CN"/>
            </w:rPr>
            <w:t>二、机构设置</w:t>
          </w:r>
          <w:r>
            <w:tab/>
          </w:r>
          <w:r>
            <w:fldChar w:fldCharType="begin"/>
          </w:r>
          <w:r>
            <w:instrText xml:space="preserve"> PAGEREF _Toc21703 \h </w:instrText>
          </w:r>
          <w:r>
            <w:fldChar w:fldCharType="separate"/>
          </w:r>
          <w:r>
            <w:t>2</w:t>
          </w:r>
          <w:r>
            <w:fldChar w:fldCharType="end"/>
          </w:r>
          <w:r>
            <w:fldChar w:fldCharType="end"/>
          </w:r>
        </w:p>
        <w:p>
          <w:pPr>
            <w:pStyle w:val="32"/>
            <w:tabs>
              <w:tab w:val="right" w:leader="dot" w:pos="8306"/>
            </w:tabs>
            <w:rPr>
              <w:b/>
            </w:rPr>
          </w:pPr>
          <w:r>
            <w:rPr>
              <w:b/>
            </w:rPr>
            <w:fldChar w:fldCharType="begin"/>
          </w:r>
          <w:r>
            <w:rPr>
              <w:b/>
            </w:rPr>
            <w:instrText xml:space="preserve"> HYPERLINK \l _Toc25018 </w:instrText>
          </w:r>
          <w:r>
            <w:rPr>
              <w:b/>
            </w:rPr>
            <w:fldChar w:fldCharType="separate"/>
          </w:r>
          <w:r>
            <w:rPr>
              <w:rFonts w:hint="eastAsia" w:ascii="黑体" w:hAnsi="黑体" w:eastAsia="黑体"/>
              <w:b/>
              <w:bCs/>
              <w:highlight w:val="none"/>
            </w:rPr>
            <w:t xml:space="preserve">第二部分 </w:t>
          </w:r>
          <w:r>
            <w:rPr>
              <w:rFonts w:hint="eastAsia" w:ascii="黑体" w:hAnsi="黑体" w:eastAsia="黑体"/>
              <w:b/>
              <w:bCs/>
              <w:highlight w:val="none"/>
              <w:lang w:val="en-US" w:eastAsia="zh-CN"/>
            </w:rPr>
            <w:t>2022年度</w:t>
          </w:r>
          <w:r>
            <w:rPr>
              <w:rFonts w:hint="eastAsia" w:ascii="黑体" w:hAnsi="黑体" w:eastAsia="黑体"/>
              <w:b/>
              <w:bCs/>
              <w:highlight w:val="none"/>
              <w:lang w:eastAsia="zh-CN"/>
            </w:rPr>
            <w:t>单位</w:t>
          </w:r>
          <w:r>
            <w:rPr>
              <w:rFonts w:hint="eastAsia" w:ascii="黑体" w:hAnsi="黑体" w:eastAsia="黑体"/>
              <w:b/>
              <w:bCs/>
              <w:highlight w:val="none"/>
            </w:rPr>
            <w:t>决算情况说明</w:t>
          </w:r>
          <w:r>
            <w:rPr>
              <w:b/>
            </w:rPr>
            <w:tab/>
          </w:r>
          <w:r>
            <w:rPr>
              <w:b/>
            </w:rPr>
            <w:fldChar w:fldCharType="begin"/>
          </w:r>
          <w:r>
            <w:rPr>
              <w:b/>
            </w:rPr>
            <w:instrText xml:space="preserve"> PAGEREF _Toc25018 \h </w:instrText>
          </w:r>
          <w:r>
            <w:rPr>
              <w:b/>
            </w:rPr>
            <w:fldChar w:fldCharType="separate"/>
          </w:r>
          <w:r>
            <w:rPr>
              <w:b/>
            </w:rPr>
            <w:t>3</w:t>
          </w:r>
          <w:r>
            <w:rPr>
              <w:b/>
            </w:rPr>
            <w:fldChar w:fldCharType="end"/>
          </w:r>
          <w:r>
            <w:rPr>
              <w:b/>
            </w:rPr>
            <w:fldChar w:fldCharType="end"/>
          </w:r>
        </w:p>
        <w:p>
          <w:pPr>
            <w:pStyle w:val="33"/>
            <w:tabs>
              <w:tab w:val="right" w:leader="dot" w:pos="8306"/>
            </w:tabs>
          </w:pPr>
          <w:r>
            <w:fldChar w:fldCharType="begin"/>
          </w:r>
          <w:r>
            <w:instrText xml:space="preserve"> HYPERLINK \l _Toc4458 </w:instrText>
          </w:r>
          <w: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_Toc4458 \h </w:instrText>
          </w:r>
          <w:r>
            <w:fldChar w:fldCharType="separate"/>
          </w:r>
          <w:r>
            <w:t>3</w:t>
          </w:r>
          <w:r>
            <w:fldChar w:fldCharType="end"/>
          </w:r>
          <w:r>
            <w:fldChar w:fldCharType="end"/>
          </w:r>
        </w:p>
        <w:p>
          <w:pPr>
            <w:pStyle w:val="33"/>
            <w:tabs>
              <w:tab w:val="right" w:leader="dot" w:pos="8306"/>
            </w:tabs>
          </w:pPr>
          <w:r>
            <w:fldChar w:fldCharType="begin"/>
          </w:r>
          <w:r>
            <w:instrText xml:space="preserve"> HYPERLINK \l _Toc2544 </w:instrText>
          </w:r>
          <w: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_Toc2544 \h </w:instrText>
          </w:r>
          <w:r>
            <w:fldChar w:fldCharType="separate"/>
          </w:r>
          <w:r>
            <w:t>3</w:t>
          </w:r>
          <w:r>
            <w:fldChar w:fldCharType="end"/>
          </w:r>
          <w:r>
            <w:fldChar w:fldCharType="end"/>
          </w:r>
        </w:p>
        <w:p>
          <w:pPr>
            <w:pStyle w:val="33"/>
            <w:tabs>
              <w:tab w:val="right" w:leader="dot" w:pos="8306"/>
            </w:tabs>
          </w:pPr>
          <w:r>
            <w:fldChar w:fldCharType="begin"/>
          </w:r>
          <w:r>
            <w:instrText xml:space="preserve"> HYPERLINK \l _Toc10256 </w:instrText>
          </w:r>
          <w: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_Toc10256 \h </w:instrText>
          </w:r>
          <w:r>
            <w:fldChar w:fldCharType="separate"/>
          </w:r>
          <w:r>
            <w:t>4</w:t>
          </w:r>
          <w:r>
            <w:fldChar w:fldCharType="end"/>
          </w:r>
          <w:r>
            <w:fldChar w:fldCharType="end"/>
          </w:r>
        </w:p>
        <w:p>
          <w:pPr>
            <w:pStyle w:val="33"/>
            <w:tabs>
              <w:tab w:val="right" w:leader="dot" w:pos="8306"/>
            </w:tabs>
          </w:pPr>
          <w:r>
            <w:fldChar w:fldCharType="begin"/>
          </w:r>
          <w:r>
            <w:instrText xml:space="preserve"> HYPERLINK \l _Toc6986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_Toc6986 \h </w:instrText>
          </w:r>
          <w:r>
            <w:fldChar w:fldCharType="separate"/>
          </w:r>
          <w:r>
            <w:t>4</w:t>
          </w:r>
          <w:r>
            <w:fldChar w:fldCharType="end"/>
          </w:r>
          <w:r>
            <w:fldChar w:fldCharType="end"/>
          </w:r>
        </w:p>
        <w:p>
          <w:pPr>
            <w:pStyle w:val="33"/>
            <w:tabs>
              <w:tab w:val="right" w:leader="dot" w:pos="8306"/>
            </w:tabs>
          </w:pPr>
          <w:r>
            <w:fldChar w:fldCharType="begin"/>
          </w:r>
          <w:r>
            <w:instrText xml:space="preserve"> HYPERLINK \l _Toc27323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_Toc27323 \h </w:instrText>
          </w:r>
          <w:r>
            <w:fldChar w:fldCharType="separate"/>
          </w:r>
          <w:r>
            <w:t>4</w:t>
          </w:r>
          <w:r>
            <w:fldChar w:fldCharType="end"/>
          </w:r>
          <w:r>
            <w:fldChar w:fldCharType="end"/>
          </w:r>
        </w:p>
        <w:p>
          <w:pPr>
            <w:pStyle w:val="33"/>
            <w:tabs>
              <w:tab w:val="right" w:leader="dot" w:pos="8306"/>
            </w:tabs>
          </w:pPr>
          <w:r>
            <w:fldChar w:fldCharType="begin"/>
          </w:r>
          <w:r>
            <w:instrText xml:space="preserve"> HYPERLINK \l _Toc2880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_Toc2880 \h </w:instrText>
          </w:r>
          <w:r>
            <w:fldChar w:fldCharType="separate"/>
          </w:r>
          <w:r>
            <w:t>7</w:t>
          </w:r>
          <w:r>
            <w:fldChar w:fldCharType="end"/>
          </w:r>
          <w:r>
            <w:fldChar w:fldCharType="end"/>
          </w:r>
        </w:p>
        <w:p>
          <w:pPr>
            <w:pStyle w:val="33"/>
            <w:tabs>
              <w:tab w:val="right" w:leader="dot" w:pos="8306"/>
            </w:tabs>
          </w:pPr>
          <w:r>
            <w:fldChar w:fldCharType="begin"/>
          </w:r>
          <w:r>
            <w:instrText xml:space="preserve"> HYPERLINK \l _Toc7827 </w:instrText>
          </w:r>
          <w: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_Toc7827 \h </w:instrText>
          </w:r>
          <w:r>
            <w:fldChar w:fldCharType="separate"/>
          </w:r>
          <w:r>
            <w:t>7</w:t>
          </w:r>
          <w:r>
            <w:fldChar w:fldCharType="end"/>
          </w:r>
          <w:r>
            <w:fldChar w:fldCharType="end"/>
          </w:r>
        </w:p>
        <w:p>
          <w:pPr>
            <w:pStyle w:val="33"/>
            <w:tabs>
              <w:tab w:val="right" w:leader="dot" w:pos="8306"/>
            </w:tabs>
          </w:pPr>
          <w:r>
            <w:fldChar w:fldCharType="begin"/>
          </w:r>
          <w:r>
            <w:instrText xml:space="preserve"> HYPERLINK \l _Toc24995 </w:instrText>
          </w:r>
          <w:r>
            <w:fldChar w:fldCharType="separate"/>
          </w:r>
          <w:r>
            <w:rPr>
              <w:rFonts w:hint="eastAsia" w:ascii="黑体" w:hAnsi="黑体" w:eastAsia="黑体"/>
              <w:kern w:val="2"/>
              <w:szCs w:val="24"/>
              <w:lang w:val="zh-CN"/>
            </w:rPr>
            <w:t>八、政府性基金预算支出决算情况说明</w:t>
          </w:r>
          <w:r>
            <w:tab/>
          </w:r>
          <w:r>
            <w:fldChar w:fldCharType="begin"/>
          </w:r>
          <w:r>
            <w:instrText xml:space="preserve"> PAGEREF _Toc24995 \h </w:instrText>
          </w:r>
          <w:r>
            <w:fldChar w:fldCharType="separate"/>
          </w:r>
          <w:r>
            <w:t>9</w:t>
          </w:r>
          <w:r>
            <w:fldChar w:fldCharType="end"/>
          </w:r>
          <w:r>
            <w:fldChar w:fldCharType="end"/>
          </w:r>
        </w:p>
        <w:p>
          <w:pPr>
            <w:pStyle w:val="33"/>
            <w:tabs>
              <w:tab w:val="right" w:leader="dot" w:pos="8306"/>
            </w:tabs>
          </w:pPr>
          <w:r>
            <w:fldChar w:fldCharType="begin"/>
          </w:r>
          <w:r>
            <w:instrText xml:space="preserve"> HYPERLINK \l _Toc20048 </w:instrText>
          </w:r>
          <w:r>
            <w:fldChar w:fldCharType="separate"/>
          </w:r>
          <w:r>
            <w:rPr>
              <w:rFonts w:hint="eastAsia" w:ascii="黑体" w:hAnsi="黑体" w:eastAsia="黑体"/>
              <w:kern w:val="2"/>
              <w:szCs w:val="24"/>
              <w:lang w:val="zh-CN"/>
            </w:rPr>
            <w:t>九、国有资本经营预算支出决算情况说明</w:t>
          </w:r>
          <w:r>
            <w:tab/>
          </w:r>
          <w:r>
            <w:fldChar w:fldCharType="begin"/>
          </w:r>
          <w:r>
            <w:instrText xml:space="preserve"> PAGEREF _Toc20048 \h </w:instrText>
          </w:r>
          <w:r>
            <w:fldChar w:fldCharType="separate"/>
          </w:r>
          <w:r>
            <w:t>9</w:t>
          </w:r>
          <w:r>
            <w:fldChar w:fldCharType="end"/>
          </w:r>
          <w:r>
            <w:fldChar w:fldCharType="end"/>
          </w:r>
        </w:p>
        <w:p>
          <w:pPr>
            <w:pStyle w:val="33"/>
            <w:tabs>
              <w:tab w:val="right" w:leader="dot" w:pos="8306"/>
            </w:tabs>
          </w:pPr>
          <w:r>
            <w:fldChar w:fldCharType="begin"/>
          </w:r>
          <w:r>
            <w:instrText xml:space="preserve"> HYPERLINK \l _Toc8163 </w:instrText>
          </w:r>
          <w:r>
            <w:fldChar w:fldCharType="separate"/>
          </w:r>
          <w:r>
            <w:rPr>
              <w:rFonts w:hint="eastAsia" w:ascii="黑体" w:hAnsi="黑体" w:eastAsia="黑体"/>
              <w:kern w:val="2"/>
              <w:szCs w:val="24"/>
              <w:lang w:val="zh-CN"/>
            </w:rPr>
            <w:t>十、其他重要事项的情况说明</w:t>
          </w:r>
          <w:r>
            <w:tab/>
          </w:r>
          <w:r>
            <w:fldChar w:fldCharType="begin"/>
          </w:r>
          <w:r>
            <w:instrText xml:space="preserve"> PAGEREF _Toc8163 \h </w:instrText>
          </w:r>
          <w:r>
            <w:fldChar w:fldCharType="separate"/>
          </w:r>
          <w:r>
            <w:t>9</w:t>
          </w:r>
          <w:r>
            <w:fldChar w:fldCharType="end"/>
          </w:r>
          <w:r>
            <w:fldChar w:fldCharType="end"/>
          </w:r>
        </w:p>
        <w:p>
          <w:pPr>
            <w:pStyle w:val="32"/>
            <w:tabs>
              <w:tab w:val="right" w:leader="dot" w:pos="8306"/>
            </w:tabs>
            <w:rPr>
              <w:b/>
            </w:rPr>
          </w:pPr>
          <w:r>
            <w:rPr>
              <w:b/>
            </w:rPr>
            <w:fldChar w:fldCharType="begin"/>
          </w:r>
          <w:r>
            <w:rPr>
              <w:b/>
            </w:rPr>
            <w:instrText xml:space="preserve"> HYPERLINK \l _Toc30922 </w:instrText>
          </w:r>
          <w:r>
            <w:rPr>
              <w:b/>
            </w:rPr>
            <w:fldChar w:fldCharType="separate"/>
          </w:r>
          <w:r>
            <w:rPr>
              <w:rFonts w:hint="eastAsia" w:ascii="黑体" w:hAnsi="黑体" w:eastAsia="黑体" w:cs="黑体"/>
              <w:b/>
              <w:szCs w:val="44"/>
            </w:rPr>
            <w:t xml:space="preserve">第三部分 </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_Toc30922 \h </w:instrText>
          </w:r>
          <w:r>
            <w:rPr>
              <w:b/>
            </w:rPr>
            <w:fldChar w:fldCharType="separate"/>
          </w:r>
          <w:r>
            <w:rPr>
              <w:b/>
            </w:rPr>
            <w:t>11</w:t>
          </w:r>
          <w:r>
            <w:rPr>
              <w:b/>
            </w:rPr>
            <w:fldChar w:fldCharType="end"/>
          </w:r>
          <w:r>
            <w:rPr>
              <w:b/>
            </w:rPr>
            <w:fldChar w:fldCharType="end"/>
          </w:r>
        </w:p>
        <w:p>
          <w:pPr>
            <w:pStyle w:val="32"/>
            <w:tabs>
              <w:tab w:val="right" w:leader="dot" w:pos="8306"/>
            </w:tabs>
            <w:rPr>
              <w:b/>
            </w:rPr>
          </w:pPr>
          <w:r>
            <w:rPr>
              <w:b/>
            </w:rPr>
            <w:fldChar w:fldCharType="begin"/>
          </w:r>
          <w:r>
            <w:rPr>
              <w:b/>
            </w:rPr>
            <w:instrText xml:space="preserve"> HYPERLINK \l _Toc2018 </w:instrText>
          </w:r>
          <w:r>
            <w:rPr>
              <w:b/>
            </w:rPr>
            <w:fldChar w:fldCharType="separate"/>
          </w:r>
          <w:r>
            <w:rPr>
              <w:rFonts w:hint="eastAsia" w:ascii="黑体" w:hAnsi="黑体" w:eastAsia="黑体"/>
              <w:b/>
              <w:szCs w:val="44"/>
              <w:highlight w:val="none"/>
            </w:rPr>
            <w:t>第</w:t>
          </w:r>
          <w:r>
            <w:rPr>
              <w:rFonts w:hint="eastAsia" w:ascii="黑体" w:hAnsi="黑体" w:eastAsia="黑体"/>
              <w:b/>
              <w:highlight w:val="none"/>
            </w:rPr>
            <w:t>四部分 附件</w:t>
          </w:r>
          <w:r>
            <w:rPr>
              <w:b/>
            </w:rPr>
            <w:tab/>
          </w:r>
          <w:r>
            <w:rPr>
              <w:b/>
            </w:rPr>
            <w:fldChar w:fldCharType="begin"/>
          </w:r>
          <w:r>
            <w:rPr>
              <w:b/>
            </w:rPr>
            <w:instrText xml:space="preserve"> PAGEREF _Toc2018 \h </w:instrText>
          </w:r>
          <w:r>
            <w:rPr>
              <w:b/>
            </w:rPr>
            <w:fldChar w:fldCharType="separate"/>
          </w:r>
          <w:r>
            <w:rPr>
              <w:b/>
            </w:rPr>
            <w:t>14</w:t>
          </w:r>
          <w:r>
            <w:rPr>
              <w:b/>
            </w:rPr>
            <w:fldChar w:fldCharType="end"/>
          </w:r>
          <w:r>
            <w:rPr>
              <w:b/>
            </w:rPr>
            <w:fldChar w:fldCharType="end"/>
          </w:r>
        </w:p>
        <w:p>
          <w:pPr>
            <w:pStyle w:val="32"/>
            <w:tabs>
              <w:tab w:val="right" w:leader="dot" w:pos="8306"/>
            </w:tabs>
            <w:rPr>
              <w:b/>
            </w:rPr>
          </w:pPr>
          <w:r>
            <w:rPr>
              <w:b/>
            </w:rPr>
            <w:fldChar w:fldCharType="begin"/>
          </w:r>
          <w:r>
            <w:rPr>
              <w:b/>
            </w:rPr>
            <w:instrText xml:space="preserve"> HYPERLINK \l _Toc26101 </w:instrText>
          </w:r>
          <w:r>
            <w:rPr>
              <w:b/>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rPr>
            <w:tab/>
          </w:r>
          <w:r>
            <w:rPr>
              <w:b/>
            </w:rPr>
            <w:fldChar w:fldCharType="begin"/>
          </w:r>
          <w:r>
            <w:rPr>
              <w:b/>
            </w:rPr>
            <w:instrText xml:space="preserve"> PAGEREF _Toc26101 \h </w:instrText>
          </w:r>
          <w:r>
            <w:rPr>
              <w:b/>
            </w:rPr>
            <w:fldChar w:fldCharType="separate"/>
          </w:r>
          <w:r>
            <w:rPr>
              <w:b/>
            </w:rPr>
            <w:t>22</w:t>
          </w:r>
          <w:r>
            <w:rPr>
              <w:b/>
            </w:rPr>
            <w:fldChar w:fldCharType="end"/>
          </w:r>
          <w:r>
            <w:rPr>
              <w:b/>
            </w:rPr>
            <w:fldChar w:fldCharType="end"/>
          </w:r>
        </w:p>
        <w:p>
          <w:pPr>
            <w:pStyle w:val="33"/>
            <w:tabs>
              <w:tab w:val="right" w:leader="dot" w:pos="8306"/>
            </w:tabs>
          </w:pPr>
          <w:r>
            <w:fldChar w:fldCharType="begin"/>
          </w:r>
          <w:r>
            <w:instrText xml:space="preserve"> HYPERLINK \l _Toc28970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_Toc28970 \h </w:instrText>
          </w:r>
          <w:r>
            <w:fldChar w:fldCharType="separate"/>
          </w:r>
          <w:r>
            <w:t>22</w:t>
          </w:r>
          <w:r>
            <w:fldChar w:fldCharType="end"/>
          </w:r>
          <w:r>
            <w:fldChar w:fldCharType="end"/>
          </w:r>
        </w:p>
        <w:p>
          <w:pPr>
            <w:pStyle w:val="33"/>
            <w:tabs>
              <w:tab w:val="right" w:leader="dot" w:pos="8306"/>
            </w:tabs>
          </w:pPr>
          <w:r>
            <w:fldChar w:fldCharType="begin"/>
          </w:r>
          <w:r>
            <w:instrText xml:space="preserve"> HYPERLINK \l _Toc24637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_Toc24637 \h </w:instrText>
          </w:r>
          <w:r>
            <w:fldChar w:fldCharType="separate"/>
          </w:r>
          <w:r>
            <w:t>22</w:t>
          </w:r>
          <w:r>
            <w:fldChar w:fldCharType="end"/>
          </w:r>
          <w:r>
            <w:fldChar w:fldCharType="end"/>
          </w:r>
        </w:p>
        <w:p>
          <w:pPr>
            <w:pStyle w:val="33"/>
            <w:tabs>
              <w:tab w:val="right" w:leader="dot" w:pos="8306"/>
            </w:tabs>
          </w:pPr>
          <w:r>
            <w:fldChar w:fldCharType="begin"/>
          </w:r>
          <w:r>
            <w:instrText xml:space="preserve"> HYPERLINK \l _Toc5090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_Toc5090 \h </w:instrText>
          </w:r>
          <w:r>
            <w:fldChar w:fldCharType="separate"/>
          </w:r>
          <w:r>
            <w:t>22</w:t>
          </w:r>
          <w:r>
            <w:fldChar w:fldCharType="end"/>
          </w:r>
          <w:r>
            <w:fldChar w:fldCharType="end"/>
          </w:r>
        </w:p>
        <w:p>
          <w:pPr>
            <w:pStyle w:val="33"/>
            <w:tabs>
              <w:tab w:val="right" w:leader="dot" w:pos="8306"/>
            </w:tabs>
          </w:pPr>
          <w:r>
            <w:fldChar w:fldCharType="begin"/>
          </w:r>
          <w:r>
            <w:instrText xml:space="preserve"> HYPERLINK \l _Toc7556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_Toc7556 \h </w:instrText>
          </w:r>
          <w:r>
            <w:fldChar w:fldCharType="separate"/>
          </w:r>
          <w:r>
            <w:t>22</w:t>
          </w:r>
          <w:r>
            <w:fldChar w:fldCharType="end"/>
          </w:r>
          <w:r>
            <w:fldChar w:fldCharType="end"/>
          </w:r>
        </w:p>
        <w:p>
          <w:pPr>
            <w:pStyle w:val="33"/>
            <w:tabs>
              <w:tab w:val="right" w:leader="dot" w:pos="8306"/>
            </w:tabs>
          </w:pPr>
          <w:r>
            <w:fldChar w:fldCharType="begin"/>
          </w:r>
          <w:r>
            <w:instrText xml:space="preserve"> HYPERLINK \l _Toc23904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_Toc23904 \h </w:instrText>
          </w:r>
          <w:r>
            <w:fldChar w:fldCharType="separate"/>
          </w:r>
          <w:r>
            <w:t>22</w:t>
          </w:r>
          <w:r>
            <w:fldChar w:fldCharType="end"/>
          </w:r>
          <w:r>
            <w:fldChar w:fldCharType="end"/>
          </w:r>
        </w:p>
        <w:p>
          <w:pPr>
            <w:pStyle w:val="33"/>
            <w:tabs>
              <w:tab w:val="right" w:leader="dot" w:pos="8306"/>
            </w:tabs>
          </w:pPr>
          <w:r>
            <w:fldChar w:fldCharType="begin"/>
          </w:r>
          <w:r>
            <w:instrText xml:space="preserve"> HYPERLINK \l _Toc26682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_Toc26682 \h </w:instrText>
          </w:r>
          <w:r>
            <w:fldChar w:fldCharType="separate"/>
          </w:r>
          <w:r>
            <w:t>22</w:t>
          </w:r>
          <w:r>
            <w:fldChar w:fldCharType="end"/>
          </w:r>
          <w:r>
            <w:fldChar w:fldCharType="end"/>
          </w:r>
        </w:p>
        <w:p>
          <w:pPr>
            <w:pStyle w:val="33"/>
            <w:tabs>
              <w:tab w:val="right" w:leader="dot" w:pos="8306"/>
            </w:tabs>
          </w:pPr>
          <w:r>
            <w:fldChar w:fldCharType="begin"/>
          </w:r>
          <w:r>
            <w:instrText xml:space="preserve"> HYPERLINK \l _Toc1614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_Toc1614 \h </w:instrText>
          </w:r>
          <w:r>
            <w:fldChar w:fldCharType="separate"/>
          </w:r>
          <w:r>
            <w:t>22</w:t>
          </w:r>
          <w:r>
            <w:fldChar w:fldCharType="end"/>
          </w:r>
          <w:r>
            <w:fldChar w:fldCharType="end"/>
          </w:r>
        </w:p>
        <w:p>
          <w:pPr>
            <w:pStyle w:val="33"/>
            <w:tabs>
              <w:tab w:val="right" w:leader="dot" w:pos="8306"/>
            </w:tabs>
          </w:pPr>
          <w:r>
            <w:fldChar w:fldCharType="begin"/>
          </w:r>
          <w:r>
            <w:instrText xml:space="preserve"> HYPERLINK \l _Toc22105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_Toc22105 \h </w:instrText>
          </w:r>
          <w:r>
            <w:fldChar w:fldCharType="separate"/>
          </w:r>
          <w:r>
            <w:t>22</w:t>
          </w:r>
          <w:r>
            <w:fldChar w:fldCharType="end"/>
          </w:r>
          <w:r>
            <w:fldChar w:fldCharType="end"/>
          </w:r>
        </w:p>
        <w:p>
          <w:pPr>
            <w:pStyle w:val="33"/>
            <w:tabs>
              <w:tab w:val="right" w:leader="dot" w:pos="8306"/>
            </w:tabs>
          </w:pPr>
          <w:r>
            <w:fldChar w:fldCharType="begin"/>
          </w:r>
          <w:r>
            <w:instrText xml:space="preserve"> HYPERLINK \l _Toc29914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_Toc29914 \h </w:instrText>
          </w:r>
          <w:r>
            <w:fldChar w:fldCharType="separate"/>
          </w:r>
          <w:r>
            <w:t>22</w:t>
          </w:r>
          <w:r>
            <w:fldChar w:fldCharType="end"/>
          </w:r>
          <w:r>
            <w:fldChar w:fldCharType="end"/>
          </w:r>
        </w:p>
        <w:p>
          <w:pPr>
            <w:pStyle w:val="33"/>
            <w:tabs>
              <w:tab w:val="right" w:leader="dot" w:pos="8306"/>
            </w:tabs>
          </w:pPr>
          <w:r>
            <w:fldChar w:fldCharType="begin"/>
          </w:r>
          <w:r>
            <w:instrText xml:space="preserve"> HYPERLINK \l _Toc1312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_Toc1312 \h </w:instrText>
          </w:r>
          <w:r>
            <w:fldChar w:fldCharType="separate"/>
          </w:r>
          <w:r>
            <w:t>22</w:t>
          </w:r>
          <w:r>
            <w:fldChar w:fldCharType="end"/>
          </w:r>
          <w:r>
            <w:fldChar w:fldCharType="end"/>
          </w:r>
        </w:p>
        <w:p>
          <w:pPr>
            <w:pStyle w:val="33"/>
            <w:tabs>
              <w:tab w:val="right" w:leader="dot" w:pos="8306"/>
            </w:tabs>
          </w:pPr>
          <w:r>
            <w:fldChar w:fldCharType="begin"/>
          </w:r>
          <w:r>
            <w:instrText xml:space="preserve"> HYPERLINK \l _Toc2529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_Toc2529 \h </w:instrText>
          </w:r>
          <w:r>
            <w:fldChar w:fldCharType="separate"/>
          </w:r>
          <w:r>
            <w:t>22</w:t>
          </w:r>
          <w:r>
            <w:fldChar w:fldCharType="end"/>
          </w:r>
          <w:r>
            <w:fldChar w:fldCharType="end"/>
          </w:r>
        </w:p>
        <w:p>
          <w:pPr>
            <w:pStyle w:val="33"/>
            <w:tabs>
              <w:tab w:val="right" w:leader="dot" w:pos="8306"/>
            </w:tabs>
          </w:pPr>
          <w:r>
            <w:fldChar w:fldCharType="begin"/>
          </w:r>
          <w:r>
            <w:instrText xml:space="preserve"> HYPERLINK \l _Toc12308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_Toc12308 \h </w:instrText>
          </w:r>
          <w:r>
            <w:fldChar w:fldCharType="separate"/>
          </w:r>
          <w:r>
            <w:t>22</w:t>
          </w:r>
          <w:r>
            <w:fldChar w:fldCharType="end"/>
          </w:r>
          <w:r>
            <w:fldChar w:fldCharType="end"/>
          </w:r>
        </w:p>
        <w:p>
          <w:pPr>
            <w:pStyle w:val="33"/>
            <w:tabs>
              <w:tab w:val="right" w:leader="dot" w:pos="8306"/>
            </w:tabs>
          </w:pPr>
          <w:r>
            <w:fldChar w:fldCharType="begin"/>
          </w:r>
          <w:r>
            <w:instrText xml:space="preserve"> HYPERLINK \l _Toc24713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_Toc24713 \h </w:instrText>
          </w:r>
          <w:r>
            <w:fldChar w:fldCharType="separate"/>
          </w:r>
          <w:r>
            <w:t>22</w:t>
          </w:r>
          <w:r>
            <w:fldChar w:fldCharType="end"/>
          </w:r>
          <w:r>
            <w:fldChar w:fldCharType="end"/>
          </w:r>
        </w:p>
        <w:p>
          <w:r>
            <w:rPr>
              <w:b/>
            </w:rPr>
            <w:fldChar w:fldCharType="end"/>
          </w:r>
        </w:p>
      </w:sdtContent>
    </w:sdt>
    <w:p>
      <w:pPr>
        <w:pStyle w:val="3"/>
        <w:pageBreakBefore w:val="0"/>
        <w:kinsoku/>
        <w:wordWrap/>
        <w:overflowPunct/>
        <w:topLinePunct w:val="0"/>
        <w:bidi w:val="0"/>
        <w:spacing w:before="0" w:after="0"/>
        <w:jc w:val="center"/>
        <w:textAlignment w:val="auto"/>
        <w:rPr>
          <w:rFonts w:hint="eastAsia" w:ascii="黑体" w:hAnsi="黑体" w:eastAsia="黑体"/>
          <w:b w:val="0"/>
          <w:color w:val="auto"/>
          <w:highlight w:val="none"/>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6" w:name="_Toc29935"/>
    </w:p>
    <w:p>
      <w:pPr>
        <w:pStyle w:val="3"/>
        <w:pageBreakBefore w:val="0"/>
        <w:kinsoku/>
        <w:wordWrap/>
        <w:overflowPunct/>
        <w:topLinePunct w:val="0"/>
        <w:bidi w:val="0"/>
        <w:spacing w:before="0" w:after="0"/>
        <w:jc w:val="center"/>
        <w:textAlignment w:val="auto"/>
        <w:rPr>
          <w:rStyle w:val="17"/>
          <w:rFonts w:ascii="黑体" w:hAnsi="黑体" w:eastAsia="黑体"/>
          <w:b/>
          <w:bCs w:val="0"/>
          <w:color w:val="auto"/>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7"/>
          <w:rFonts w:hint="eastAsia" w:ascii="黑体" w:hAnsi="黑体" w:eastAsia="黑体"/>
          <w:b w:val="0"/>
          <w:bCs w:val="0"/>
          <w:color w:val="auto"/>
          <w:highlight w:val="none"/>
        </w:rPr>
        <w:t>概况</w:t>
      </w:r>
      <w:bookmarkEnd w:id="14"/>
      <w:bookmarkEnd w:id="15"/>
      <w:bookmarkEnd w:id="16"/>
    </w:p>
    <w:p>
      <w:pPr>
        <w:pStyle w:val="4"/>
        <w:pageBreakBefore w:val="0"/>
        <w:numPr>
          <w:ilvl w:val="0"/>
          <w:numId w:val="0"/>
        </w:numPr>
        <w:kinsoku/>
        <w:wordWrap/>
        <w:overflowPunct/>
        <w:topLinePunct w:val="0"/>
        <w:autoSpaceDE/>
        <w:autoSpaceDN/>
        <w:bidi w:val="0"/>
        <w:adjustRightInd/>
        <w:snapToGrid/>
        <w:spacing w:before="0" w:after="0"/>
        <w:ind w:firstLine="640" w:firstLineChars="200"/>
        <w:textAlignment w:val="auto"/>
        <w:rPr>
          <w:rStyle w:val="18"/>
          <w:rFonts w:hint="eastAsia" w:ascii="黑体" w:hAnsi="黑体" w:eastAsia="黑体"/>
          <w:b w:val="0"/>
          <w:bCs w:val="0"/>
          <w:color w:val="auto"/>
          <w:highlight w:val="none"/>
          <w:lang w:eastAsia="zh-CN"/>
        </w:rPr>
      </w:pPr>
      <w:bookmarkStart w:id="17" w:name="_Toc4137"/>
      <w:bookmarkStart w:id="18" w:name="_Toc15396600"/>
      <w:bookmarkStart w:id="19" w:name="_Toc15377197"/>
      <w:r>
        <w:rPr>
          <w:rStyle w:val="18"/>
          <w:rFonts w:hint="eastAsia" w:ascii="黑体" w:hAnsi="黑体" w:eastAsia="黑体"/>
          <w:b w:val="0"/>
          <w:bCs w:val="0"/>
          <w:color w:val="auto"/>
          <w:highlight w:val="none"/>
          <w:lang w:eastAsia="zh-CN"/>
        </w:rPr>
        <w:t>一、主要职责</w:t>
      </w:r>
      <w:bookmarkEnd w:id="17"/>
    </w:p>
    <w:p>
      <w:pPr>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广元市作家协会是在中国共产党领导下的全市作家、文学工作者自愿结合的专业性人民团体，由市委领导。其主要工作任务是：</w:t>
      </w:r>
      <w:r>
        <w:rPr>
          <w:rFonts w:hint="eastAsia" w:ascii="仿宋_GB2312" w:eastAsia="仿宋_GB2312"/>
          <w:color w:val="auto"/>
          <w:sz w:val="32"/>
          <w:szCs w:val="32"/>
          <w:lang w:eastAsia="zh-CN"/>
        </w:rPr>
        <w:t>一是</w:t>
      </w:r>
      <w:r>
        <w:rPr>
          <w:rFonts w:hint="eastAsia" w:ascii="仿宋_GB2312" w:eastAsia="仿宋_GB2312"/>
          <w:color w:val="auto"/>
          <w:sz w:val="32"/>
          <w:szCs w:val="32"/>
        </w:rPr>
        <w:t>组织学习党的基本理论和文艺方针，坚持文艺为人民服务、为社会主义服务的方向。贯彻“百花齐放”“百家争鸣”的方针，弘扬主旋律，提倡多样化，发扬和繁荣具有中国特色的社会主义文学，为加强社会主义精神文明建设服务。</w:t>
      </w:r>
      <w:r>
        <w:rPr>
          <w:rFonts w:hint="eastAsia" w:ascii="仿宋_GB2312" w:eastAsia="仿宋_GB2312"/>
          <w:color w:val="auto"/>
          <w:sz w:val="32"/>
          <w:szCs w:val="32"/>
          <w:lang w:eastAsia="zh-CN"/>
        </w:rPr>
        <w:t>二是</w:t>
      </w:r>
      <w:r>
        <w:rPr>
          <w:rFonts w:hint="eastAsia" w:ascii="仿宋_GB2312" w:eastAsia="仿宋_GB2312"/>
          <w:color w:val="auto"/>
          <w:sz w:val="32"/>
          <w:szCs w:val="32"/>
        </w:rPr>
        <w:t>组织、推动文学评论和文学理论研究，坚持正确导向，发扬文艺民主，掌握文学创作状况和发展态势，推动我市文学理论研究和文学评论活动，促进社会主义文学事业的健康发展，培养造就一支紧跟时代步伐、热爱祖国和人民、艺术水平精湛的文学队伍。</w:t>
      </w:r>
      <w:r>
        <w:rPr>
          <w:rFonts w:hint="eastAsia" w:ascii="仿宋_GB2312" w:eastAsia="仿宋_GB2312"/>
          <w:color w:val="auto"/>
          <w:sz w:val="32"/>
          <w:szCs w:val="32"/>
          <w:lang w:eastAsia="zh-CN"/>
        </w:rPr>
        <w:t>三是</w:t>
      </w:r>
      <w:r>
        <w:rPr>
          <w:rFonts w:hint="eastAsia" w:ascii="仿宋_GB2312" w:eastAsia="仿宋_GB2312"/>
          <w:color w:val="auto"/>
          <w:sz w:val="32"/>
          <w:szCs w:val="32"/>
        </w:rPr>
        <w:t>组织作家深入生活，不断提高文学创作的思想和艺术水平，大力推出</w:t>
      </w:r>
      <w:r>
        <w:rPr>
          <w:rFonts w:hint="eastAsia" w:ascii="仿宋_GB2312" w:eastAsia="仿宋_GB2312"/>
          <w:color w:val="auto"/>
          <w:sz w:val="32"/>
          <w:szCs w:val="32"/>
          <w:lang w:eastAsia="zh-CN"/>
        </w:rPr>
        <w:t>优</w:t>
      </w:r>
      <w:r>
        <w:rPr>
          <w:rFonts w:hint="eastAsia" w:ascii="仿宋_GB2312" w:eastAsia="仿宋_GB2312"/>
          <w:color w:val="auto"/>
          <w:sz w:val="32"/>
          <w:szCs w:val="32"/>
        </w:rPr>
        <w:t>秀的创作成果，表彰奖励优秀文学成果，激发作家的进取精神，多出精品，多出人才。</w:t>
      </w:r>
      <w:r>
        <w:rPr>
          <w:rFonts w:hint="eastAsia" w:ascii="仿宋_GB2312" w:eastAsia="仿宋_GB2312"/>
          <w:color w:val="auto"/>
          <w:sz w:val="32"/>
          <w:szCs w:val="32"/>
          <w:lang w:eastAsia="zh-CN"/>
        </w:rPr>
        <w:t>四是</w:t>
      </w:r>
      <w:r>
        <w:rPr>
          <w:rFonts w:hint="eastAsia" w:ascii="仿宋_GB2312" w:eastAsia="仿宋_GB2312"/>
          <w:color w:val="auto"/>
          <w:sz w:val="32"/>
          <w:szCs w:val="32"/>
        </w:rPr>
        <w:t>组织作家参加国内、国际文学交流活动，加强同市内外文学工作者的联系，增进相互了解和友谊。</w:t>
      </w:r>
      <w:r>
        <w:rPr>
          <w:rFonts w:hint="eastAsia" w:ascii="仿宋_GB2312" w:eastAsia="仿宋_GB2312"/>
          <w:color w:val="auto"/>
          <w:sz w:val="32"/>
          <w:szCs w:val="32"/>
          <w:lang w:eastAsia="zh-CN"/>
        </w:rPr>
        <w:t>五是</w:t>
      </w:r>
      <w:r>
        <w:rPr>
          <w:rFonts w:hint="eastAsia" w:ascii="仿宋_GB2312" w:eastAsia="仿宋_GB2312"/>
          <w:color w:val="auto"/>
          <w:sz w:val="32"/>
          <w:szCs w:val="32"/>
        </w:rPr>
        <w:t>依据宪法和法律，反映作家的意见和要求，关心作家的创作和生活，兴办为作家服务的各种福利事业，依法维护作家的合法权益。</w:t>
      </w:r>
      <w:r>
        <w:rPr>
          <w:rFonts w:hint="eastAsia" w:ascii="仿宋_GB2312" w:eastAsia="仿宋_GB2312"/>
          <w:color w:val="auto"/>
          <w:sz w:val="32"/>
          <w:szCs w:val="32"/>
          <w:lang w:eastAsia="zh-CN"/>
        </w:rPr>
        <w:t>六是</w:t>
      </w:r>
      <w:r>
        <w:rPr>
          <w:rFonts w:hint="eastAsia" w:ascii="仿宋_GB2312" w:eastAsia="仿宋_GB2312"/>
          <w:color w:val="auto"/>
          <w:sz w:val="32"/>
          <w:szCs w:val="32"/>
        </w:rPr>
        <w:t>实施章程中所规定的其它职责，承办市委和市政府交办的其它工作。</w:t>
      </w:r>
    </w:p>
    <w:p>
      <w:pPr>
        <w:pageBreakBefore w:val="0"/>
        <w:kinsoku/>
        <w:wordWrap/>
        <w:overflowPunct/>
        <w:topLinePunct w:val="0"/>
        <w:autoSpaceDE/>
        <w:autoSpaceDN/>
        <w:bidi w:val="0"/>
        <w:adjustRightInd/>
        <w:snapToGrid/>
        <w:textAlignment w:val="auto"/>
        <w:rPr>
          <w:rFonts w:hint="eastAsia"/>
          <w:lang w:eastAsia="zh-CN"/>
        </w:rPr>
      </w:pPr>
    </w:p>
    <w:p>
      <w:pPr>
        <w:pStyle w:val="4"/>
        <w:pageBreakBefore w:val="0"/>
        <w:numPr>
          <w:ilvl w:val="0"/>
          <w:numId w:val="0"/>
        </w:numPr>
        <w:kinsoku/>
        <w:wordWrap/>
        <w:overflowPunct/>
        <w:topLinePunct w:val="0"/>
        <w:autoSpaceDE/>
        <w:autoSpaceDN/>
        <w:bidi w:val="0"/>
        <w:adjustRightInd/>
        <w:snapToGrid/>
        <w:spacing w:before="0" w:after="0"/>
        <w:ind w:firstLine="640" w:firstLineChars="200"/>
        <w:textAlignment w:val="auto"/>
        <w:rPr>
          <w:rFonts w:hint="eastAsia" w:ascii="黑体" w:hAnsi="黑体" w:eastAsia="黑体"/>
          <w:b w:val="0"/>
          <w:color w:val="auto"/>
          <w:highlight w:val="none"/>
          <w:lang w:val="en-US" w:eastAsia="zh-CN"/>
        </w:rPr>
      </w:pPr>
      <w:bookmarkStart w:id="20" w:name="_Toc21703"/>
      <w:r>
        <w:rPr>
          <w:rFonts w:hint="eastAsia" w:ascii="黑体" w:hAnsi="黑体" w:eastAsia="黑体"/>
          <w:b w:val="0"/>
          <w:color w:val="auto"/>
          <w:highlight w:val="none"/>
          <w:lang w:val="en-US" w:eastAsia="zh-CN"/>
        </w:rPr>
        <w:t>二、机构设置</w:t>
      </w:r>
      <w:bookmarkEnd w:id="20"/>
    </w:p>
    <w:bookmarkEnd w:id="18"/>
    <w:bookmarkEnd w:id="19"/>
    <w:p>
      <w:pPr>
        <w:pageBreakBefore w:val="0"/>
        <w:widowControl/>
        <w:kinsoku/>
        <w:wordWrap/>
        <w:overflowPunct/>
        <w:topLinePunct w:val="0"/>
        <w:autoSpaceDE/>
        <w:autoSpaceDN/>
        <w:bidi w:val="0"/>
        <w:adjustRightInd/>
        <w:snapToGrid/>
        <w:ind w:firstLine="640" w:firstLineChars="200"/>
        <w:jc w:val="left"/>
        <w:textAlignment w:val="auto"/>
        <w:rPr>
          <w:rFonts w:ascii="仿宋" w:hAnsi="仿宋" w:eastAsia="仿宋"/>
          <w:color w:val="auto"/>
          <w:kern w:val="0"/>
          <w:sz w:val="32"/>
          <w:szCs w:val="32"/>
          <w:highlight w:val="none"/>
        </w:rPr>
      </w:pPr>
      <w:r>
        <w:rPr>
          <w:rFonts w:hint="eastAsia" w:ascii="仿宋_GB2312" w:eastAsia="仿宋_GB2312"/>
          <w:color w:val="auto"/>
          <w:sz w:val="32"/>
          <w:szCs w:val="32"/>
          <w:lang w:eastAsia="zh-CN"/>
        </w:rPr>
        <w:t>广元市作家协会属</w:t>
      </w:r>
      <w:r>
        <w:rPr>
          <w:rFonts w:hint="default" w:ascii="仿宋_GB2312" w:eastAsia="仿宋_GB2312"/>
          <w:color w:val="auto"/>
          <w:sz w:val="32"/>
          <w:szCs w:val="32"/>
          <w:lang w:eastAsia="zh-CN"/>
        </w:rPr>
        <w:t>市委宣传部</w:t>
      </w:r>
      <w:r>
        <w:rPr>
          <w:rFonts w:hint="eastAsia" w:ascii="仿宋_GB2312" w:eastAsia="仿宋_GB2312"/>
          <w:color w:val="auto"/>
          <w:sz w:val="32"/>
          <w:szCs w:val="32"/>
          <w:lang w:eastAsia="zh-CN"/>
        </w:rPr>
        <w:t>二级预算单位，内设办公室、创作联络部2个部门，参公事业编制5名。</w:t>
      </w:r>
      <w:r>
        <w:rPr>
          <w:rFonts w:ascii="仿宋" w:hAnsi="仿宋" w:eastAsia="仿宋"/>
          <w:color w:val="auto"/>
          <w:sz w:val="32"/>
          <w:szCs w:val="32"/>
          <w:highlight w:val="none"/>
        </w:rPr>
        <w:br w:type="page"/>
      </w:r>
    </w:p>
    <w:p>
      <w:pPr>
        <w:pStyle w:val="3"/>
        <w:pageBreakBefore w:val="0"/>
        <w:kinsoku/>
        <w:wordWrap/>
        <w:overflowPunct/>
        <w:topLinePunct w:val="0"/>
        <w:bidi w:val="0"/>
        <w:spacing w:before="0" w:after="0"/>
        <w:ind w:right="440"/>
        <w:jc w:val="center"/>
        <w:textAlignment w:val="auto"/>
        <w:rPr>
          <w:rStyle w:val="17"/>
          <w:rFonts w:ascii="黑体" w:hAnsi="黑体" w:eastAsia="黑体"/>
          <w:b w:val="0"/>
          <w:bCs/>
          <w:color w:val="auto"/>
          <w:highlight w:val="none"/>
        </w:rPr>
      </w:pPr>
      <w:bookmarkStart w:id="21" w:name="_Toc25018"/>
      <w:bookmarkStart w:id="22" w:name="_Toc15377204"/>
      <w:bookmarkStart w:id="23"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7"/>
          <w:rFonts w:hint="eastAsia" w:ascii="黑体" w:hAnsi="黑体" w:eastAsia="黑体"/>
          <w:b w:val="0"/>
          <w:bCs/>
          <w:color w:val="auto"/>
          <w:highlight w:val="none"/>
          <w:lang w:eastAsia="zh-CN"/>
        </w:rPr>
        <w:t>单位</w:t>
      </w:r>
      <w:r>
        <w:rPr>
          <w:rStyle w:val="17"/>
          <w:rFonts w:hint="eastAsia" w:ascii="黑体" w:hAnsi="黑体" w:eastAsia="黑体"/>
          <w:b w:val="0"/>
          <w:bCs/>
          <w:color w:val="auto"/>
          <w:highlight w:val="none"/>
        </w:rPr>
        <w:t>决算情况说明</w:t>
      </w:r>
      <w:bookmarkEnd w:id="21"/>
      <w:bookmarkEnd w:id="22"/>
      <w:bookmarkEnd w:id="23"/>
    </w:p>
    <w:p>
      <w:pPr>
        <w:pStyle w:val="27"/>
        <w:pageBreakBefore w:val="0"/>
        <w:numPr>
          <w:ilvl w:val="0"/>
          <w:numId w:val="1"/>
        </w:numPr>
        <w:kinsoku/>
        <w:wordWrap/>
        <w:overflowPunct/>
        <w:topLinePunct w:val="0"/>
        <w:bidi w:val="0"/>
        <w:spacing w:line="600" w:lineRule="exact"/>
        <w:ind w:firstLineChars="0"/>
        <w:textAlignment w:val="auto"/>
        <w:outlineLvl w:val="1"/>
        <w:rPr>
          <w:rStyle w:val="18"/>
          <w:rFonts w:ascii="黑体" w:hAnsi="黑体" w:eastAsia="黑体"/>
          <w:b w:val="0"/>
          <w:color w:val="auto"/>
          <w:highlight w:val="none"/>
        </w:rPr>
      </w:pPr>
      <w:bookmarkStart w:id="24" w:name="_Toc15396603"/>
      <w:bookmarkStart w:id="25" w:name="_Toc15377205"/>
      <w:bookmarkStart w:id="26" w:name="_Toc4458"/>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入支出决算总体情况说明</w:t>
      </w:r>
      <w:bookmarkEnd w:id="24"/>
      <w:bookmarkEnd w:id="25"/>
      <w:bookmarkEnd w:id="26"/>
    </w:p>
    <w:p>
      <w:pPr>
        <w:pageBreakBefore w:val="0"/>
        <w:kinsoku/>
        <w:wordWrap/>
        <w:overflowPunct/>
        <w:topLinePunct w:val="0"/>
        <w:bidi w:val="0"/>
        <w:spacing w:line="600" w:lineRule="exact"/>
        <w:ind w:firstLine="640" w:firstLineChars="200"/>
        <w:textAlignment w:val="auto"/>
        <w:rPr>
          <w:rFonts w:hint="default" w:ascii="仿宋_GB2312" w:hAnsi="仿宋_GB2312" w:eastAsia="仿宋_GB2312" w:cs="仿宋_GB2312"/>
          <w:color w:val="auto"/>
          <w:sz w:val="32"/>
          <w:szCs w:val="32"/>
          <w:highlight w:val="yellow"/>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000000"/>
          <w:kern w:val="2"/>
          <w:sz w:val="32"/>
          <w:szCs w:val="24"/>
          <w:lang w:val="zh-CN"/>
        </w:rPr>
        <w:t>179.68</w:t>
      </w:r>
      <w:r>
        <w:rPr>
          <w:rFonts w:hint="eastAsia" w:ascii="仿宋_GB2312" w:hAnsi="仿宋_GB2312" w:eastAsia="仿宋_GB2312" w:cs="仿宋_GB2312"/>
          <w:color w:val="auto"/>
          <w:sz w:val="32"/>
          <w:szCs w:val="32"/>
          <w:highlight w:val="none"/>
        </w:rPr>
        <w:t>万元。与20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年相比，收、支总计各减少</w:t>
      </w:r>
      <w:r>
        <w:rPr>
          <w:rFonts w:hint="eastAsia" w:ascii="仿宋_GB2312" w:hAnsi="仿宋_GB2312" w:eastAsia="仿宋_GB2312" w:cs="仿宋_GB2312"/>
          <w:color w:val="auto"/>
          <w:sz w:val="32"/>
          <w:szCs w:val="32"/>
          <w:highlight w:val="none"/>
          <w:lang w:val="en-US" w:eastAsia="zh-CN"/>
        </w:rPr>
        <w:t>46.6</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sz w:val="32"/>
          <w:szCs w:val="32"/>
          <w:highlight w:val="none"/>
          <w:lang w:val="en-US" w:eastAsia="zh-CN"/>
        </w:rPr>
        <w:t>20.59</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eastAsia="zh-CN"/>
        </w:rPr>
        <w:t>文学活动支出减少。</w:t>
      </w:r>
    </w:p>
    <w:p>
      <w:pPr>
        <w:pStyle w:val="2"/>
        <w:pageBreakBefore w:val="0"/>
        <w:kinsoku/>
        <w:wordWrap/>
        <w:overflowPunct/>
        <w:topLinePunct w:val="0"/>
        <w:bidi w:val="0"/>
        <w:spacing w:beforeLines="0"/>
        <w:textAlignment w:val="auto"/>
        <w:rPr>
          <w:rFonts w:hint="eastAsia"/>
          <w:lang w:eastAsia="zh-CN"/>
        </w:rPr>
      </w:pPr>
      <w:r>
        <w:drawing>
          <wp:inline distT="0" distB="0" distL="114300" distR="114300">
            <wp:extent cx="4495800" cy="2029460"/>
            <wp:effectExtent l="5080" t="4445" r="13970" b="2349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ageBreakBefore w:val="0"/>
        <w:kinsoku/>
        <w:wordWrap/>
        <w:overflowPunct/>
        <w:topLinePunct w:val="0"/>
        <w:bidi w:val="0"/>
        <w:spacing w:line="600" w:lineRule="exact"/>
        <w:ind w:firstLine="1600" w:firstLineChars="50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pStyle w:val="27"/>
        <w:pageBreakBefore w:val="0"/>
        <w:numPr>
          <w:ilvl w:val="0"/>
          <w:numId w:val="1"/>
        </w:numPr>
        <w:kinsoku/>
        <w:wordWrap/>
        <w:overflowPunct/>
        <w:topLinePunct w:val="0"/>
        <w:bidi w:val="0"/>
        <w:spacing w:line="600" w:lineRule="exact"/>
        <w:ind w:firstLineChars="0"/>
        <w:textAlignment w:val="auto"/>
        <w:outlineLvl w:val="1"/>
        <w:rPr>
          <w:rStyle w:val="18"/>
          <w:rFonts w:ascii="黑体" w:hAnsi="黑体" w:eastAsia="黑体"/>
          <w:b w:val="0"/>
          <w:color w:val="auto"/>
          <w:highlight w:val="none"/>
        </w:rPr>
      </w:pPr>
      <w:bookmarkStart w:id="27" w:name="_Toc15377206"/>
      <w:bookmarkStart w:id="28" w:name="_Toc2544"/>
      <w:bookmarkStart w:id="29" w:name="_Toc15396604"/>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27"/>
      <w:bookmarkEnd w:id="28"/>
      <w:bookmarkEnd w:id="29"/>
    </w:p>
    <w:p>
      <w:pPr>
        <w:pageBreakBefore w:val="0"/>
        <w:kinsoku/>
        <w:wordWrap/>
        <w:overflowPunct/>
        <w:topLinePunct w:val="0"/>
        <w:bidi w:val="0"/>
        <w:spacing w:line="600" w:lineRule="exact"/>
        <w:ind w:firstLine="640" w:firstLineChars="200"/>
        <w:textAlignment w:val="auto"/>
        <w:rPr>
          <w:rFonts w:hint="eastAsia" w:ascii="仿宋" w:hAnsi="仿宋" w:eastAsia="仿宋"/>
          <w:color w:val="auto"/>
          <w:sz w:val="32"/>
          <w:szCs w:val="32"/>
          <w:highlight w:val="none"/>
        </w:rPr>
      </w:pPr>
      <w:r>
        <w:rPr>
          <w:rFonts w:hint="eastAsia" w:ascii="仿宋_GB2312" w:hAnsi="仿宋_GB2312" w:eastAsia="仿宋_GB2312"/>
          <w:color w:val="000000"/>
          <w:kern w:val="2"/>
          <w:sz w:val="32"/>
          <w:szCs w:val="24"/>
          <w:lang w:val="zh-CN"/>
        </w:rPr>
        <w:t>2022年本年收入合计165.93万元，其中：一般公共预算财政拨款收入165.93万元，占100%。</w:t>
      </w:r>
    </w:p>
    <w:p>
      <w:pPr>
        <w:pageBreakBefore w:val="0"/>
        <w:kinsoku/>
        <w:wordWrap/>
        <w:overflowPunct/>
        <w:topLinePunct w:val="0"/>
        <w:bidi w:val="0"/>
        <w:spacing w:line="600" w:lineRule="exact"/>
        <w:ind w:firstLine="420" w:firstLineChars="200"/>
        <w:textAlignment w:val="auto"/>
        <w:rPr>
          <w:rFonts w:hint="eastAsia" w:ascii="仿宋" w:hAnsi="仿宋" w:eastAsia="仿宋"/>
          <w:color w:val="auto"/>
          <w:sz w:val="32"/>
          <w:szCs w:val="32"/>
          <w:highlight w:val="none"/>
        </w:rPr>
      </w:pPr>
      <w:r>
        <w:drawing>
          <wp:anchor distT="0" distB="0" distL="114300" distR="114300" simplePos="0" relativeHeight="251660288" behindDoc="0" locked="0" layoutInCell="1" allowOverlap="1">
            <wp:simplePos x="0" y="0"/>
            <wp:positionH relativeFrom="column">
              <wp:posOffset>993140</wp:posOffset>
            </wp:positionH>
            <wp:positionV relativeFrom="paragraph">
              <wp:posOffset>18415</wp:posOffset>
            </wp:positionV>
            <wp:extent cx="3350260" cy="2226945"/>
            <wp:effectExtent l="4445" t="4445" r="17145" b="16510"/>
            <wp:wrapSquare wrapText="bothSides"/>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ageBreakBefore w:val="0"/>
        <w:kinsoku/>
        <w:wordWrap/>
        <w:overflowPunct/>
        <w:topLinePunct w:val="0"/>
        <w:bidi w:val="0"/>
        <w:spacing w:line="600" w:lineRule="exact"/>
        <w:ind w:firstLine="640" w:firstLineChars="200"/>
        <w:textAlignment w:val="auto"/>
        <w:rPr>
          <w:rFonts w:hint="eastAsia" w:ascii="仿宋" w:hAnsi="仿宋" w:eastAsia="仿宋"/>
          <w:color w:val="auto"/>
          <w:sz w:val="32"/>
          <w:szCs w:val="32"/>
          <w:highlight w:val="none"/>
        </w:rPr>
      </w:pPr>
    </w:p>
    <w:p>
      <w:pPr>
        <w:pageBreakBefore w:val="0"/>
        <w:kinsoku/>
        <w:wordWrap/>
        <w:overflowPunct/>
        <w:topLinePunct w:val="0"/>
        <w:bidi w:val="0"/>
        <w:spacing w:line="600" w:lineRule="exact"/>
        <w:ind w:firstLine="640" w:firstLineChars="200"/>
        <w:textAlignment w:val="auto"/>
        <w:rPr>
          <w:rFonts w:hint="eastAsia" w:ascii="仿宋" w:hAnsi="仿宋" w:eastAsia="仿宋"/>
          <w:color w:val="auto"/>
          <w:sz w:val="32"/>
          <w:szCs w:val="32"/>
          <w:highlight w:val="none"/>
        </w:rPr>
      </w:pPr>
    </w:p>
    <w:p>
      <w:pPr>
        <w:pageBreakBefore w:val="0"/>
        <w:kinsoku/>
        <w:wordWrap/>
        <w:overflowPunct/>
        <w:topLinePunct w:val="0"/>
        <w:bidi w:val="0"/>
        <w:spacing w:line="600" w:lineRule="exact"/>
        <w:ind w:firstLine="640" w:firstLineChars="200"/>
        <w:textAlignment w:val="auto"/>
        <w:rPr>
          <w:rFonts w:hint="eastAsia" w:ascii="仿宋" w:hAnsi="仿宋" w:eastAsia="仿宋"/>
          <w:color w:val="auto"/>
          <w:sz w:val="32"/>
          <w:szCs w:val="32"/>
          <w:highlight w:val="none"/>
        </w:rPr>
      </w:pPr>
    </w:p>
    <w:p>
      <w:pPr>
        <w:pageBreakBefore w:val="0"/>
        <w:kinsoku/>
        <w:wordWrap/>
        <w:overflowPunct/>
        <w:topLinePunct w:val="0"/>
        <w:bidi w:val="0"/>
        <w:spacing w:line="600" w:lineRule="exact"/>
        <w:ind w:firstLine="640" w:firstLineChars="200"/>
        <w:textAlignment w:val="auto"/>
        <w:rPr>
          <w:rFonts w:hint="eastAsia" w:ascii="仿宋" w:hAnsi="仿宋" w:eastAsia="仿宋"/>
          <w:color w:val="auto"/>
          <w:sz w:val="32"/>
          <w:szCs w:val="32"/>
          <w:highlight w:val="none"/>
        </w:rPr>
      </w:pPr>
    </w:p>
    <w:p>
      <w:pPr>
        <w:pageBreakBefore w:val="0"/>
        <w:kinsoku/>
        <w:wordWrap/>
        <w:overflowPunct/>
        <w:topLinePunct w:val="0"/>
        <w:bidi w:val="0"/>
        <w:spacing w:line="600" w:lineRule="exact"/>
        <w:ind w:firstLine="2240" w:firstLineChars="700"/>
        <w:textAlignment w:val="auto"/>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w:t>
      </w:r>
    </w:p>
    <w:p>
      <w:pPr>
        <w:pStyle w:val="2"/>
        <w:pageBreakBefore w:val="0"/>
        <w:kinsoku/>
        <w:wordWrap/>
        <w:overflowPunct/>
        <w:topLinePunct w:val="0"/>
        <w:bidi w:val="0"/>
        <w:spacing w:beforeLines="0"/>
        <w:textAlignment w:val="auto"/>
      </w:pPr>
    </w:p>
    <w:p>
      <w:pPr>
        <w:pStyle w:val="27"/>
        <w:pageBreakBefore w:val="0"/>
        <w:numPr>
          <w:ilvl w:val="0"/>
          <w:numId w:val="1"/>
        </w:numPr>
        <w:kinsoku/>
        <w:wordWrap/>
        <w:overflowPunct/>
        <w:topLinePunct w:val="0"/>
        <w:bidi w:val="0"/>
        <w:spacing w:line="600" w:lineRule="exact"/>
        <w:ind w:firstLineChars="0"/>
        <w:textAlignment w:val="auto"/>
        <w:outlineLvl w:val="1"/>
        <w:rPr>
          <w:rStyle w:val="18"/>
          <w:rFonts w:ascii="黑体" w:hAnsi="黑体" w:eastAsia="黑体"/>
          <w:b w:val="0"/>
          <w:color w:val="auto"/>
          <w:highlight w:val="none"/>
        </w:rPr>
      </w:pPr>
      <w:bookmarkStart w:id="30" w:name="_Toc15377207"/>
      <w:bookmarkStart w:id="31" w:name="_Toc10256"/>
      <w:bookmarkStart w:id="32" w:name="_Toc15396605"/>
      <w:r>
        <w:rPr>
          <w:rFonts w:hint="eastAsia" w:ascii="黑体" w:hAnsi="黑体" w:eastAsia="黑体"/>
          <w:color w:val="auto"/>
          <w:sz w:val="32"/>
          <w:szCs w:val="32"/>
          <w:highlight w:val="none"/>
        </w:rPr>
        <w:t>支</w:t>
      </w:r>
      <w:r>
        <w:rPr>
          <w:rStyle w:val="18"/>
          <w:rFonts w:hint="eastAsia" w:ascii="黑体" w:hAnsi="黑体" w:eastAsia="黑体"/>
          <w:b w:val="0"/>
          <w:color w:val="auto"/>
          <w:highlight w:val="none"/>
        </w:rPr>
        <w:t>出决算情况说明</w:t>
      </w:r>
      <w:bookmarkEnd w:id="30"/>
      <w:bookmarkEnd w:id="31"/>
      <w:bookmarkEnd w:id="32"/>
    </w:p>
    <w:p>
      <w:pPr>
        <w:keepNext/>
        <w:keepLines/>
        <w:pageBreakBefore w:val="0"/>
        <w:kinsoku/>
        <w:wordWrap/>
        <w:overflowPunct/>
        <w:topLinePunct w:val="0"/>
        <w:bidi w:val="0"/>
        <w:spacing w:line="576" w:lineRule="exact"/>
        <w:ind w:firstLine="640"/>
        <w:jc w:val="both"/>
        <w:textAlignment w:val="auto"/>
        <w:rPr>
          <w:rFonts w:hint="eastAsia" w:ascii="仿宋_GB2312" w:hAnsi="仿宋_GB2312" w:eastAsia="仿宋_GB2312"/>
          <w:color w:val="000000"/>
          <w:kern w:val="2"/>
          <w:sz w:val="32"/>
          <w:szCs w:val="24"/>
          <w:lang w:val="zh-CN"/>
        </w:rPr>
      </w:pPr>
      <w:r>
        <w:rPr>
          <w:rFonts w:hint="eastAsia" w:ascii="仿宋_GB2312" w:hAnsi="仿宋_GB2312" w:eastAsia="仿宋_GB2312" w:cs="仿宋_GB2312"/>
          <w:color w:val="auto"/>
          <w:sz w:val="32"/>
          <w:szCs w:val="32"/>
          <w:highlight w:val="none"/>
          <w:lang w:val="zh-CN"/>
        </w:rPr>
        <w:t>2022年本年支出合计175.2万元，其中：基本支出102.14万元，占58.3%；项目支出73.06万元，占41.7%。</w:t>
      </w:r>
    </w:p>
    <w:p>
      <w:pPr>
        <w:pStyle w:val="2"/>
        <w:pageBreakBefore w:val="0"/>
        <w:kinsoku/>
        <w:wordWrap/>
        <w:overflowPunct/>
        <w:topLinePunct w:val="0"/>
        <w:bidi w:val="0"/>
        <w:spacing w:beforeLines="0"/>
        <w:textAlignment w:val="auto"/>
        <w:rPr>
          <w:rFonts w:ascii="仿宋" w:hAnsi="仿宋" w:eastAsia="仿宋"/>
          <w:color w:val="auto"/>
          <w:sz w:val="32"/>
          <w:szCs w:val="32"/>
          <w:highlight w:val="none"/>
          <w:shd w:val="pct10" w:color="auto" w:fill="FFFFFF"/>
        </w:rPr>
      </w:pPr>
      <w:r>
        <w:drawing>
          <wp:inline distT="0" distB="0" distL="114300" distR="114300">
            <wp:extent cx="4413250" cy="2426335"/>
            <wp:effectExtent l="4445" t="4445" r="20955" b="7620"/>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ageBreakBefore w:val="0"/>
        <w:kinsoku/>
        <w:wordWrap/>
        <w:overflowPunct/>
        <w:topLinePunct w:val="0"/>
        <w:bidi w:val="0"/>
        <w:spacing w:line="600" w:lineRule="exact"/>
        <w:ind w:firstLine="1920" w:firstLineChars="60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pPr>
        <w:pageBreakBefore w:val="0"/>
        <w:kinsoku/>
        <w:wordWrap/>
        <w:overflowPunct/>
        <w:topLinePunct w:val="0"/>
        <w:bidi w:val="0"/>
        <w:spacing w:line="600" w:lineRule="exact"/>
        <w:ind w:firstLine="640" w:firstLineChars="200"/>
        <w:textAlignment w:val="auto"/>
        <w:outlineLvl w:val="1"/>
        <w:rPr>
          <w:rStyle w:val="18"/>
          <w:rFonts w:ascii="黑体" w:hAnsi="黑体" w:eastAsia="黑体"/>
          <w:b w:val="0"/>
          <w:color w:val="auto"/>
          <w:highlight w:val="none"/>
        </w:rPr>
      </w:pPr>
      <w:bookmarkStart w:id="33" w:name="_Toc6986"/>
      <w:bookmarkStart w:id="34" w:name="_Toc15377208"/>
      <w:bookmarkStart w:id="35" w:name="_Toc15396606"/>
      <w:r>
        <w:rPr>
          <w:rFonts w:hint="eastAsia" w:ascii="黑体" w:hAnsi="黑体" w:eastAsia="黑体"/>
          <w:color w:val="auto"/>
          <w:sz w:val="32"/>
          <w:szCs w:val="32"/>
          <w:highlight w:val="none"/>
        </w:rPr>
        <w:t>四、财</w:t>
      </w:r>
      <w:r>
        <w:rPr>
          <w:rStyle w:val="18"/>
          <w:rFonts w:hint="eastAsia" w:ascii="黑体" w:hAnsi="黑体" w:eastAsia="黑体"/>
          <w:b w:val="0"/>
          <w:color w:val="auto"/>
          <w:highlight w:val="none"/>
        </w:rPr>
        <w:t>政拨款收入支出决算总体情况说明</w:t>
      </w:r>
      <w:bookmarkEnd w:id="33"/>
      <w:bookmarkEnd w:id="34"/>
      <w:bookmarkEnd w:id="35"/>
    </w:p>
    <w:p>
      <w:pPr>
        <w:pageBreakBefore w:val="0"/>
        <w:kinsoku/>
        <w:wordWrap/>
        <w:overflowPunct/>
        <w:topLinePunct w:val="0"/>
        <w:bidi w:val="0"/>
        <w:spacing w:line="600" w:lineRule="exact"/>
        <w:ind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2022年财政拨款收、支总计175.2万元。与2021年相</w:t>
      </w:r>
    </w:p>
    <w:p>
      <w:pPr>
        <w:pageBreakBefore w:val="0"/>
        <w:kinsoku/>
        <w:wordWrap/>
        <w:overflowPunct/>
        <w:topLinePunct w:val="0"/>
        <w:bidi w:val="0"/>
        <w:spacing w:line="6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zh-CN"/>
        </w:rPr>
        <w:t>比，财政拨款收、支总计各减少11.36万元，下降6.1%。主要变动原因是</w:t>
      </w:r>
      <w:r>
        <w:rPr>
          <w:rFonts w:hint="eastAsia" w:ascii="仿宋_GB2312" w:hAnsi="仿宋_GB2312" w:eastAsia="仿宋_GB2312" w:cs="仿宋_GB2312"/>
          <w:color w:val="auto"/>
          <w:sz w:val="32"/>
          <w:szCs w:val="32"/>
          <w:highlight w:val="none"/>
          <w:lang w:eastAsia="zh-CN"/>
        </w:rPr>
        <w:t>文学活动支出减少</w:t>
      </w:r>
      <w:r>
        <w:rPr>
          <w:rFonts w:hint="eastAsia" w:ascii="仿宋_GB2312" w:hAnsi="仿宋_GB2312" w:eastAsia="仿宋_GB2312" w:cs="仿宋_GB2312"/>
          <w:color w:val="auto"/>
          <w:sz w:val="32"/>
          <w:szCs w:val="32"/>
          <w:highlight w:val="none"/>
          <w:lang w:val="zh-CN"/>
        </w:rPr>
        <w:t>。</w:t>
      </w:r>
    </w:p>
    <w:p>
      <w:pPr>
        <w:pageBreakBefore w:val="0"/>
        <w:kinsoku/>
        <w:wordWrap/>
        <w:overflowPunct/>
        <w:topLinePunct w:val="0"/>
        <w:bidi w:val="0"/>
        <w:spacing w:line="600" w:lineRule="exact"/>
        <w:textAlignment w:val="auto"/>
        <w:rPr>
          <w:rFonts w:ascii="仿宋" w:hAnsi="仿宋" w:eastAsia="仿宋"/>
          <w:color w:val="auto"/>
          <w:sz w:val="32"/>
          <w:szCs w:val="32"/>
          <w:highlight w:val="none"/>
        </w:rPr>
      </w:pPr>
      <w:r>
        <w:drawing>
          <wp:anchor distT="0" distB="0" distL="114300" distR="114300" simplePos="0" relativeHeight="251662336" behindDoc="0" locked="0" layoutInCell="1" allowOverlap="1">
            <wp:simplePos x="0" y="0"/>
            <wp:positionH relativeFrom="column">
              <wp:posOffset>662305</wp:posOffset>
            </wp:positionH>
            <wp:positionV relativeFrom="paragraph">
              <wp:posOffset>97155</wp:posOffset>
            </wp:positionV>
            <wp:extent cx="4041140" cy="2180590"/>
            <wp:effectExtent l="4445" t="4445" r="12065" b="5715"/>
            <wp:wrapSquare wrapText="bothSides"/>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2"/>
        <w:pageBreakBefore w:val="0"/>
        <w:kinsoku/>
        <w:wordWrap/>
        <w:overflowPunct/>
        <w:topLinePunct w:val="0"/>
        <w:bidi w:val="0"/>
        <w:spacing w:beforeLines="0"/>
        <w:textAlignment w:val="auto"/>
        <w:rPr>
          <w:rFonts w:ascii="仿宋" w:hAnsi="仿宋" w:eastAsia="仿宋"/>
          <w:color w:val="auto"/>
          <w:sz w:val="32"/>
          <w:szCs w:val="32"/>
          <w:highlight w:val="none"/>
        </w:rPr>
      </w:pPr>
    </w:p>
    <w:p>
      <w:pPr>
        <w:pStyle w:val="2"/>
        <w:pageBreakBefore w:val="0"/>
        <w:kinsoku/>
        <w:wordWrap/>
        <w:overflowPunct/>
        <w:topLinePunct w:val="0"/>
        <w:bidi w:val="0"/>
        <w:spacing w:beforeLines="0"/>
        <w:textAlignment w:val="auto"/>
        <w:rPr>
          <w:rFonts w:ascii="仿宋" w:hAnsi="仿宋" w:eastAsia="仿宋"/>
          <w:color w:val="auto"/>
          <w:sz w:val="32"/>
          <w:szCs w:val="32"/>
          <w:highlight w:val="none"/>
        </w:rPr>
      </w:pPr>
    </w:p>
    <w:p>
      <w:pPr>
        <w:pStyle w:val="2"/>
        <w:pageBreakBefore w:val="0"/>
        <w:kinsoku/>
        <w:wordWrap/>
        <w:overflowPunct/>
        <w:topLinePunct w:val="0"/>
        <w:bidi w:val="0"/>
        <w:spacing w:beforeLines="0"/>
        <w:textAlignment w:val="auto"/>
        <w:rPr>
          <w:rFonts w:ascii="仿宋" w:hAnsi="仿宋" w:eastAsia="仿宋"/>
          <w:color w:val="auto"/>
          <w:sz w:val="32"/>
          <w:szCs w:val="32"/>
          <w:highlight w:val="none"/>
        </w:rPr>
      </w:pPr>
    </w:p>
    <w:p>
      <w:pPr>
        <w:pStyle w:val="2"/>
        <w:pageBreakBefore w:val="0"/>
        <w:kinsoku/>
        <w:wordWrap/>
        <w:overflowPunct/>
        <w:topLinePunct w:val="0"/>
        <w:bidi w:val="0"/>
        <w:spacing w:beforeLines="0"/>
        <w:textAlignment w:val="auto"/>
        <w:rPr>
          <w:rFonts w:ascii="仿宋" w:hAnsi="仿宋" w:eastAsia="仿宋"/>
          <w:color w:val="auto"/>
          <w:sz w:val="32"/>
          <w:szCs w:val="32"/>
          <w:highlight w:val="none"/>
        </w:rPr>
      </w:pPr>
    </w:p>
    <w:p>
      <w:pPr>
        <w:pageBreakBefore w:val="0"/>
        <w:kinsoku/>
        <w:wordWrap/>
        <w:overflowPunct/>
        <w:topLinePunct w:val="0"/>
        <w:bidi w:val="0"/>
        <w:spacing w:line="600" w:lineRule="exact"/>
        <w:ind w:firstLine="640" w:firstLineChars="200"/>
        <w:textAlignment w:val="auto"/>
        <w:rPr>
          <w:rFonts w:hint="eastAsia" w:ascii="仿宋" w:hAnsi="仿宋" w:eastAsia="仿宋"/>
          <w:color w:val="auto"/>
          <w:sz w:val="32"/>
          <w:szCs w:val="32"/>
          <w:highlight w:val="none"/>
        </w:rPr>
      </w:pPr>
    </w:p>
    <w:p>
      <w:pPr>
        <w:pageBreakBefore w:val="0"/>
        <w:kinsoku/>
        <w:wordWrap/>
        <w:overflowPunct/>
        <w:topLinePunct w:val="0"/>
        <w:bidi w:val="0"/>
        <w:spacing w:line="600" w:lineRule="exact"/>
        <w:ind w:firstLine="960" w:firstLineChars="30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pPr>
        <w:pageBreakBefore w:val="0"/>
        <w:tabs>
          <w:tab w:val="left" w:pos="3622"/>
        </w:tabs>
        <w:kinsoku/>
        <w:wordWrap/>
        <w:overflowPunct/>
        <w:topLinePunct w:val="0"/>
        <w:bidi w:val="0"/>
        <w:spacing w:line="600" w:lineRule="exact"/>
        <w:ind w:firstLine="640" w:firstLineChars="200"/>
        <w:textAlignment w:val="auto"/>
        <w:outlineLvl w:val="1"/>
        <w:rPr>
          <w:rStyle w:val="18"/>
          <w:rFonts w:ascii="黑体" w:hAnsi="黑体" w:eastAsia="黑体"/>
          <w:b w:val="0"/>
          <w:color w:val="auto"/>
          <w:highlight w:val="none"/>
        </w:rPr>
      </w:pPr>
      <w:bookmarkStart w:id="36" w:name="_Toc15377209"/>
      <w:bookmarkStart w:id="37" w:name="_Toc27323"/>
      <w:bookmarkStart w:id="38"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般公共预算财政拨款支出决算情况说明</w:t>
      </w:r>
      <w:bookmarkEnd w:id="36"/>
      <w:bookmarkEnd w:id="37"/>
      <w:bookmarkEnd w:id="38"/>
    </w:p>
    <w:p>
      <w:pPr>
        <w:pageBreakBefore w:val="0"/>
        <w:kinsoku/>
        <w:wordWrap/>
        <w:overflowPunct/>
        <w:topLinePunct w:val="0"/>
        <w:bidi w:val="0"/>
        <w:spacing w:line="600" w:lineRule="exact"/>
        <w:ind w:firstLine="642" w:firstLineChars="200"/>
        <w:textAlignment w:val="auto"/>
        <w:outlineLvl w:val="2"/>
        <w:rPr>
          <w:rFonts w:ascii="仿宋" w:hAnsi="仿宋" w:eastAsia="仿宋"/>
          <w:b/>
          <w:color w:val="auto"/>
          <w:sz w:val="32"/>
          <w:szCs w:val="32"/>
          <w:highlight w:val="none"/>
        </w:rPr>
      </w:pPr>
      <w:bookmarkStart w:id="39" w:name="_Toc15377210"/>
      <w:r>
        <w:rPr>
          <w:rFonts w:hint="eastAsia" w:ascii="仿宋" w:hAnsi="仿宋" w:eastAsia="仿宋"/>
          <w:b/>
          <w:color w:val="auto"/>
          <w:sz w:val="32"/>
          <w:szCs w:val="32"/>
          <w:highlight w:val="none"/>
        </w:rPr>
        <w:t>（一）一般公共预算财政拨款支出决算总体情况</w:t>
      </w:r>
      <w:bookmarkEnd w:id="39"/>
    </w:p>
    <w:p>
      <w:pPr>
        <w:pStyle w:val="2"/>
        <w:pageBreakBefore w:val="0"/>
        <w:kinsoku/>
        <w:wordWrap/>
        <w:overflowPunct/>
        <w:topLinePunct w:val="0"/>
        <w:bidi w:val="0"/>
        <w:spacing w:beforeLines="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2022年一般公共预算财政拨款支出175.2万元，占本年支出合计的100%。与2021年相比，一般公共预算财政拨款支出减少2.09万元，下降1.2%。主要变动原因是</w:t>
      </w:r>
      <w:r>
        <w:rPr>
          <w:rFonts w:hint="eastAsia" w:ascii="仿宋_GB2312" w:hAnsi="仿宋_GB2312" w:eastAsia="仿宋_GB2312" w:cs="仿宋_GB2312"/>
          <w:color w:val="auto"/>
          <w:sz w:val="32"/>
          <w:szCs w:val="32"/>
          <w:highlight w:val="none"/>
          <w:lang w:eastAsia="zh-CN"/>
        </w:rPr>
        <w:t>文学活动支出减少</w:t>
      </w:r>
      <w:r>
        <w:rPr>
          <w:rFonts w:hint="eastAsia" w:ascii="仿宋_GB2312" w:hAnsi="仿宋_GB2312" w:eastAsia="仿宋_GB2312" w:cs="仿宋_GB2312"/>
          <w:color w:val="auto"/>
          <w:sz w:val="32"/>
          <w:szCs w:val="32"/>
          <w:highlight w:val="none"/>
          <w:lang w:val="zh-CN"/>
        </w:rPr>
        <w:t>。</w:t>
      </w:r>
    </w:p>
    <w:p>
      <w:pPr>
        <w:pStyle w:val="2"/>
        <w:pageBreakBefore w:val="0"/>
        <w:kinsoku/>
        <w:wordWrap/>
        <w:overflowPunct/>
        <w:topLinePunct w:val="0"/>
        <w:bidi w:val="0"/>
        <w:spacing w:beforeLines="0"/>
        <w:textAlignment w:val="auto"/>
        <w:rPr>
          <w:rFonts w:hint="eastAsia"/>
          <w:lang w:val="zh-CN"/>
        </w:rPr>
      </w:pPr>
      <w:r>
        <w:drawing>
          <wp:anchor distT="0" distB="0" distL="114300" distR="114300" simplePos="0" relativeHeight="251659264" behindDoc="0" locked="0" layoutInCell="1" allowOverlap="1">
            <wp:simplePos x="0" y="0"/>
            <wp:positionH relativeFrom="column">
              <wp:posOffset>532765</wp:posOffset>
            </wp:positionH>
            <wp:positionV relativeFrom="paragraph">
              <wp:posOffset>99695</wp:posOffset>
            </wp:positionV>
            <wp:extent cx="4096385" cy="2092325"/>
            <wp:effectExtent l="4445" t="5080" r="13970" b="17145"/>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2"/>
        <w:pageBreakBefore w:val="0"/>
        <w:kinsoku/>
        <w:wordWrap/>
        <w:overflowPunct/>
        <w:topLinePunct w:val="0"/>
        <w:bidi w:val="0"/>
        <w:spacing w:beforeLines="0"/>
        <w:textAlignment w:val="auto"/>
        <w:rPr>
          <w:rFonts w:hint="eastAsia"/>
          <w:lang w:val="zh-CN"/>
        </w:rPr>
      </w:pPr>
    </w:p>
    <w:p>
      <w:pPr>
        <w:pStyle w:val="2"/>
        <w:pageBreakBefore w:val="0"/>
        <w:kinsoku/>
        <w:wordWrap/>
        <w:overflowPunct/>
        <w:topLinePunct w:val="0"/>
        <w:bidi w:val="0"/>
        <w:spacing w:beforeLines="0"/>
        <w:textAlignment w:val="auto"/>
        <w:rPr>
          <w:rFonts w:hint="eastAsia"/>
          <w:lang w:val="zh-CN"/>
        </w:rPr>
      </w:pPr>
    </w:p>
    <w:p>
      <w:pPr>
        <w:pStyle w:val="2"/>
        <w:pageBreakBefore w:val="0"/>
        <w:kinsoku/>
        <w:wordWrap/>
        <w:overflowPunct/>
        <w:topLinePunct w:val="0"/>
        <w:bidi w:val="0"/>
        <w:spacing w:beforeLines="0"/>
        <w:textAlignment w:val="auto"/>
        <w:rPr>
          <w:rFonts w:hint="eastAsia"/>
          <w:lang w:val="zh-CN"/>
        </w:rPr>
      </w:pPr>
    </w:p>
    <w:p>
      <w:pPr>
        <w:pStyle w:val="2"/>
        <w:pageBreakBefore w:val="0"/>
        <w:kinsoku/>
        <w:wordWrap/>
        <w:overflowPunct/>
        <w:topLinePunct w:val="0"/>
        <w:bidi w:val="0"/>
        <w:spacing w:beforeLines="0"/>
        <w:textAlignment w:val="auto"/>
        <w:rPr>
          <w:rFonts w:hint="eastAsia"/>
          <w:lang w:val="zh-CN"/>
        </w:rPr>
      </w:pPr>
    </w:p>
    <w:p>
      <w:pPr>
        <w:pStyle w:val="2"/>
        <w:pageBreakBefore w:val="0"/>
        <w:kinsoku/>
        <w:wordWrap/>
        <w:overflowPunct/>
        <w:topLinePunct w:val="0"/>
        <w:bidi w:val="0"/>
        <w:spacing w:beforeLines="0"/>
        <w:textAlignment w:val="auto"/>
        <w:rPr>
          <w:rFonts w:hint="eastAsia"/>
          <w:lang w:val="zh-CN"/>
        </w:rPr>
      </w:pPr>
    </w:p>
    <w:p>
      <w:pPr>
        <w:pageBreakBefore w:val="0"/>
        <w:kinsoku/>
        <w:wordWrap/>
        <w:overflowPunct/>
        <w:topLinePunct w:val="0"/>
        <w:bidi w:val="0"/>
        <w:spacing w:line="600" w:lineRule="exact"/>
        <w:ind w:firstLine="960" w:firstLineChars="30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pPr>
        <w:pageBreakBefore w:val="0"/>
        <w:kinsoku/>
        <w:wordWrap/>
        <w:overflowPunct/>
        <w:topLinePunct w:val="0"/>
        <w:bidi w:val="0"/>
        <w:spacing w:line="600" w:lineRule="exact"/>
        <w:ind w:firstLine="642" w:firstLineChars="200"/>
        <w:textAlignment w:val="auto"/>
        <w:outlineLvl w:val="2"/>
        <w:rPr>
          <w:rFonts w:ascii="仿宋" w:hAnsi="仿宋" w:eastAsia="仿宋"/>
          <w:b/>
          <w:color w:val="auto"/>
          <w:sz w:val="32"/>
          <w:szCs w:val="32"/>
          <w:highlight w:val="none"/>
        </w:rPr>
      </w:pPr>
      <w:bookmarkStart w:id="40" w:name="_Toc15377211"/>
      <w:r>
        <w:rPr>
          <w:rFonts w:hint="eastAsia" w:ascii="仿宋" w:hAnsi="仿宋" w:eastAsia="仿宋"/>
          <w:b/>
          <w:color w:val="auto"/>
          <w:sz w:val="32"/>
          <w:szCs w:val="32"/>
          <w:highlight w:val="none"/>
        </w:rPr>
        <w:t>（二）一般公共预算财政拨款支出决算结构情况</w:t>
      </w:r>
      <w:bookmarkEnd w:id="40"/>
    </w:p>
    <w:p>
      <w:pPr>
        <w:pageBreakBefore w:val="0"/>
        <w:kinsoku/>
        <w:wordWrap/>
        <w:overflowPunct/>
        <w:topLinePunct w:val="0"/>
        <w:bidi w:val="0"/>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zh-CN"/>
        </w:rPr>
        <w:t>2022年一般公共预算财政拨款支出175.2万元，主要用于以下方面: 一般公共服务支出102.9万元，占58.7%；文化体育与传媒支出64.07万元，占36.6%；社会保障和就业支出3.18万元，占1.8%；卫生健康支出1.69万元，占1%；住房保障支出3.35万元，占1.9%。</w:t>
      </w:r>
    </w:p>
    <w:p>
      <w:pPr>
        <w:pStyle w:val="2"/>
        <w:pageBreakBefore w:val="0"/>
        <w:kinsoku/>
        <w:wordWrap/>
        <w:overflowPunct/>
        <w:topLinePunct w:val="0"/>
        <w:bidi w:val="0"/>
        <w:spacing w:beforeLines="0"/>
        <w:textAlignment w:val="auto"/>
        <w:rPr>
          <w:rFonts w:hint="eastAsia" w:ascii="仿宋" w:hAnsi="仿宋" w:eastAsia="仿宋"/>
          <w:b/>
          <w:color w:val="auto"/>
          <w:sz w:val="32"/>
          <w:szCs w:val="32"/>
          <w:highlight w:val="none"/>
          <w:lang w:eastAsia="zh-CN"/>
        </w:rPr>
      </w:pPr>
      <w:r>
        <w:drawing>
          <wp:inline distT="0" distB="0" distL="114300" distR="114300">
            <wp:extent cx="4572000" cy="2743200"/>
            <wp:effectExtent l="4445" t="4445" r="14605" b="14605"/>
            <wp:docPr id="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ageBreakBefore w:val="0"/>
        <w:kinsoku/>
        <w:wordWrap/>
        <w:overflowPunct/>
        <w:topLinePunct w:val="0"/>
        <w:bidi w:val="0"/>
        <w:spacing w:line="600" w:lineRule="exact"/>
        <w:ind w:firstLine="640" w:firstLineChars="20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pageBreakBefore w:val="0"/>
        <w:kinsoku/>
        <w:wordWrap/>
        <w:overflowPunct/>
        <w:topLinePunct w:val="0"/>
        <w:bidi w:val="0"/>
        <w:spacing w:line="600" w:lineRule="exact"/>
        <w:ind w:firstLine="642" w:firstLineChars="200"/>
        <w:textAlignment w:val="auto"/>
        <w:outlineLvl w:val="2"/>
        <w:rPr>
          <w:rFonts w:ascii="仿宋" w:hAnsi="仿宋" w:eastAsia="仿宋"/>
          <w:b/>
          <w:color w:val="auto"/>
          <w:sz w:val="32"/>
          <w:szCs w:val="32"/>
          <w:highlight w:val="none"/>
        </w:rPr>
      </w:pPr>
      <w:bookmarkStart w:id="41" w:name="_Toc15377212"/>
      <w:r>
        <w:rPr>
          <w:rFonts w:hint="eastAsia" w:ascii="仿宋" w:hAnsi="仿宋" w:eastAsia="仿宋"/>
          <w:b/>
          <w:color w:val="auto"/>
          <w:sz w:val="32"/>
          <w:szCs w:val="32"/>
          <w:highlight w:val="none"/>
        </w:rPr>
        <w:t>（三）一般公共预算财政拨款支出决算具体情况</w:t>
      </w:r>
      <w:bookmarkEnd w:id="41"/>
    </w:p>
    <w:p>
      <w:pPr>
        <w:pageBreakBefore w:val="0"/>
        <w:kinsoku/>
        <w:wordWrap/>
        <w:overflowPunct/>
        <w:topLinePunct w:val="0"/>
        <w:bidi w:val="0"/>
        <w:spacing w:line="600" w:lineRule="exact"/>
        <w:ind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2022年一般公共预算支出决算数为175.2万元，完成预算100%。其中：</w:t>
      </w:r>
    </w:p>
    <w:p>
      <w:pPr>
        <w:pageBreakBefore w:val="0"/>
        <w:kinsoku/>
        <w:wordWrap/>
        <w:overflowPunct/>
        <w:topLinePunct w:val="0"/>
        <w:bidi w:val="0"/>
        <w:spacing w:line="600" w:lineRule="exact"/>
        <w:ind w:firstLine="642"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rPr>
        <w:t xml:space="preserve">1.一般公共服务（类）群众团体事务（款）行政运行（项）: </w:t>
      </w:r>
      <w:r>
        <w:rPr>
          <w:rFonts w:hint="eastAsia" w:ascii="仿宋_GB2312" w:hAnsi="仿宋_GB2312" w:eastAsia="仿宋_GB2312" w:cs="仿宋_GB2312"/>
          <w:color w:val="auto"/>
          <w:sz w:val="32"/>
          <w:szCs w:val="32"/>
          <w:highlight w:val="none"/>
        </w:rPr>
        <w:t>支出决算为</w:t>
      </w:r>
      <w:r>
        <w:rPr>
          <w:rFonts w:hint="eastAsia" w:ascii="仿宋_GB2312" w:hAnsi="仿宋_GB2312" w:eastAsia="仿宋_GB2312" w:cs="仿宋_GB2312"/>
          <w:color w:val="auto"/>
          <w:sz w:val="32"/>
          <w:szCs w:val="32"/>
          <w:highlight w:val="none"/>
          <w:lang w:val="en-US" w:eastAsia="zh-CN"/>
        </w:rPr>
        <w:t>93.91</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%，决算数</w:t>
      </w:r>
      <w:r>
        <w:rPr>
          <w:rFonts w:hint="eastAsia" w:ascii="仿宋_GB2312" w:hAnsi="仿宋_GB2312" w:eastAsia="仿宋_GB2312" w:cs="仿宋_GB2312"/>
          <w:color w:val="auto"/>
          <w:sz w:val="32"/>
          <w:szCs w:val="32"/>
          <w:highlight w:val="none"/>
          <w:lang w:eastAsia="zh-CN"/>
        </w:rPr>
        <w:t>与</w:t>
      </w:r>
      <w:r>
        <w:rPr>
          <w:rFonts w:hint="eastAsia" w:ascii="仿宋_GB2312" w:hAnsi="仿宋_GB2312" w:eastAsia="仿宋_GB2312" w:cs="仿宋_GB2312"/>
          <w:color w:val="auto"/>
          <w:sz w:val="32"/>
          <w:szCs w:val="32"/>
          <w:highlight w:val="none"/>
        </w:rPr>
        <w:t>预算数</w:t>
      </w:r>
      <w:r>
        <w:rPr>
          <w:rFonts w:hint="eastAsia" w:ascii="仿宋_GB2312" w:hAnsi="仿宋_GB2312" w:eastAsia="仿宋_GB2312" w:cs="仿宋_GB2312"/>
          <w:color w:val="auto"/>
          <w:sz w:val="32"/>
          <w:szCs w:val="32"/>
          <w:highlight w:val="none"/>
          <w:lang w:eastAsia="zh-CN"/>
        </w:rPr>
        <w:t>持平</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 xml:space="preserve"> </w:t>
      </w:r>
    </w:p>
    <w:p>
      <w:pPr>
        <w:pageBreakBefore w:val="0"/>
        <w:kinsoku/>
        <w:wordWrap/>
        <w:overflowPunct/>
        <w:topLinePunct w:val="0"/>
        <w:bidi w:val="0"/>
        <w:spacing w:line="600" w:lineRule="exact"/>
        <w:ind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rPr>
        <w:t>.一般公共服务（类）群众团体事务（款）一般行政管理事务（项）:</w:t>
      </w:r>
      <w:r>
        <w:rPr>
          <w:rFonts w:hint="eastAsia" w:ascii="仿宋_GB2312" w:hAnsi="仿宋_GB2312" w:eastAsia="仿宋_GB2312" w:cs="仿宋_GB2312"/>
          <w:color w:val="auto"/>
          <w:sz w:val="32"/>
          <w:szCs w:val="32"/>
          <w:highlight w:val="none"/>
        </w:rPr>
        <w:t xml:space="preserve"> 支</w:t>
      </w:r>
      <w:r>
        <w:rPr>
          <w:rFonts w:hint="eastAsia" w:ascii="仿宋_GB2312" w:hAnsi="仿宋_GB2312" w:eastAsia="仿宋_GB2312" w:cs="仿宋_GB2312"/>
          <w:color w:val="auto"/>
          <w:sz w:val="32"/>
          <w:szCs w:val="32"/>
          <w:highlight w:val="none"/>
          <w:lang w:val="en-US" w:eastAsia="zh-CN"/>
        </w:rPr>
        <w:t>出决算为8.99万元，完成预算100%，</w:t>
      </w:r>
      <w:r>
        <w:rPr>
          <w:rFonts w:hint="eastAsia" w:ascii="仿宋_GB2312" w:hAnsi="仿宋_GB2312" w:eastAsia="仿宋_GB2312" w:cs="仿宋_GB2312"/>
          <w:color w:val="auto"/>
          <w:sz w:val="32"/>
          <w:szCs w:val="32"/>
          <w:highlight w:val="none"/>
        </w:rPr>
        <w:t>决算数</w:t>
      </w:r>
      <w:r>
        <w:rPr>
          <w:rFonts w:hint="eastAsia" w:ascii="仿宋_GB2312" w:hAnsi="仿宋_GB2312" w:eastAsia="仿宋_GB2312" w:cs="仿宋_GB2312"/>
          <w:color w:val="auto"/>
          <w:sz w:val="32"/>
          <w:szCs w:val="32"/>
          <w:highlight w:val="none"/>
          <w:lang w:eastAsia="zh-CN"/>
        </w:rPr>
        <w:t>与</w:t>
      </w:r>
      <w:r>
        <w:rPr>
          <w:rFonts w:hint="eastAsia" w:ascii="仿宋_GB2312" w:hAnsi="仿宋_GB2312" w:eastAsia="仿宋_GB2312" w:cs="仿宋_GB2312"/>
          <w:color w:val="auto"/>
          <w:sz w:val="32"/>
          <w:szCs w:val="32"/>
          <w:highlight w:val="none"/>
        </w:rPr>
        <w:t>预算数</w:t>
      </w:r>
      <w:r>
        <w:rPr>
          <w:rFonts w:hint="eastAsia" w:ascii="仿宋_GB2312" w:hAnsi="仿宋_GB2312" w:eastAsia="仿宋_GB2312" w:cs="仿宋_GB2312"/>
          <w:color w:val="auto"/>
          <w:sz w:val="32"/>
          <w:szCs w:val="32"/>
          <w:highlight w:val="none"/>
          <w:lang w:eastAsia="zh-CN"/>
        </w:rPr>
        <w:t>持平</w:t>
      </w:r>
      <w:r>
        <w:rPr>
          <w:rFonts w:hint="eastAsia" w:ascii="仿宋_GB2312" w:hAnsi="仿宋_GB2312" w:eastAsia="仿宋_GB2312" w:cs="仿宋_GB2312"/>
          <w:color w:val="auto"/>
          <w:sz w:val="32"/>
          <w:szCs w:val="32"/>
          <w:highlight w:val="none"/>
        </w:rPr>
        <w:t>。</w:t>
      </w:r>
    </w:p>
    <w:p>
      <w:pPr>
        <w:pageBreakBefore w:val="0"/>
        <w:kinsoku/>
        <w:wordWrap/>
        <w:overflowPunct/>
        <w:topLinePunct w:val="0"/>
        <w:bidi w:val="0"/>
        <w:spacing w:line="600" w:lineRule="exact"/>
        <w:ind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3.文化旅游体育与传媒支出（类）文化和旅游（款）文化创作与保护（项）：</w:t>
      </w:r>
      <w:r>
        <w:rPr>
          <w:rFonts w:hint="eastAsia" w:ascii="仿宋_GB2312" w:hAnsi="仿宋_GB2312" w:eastAsia="仿宋_GB2312" w:cs="仿宋_GB2312"/>
          <w:color w:val="auto"/>
          <w:sz w:val="32"/>
          <w:szCs w:val="32"/>
          <w:highlight w:val="none"/>
        </w:rPr>
        <w:t>支出决算为</w:t>
      </w:r>
      <w:r>
        <w:rPr>
          <w:rFonts w:hint="eastAsia" w:ascii="仿宋_GB2312" w:hAnsi="仿宋_GB2312" w:eastAsia="仿宋_GB2312" w:cs="仿宋_GB2312"/>
          <w:color w:val="auto"/>
          <w:sz w:val="32"/>
          <w:szCs w:val="32"/>
          <w:highlight w:val="none"/>
          <w:lang w:val="en-US" w:eastAsia="zh-CN"/>
        </w:rPr>
        <w:t>54.8</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%，决算数</w:t>
      </w:r>
      <w:r>
        <w:rPr>
          <w:rFonts w:hint="eastAsia" w:ascii="仿宋_GB2312" w:hAnsi="仿宋_GB2312" w:eastAsia="仿宋_GB2312" w:cs="仿宋_GB2312"/>
          <w:color w:val="auto"/>
          <w:sz w:val="32"/>
          <w:szCs w:val="32"/>
          <w:highlight w:val="none"/>
          <w:lang w:eastAsia="zh-CN"/>
        </w:rPr>
        <w:t>与</w:t>
      </w:r>
      <w:r>
        <w:rPr>
          <w:rFonts w:hint="eastAsia" w:ascii="仿宋_GB2312" w:hAnsi="仿宋_GB2312" w:eastAsia="仿宋_GB2312" w:cs="仿宋_GB2312"/>
          <w:color w:val="auto"/>
          <w:sz w:val="32"/>
          <w:szCs w:val="32"/>
          <w:highlight w:val="none"/>
        </w:rPr>
        <w:t>预算数</w:t>
      </w:r>
      <w:r>
        <w:rPr>
          <w:rFonts w:hint="eastAsia" w:ascii="仿宋_GB2312" w:hAnsi="仿宋_GB2312" w:eastAsia="仿宋_GB2312" w:cs="仿宋_GB2312"/>
          <w:color w:val="auto"/>
          <w:sz w:val="32"/>
          <w:szCs w:val="32"/>
          <w:highlight w:val="none"/>
          <w:lang w:eastAsia="zh-CN"/>
        </w:rPr>
        <w:t>持平</w:t>
      </w:r>
      <w:r>
        <w:rPr>
          <w:rFonts w:hint="eastAsia" w:ascii="仿宋_GB2312" w:hAnsi="仿宋_GB2312" w:eastAsia="仿宋_GB2312" w:cs="仿宋_GB2312"/>
          <w:color w:val="auto"/>
          <w:sz w:val="32"/>
          <w:szCs w:val="32"/>
          <w:highlight w:val="none"/>
        </w:rPr>
        <w:t>。</w:t>
      </w:r>
    </w:p>
    <w:p>
      <w:pPr>
        <w:pageBreakBefore w:val="0"/>
        <w:kinsoku/>
        <w:wordWrap/>
        <w:overflowPunct/>
        <w:topLinePunct w:val="0"/>
        <w:bidi w:val="0"/>
        <w:spacing w:line="600" w:lineRule="exact"/>
        <w:ind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4.文化旅游体育与传媒支出（类）文化和旅游（款）    其他文化和旅游支出（项）：</w:t>
      </w:r>
      <w:r>
        <w:rPr>
          <w:rFonts w:hint="eastAsia" w:ascii="仿宋_GB2312" w:hAnsi="仿宋_GB2312" w:eastAsia="仿宋_GB2312" w:cs="仿宋_GB2312"/>
          <w:color w:val="auto"/>
          <w:sz w:val="32"/>
          <w:szCs w:val="32"/>
          <w:highlight w:val="none"/>
        </w:rPr>
        <w:t>支出决算为</w:t>
      </w:r>
      <w:r>
        <w:rPr>
          <w:rFonts w:hint="eastAsia" w:ascii="仿宋_GB2312" w:hAnsi="仿宋_GB2312" w:eastAsia="仿宋_GB2312" w:cs="仿宋_GB2312"/>
          <w:color w:val="auto"/>
          <w:sz w:val="32"/>
          <w:szCs w:val="32"/>
          <w:highlight w:val="none"/>
          <w:lang w:val="en-US" w:eastAsia="zh-CN"/>
        </w:rPr>
        <w:t>9.27</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%，决算数</w:t>
      </w:r>
      <w:r>
        <w:rPr>
          <w:rFonts w:hint="eastAsia" w:ascii="仿宋_GB2312" w:hAnsi="仿宋_GB2312" w:eastAsia="仿宋_GB2312" w:cs="仿宋_GB2312"/>
          <w:color w:val="auto"/>
          <w:sz w:val="32"/>
          <w:szCs w:val="32"/>
          <w:highlight w:val="none"/>
          <w:lang w:eastAsia="zh-CN"/>
        </w:rPr>
        <w:t>与</w:t>
      </w:r>
      <w:r>
        <w:rPr>
          <w:rFonts w:hint="eastAsia" w:ascii="仿宋_GB2312" w:hAnsi="仿宋_GB2312" w:eastAsia="仿宋_GB2312" w:cs="仿宋_GB2312"/>
          <w:color w:val="auto"/>
          <w:sz w:val="32"/>
          <w:szCs w:val="32"/>
          <w:highlight w:val="none"/>
        </w:rPr>
        <w:t>预算数</w:t>
      </w:r>
      <w:r>
        <w:rPr>
          <w:rFonts w:hint="eastAsia" w:ascii="仿宋_GB2312" w:hAnsi="仿宋_GB2312" w:eastAsia="仿宋_GB2312" w:cs="仿宋_GB2312"/>
          <w:color w:val="auto"/>
          <w:sz w:val="32"/>
          <w:szCs w:val="32"/>
          <w:highlight w:val="none"/>
          <w:lang w:eastAsia="zh-CN"/>
        </w:rPr>
        <w:t>持平</w:t>
      </w:r>
      <w:r>
        <w:rPr>
          <w:rFonts w:hint="eastAsia" w:ascii="仿宋_GB2312" w:hAnsi="仿宋_GB2312" w:eastAsia="仿宋_GB2312" w:cs="仿宋_GB2312"/>
          <w:color w:val="auto"/>
          <w:sz w:val="32"/>
          <w:szCs w:val="32"/>
          <w:highlight w:val="none"/>
        </w:rPr>
        <w:t>。</w:t>
      </w:r>
    </w:p>
    <w:p>
      <w:pPr>
        <w:pageBreakBefore w:val="0"/>
        <w:kinsoku/>
        <w:wordWrap/>
        <w:overflowPunct/>
        <w:topLinePunct w:val="0"/>
        <w:bidi w:val="0"/>
        <w:spacing w:line="600" w:lineRule="exact"/>
        <w:ind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5</w:t>
      </w:r>
      <w:r>
        <w:rPr>
          <w:rFonts w:hint="eastAsia" w:ascii="仿宋_GB2312" w:hAnsi="仿宋_GB2312" w:eastAsia="仿宋_GB2312" w:cs="仿宋_GB2312"/>
          <w:b/>
          <w:bCs/>
          <w:color w:val="auto"/>
          <w:sz w:val="32"/>
          <w:szCs w:val="32"/>
          <w:highlight w:val="none"/>
        </w:rPr>
        <w:t>.社会保障和就业（类）</w:t>
      </w:r>
      <w:r>
        <w:rPr>
          <w:rFonts w:hint="eastAsia" w:ascii="仿宋_GB2312" w:hAnsi="仿宋_GB2312" w:eastAsia="仿宋_GB2312" w:cs="仿宋_GB2312"/>
          <w:b/>
          <w:bCs/>
          <w:color w:val="auto"/>
          <w:sz w:val="32"/>
          <w:szCs w:val="32"/>
          <w:highlight w:val="none"/>
          <w:lang w:eastAsia="zh-CN"/>
        </w:rPr>
        <w:t>行政事业单位养老支出</w:t>
      </w:r>
      <w:r>
        <w:rPr>
          <w:rFonts w:hint="eastAsia" w:ascii="仿宋_GB2312" w:hAnsi="仿宋_GB2312" w:eastAsia="仿宋_GB2312" w:cs="仿宋_GB2312"/>
          <w:b/>
          <w:bCs/>
          <w:color w:val="auto"/>
          <w:sz w:val="32"/>
          <w:szCs w:val="32"/>
          <w:highlight w:val="none"/>
        </w:rPr>
        <w:t>（款） 机关事业单位基本养老保险缴费支出（项）:</w:t>
      </w:r>
      <w:r>
        <w:rPr>
          <w:rFonts w:hint="eastAsia" w:ascii="仿宋_GB2312" w:hAnsi="仿宋_GB2312" w:eastAsia="仿宋_GB2312" w:cs="仿宋_GB2312"/>
          <w:color w:val="auto"/>
          <w:sz w:val="32"/>
          <w:szCs w:val="32"/>
          <w:highlight w:val="none"/>
        </w:rPr>
        <w:t xml:space="preserve"> 支出决算为</w:t>
      </w:r>
      <w:r>
        <w:rPr>
          <w:rFonts w:hint="eastAsia" w:ascii="仿宋_GB2312" w:hAnsi="仿宋_GB2312" w:eastAsia="仿宋_GB2312" w:cs="仿宋_GB2312"/>
          <w:color w:val="auto"/>
          <w:sz w:val="32"/>
          <w:szCs w:val="32"/>
          <w:highlight w:val="none"/>
          <w:lang w:val="en-US" w:eastAsia="zh-CN"/>
        </w:rPr>
        <w:t>3.18</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%，决算数</w:t>
      </w:r>
      <w:r>
        <w:rPr>
          <w:rFonts w:hint="eastAsia" w:ascii="仿宋_GB2312" w:hAnsi="仿宋_GB2312" w:eastAsia="仿宋_GB2312" w:cs="仿宋_GB2312"/>
          <w:color w:val="auto"/>
          <w:sz w:val="32"/>
          <w:szCs w:val="32"/>
          <w:highlight w:val="none"/>
          <w:lang w:eastAsia="zh-CN"/>
        </w:rPr>
        <w:t>与</w:t>
      </w:r>
      <w:r>
        <w:rPr>
          <w:rFonts w:hint="eastAsia" w:ascii="仿宋_GB2312" w:hAnsi="仿宋_GB2312" w:eastAsia="仿宋_GB2312" w:cs="仿宋_GB2312"/>
          <w:color w:val="auto"/>
          <w:sz w:val="32"/>
          <w:szCs w:val="32"/>
          <w:highlight w:val="none"/>
        </w:rPr>
        <w:t>预算数</w:t>
      </w:r>
      <w:r>
        <w:rPr>
          <w:rFonts w:hint="eastAsia" w:ascii="仿宋_GB2312" w:hAnsi="仿宋_GB2312" w:eastAsia="仿宋_GB2312" w:cs="仿宋_GB2312"/>
          <w:color w:val="auto"/>
          <w:sz w:val="32"/>
          <w:szCs w:val="32"/>
          <w:highlight w:val="none"/>
          <w:lang w:eastAsia="zh-CN"/>
        </w:rPr>
        <w:t>持平</w:t>
      </w:r>
      <w:r>
        <w:rPr>
          <w:rFonts w:hint="eastAsia" w:ascii="仿宋_GB2312" w:hAnsi="仿宋_GB2312" w:eastAsia="仿宋_GB2312" w:cs="仿宋_GB2312"/>
          <w:color w:val="auto"/>
          <w:sz w:val="32"/>
          <w:szCs w:val="32"/>
          <w:highlight w:val="none"/>
        </w:rPr>
        <w:t>。</w:t>
      </w:r>
    </w:p>
    <w:p>
      <w:pPr>
        <w:pageBreakBefore w:val="0"/>
        <w:kinsoku/>
        <w:wordWrap/>
        <w:overflowPunct/>
        <w:topLinePunct w:val="0"/>
        <w:bidi w:val="0"/>
        <w:spacing w:line="600" w:lineRule="exact"/>
        <w:ind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6</w:t>
      </w:r>
      <w:r>
        <w:rPr>
          <w:rFonts w:hint="eastAsia" w:ascii="仿宋_GB2312" w:hAnsi="仿宋_GB2312" w:eastAsia="仿宋_GB2312" w:cs="仿宋_GB2312"/>
          <w:b/>
          <w:bCs/>
          <w:color w:val="auto"/>
          <w:sz w:val="32"/>
          <w:szCs w:val="32"/>
          <w:highlight w:val="none"/>
        </w:rPr>
        <w:t>.卫生健康（类）行政事业单位医疗（款）事业单位医疗（项）:</w:t>
      </w:r>
      <w:r>
        <w:rPr>
          <w:rFonts w:hint="eastAsia" w:ascii="仿宋_GB2312" w:hAnsi="仿宋_GB2312" w:eastAsia="仿宋_GB2312" w:cs="仿宋_GB2312"/>
          <w:color w:val="auto"/>
          <w:sz w:val="32"/>
          <w:szCs w:val="32"/>
          <w:highlight w:val="none"/>
        </w:rPr>
        <w:t>支出决算为</w:t>
      </w:r>
      <w:r>
        <w:rPr>
          <w:rFonts w:hint="eastAsia" w:ascii="仿宋_GB2312" w:hAnsi="仿宋_GB2312" w:eastAsia="仿宋_GB2312" w:cs="仿宋_GB2312"/>
          <w:color w:val="auto"/>
          <w:sz w:val="32"/>
          <w:szCs w:val="32"/>
          <w:highlight w:val="none"/>
          <w:lang w:val="en-US" w:eastAsia="zh-CN"/>
        </w:rPr>
        <w:t>1.69</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%，决算数</w:t>
      </w:r>
      <w:r>
        <w:rPr>
          <w:rFonts w:hint="eastAsia" w:ascii="仿宋_GB2312" w:hAnsi="仿宋_GB2312" w:eastAsia="仿宋_GB2312" w:cs="仿宋_GB2312"/>
          <w:color w:val="auto"/>
          <w:sz w:val="32"/>
          <w:szCs w:val="32"/>
          <w:highlight w:val="none"/>
          <w:lang w:eastAsia="zh-CN"/>
        </w:rPr>
        <w:t>与</w:t>
      </w:r>
      <w:r>
        <w:rPr>
          <w:rFonts w:hint="eastAsia" w:ascii="仿宋_GB2312" w:hAnsi="仿宋_GB2312" w:eastAsia="仿宋_GB2312" w:cs="仿宋_GB2312"/>
          <w:color w:val="auto"/>
          <w:sz w:val="32"/>
          <w:szCs w:val="32"/>
          <w:highlight w:val="none"/>
        </w:rPr>
        <w:t>预算数</w:t>
      </w:r>
      <w:r>
        <w:rPr>
          <w:rFonts w:hint="eastAsia" w:ascii="仿宋_GB2312" w:hAnsi="仿宋_GB2312" w:eastAsia="仿宋_GB2312" w:cs="仿宋_GB2312"/>
          <w:color w:val="auto"/>
          <w:sz w:val="32"/>
          <w:szCs w:val="32"/>
          <w:highlight w:val="none"/>
          <w:lang w:eastAsia="zh-CN"/>
        </w:rPr>
        <w:t>持平</w:t>
      </w:r>
      <w:r>
        <w:rPr>
          <w:rFonts w:hint="eastAsia" w:ascii="仿宋_GB2312" w:hAnsi="仿宋_GB2312" w:eastAsia="仿宋_GB2312" w:cs="仿宋_GB2312"/>
          <w:color w:val="auto"/>
          <w:sz w:val="32"/>
          <w:szCs w:val="32"/>
          <w:highlight w:val="none"/>
        </w:rPr>
        <w:t>。</w:t>
      </w:r>
    </w:p>
    <w:p>
      <w:pPr>
        <w:pageBreakBefore w:val="0"/>
        <w:kinsoku/>
        <w:wordWrap/>
        <w:overflowPunct/>
        <w:topLinePunct w:val="0"/>
        <w:bidi w:val="0"/>
        <w:spacing w:line="600" w:lineRule="exact"/>
        <w:ind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7.</w:t>
      </w:r>
      <w:r>
        <w:rPr>
          <w:rFonts w:hint="eastAsia" w:ascii="仿宋_GB2312" w:hAnsi="仿宋_GB2312" w:eastAsia="仿宋_GB2312" w:cs="仿宋_GB2312"/>
          <w:b/>
          <w:bCs/>
          <w:color w:val="auto"/>
          <w:sz w:val="32"/>
          <w:szCs w:val="32"/>
          <w:highlight w:val="none"/>
        </w:rPr>
        <w:t>住房保障支出（类）住房改革支出（款）住房公积金（项）</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color w:val="auto"/>
          <w:sz w:val="32"/>
          <w:szCs w:val="32"/>
          <w:highlight w:val="none"/>
        </w:rPr>
        <w:t>支出决算为</w:t>
      </w:r>
      <w:r>
        <w:rPr>
          <w:rFonts w:hint="eastAsia" w:ascii="仿宋_GB2312" w:hAnsi="仿宋_GB2312" w:eastAsia="仿宋_GB2312" w:cs="仿宋_GB2312"/>
          <w:color w:val="auto"/>
          <w:sz w:val="32"/>
          <w:szCs w:val="32"/>
          <w:highlight w:val="none"/>
          <w:lang w:val="en-US" w:eastAsia="zh-CN"/>
        </w:rPr>
        <w:t>3.35</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%，决算数</w:t>
      </w:r>
      <w:r>
        <w:rPr>
          <w:rFonts w:hint="eastAsia" w:ascii="仿宋_GB2312" w:hAnsi="仿宋_GB2312" w:eastAsia="仿宋_GB2312" w:cs="仿宋_GB2312"/>
          <w:color w:val="auto"/>
          <w:sz w:val="32"/>
          <w:szCs w:val="32"/>
          <w:highlight w:val="none"/>
          <w:lang w:eastAsia="zh-CN"/>
        </w:rPr>
        <w:t>与预算数持平</w:t>
      </w:r>
      <w:r>
        <w:rPr>
          <w:rFonts w:hint="eastAsia" w:ascii="仿宋_GB2312" w:hAnsi="仿宋_GB2312" w:eastAsia="仿宋_GB2312" w:cs="仿宋_GB2312"/>
          <w:color w:val="auto"/>
          <w:sz w:val="32"/>
          <w:szCs w:val="32"/>
          <w:highlight w:val="none"/>
        </w:rPr>
        <w:t>。</w:t>
      </w:r>
    </w:p>
    <w:p>
      <w:pPr>
        <w:pageBreakBefore w:val="0"/>
        <w:tabs>
          <w:tab w:val="right" w:pos="8306"/>
        </w:tabs>
        <w:kinsoku/>
        <w:wordWrap/>
        <w:overflowPunct/>
        <w:topLinePunct w:val="0"/>
        <w:bidi w:val="0"/>
        <w:spacing w:line="600" w:lineRule="exact"/>
        <w:ind w:firstLine="640"/>
        <w:textAlignment w:val="auto"/>
        <w:outlineLvl w:val="1"/>
        <w:rPr>
          <w:rStyle w:val="18"/>
          <w:color w:val="auto"/>
          <w:highlight w:val="none"/>
        </w:rPr>
      </w:pPr>
      <w:bookmarkStart w:id="42" w:name="_Toc2880"/>
      <w:bookmarkStart w:id="43" w:name="_Toc15396608"/>
      <w:bookmarkStart w:id="44"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般公共预算财政拨款基本支出决算情况说明</w:t>
      </w:r>
      <w:bookmarkEnd w:id="42"/>
      <w:bookmarkEnd w:id="43"/>
      <w:bookmarkEnd w:id="44"/>
      <w:r>
        <w:rPr>
          <w:rStyle w:val="18"/>
          <w:rFonts w:ascii="黑体" w:hAnsi="黑体" w:eastAsia="黑体"/>
          <w:b w:val="0"/>
          <w:color w:val="auto"/>
          <w:highlight w:val="none"/>
        </w:rPr>
        <w:tab/>
      </w:r>
    </w:p>
    <w:p>
      <w:pPr>
        <w:pageBreakBefore w:val="0"/>
        <w:kinsoku/>
        <w:wordWrap/>
        <w:overflowPunct/>
        <w:topLinePunct w:val="0"/>
        <w:bidi w:val="0"/>
        <w:spacing w:line="600" w:lineRule="exact"/>
        <w:ind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2022年一般公共预算财政拨款基本支出102.14万元，其中：</w:t>
      </w:r>
    </w:p>
    <w:p>
      <w:pPr>
        <w:pageBreakBefore w:val="0"/>
        <w:kinsoku/>
        <w:wordWrap/>
        <w:overflowPunct/>
        <w:topLinePunct w:val="0"/>
        <w:bidi w:val="0"/>
        <w:spacing w:line="600" w:lineRule="exact"/>
        <w:ind w:firstLine="642"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b/>
          <w:bCs/>
          <w:color w:val="auto"/>
          <w:sz w:val="32"/>
          <w:szCs w:val="32"/>
          <w:highlight w:val="none"/>
          <w:lang w:val="zh-CN"/>
        </w:rPr>
        <w:t>人员经费</w:t>
      </w:r>
      <w:r>
        <w:rPr>
          <w:rFonts w:hint="eastAsia" w:ascii="仿宋_GB2312" w:hAnsi="仿宋_GB2312" w:eastAsia="仿宋_GB2312" w:cs="仿宋_GB2312"/>
          <w:color w:val="auto"/>
          <w:sz w:val="32"/>
          <w:szCs w:val="32"/>
          <w:highlight w:val="none"/>
          <w:lang w:val="zh-CN"/>
        </w:rPr>
        <w:t>89.69万元，主要包括：</w:t>
      </w:r>
      <w:r>
        <w:rPr>
          <w:rFonts w:hint="eastAsia" w:ascii="仿宋_GB2312" w:hAnsi="仿宋_GB2312" w:eastAsia="仿宋_GB2312" w:cs="仿宋_GB2312"/>
          <w:color w:val="auto"/>
          <w:sz w:val="32"/>
          <w:szCs w:val="32"/>
          <w:highlight w:val="none"/>
          <w:lang w:val="en-US"/>
        </w:rPr>
        <w:t>基本工资、津贴补贴、奖金、机关事业单位基本养老保险缴费、职工基本医疗保险缴费、其他工资福利支出、奖励金、住房公积金等</w:t>
      </w:r>
      <w:r>
        <w:rPr>
          <w:rFonts w:hint="eastAsia" w:ascii="仿宋_GB2312" w:hAnsi="仿宋_GB2312" w:eastAsia="仿宋_GB2312" w:cs="仿宋_GB2312"/>
          <w:color w:val="auto"/>
          <w:sz w:val="32"/>
          <w:szCs w:val="32"/>
          <w:highlight w:val="none"/>
          <w:lang w:val="zh-CN"/>
        </w:rPr>
        <w:t>。</w:t>
      </w:r>
    </w:p>
    <w:p>
      <w:pPr>
        <w:pageBreakBefore w:val="0"/>
        <w:kinsoku/>
        <w:wordWrap/>
        <w:overflowPunct/>
        <w:topLinePunct w:val="0"/>
        <w:bidi w:val="0"/>
        <w:spacing w:line="600" w:lineRule="exact"/>
        <w:ind w:firstLine="642"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b/>
          <w:bCs/>
          <w:color w:val="auto"/>
          <w:sz w:val="32"/>
          <w:szCs w:val="32"/>
          <w:highlight w:val="none"/>
          <w:lang w:val="zh-CN"/>
        </w:rPr>
        <w:t>公用经费</w:t>
      </w:r>
      <w:r>
        <w:rPr>
          <w:rFonts w:hint="eastAsia" w:ascii="仿宋_GB2312" w:hAnsi="仿宋_GB2312" w:eastAsia="仿宋_GB2312" w:cs="仿宋_GB2312"/>
          <w:color w:val="auto"/>
          <w:sz w:val="32"/>
          <w:szCs w:val="32"/>
          <w:highlight w:val="none"/>
          <w:lang w:val="zh-CN"/>
        </w:rPr>
        <w:t>12.45万元，主要包括：</w:t>
      </w:r>
      <w:r>
        <w:rPr>
          <w:rFonts w:hint="eastAsia" w:ascii="仿宋_GB2312" w:hAnsi="仿宋_GB2312" w:eastAsia="仿宋_GB2312" w:cs="仿宋_GB2312"/>
          <w:color w:val="auto"/>
          <w:sz w:val="32"/>
          <w:szCs w:val="32"/>
          <w:highlight w:val="none"/>
          <w:lang w:val="en-US"/>
        </w:rPr>
        <w:t>办公费、水费、电费、邮电费、物业管理费、差旅费、公务接待费、工会经费、福利费、其他交通费、其他商品和服务支出等</w:t>
      </w:r>
      <w:r>
        <w:rPr>
          <w:rFonts w:hint="eastAsia" w:ascii="仿宋_GB2312" w:hAnsi="仿宋_GB2312" w:eastAsia="仿宋_GB2312" w:cs="仿宋_GB2312"/>
          <w:color w:val="auto"/>
          <w:sz w:val="32"/>
          <w:szCs w:val="32"/>
          <w:highlight w:val="none"/>
          <w:lang w:val="zh-CN"/>
        </w:rPr>
        <w:t>。</w:t>
      </w:r>
    </w:p>
    <w:p>
      <w:pPr>
        <w:pageBreakBefore w:val="0"/>
        <w:kinsoku/>
        <w:wordWrap/>
        <w:overflowPunct/>
        <w:topLinePunct w:val="0"/>
        <w:bidi w:val="0"/>
        <w:spacing w:line="600" w:lineRule="exact"/>
        <w:ind w:firstLine="640"/>
        <w:textAlignment w:val="auto"/>
        <w:outlineLvl w:val="1"/>
        <w:rPr>
          <w:rStyle w:val="18"/>
          <w:rFonts w:ascii="黑体" w:hAnsi="黑体" w:eastAsia="黑体"/>
          <w:b w:val="0"/>
          <w:color w:val="auto"/>
          <w:highlight w:val="none"/>
        </w:rPr>
      </w:pPr>
      <w:bookmarkStart w:id="45" w:name="_Toc7827"/>
      <w:bookmarkStart w:id="46" w:name="_Toc15377215"/>
      <w:bookmarkStart w:id="47" w:name="_Toc15396609"/>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45"/>
      <w:bookmarkEnd w:id="46"/>
      <w:bookmarkEnd w:id="47"/>
    </w:p>
    <w:p>
      <w:pPr>
        <w:pageBreakBefore w:val="0"/>
        <w:kinsoku/>
        <w:wordWrap/>
        <w:overflowPunct/>
        <w:topLinePunct w:val="0"/>
        <w:bidi w:val="0"/>
        <w:spacing w:line="600" w:lineRule="exact"/>
        <w:ind w:firstLine="640"/>
        <w:textAlignment w:val="auto"/>
        <w:outlineLvl w:val="2"/>
        <w:rPr>
          <w:rFonts w:hint="eastAsia" w:ascii="仿宋_GB2312" w:hAnsi="仿宋_GB2312" w:eastAsia="仿宋_GB2312" w:cs="仿宋_GB2312"/>
          <w:b/>
          <w:color w:val="auto"/>
          <w:sz w:val="32"/>
          <w:szCs w:val="32"/>
          <w:highlight w:val="none"/>
        </w:rPr>
      </w:pPr>
      <w:bookmarkStart w:id="48" w:name="_Toc15377216"/>
      <w:r>
        <w:rPr>
          <w:rFonts w:hint="eastAsia" w:ascii="仿宋_GB2312" w:hAnsi="仿宋_GB2312" w:eastAsia="仿宋_GB2312" w:cs="仿宋_GB2312"/>
          <w:b/>
          <w:color w:val="auto"/>
          <w:sz w:val="32"/>
          <w:szCs w:val="32"/>
          <w:highlight w:val="none"/>
        </w:rPr>
        <w:t>（一）“三公”经费财政拨款支出决算总体情况说明</w:t>
      </w:r>
      <w:bookmarkEnd w:id="48"/>
    </w:p>
    <w:p>
      <w:pPr>
        <w:keepNext/>
        <w:keepLines/>
        <w:pageBreakBefore w:val="0"/>
        <w:kinsoku/>
        <w:wordWrap/>
        <w:overflowPunct/>
        <w:topLinePunct w:val="0"/>
        <w:bidi w:val="0"/>
        <w:spacing w:line="576" w:lineRule="exact"/>
        <w:ind w:firstLine="64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olor w:val="auto"/>
          <w:kern w:val="2"/>
          <w:sz w:val="32"/>
          <w:szCs w:val="24"/>
          <w:lang w:val="zh-CN"/>
        </w:rPr>
        <w:t>2022年</w:t>
      </w:r>
      <w:r>
        <w:rPr>
          <w:rFonts w:hint="default" w:ascii="仿宋_GB2312" w:hAnsi="仿宋_GB2312" w:eastAsia="仿宋_GB2312"/>
          <w:color w:val="auto"/>
          <w:kern w:val="2"/>
          <w:sz w:val="32"/>
          <w:szCs w:val="24"/>
          <w:lang w:val="zh-CN"/>
        </w:rPr>
        <w:t>“</w:t>
      </w:r>
      <w:r>
        <w:rPr>
          <w:rFonts w:hint="eastAsia" w:ascii="仿宋_GB2312" w:hAnsi="仿宋_GB2312" w:eastAsia="仿宋_GB2312"/>
          <w:color w:val="auto"/>
          <w:kern w:val="2"/>
          <w:sz w:val="32"/>
          <w:szCs w:val="24"/>
          <w:lang w:val="zh-CN"/>
        </w:rPr>
        <w:t>三公</w:t>
      </w:r>
      <w:r>
        <w:rPr>
          <w:rFonts w:hint="default" w:ascii="仿宋_GB2312" w:hAnsi="仿宋_GB2312" w:eastAsia="仿宋_GB2312"/>
          <w:color w:val="auto"/>
          <w:kern w:val="2"/>
          <w:sz w:val="32"/>
          <w:szCs w:val="24"/>
          <w:lang w:val="zh-CN"/>
        </w:rPr>
        <w:t>”</w:t>
      </w:r>
      <w:r>
        <w:rPr>
          <w:rFonts w:hint="eastAsia" w:ascii="仿宋_GB2312" w:hAnsi="仿宋_GB2312" w:eastAsia="仿宋_GB2312"/>
          <w:color w:val="auto"/>
          <w:kern w:val="2"/>
          <w:sz w:val="32"/>
          <w:szCs w:val="24"/>
          <w:lang w:val="zh-CN"/>
        </w:rPr>
        <w:t>经费财政拨款支出决算为0.25万元，完成预算达</w:t>
      </w:r>
      <w:r>
        <w:rPr>
          <w:rFonts w:hint="eastAsia" w:ascii="仿宋_GB2312" w:hAnsi="仿宋_GB2312" w:eastAsia="仿宋_GB2312"/>
          <w:color w:val="auto"/>
          <w:kern w:val="2"/>
          <w:sz w:val="32"/>
          <w:szCs w:val="24"/>
          <w:lang w:val="en-US" w:eastAsia="zh-CN"/>
        </w:rPr>
        <w:t>100</w:t>
      </w:r>
      <w:r>
        <w:rPr>
          <w:rFonts w:hint="eastAsia" w:ascii="仿宋_GB2312" w:hAnsi="仿宋_GB2312" w:eastAsia="仿宋_GB2312"/>
          <w:color w:val="auto"/>
          <w:kern w:val="2"/>
          <w:sz w:val="32"/>
          <w:szCs w:val="24"/>
          <w:lang w:val="zh-CN"/>
        </w:rPr>
        <w:t>%；较上年减少0.77万元，下降75.5%。决算数与预算数</w:t>
      </w:r>
      <w:r>
        <w:rPr>
          <w:rFonts w:hint="eastAsia" w:ascii="仿宋_GB2312" w:hAnsi="仿宋_GB2312" w:eastAsia="仿宋_GB2312"/>
          <w:color w:val="auto"/>
          <w:kern w:val="2"/>
          <w:sz w:val="32"/>
          <w:szCs w:val="24"/>
          <w:highlight w:val="white"/>
          <w:lang w:val="en-US"/>
        </w:rPr>
        <w:t>持平</w:t>
      </w:r>
      <w:r>
        <w:rPr>
          <w:rFonts w:hint="eastAsia" w:ascii="仿宋_GB2312" w:hAnsi="仿宋_GB2312" w:eastAsia="仿宋_GB2312"/>
          <w:color w:val="auto"/>
          <w:kern w:val="2"/>
          <w:sz w:val="32"/>
          <w:szCs w:val="24"/>
          <w:lang w:val="zh-CN"/>
        </w:rPr>
        <w:t>。</w:t>
      </w:r>
    </w:p>
    <w:p>
      <w:pPr>
        <w:pageBreakBefore w:val="0"/>
        <w:kinsoku/>
        <w:wordWrap/>
        <w:overflowPunct/>
        <w:topLinePunct w:val="0"/>
        <w:bidi w:val="0"/>
        <w:spacing w:line="600" w:lineRule="exact"/>
        <w:ind w:firstLine="640"/>
        <w:textAlignment w:val="auto"/>
        <w:outlineLvl w:val="2"/>
        <w:rPr>
          <w:rFonts w:hint="eastAsia" w:ascii="仿宋_GB2312" w:hAnsi="仿宋_GB2312" w:eastAsia="仿宋_GB2312" w:cs="仿宋_GB2312"/>
          <w:b/>
          <w:color w:val="auto"/>
          <w:sz w:val="32"/>
          <w:szCs w:val="32"/>
          <w:highlight w:val="none"/>
        </w:rPr>
      </w:pPr>
      <w:bookmarkStart w:id="49" w:name="_Toc15377217"/>
      <w:r>
        <w:rPr>
          <w:rFonts w:hint="eastAsia" w:ascii="仿宋_GB2312" w:hAnsi="仿宋_GB2312" w:eastAsia="仿宋_GB2312" w:cs="仿宋_GB2312"/>
          <w:b/>
          <w:color w:val="auto"/>
          <w:sz w:val="32"/>
          <w:szCs w:val="32"/>
          <w:highlight w:val="none"/>
        </w:rPr>
        <w:t>（二）“三公”经费财政拨款支出决算具体情况说明</w:t>
      </w:r>
      <w:bookmarkEnd w:id="49"/>
    </w:p>
    <w:p>
      <w:pPr>
        <w:pageBreakBefore w:val="0"/>
        <w:kinsoku/>
        <w:wordWrap/>
        <w:overflowPunct/>
        <w:topLinePunct w:val="0"/>
        <w:bidi w:val="0"/>
        <w:spacing w:line="600" w:lineRule="exact"/>
        <w:ind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2022年</w:t>
      </w:r>
      <w:r>
        <w:rPr>
          <w:rFonts w:hint="default"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rPr>
        <w:t>三公</w:t>
      </w:r>
      <w:r>
        <w:rPr>
          <w:rFonts w:hint="default"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rPr>
        <w:t>经费财政拨款支出决算中，因公出国（境）费支出决算0万元，占0%；公务用车购置及运行维护费支出决算0万元，占0%；公务接待费支出决算0.25万元，占100%。具体情况如下：</w:t>
      </w:r>
    </w:p>
    <w:p>
      <w:pPr>
        <w:pStyle w:val="2"/>
        <w:pageBreakBefore w:val="0"/>
        <w:kinsoku/>
        <w:wordWrap/>
        <w:overflowPunct/>
        <w:topLinePunct w:val="0"/>
        <w:bidi w:val="0"/>
        <w:spacing w:beforeLines="0"/>
        <w:textAlignment w:val="auto"/>
        <w:rPr>
          <w:rFonts w:hint="eastAsia" w:ascii="仿宋_GB2312" w:hAnsi="仿宋_GB2312" w:eastAsia="仿宋_GB2312" w:cs="仿宋_GB2312"/>
          <w:color w:val="auto"/>
          <w:sz w:val="32"/>
          <w:szCs w:val="32"/>
          <w:highlight w:val="none"/>
          <w:lang w:val="zh-CN"/>
        </w:rPr>
      </w:pPr>
      <w:r>
        <w:drawing>
          <wp:inline distT="0" distB="0" distL="114300" distR="114300">
            <wp:extent cx="4572000" cy="2743200"/>
            <wp:effectExtent l="4445" t="4445" r="14605" b="14605"/>
            <wp:docPr id="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pageBreakBefore w:val="0"/>
        <w:kinsoku/>
        <w:wordWrap/>
        <w:overflowPunct/>
        <w:topLinePunct w:val="0"/>
        <w:bidi w:val="0"/>
        <w:spacing w:line="600" w:lineRule="exact"/>
        <w:ind w:firstLine="2252" w:firstLineChars="704"/>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pPr>
        <w:pageBreakBefore w:val="0"/>
        <w:kinsoku/>
        <w:wordWrap/>
        <w:overflowPunct/>
        <w:topLinePunct w:val="0"/>
        <w:bidi w:val="0"/>
        <w:spacing w:line="600" w:lineRule="exact"/>
        <w:ind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1.因公出国（境）经费</w:t>
      </w:r>
      <w:r>
        <w:rPr>
          <w:rFonts w:hint="eastAsia" w:ascii="仿宋_GB2312" w:hAnsi="仿宋_GB2312" w:eastAsia="仿宋_GB2312" w:cs="仿宋_GB2312"/>
          <w:color w:val="auto"/>
          <w:sz w:val="32"/>
          <w:szCs w:val="32"/>
          <w:highlight w:val="none"/>
        </w:rPr>
        <w:t>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年初未安排预算，因公出国</w:t>
      </w:r>
      <w:r>
        <w:rPr>
          <w:rFonts w:hint="eastAsia" w:ascii="仿宋_GB2312" w:hAnsi="仿宋_GB2312" w:eastAsia="仿宋_GB2312" w:cs="仿宋_GB2312"/>
          <w:color w:val="auto"/>
          <w:sz w:val="32"/>
          <w:szCs w:val="32"/>
          <w:highlight w:val="none"/>
        </w:rPr>
        <w:t>（境）</w:t>
      </w:r>
      <w:r>
        <w:rPr>
          <w:rFonts w:hint="eastAsia" w:ascii="仿宋_GB2312" w:hAnsi="仿宋_GB2312" w:eastAsia="仿宋_GB2312" w:cs="仿宋_GB2312"/>
          <w:color w:val="auto"/>
          <w:sz w:val="32"/>
          <w:szCs w:val="32"/>
          <w:highlight w:val="none"/>
          <w:lang w:val="en-US" w:eastAsia="zh-CN"/>
        </w:rPr>
        <w:t>支出决算较2021年无变化</w:t>
      </w:r>
      <w:r>
        <w:rPr>
          <w:rFonts w:hint="eastAsia" w:ascii="仿宋_GB2312" w:hAnsi="仿宋_GB2312" w:eastAsia="仿宋_GB2312" w:cs="仿宋_GB2312"/>
          <w:color w:val="auto"/>
          <w:sz w:val="32"/>
          <w:szCs w:val="32"/>
          <w:highlight w:val="none"/>
        </w:rPr>
        <w:t>。</w:t>
      </w:r>
    </w:p>
    <w:p>
      <w:pPr>
        <w:pageBreakBefore w:val="0"/>
        <w:kinsoku/>
        <w:wordWrap/>
        <w:overflowPunct/>
        <w:topLinePunct w:val="0"/>
        <w:bidi w:val="0"/>
        <w:spacing w:line="600" w:lineRule="exact"/>
        <w:ind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2.公务用车购置及运行维护费</w:t>
      </w:r>
      <w:r>
        <w:rPr>
          <w:rFonts w:hint="eastAsia" w:ascii="仿宋_GB2312" w:hAnsi="仿宋_GB2312" w:eastAsia="仿宋_GB2312" w:cs="仿宋_GB2312"/>
          <w:color w:val="auto"/>
          <w:sz w:val="32"/>
          <w:szCs w:val="32"/>
          <w:highlight w:val="none"/>
        </w:rPr>
        <w:t>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年初未安排预算，公务用车购置及运行维护费较2021年无变化</w:t>
      </w:r>
      <w:r>
        <w:rPr>
          <w:rFonts w:hint="eastAsia" w:ascii="仿宋_GB2312" w:hAnsi="仿宋_GB2312" w:eastAsia="仿宋_GB2312" w:cs="仿宋_GB2312"/>
          <w:color w:val="auto"/>
          <w:sz w:val="32"/>
          <w:szCs w:val="32"/>
          <w:highlight w:val="none"/>
        </w:rPr>
        <w:t>。</w:t>
      </w:r>
    </w:p>
    <w:p>
      <w:pPr>
        <w:pageBreakBefore w:val="0"/>
        <w:kinsoku/>
        <w:wordWrap/>
        <w:overflowPunct/>
        <w:topLinePunct w:val="0"/>
        <w:bidi w:val="0"/>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其中：公务用车购置支出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万元。全年按规定更新购置公务用车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辆。截至20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年12月底，单位共有公务用车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w:t>
      </w:r>
    </w:p>
    <w:p>
      <w:pPr>
        <w:pageBreakBefore w:val="0"/>
        <w:kinsoku/>
        <w:wordWrap/>
        <w:overflowPunct/>
        <w:topLinePunct w:val="0"/>
        <w:bidi w:val="0"/>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公务用车运行维护费支出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p>
    <w:p>
      <w:pPr>
        <w:pageBreakBefore w:val="0"/>
        <w:kinsoku/>
        <w:wordWrap/>
        <w:overflowPunct/>
        <w:topLinePunct w:val="0"/>
        <w:bidi w:val="0"/>
        <w:spacing w:line="600" w:lineRule="exact"/>
        <w:ind w:firstLine="642"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b/>
          <w:bCs/>
          <w:color w:val="auto"/>
          <w:sz w:val="32"/>
          <w:szCs w:val="32"/>
          <w:highlight w:val="none"/>
          <w:lang w:val="zh-CN"/>
        </w:rPr>
        <w:t>3.公务接待费</w:t>
      </w:r>
      <w:r>
        <w:rPr>
          <w:rFonts w:hint="eastAsia" w:ascii="仿宋_GB2312" w:hAnsi="仿宋_GB2312" w:eastAsia="仿宋_GB2312" w:cs="仿宋_GB2312"/>
          <w:color w:val="auto"/>
          <w:sz w:val="32"/>
          <w:szCs w:val="32"/>
          <w:highlight w:val="none"/>
          <w:lang w:val="zh-CN"/>
        </w:rPr>
        <w:t>支出0.25万元，完成预算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zh-CN"/>
        </w:rPr>
        <w:t>%。公务接待费支出决算比2021年减少0.77万元，下降75.5%。主要原因是进一步健全内控制度，严控接待费用支出。其中：</w:t>
      </w:r>
    </w:p>
    <w:p>
      <w:pPr>
        <w:pageBreakBefore w:val="0"/>
        <w:kinsoku/>
        <w:wordWrap/>
        <w:overflowPunct/>
        <w:topLinePunct w:val="0"/>
        <w:bidi w:val="0"/>
        <w:spacing w:line="600" w:lineRule="exact"/>
        <w:ind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国内公务接待</w:t>
      </w:r>
      <w:r>
        <w:rPr>
          <w:rFonts w:hint="eastAsia" w:ascii="仿宋_GB2312" w:hAnsi="仿宋_GB2312" w:eastAsia="仿宋_GB2312" w:cs="仿宋_GB2312"/>
          <w:color w:val="auto"/>
          <w:sz w:val="32"/>
          <w:szCs w:val="32"/>
          <w:highlight w:val="none"/>
        </w:rPr>
        <w:t>支出</w:t>
      </w:r>
      <w:r>
        <w:rPr>
          <w:rFonts w:hint="eastAsia" w:ascii="仿宋_GB2312" w:hAnsi="仿宋_GB2312" w:eastAsia="仿宋_GB2312" w:cs="仿宋_GB2312"/>
          <w:color w:val="auto"/>
          <w:sz w:val="32"/>
          <w:szCs w:val="32"/>
          <w:highlight w:val="none"/>
          <w:lang w:val="en-US" w:eastAsia="zh-CN"/>
        </w:rPr>
        <w:t>0.25</w:t>
      </w:r>
      <w:r>
        <w:rPr>
          <w:rFonts w:hint="eastAsia" w:ascii="仿宋_GB2312" w:hAnsi="仿宋_GB2312" w:eastAsia="仿宋_GB2312" w:cs="仿宋_GB2312"/>
          <w:color w:val="auto"/>
          <w:sz w:val="32"/>
          <w:szCs w:val="32"/>
          <w:highlight w:val="none"/>
        </w:rPr>
        <w:t>万元，</w:t>
      </w:r>
      <w:r>
        <w:rPr>
          <w:rFonts w:hint="eastAsia" w:ascii="仿宋_GB2312" w:eastAsia="仿宋_GB2312"/>
          <w:color w:val="auto"/>
          <w:sz w:val="32"/>
          <w:szCs w:val="32"/>
          <w:highlight w:val="none"/>
          <w:lang w:eastAsia="zh-CN"/>
        </w:rPr>
        <w:t>主要用于开展文学工作和文学交流活动发生的用餐费等</w:t>
      </w:r>
      <w:r>
        <w:rPr>
          <w:rFonts w:hint="eastAsia" w:ascii="仿宋_GB2312" w:hAnsi="仿宋_GB2312" w:eastAsia="仿宋_GB2312" w:cs="仿宋_GB2312"/>
          <w:color w:val="auto"/>
          <w:sz w:val="32"/>
          <w:szCs w:val="32"/>
          <w:highlight w:val="none"/>
        </w:rPr>
        <w:t>。国内公务接待</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批次，</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人次（不包括陪同人员），共计支出</w:t>
      </w:r>
      <w:r>
        <w:rPr>
          <w:rFonts w:hint="eastAsia" w:ascii="仿宋_GB2312" w:hAnsi="仿宋_GB2312" w:eastAsia="仿宋_GB2312" w:cs="仿宋_GB2312"/>
          <w:color w:val="auto"/>
          <w:sz w:val="32"/>
          <w:szCs w:val="32"/>
          <w:highlight w:val="none"/>
          <w:lang w:val="en-US" w:eastAsia="zh-CN"/>
        </w:rPr>
        <w:t>0.25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主要用于接待外市单位来广开展文学交流活动发生接待费用</w:t>
      </w:r>
      <w:r>
        <w:rPr>
          <w:rFonts w:hint="eastAsia" w:ascii="仿宋_GB2312" w:hAnsi="仿宋_GB2312" w:eastAsia="仿宋_GB2312" w:cs="仿宋_GB2312"/>
          <w:color w:val="auto"/>
          <w:sz w:val="32"/>
          <w:szCs w:val="32"/>
          <w:highlight w:val="none"/>
          <w:lang w:val="en-US" w:eastAsia="zh-CN"/>
        </w:rPr>
        <w:t>2221元，接待市内</w:t>
      </w:r>
      <w:r>
        <w:rPr>
          <w:rFonts w:hint="eastAsia" w:ascii="仿宋_GB2312" w:hAnsi="仿宋_GB2312" w:eastAsia="仿宋_GB2312" w:cs="仿宋_GB2312"/>
          <w:color w:val="auto"/>
          <w:sz w:val="32"/>
          <w:szCs w:val="32"/>
          <w:highlight w:val="none"/>
          <w:lang w:eastAsia="zh-CN"/>
        </w:rPr>
        <w:t>县区作协来我单位开展公务活动发生接待费用</w:t>
      </w:r>
      <w:r>
        <w:rPr>
          <w:rFonts w:hint="eastAsia" w:ascii="仿宋_GB2312" w:hAnsi="仿宋_GB2312" w:eastAsia="仿宋_GB2312" w:cs="仿宋_GB2312"/>
          <w:color w:val="auto"/>
          <w:sz w:val="32"/>
          <w:szCs w:val="32"/>
          <w:highlight w:val="none"/>
          <w:lang w:val="en-US" w:eastAsia="zh-CN"/>
        </w:rPr>
        <w:t>279元</w:t>
      </w:r>
      <w:r>
        <w:rPr>
          <w:rFonts w:hint="eastAsia" w:ascii="仿宋_GB2312" w:hAnsi="仿宋_GB2312" w:eastAsia="仿宋_GB2312" w:cs="仿宋_GB2312"/>
          <w:color w:val="auto"/>
          <w:sz w:val="32"/>
          <w:szCs w:val="32"/>
          <w:highlight w:val="none"/>
        </w:rPr>
        <w:t>。</w:t>
      </w:r>
    </w:p>
    <w:p>
      <w:pPr>
        <w:pageBreakBefore w:val="0"/>
        <w:kinsoku/>
        <w:wordWrap/>
        <w:overflowPunct/>
        <w:topLinePunct w:val="0"/>
        <w:bidi w:val="0"/>
        <w:spacing w:line="600" w:lineRule="exact"/>
        <w:ind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外事接待支出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p>
    <w:p>
      <w:pPr>
        <w:keepNext/>
        <w:keepLines/>
        <w:pageBreakBefore w:val="0"/>
        <w:kinsoku/>
        <w:wordWrap/>
        <w:overflowPunct/>
        <w:topLinePunct w:val="0"/>
        <w:bidi w:val="0"/>
        <w:spacing w:line="576" w:lineRule="exact"/>
        <w:ind w:firstLine="640"/>
        <w:jc w:val="both"/>
        <w:textAlignment w:val="auto"/>
        <w:outlineLvl w:val="1"/>
        <w:rPr>
          <w:rFonts w:hint="eastAsia" w:ascii="黑体" w:hAnsi="黑体" w:eastAsia="黑体"/>
          <w:b/>
          <w:color w:val="auto"/>
          <w:kern w:val="2"/>
          <w:sz w:val="32"/>
          <w:szCs w:val="24"/>
          <w:lang w:val="zh-CN"/>
        </w:rPr>
      </w:pPr>
      <w:bookmarkStart w:id="50" w:name="_Toc24995"/>
      <w:r>
        <w:rPr>
          <w:rFonts w:hint="eastAsia" w:ascii="黑体" w:hAnsi="黑体" w:eastAsia="黑体"/>
          <w:color w:val="000000"/>
          <w:kern w:val="2"/>
          <w:sz w:val="32"/>
          <w:szCs w:val="24"/>
          <w:lang w:val="zh-CN"/>
        </w:rPr>
        <w:t>八、</w:t>
      </w:r>
      <w:r>
        <w:rPr>
          <w:rFonts w:hint="eastAsia" w:ascii="黑体" w:hAnsi="黑体" w:eastAsia="黑体"/>
          <w:color w:val="auto"/>
          <w:kern w:val="2"/>
          <w:sz w:val="32"/>
          <w:szCs w:val="24"/>
          <w:lang w:val="zh-CN"/>
        </w:rPr>
        <w:t>政府性基金预算支出决算情况说明</w:t>
      </w:r>
      <w:bookmarkEnd w:id="50"/>
    </w:p>
    <w:p>
      <w:pPr>
        <w:pageBreakBefore w:val="0"/>
        <w:kinsoku/>
        <w:wordWrap/>
        <w:overflowPunct/>
        <w:topLinePunct w:val="0"/>
        <w:bidi w:val="0"/>
        <w:spacing w:line="576" w:lineRule="exact"/>
        <w:ind w:firstLine="640"/>
        <w:jc w:val="both"/>
        <w:textAlignment w:val="auto"/>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2022年政府性基金预算拨款支出0万元。</w:t>
      </w:r>
    </w:p>
    <w:p>
      <w:pPr>
        <w:keepNext/>
        <w:keepLines/>
        <w:pageBreakBefore w:val="0"/>
        <w:kinsoku/>
        <w:wordWrap/>
        <w:overflowPunct/>
        <w:topLinePunct w:val="0"/>
        <w:bidi w:val="0"/>
        <w:spacing w:line="576" w:lineRule="exact"/>
        <w:ind w:firstLine="640"/>
        <w:jc w:val="both"/>
        <w:textAlignment w:val="auto"/>
        <w:outlineLvl w:val="1"/>
        <w:rPr>
          <w:rFonts w:hint="eastAsia" w:ascii="黑体" w:hAnsi="黑体" w:eastAsia="黑体"/>
          <w:color w:val="auto"/>
          <w:kern w:val="2"/>
          <w:sz w:val="32"/>
          <w:szCs w:val="24"/>
          <w:lang w:val="zh-CN"/>
        </w:rPr>
      </w:pPr>
      <w:bookmarkStart w:id="51" w:name="_Toc20048"/>
      <w:r>
        <w:rPr>
          <w:rFonts w:hint="eastAsia" w:ascii="黑体" w:hAnsi="黑体" w:eastAsia="黑体"/>
          <w:color w:val="auto"/>
          <w:kern w:val="2"/>
          <w:sz w:val="32"/>
          <w:szCs w:val="24"/>
          <w:lang w:val="zh-CN"/>
        </w:rPr>
        <w:t>九、国有资本经营预算支出决算情况说明</w:t>
      </w:r>
      <w:bookmarkEnd w:id="51"/>
    </w:p>
    <w:p>
      <w:pPr>
        <w:pageBreakBefore w:val="0"/>
        <w:kinsoku/>
        <w:wordWrap/>
        <w:overflowPunct/>
        <w:topLinePunct w:val="0"/>
        <w:bidi w:val="0"/>
        <w:spacing w:line="576" w:lineRule="exact"/>
        <w:ind w:firstLine="640"/>
        <w:jc w:val="both"/>
        <w:textAlignment w:val="auto"/>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2022年国有资本经营预算拨款支出0万元。</w:t>
      </w:r>
    </w:p>
    <w:p>
      <w:pPr>
        <w:keepNext/>
        <w:keepLines/>
        <w:pageBreakBefore w:val="0"/>
        <w:kinsoku/>
        <w:wordWrap/>
        <w:overflowPunct/>
        <w:topLinePunct w:val="0"/>
        <w:bidi w:val="0"/>
        <w:spacing w:line="576" w:lineRule="exact"/>
        <w:ind w:firstLine="640"/>
        <w:jc w:val="both"/>
        <w:textAlignment w:val="auto"/>
        <w:outlineLvl w:val="1"/>
        <w:rPr>
          <w:rFonts w:hint="eastAsia" w:ascii="黑体" w:hAnsi="黑体" w:eastAsia="黑体"/>
          <w:b/>
          <w:color w:val="auto"/>
          <w:kern w:val="2"/>
          <w:sz w:val="32"/>
          <w:szCs w:val="24"/>
          <w:lang w:val="zh-CN"/>
        </w:rPr>
      </w:pPr>
      <w:bookmarkStart w:id="52" w:name="_Toc8163"/>
      <w:r>
        <w:rPr>
          <w:rFonts w:hint="eastAsia" w:ascii="黑体" w:hAnsi="黑体" w:eastAsia="黑体"/>
          <w:color w:val="000000"/>
          <w:kern w:val="2"/>
          <w:sz w:val="32"/>
          <w:szCs w:val="24"/>
          <w:lang w:val="zh-CN"/>
        </w:rPr>
        <w:t>十</w:t>
      </w:r>
      <w:r>
        <w:rPr>
          <w:rFonts w:hint="eastAsia" w:ascii="黑体" w:hAnsi="黑体" w:eastAsia="黑体"/>
          <w:b/>
          <w:color w:val="auto"/>
          <w:kern w:val="2"/>
          <w:sz w:val="32"/>
          <w:szCs w:val="24"/>
          <w:lang w:val="zh-CN"/>
        </w:rPr>
        <w:t>、</w:t>
      </w:r>
      <w:r>
        <w:rPr>
          <w:rFonts w:hint="eastAsia" w:ascii="黑体" w:hAnsi="黑体" w:eastAsia="黑体"/>
          <w:color w:val="auto"/>
          <w:kern w:val="2"/>
          <w:sz w:val="32"/>
          <w:szCs w:val="24"/>
          <w:lang w:val="zh-CN"/>
        </w:rPr>
        <w:t>其他重要事项的情况说明</w:t>
      </w:r>
      <w:bookmarkEnd w:id="52"/>
    </w:p>
    <w:p>
      <w:pPr>
        <w:keepNext/>
        <w:keepLines/>
        <w:pageBreakBefore w:val="0"/>
        <w:kinsoku/>
        <w:wordWrap/>
        <w:overflowPunct/>
        <w:topLinePunct w:val="0"/>
        <w:bidi w:val="0"/>
        <w:spacing w:line="576" w:lineRule="exact"/>
        <w:ind w:firstLine="643"/>
        <w:jc w:val="both"/>
        <w:textAlignment w:val="auto"/>
        <w:rPr>
          <w:rFonts w:hint="eastAsia" w:ascii="仿宋_GB2312" w:hAnsi="仿宋_GB2312" w:eastAsia="仿宋_GB2312"/>
          <w:color w:val="000000"/>
          <w:kern w:val="2"/>
          <w:sz w:val="32"/>
          <w:szCs w:val="24"/>
          <w:lang w:val="zh-CN"/>
        </w:rPr>
      </w:pPr>
      <w:r>
        <w:rPr>
          <w:rFonts w:hint="eastAsia" w:ascii="仿宋_GB2312" w:hAnsi="仿宋_GB2312" w:eastAsia="仿宋_GB2312"/>
          <w:b/>
          <w:color w:val="000000"/>
          <w:kern w:val="2"/>
          <w:sz w:val="32"/>
          <w:szCs w:val="24"/>
          <w:lang w:val="zh-CN"/>
        </w:rPr>
        <w:t>（一）机关运行经费支出情况</w:t>
      </w:r>
    </w:p>
    <w:p>
      <w:pPr>
        <w:pageBreakBefore w:val="0"/>
        <w:kinsoku/>
        <w:wordWrap/>
        <w:overflowPunct/>
        <w:topLinePunct w:val="0"/>
        <w:bidi w:val="0"/>
        <w:spacing w:line="576" w:lineRule="exact"/>
        <w:ind w:firstLine="640"/>
        <w:jc w:val="both"/>
        <w:textAlignment w:val="auto"/>
        <w:rPr>
          <w:rFonts w:hint="default" w:ascii="仿宋_GB2312" w:hAnsi="仿宋_GB2312" w:eastAsia="仿宋_GB2312"/>
          <w:color w:val="000000"/>
          <w:kern w:val="2"/>
          <w:sz w:val="32"/>
          <w:szCs w:val="24"/>
          <w:lang w:val="en-US" w:eastAsia="zh-CN"/>
        </w:rPr>
      </w:pPr>
      <w:r>
        <w:rPr>
          <w:rFonts w:hint="eastAsia" w:ascii="仿宋_GB2312" w:hAnsi="仿宋_GB2312" w:eastAsia="仿宋_GB2312"/>
          <w:color w:val="000000"/>
          <w:kern w:val="2"/>
          <w:sz w:val="32"/>
          <w:szCs w:val="24"/>
          <w:lang w:val="zh-CN"/>
        </w:rPr>
        <w:t>2022年，广元市作家协会机关运行经费支出12.45万元，比2021年增加2.85万元，增</w:t>
      </w:r>
      <w:r>
        <w:rPr>
          <w:rFonts w:hint="eastAsia" w:ascii="仿宋_GB2312" w:hAnsi="仿宋_GB2312" w:eastAsia="仿宋_GB2312"/>
          <w:color w:val="auto"/>
          <w:kern w:val="2"/>
          <w:sz w:val="32"/>
          <w:szCs w:val="24"/>
          <w:lang w:val="zh-CN"/>
        </w:rPr>
        <w:t>长29.7%。主要原因是年度</w:t>
      </w:r>
      <w:r>
        <w:rPr>
          <w:rFonts w:hint="eastAsia" w:ascii="仿宋_GB2312" w:hAnsi="仿宋_GB2312" w:eastAsia="仿宋_GB2312"/>
          <w:color w:val="auto"/>
          <w:kern w:val="2"/>
          <w:sz w:val="32"/>
          <w:szCs w:val="24"/>
          <w:lang w:val="en-US" w:eastAsia="zh-CN"/>
        </w:rPr>
        <w:t>人员调动所致。</w:t>
      </w:r>
    </w:p>
    <w:p>
      <w:pPr>
        <w:keepNext/>
        <w:keepLines/>
        <w:pageBreakBefore w:val="0"/>
        <w:kinsoku/>
        <w:wordWrap/>
        <w:overflowPunct/>
        <w:topLinePunct w:val="0"/>
        <w:bidi w:val="0"/>
        <w:spacing w:line="576" w:lineRule="exact"/>
        <w:ind w:firstLine="643"/>
        <w:jc w:val="both"/>
        <w:textAlignment w:val="auto"/>
        <w:rPr>
          <w:rFonts w:hint="eastAsia" w:ascii="仿宋_GB2312" w:hAnsi="仿宋_GB2312" w:eastAsia="仿宋_GB2312"/>
          <w:b/>
          <w:color w:val="000000"/>
          <w:kern w:val="2"/>
          <w:sz w:val="32"/>
          <w:szCs w:val="24"/>
          <w:lang w:val="zh-CN"/>
        </w:rPr>
      </w:pPr>
      <w:r>
        <w:rPr>
          <w:rFonts w:hint="eastAsia" w:ascii="仿宋_GB2312" w:hAnsi="仿宋_GB2312" w:eastAsia="仿宋_GB2312"/>
          <w:b/>
          <w:color w:val="000000"/>
          <w:kern w:val="2"/>
          <w:sz w:val="32"/>
          <w:szCs w:val="24"/>
          <w:lang w:val="zh-CN"/>
        </w:rPr>
        <w:t>（二）政府采购支出情况</w:t>
      </w:r>
    </w:p>
    <w:p>
      <w:pPr>
        <w:pageBreakBefore w:val="0"/>
        <w:kinsoku/>
        <w:wordWrap/>
        <w:overflowPunct/>
        <w:topLinePunct w:val="0"/>
        <w:bidi w:val="0"/>
        <w:spacing w:line="576" w:lineRule="exact"/>
        <w:ind w:firstLine="640"/>
        <w:jc w:val="both"/>
        <w:textAlignment w:val="auto"/>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2022年，广元市作家协会政府采购支出总额0万元，其中：政府采购货物支出0万元、政府采购工程支出0万元、政府采购服务支出0万元。授予中小企业合同金额0万元，占政府采购支出总额的0%，其中：授予小微企业合同金额0万元，</w:t>
      </w:r>
      <w:r>
        <w:rPr>
          <w:rFonts w:hint="eastAsia" w:ascii="仿宋_GB2312" w:hAnsi="仿宋_GB2312" w:eastAsia="仿宋_GB2312"/>
          <w:color w:val="auto"/>
          <w:kern w:val="2"/>
          <w:sz w:val="32"/>
          <w:szCs w:val="24"/>
          <w:lang w:val="en-US"/>
        </w:rPr>
        <w:t>占政府采购支出总额的</w:t>
      </w:r>
      <w:r>
        <w:rPr>
          <w:rFonts w:hint="eastAsia" w:ascii="仿宋_GB2312" w:hAnsi="仿宋_GB2312" w:eastAsia="仿宋_GB2312"/>
          <w:color w:val="000000"/>
          <w:kern w:val="2"/>
          <w:sz w:val="32"/>
          <w:szCs w:val="24"/>
          <w:lang w:val="zh-CN"/>
        </w:rPr>
        <w:t>0%。</w:t>
      </w:r>
    </w:p>
    <w:p>
      <w:pPr>
        <w:keepNext/>
        <w:keepLines/>
        <w:pageBreakBefore w:val="0"/>
        <w:kinsoku/>
        <w:wordWrap/>
        <w:overflowPunct/>
        <w:topLinePunct w:val="0"/>
        <w:bidi w:val="0"/>
        <w:spacing w:line="576" w:lineRule="exact"/>
        <w:ind w:firstLine="643"/>
        <w:jc w:val="both"/>
        <w:textAlignment w:val="auto"/>
        <w:rPr>
          <w:rFonts w:hint="eastAsia" w:ascii="仿宋_GB2312" w:hAnsi="仿宋_GB2312" w:eastAsia="仿宋_GB2312"/>
          <w:b/>
          <w:color w:val="000000"/>
          <w:kern w:val="2"/>
          <w:sz w:val="32"/>
          <w:szCs w:val="24"/>
          <w:lang w:val="zh-CN"/>
        </w:rPr>
      </w:pPr>
      <w:r>
        <w:rPr>
          <w:rFonts w:hint="eastAsia" w:ascii="仿宋_GB2312" w:hAnsi="仿宋_GB2312" w:eastAsia="仿宋_GB2312"/>
          <w:b/>
          <w:color w:val="000000"/>
          <w:kern w:val="2"/>
          <w:sz w:val="32"/>
          <w:szCs w:val="24"/>
          <w:lang w:val="zh-CN"/>
        </w:rPr>
        <w:t>（三）国有资产占有使用情况</w:t>
      </w:r>
    </w:p>
    <w:p>
      <w:pPr>
        <w:pageBreakBefore w:val="0"/>
        <w:kinsoku/>
        <w:wordWrap/>
        <w:overflowPunct/>
        <w:topLinePunct w:val="0"/>
        <w:bidi w:val="0"/>
        <w:spacing w:line="576" w:lineRule="exact"/>
        <w:ind w:firstLine="640"/>
        <w:textAlignment w:val="auto"/>
        <w:rPr>
          <w:rFonts w:hint="eastAsia" w:ascii="仿宋_GB2312" w:hAnsi="仿宋_GB2312" w:eastAsia="仿宋_GB2312"/>
          <w:color w:val="000000"/>
          <w:kern w:val="2"/>
          <w:sz w:val="32"/>
          <w:szCs w:val="24"/>
          <w:lang w:val="zh-CN"/>
        </w:rPr>
      </w:pPr>
      <w:r>
        <w:rPr>
          <w:rFonts w:hint="eastAsia" w:ascii="仿宋_GB2312" w:hAnsi="仿宋_GB2312" w:eastAsia="仿宋_GB2312"/>
          <w:color w:val="000000"/>
          <w:kern w:val="2"/>
          <w:sz w:val="32"/>
          <w:szCs w:val="24"/>
          <w:lang w:val="zh-CN"/>
        </w:rPr>
        <w:t>截至2022年12月31日，广元市作家协会共有车辆0辆。单价100万元（含）以上设备0台（套)。</w:t>
      </w:r>
    </w:p>
    <w:p>
      <w:pPr>
        <w:keepNext/>
        <w:keepLines/>
        <w:pageBreakBefore w:val="0"/>
        <w:kinsoku/>
        <w:wordWrap/>
        <w:overflowPunct/>
        <w:topLinePunct w:val="0"/>
        <w:bidi w:val="0"/>
        <w:spacing w:line="576" w:lineRule="exact"/>
        <w:ind w:firstLine="643"/>
        <w:jc w:val="both"/>
        <w:textAlignment w:val="auto"/>
        <w:rPr>
          <w:rFonts w:hint="eastAsia" w:ascii="仿宋_GB2312" w:hAnsi="仿宋_GB2312" w:eastAsia="仿宋_GB2312"/>
          <w:b/>
          <w:color w:val="000000"/>
          <w:kern w:val="2"/>
          <w:sz w:val="32"/>
          <w:szCs w:val="24"/>
          <w:lang w:val="zh-CN"/>
        </w:rPr>
      </w:pPr>
      <w:r>
        <w:rPr>
          <w:rFonts w:hint="eastAsia" w:ascii="仿宋_GB2312" w:hAnsi="仿宋_GB2312" w:eastAsia="仿宋_GB2312"/>
          <w:b/>
          <w:color w:val="000000"/>
          <w:kern w:val="2"/>
          <w:sz w:val="32"/>
          <w:szCs w:val="24"/>
          <w:lang w:val="zh-CN"/>
        </w:rPr>
        <w:t>（四）预算绩效管理情况。</w:t>
      </w:r>
    </w:p>
    <w:p>
      <w:pPr>
        <w:pageBreakBefore w:val="0"/>
        <w:kinsoku/>
        <w:wordWrap/>
        <w:overflowPunct/>
        <w:topLinePunct w:val="0"/>
        <w:bidi w:val="0"/>
        <w:spacing w:line="576" w:lineRule="exact"/>
        <w:ind w:firstLine="643"/>
        <w:jc w:val="both"/>
        <w:textAlignment w:val="auto"/>
        <w:rPr>
          <w:rFonts w:hint="eastAsia" w:ascii="仿宋_GB2312" w:hAnsi="仿宋_GB2312" w:eastAsia="仿宋_GB2312"/>
          <w:color w:val="auto"/>
          <w:kern w:val="2"/>
          <w:sz w:val="32"/>
          <w:szCs w:val="24"/>
          <w:lang w:val="en-US"/>
        </w:rPr>
      </w:pPr>
      <w:r>
        <w:rPr>
          <w:rFonts w:hint="eastAsia" w:ascii="仿宋_GB2312" w:hAnsi="仿宋_GB2312" w:eastAsia="仿宋_GB2312"/>
          <w:color w:val="auto"/>
          <w:kern w:val="2"/>
          <w:sz w:val="32"/>
          <w:szCs w:val="24"/>
          <w:lang w:val="en-US"/>
        </w:rPr>
        <w:t>根据预算绩效管理要求，本单位在202</w:t>
      </w:r>
      <w:r>
        <w:rPr>
          <w:rFonts w:hint="eastAsia" w:ascii="宋体" w:hAnsi="宋体" w:eastAsia="宋体"/>
          <w:color w:val="auto"/>
          <w:kern w:val="2"/>
          <w:sz w:val="32"/>
          <w:szCs w:val="24"/>
          <w:lang w:val="en-US"/>
        </w:rPr>
        <w:t>2</w:t>
      </w:r>
      <w:r>
        <w:rPr>
          <w:rFonts w:hint="eastAsia" w:ascii="仿宋_GB2312" w:hAnsi="仿宋_GB2312" w:eastAsia="仿宋_GB2312"/>
          <w:color w:val="auto"/>
          <w:kern w:val="2"/>
          <w:sz w:val="32"/>
          <w:szCs w:val="24"/>
          <w:lang w:val="en-US"/>
        </w:rPr>
        <w:t>年度预算编制阶段，对</w:t>
      </w:r>
      <w:r>
        <w:rPr>
          <w:rFonts w:hint="eastAsia" w:ascii="仿宋_GB2312" w:hAnsi="仿宋_GB2312" w:eastAsia="仿宋_GB2312"/>
          <w:color w:val="auto"/>
          <w:kern w:val="2"/>
          <w:sz w:val="32"/>
          <w:szCs w:val="24"/>
          <w:lang w:val="en-US" w:eastAsia="zh-CN"/>
        </w:rPr>
        <w:t>5</w:t>
      </w:r>
      <w:r>
        <w:rPr>
          <w:rFonts w:hint="eastAsia" w:ascii="仿宋_GB2312" w:hAnsi="仿宋_GB2312" w:eastAsia="仿宋_GB2312"/>
          <w:color w:val="auto"/>
          <w:kern w:val="2"/>
          <w:sz w:val="32"/>
          <w:szCs w:val="24"/>
          <w:lang w:val="en-US"/>
        </w:rPr>
        <w:t>个项目编制了绩效目标，预算执行过程中，选取</w:t>
      </w:r>
      <w:r>
        <w:rPr>
          <w:rFonts w:hint="eastAsia" w:ascii="仿宋_GB2312" w:hAnsi="仿宋_GB2312" w:eastAsia="仿宋_GB2312"/>
          <w:color w:val="auto"/>
          <w:kern w:val="2"/>
          <w:sz w:val="32"/>
          <w:szCs w:val="24"/>
          <w:lang w:val="en-US" w:eastAsia="zh-CN"/>
        </w:rPr>
        <w:t>5</w:t>
      </w:r>
      <w:r>
        <w:rPr>
          <w:rFonts w:hint="eastAsia" w:ascii="仿宋_GB2312" w:hAnsi="仿宋_GB2312" w:eastAsia="仿宋_GB2312"/>
          <w:color w:val="auto"/>
          <w:kern w:val="2"/>
          <w:sz w:val="32"/>
          <w:szCs w:val="24"/>
          <w:lang w:val="en-US"/>
        </w:rPr>
        <w:t>个项目开展绩效监控，组织对</w:t>
      </w:r>
      <w:r>
        <w:rPr>
          <w:rFonts w:hint="eastAsia" w:ascii="仿宋_GB2312" w:hAnsi="仿宋_GB2312" w:eastAsia="仿宋_GB2312"/>
          <w:color w:val="auto"/>
          <w:kern w:val="2"/>
          <w:sz w:val="32"/>
          <w:szCs w:val="24"/>
          <w:lang w:val="en-US" w:eastAsia="zh-CN"/>
        </w:rPr>
        <w:t>5</w:t>
      </w:r>
      <w:r>
        <w:rPr>
          <w:rFonts w:hint="eastAsia" w:ascii="仿宋_GB2312" w:hAnsi="仿宋_GB2312" w:eastAsia="仿宋_GB2312"/>
          <w:color w:val="auto"/>
          <w:kern w:val="2"/>
          <w:sz w:val="32"/>
          <w:szCs w:val="24"/>
          <w:lang w:val="en-US"/>
        </w:rPr>
        <w:t>个项目开展绩效自评，绩效自评表详见第四部分附件。</w:t>
      </w:r>
    </w:p>
    <w:p>
      <w:pPr>
        <w:pageBreakBefore w:val="0"/>
        <w:widowControl/>
        <w:kinsoku/>
        <w:wordWrap/>
        <w:overflowPunct/>
        <w:topLinePunct w:val="0"/>
        <w:bidi w:val="0"/>
        <w:jc w:val="left"/>
        <w:textAlignment w:val="auto"/>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pageBreakBefore w:val="0"/>
        <w:numPr>
          <w:ilvl w:val="0"/>
          <w:numId w:val="2"/>
        </w:numPr>
        <w:kinsoku/>
        <w:wordWrap/>
        <w:overflowPunct/>
        <w:topLinePunct w:val="0"/>
        <w:bidi w:val="0"/>
        <w:spacing w:line="600" w:lineRule="exact"/>
        <w:ind w:firstLine="660" w:firstLineChars="150"/>
        <w:jc w:val="center"/>
        <w:textAlignment w:val="auto"/>
        <w:outlineLvl w:val="0"/>
        <w:rPr>
          <w:rStyle w:val="17"/>
          <w:rFonts w:ascii="黑体" w:hAnsi="黑体" w:eastAsia="黑体"/>
          <w:b w:val="0"/>
          <w:color w:val="auto"/>
          <w:highlight w:val="none"/>
        </w:rPr>
      </w:pPr>
      <w:bookmarkStart w:id="53" w:name="_Toc30922"/>
      <w:bookmarkStart w:id="54" w:name="_Toc15396613"/>
      <w:bookmarkStart w:id="55" w:name="_Toc15377225"/>
      <w:r>
        <w:rPr>
          <w:rFonts w:hint="eastAsia" w:ascii="黑体" w:hAnsi="黑体" w:eastAsia="黑体"/>
          <w:color w:val="auto"/>
          <w:sz w:val="44"/>
          <w:szCs w:val="44"/>
          <w:highlight w:val="none"/>
        </w:rPr>
        <w:t>名</w:t>
      </w:r>
      <w:r>
        <w:rPr>
          <w:rStyle w:val="17"/>
          <w:rFonts w:hint="eastAsia" w:ascii="黑体" w:hAnsi="黑体" w:eastAsia="黑体"/>
          <w:b w:val="0"/>
          <w:color w:val="auto"/>
          <w:highlight w:val="none"/>
        </w:rPr>
        <w:t>词解释</w:t>
      </w:r>
      <w:bookmarkEnd w:id="53"/>
      <w:bookmarkEnd w:id="54"/>
      <w:bookmarkEnd w:id="55"/>
    </w:p>
    <w:p>
      <w:pPr>
        <w:pageBreakBefore w:val="0"/>
        <w:kinsoku/>
        <w:wordWrap/>
        <w:overflowPunct/>
        <w:topLinePunct w:val="0"/>
        <w:bidi w:val="0"/>
        <w:spacing w:line="600" w:lineRule="exact"/>
        <w:jc w:val="left"/>
        <w:textAlignment w:val="auto"/>
        <w:rPr>
          <w:rFonts w:ascii="宋体"/>
          <w:b/>
          <w:color w:val="auto"/>
          <w:sz w:val="44"/>
          <w:szCs w:val="44"/>
          <w:highlight w:val="none"/>
        </w:rPr>
      </w:pPr>
    </w:p>
    <w:p>
      <w:pPr>
        <w:pStyle w:val="26"/>
        <w:pageBreakBefore w:val="0"/>
        <w:kinsoku/>
        <w:wordWrap/>
        <w:overflowPunct/>
        <w:topLinePunct w:val="0"/>
        <w:bidi w:val="0"/>
        <w:spacing w:line="560"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6"/>
        <w:pageBreakBefore w:val="0"/>
        <w:kinsoku/>
        <w:wordWrap/>
        <w:overflowPunct/>
        <w:topLinePunct w:val="0"/>
        <w:bidi w:val="0"/>
        <w:spacing w:line="56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6"/>
        <w:pageBreakBefore w:val="0"/>
        <w:kinsoku/>
        <w:wordWrap/>
        <w:overflowPunct/>
        <w:topLinePunct w:val="0"/>
        <w:bidi w:val="0"/>
        <w:spacing w:line="56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年末结转和结余：指单位按有关规定结转到下年或以后年度继续使用的资金。</w:t>
      </w:r>
    </w:p>
    <w:p>
      <w:pPr>
        <w:pageBreakBefore w:val="0"/>
        <w:kinsoku/>
        <w:wordWrap/>
        <w:overflowPunct/>
        <w:topLinePunct w:val="0"/>
        <w:bidi w:val="0"/>
        <w:ind w:firstLine="640" w:firstLineChars="200"/>
        <w:textAlignment w:val="auto"/>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4.一般公共服务（类）群众团体事务（款）行政运行（项）：反映行政单位（包括实行公务员管理的事业单位）的基本支出。</w:t>
      </w:r>
    </w:p>
    <w:p>
      <w:pPr>
        <w:pageBreakBefore w:val="0"/>
        <w:kinsoku/>
        <w:wordWrap/>
        <w:overflowPunct/>
        <w:topLinePunct w:val="0"/>
        <w:bidi w:val="0"/>
        <w:ind w:firstLine="640" w:firstLineChars="200"/>
        <w:textAlignment w:val="auto"/>
        <w:rPr>
          <w:rFonts w:hint="default" w:eastAsia="仿宋_GB2312"/>
          <w:lang w:val="en-US" w:eastAsia="zh-CN"/>
        </w:rPr>
      </w:pPr>
      <w:r>
        <w:rPr>
          <w:rFonts w:hint="default" w:ascii="仿宋_GB2312" w:hAnsi="Calibri" w:eastAsia="仿宋_GB2312" w:cs="仿宋"/>
          <w:color w:val="auto"/>
          <w:kern w:val="0"/>
          <w:sz w:val="32"/>
          <w:szCs w:val="32"/>
          <w:highlight w:val="none"/>
          <w:lang w:val="en-US" w:eastAsia="zh-CN" w:bidi="ar-SA"/>
        </w:rPr>
        <w:t>5.</w:t>
      </w:r>
      <w:r>
        <w:rPr>
          <w:rFonts w:hint="eastAsia" w:ascii="仿宋_GB2312" w:hAnsi="Calibri" w:eastAsia="仿宋_GB2312" w:cs="仿宋"/>
          <w:color w:val="auto"/>
          <w:kern w:val="0"/>
          <w:sz w:val="32"/>
          <w:szCs w:val="32"/>
          <w:highlight w:val="none"/>
          <w:lang w:val="en-US" w:eastAsia="zh-CN" w:bidi="ar-SA"/>
        </w:rPr>
        <w:t>一般公共服务（类）群众团体事务（款）行政运行（项）：</w:t>
      </w:r>
      <w:r>
        <w:rPr>
          <w:rFonts w:hint="eastAsia" w:ascii="仿宋_GB2312" w:eastAsia="仿宋_GB2312"/>
          <w:color w:val="auto"/>
          <w:sz w:val="32"/>
          <w:szCs w:val="32"/>
          <w:highlight w:val="none"/>
          <w:lang w:val="en-US" w:eastAsia="zh-CN"/>
        </w:rPr>
        <w:t>反映行政单位（包括实行公务员管理的事业单位）未单独设置项级科目的其他项目支出。</w:t>
      </w:r>
    </w:p>
    <w:p>
      <w:pPr>
        <w:pageBreakBefore w:val="0"/>
        <w:kinsoku/>
        <w:wordWrap/>
        <w:overflowPunct/>
        <w:topLinePunct w:val="0"/>
        <w:bidi w:val="0"/>
        <w:ind w:firstLine="640" w:firstLineChars="200"/>
        <w:textAlignment w:val="auto"/>
        <w:rPr>
          <w:rFonts w:hint="eastAsia" w:ascii="仿宋_GB2312" w:hAnsi="Calibri" w:eastAsia="仿宋_GB2312" w:cs="仿宋"/>
          <w:color w:val="auto"/>
          <w:kern w:val="0"/>
          <w:sz w:val="32"/>
          <w:szCs w:val="32"/>
          <w:highlight w:val="none"/>
          <w:lang w:val="en-US" w:eastAsia="zh-CN" w:bidi="ar-SA"/>
        </w:rPr>
      </w:pPr>
      <w:r>
        <w:rPr>
          <w:rFonts w:hint="default" w:ascii="仿宋_GB2312" w:hAnsi="Calibri" w:eastAsia="仿宋_GB2312" w:cs="仿宋"/>
          <w:color w:val="auto"/>
          <w:kern w:val="0"/>
          <w:sz w:val="32"/>
          <w:szCs w:val="32"/>
          <w:highlight w:val="none"/>
          <w:lang w:eastAsia="zh-CN" w:bidi="ar-SA"/>
        </w:rPr>
        <w:t>6</w:t>
      </w:r>
      <w:r>
        <w:rPr>
          <w:rFonts w:hint="eastAsia" w:ascii="仿宋_GB2312" w:hAnsi="Calibri" w:eastAsia="仿宋_GB2312" w:cs="仿宋"/>
          <w:color w:val="auto"/>
          <w:kern w:val="0"/>
          <w:sz w:val="32"/>
          <w:szCs w:val="32"/>
          <w:highlight w:val="none"/>
          <w:lang w:val="en-US" w:eastAsia="zh-CN" w:bidi="ar-SA"/>
        </w:rPr>
        <w:t>.文化旅游体育与传媒支出（类）文化和旅游（款）文化创作与保护（项）：指鼓励文学、艺术创作和优秀传统文化保护方面的支出。</w:t>
      </w:r>
    </w:p>
    <w:p>
      <w:pPr>
        <w:pageBreakBefore w:val="0"/>
        <w:kinsoku/>
        <w:wordWrap/>
        <w:overflowPunct/>
        <w:topLinePunct w:val="0"/>
        <w:bidi w:val="0"/>
        <w:ind w:firstLine="640" w:firstLineChars="200"/>
        <w:textAlignment w:val="auto"/>
        <w:rPr>
          <w:rFonts w:hint="eastAsia" w:ascii="仿宋_GB2312" w:hAnsi="Calibri" w:eastAsia="仿宋_GB2312" w:cs="仿宋"/>
          <w:color w:val="auto"/>
          <w:kern w:val="0"/>
          <w:sz w:val="32"/>
          <w:szCs w:val="32"/>
          <w:highlight w:val="none"/>
          <w:lang w:val="en-US" w:eastAsia="zh-CN" w:bidi="ar-SA"/>
        </w:rPr>
      </w:pPr>
      <w:r>
        <w:rPr>
          <w:rFonts w:hint="default" w:ascii="仿宋_GB2312" w:hAnsi="Calibri" w:eastAsia="仿宋_GB2312" w:cs="仿宋"/>
          <w:color w:val="auto"/>
          <w:kern w:val="0"/>
          <w:sz w:val="32"/>
          <w:szCs w:val="32"/>
          <w:highlight w:val="none"/>
          <w:lang w:eastAsia="zh-CN" w:bidi="ar-SA"/>
        </w:rPr>
        <w:t>7</w:t>
      </w:r>
      <w:r>
        <w:rPr>
          <w:rFonts w:hint="eastAsia" w:ascii="仿宋_GB2312" w:hAnsi="Calibri" w:eastAsia="仿宋_GB2312" w:cs="仿宋"/>
          <w:color w:val="auto"/>
          <w:kern w:val="0"/>
          <w:sz w:val="32"/>
          <w:szCs w:val="32"/>
          <w:highlight w:val="none"/>
          <w:lang w:val="en-US" w:eastAsia="zh-CN" w:bidi="ar-SA"/>
        </w:rPr>
        <w:t>.文化旅游体育与传媒支出（类）文化和旅游（款）    其他文化和旅游支出（项）：指其他用于文化和旅游方面的支出。</w:t>
      </w:r>
    </w:p>
    <w:p>
      <w:pPr>
        <w:pageBreakBefore w:val="0"/>
        <w:kinsoku/>
        <w:wordWrap/>
        <w:overflowPunct/>
        <w:topLinePunct w:val="0"/>
        <w:bidi w:val="0"/>
        <w:spacing w:line="576" w:lineRule="exact"/>
        <w:ind w:firstLine="640" w:firstLineChars="200"/>
        <w:textAlignment w:val="auto"/>
        <w:rPr>
          <w:rFonts w:ascii="仿宋_GB2312" w:hAnsi="Calibri" w:eastAsia="仿宋_GB2312"/>
          <w:color w:val="auto"/>
          <w:kern w:val="0"/>
          <w:sz w:val="32"/>
          <w:szCs w:val="32"/>
        </w:rPr>
      </w:pPr>
      <w:r>
        <w:rPr>
          <w:rFonts w:hint="default" w:ascii="仿宋_GB2312" w:hAnsi="Calibri" w:eastAsia="仿宋_GB2312" w:cs="仿宋"/>
          <w:color w:val="auto"/>
          <w:kern w:val="0"/>
          <w:sz w:val="32"/>
          <w:szCs w:val="32"/>
          <w:highlight w:val="none"/>
          <w:lang w:eastAsia="zh-CN" w:bidi="ar-SA"/>
        </w:rPr>
        <w:t>8</w:t>
      </w:r>
      <w:r>
        <w:rPr>
          <w:rFonts w:hint="eastAsia" w:ascii="仿宋_GB2312" w:hAnsi="Calibri" w:eastAsia="仿宋_GB2312" w:cs="仿宋"/>
          <w:color w:val="auto"/>
          <w:kern w:val="0"/>
          <w:sz w:val="32"/>
          <w:szCs w:val="32"/>
          <w:highlight w:val="none"/>
          <w:lang w:val="en-US" w:eastAsia="zh-CN" w:bidi="ar-SA"/>
        </w:rPr>
        <w:t>.社会保障和就业（类）社会保障和就业支出（款）机关事业单位基本养老保险缴费支出（项）：指机关事业单位实施养老保险制度由单</w:t>
      </w:r>
      <w:r>
        <w:rPr>
          <w:rFonts w:hint="eastAsia" w:ascii="仿宋_GB2312" w:hAnsi="Calibri" w:eastAsia="仿宋_GB2312" w:cs="仿宋_GB2312"/>
          <w:color w:val="auto"/>
          <w:kern w:val="0"/>
          <w:sz w:val="32"/>
          <w:szCs w:val="32"/>
        </w:rPr>
        <w:t>位缴纳的基本养老保险费支出。</w:t>
      </w:r>
    </w:p>
    <w:p>
      <w:pPr>
        <w:pageBreakBefore w:val="0"/>
        <w:kinsoku/>
        <w:wordWrap/>
        <w:overflowPunct/>
        <w:topLinePunct w:val="0"/>
        <w:bidi w:val="0"/>
        <w:spacing w:line="576" w:lineRule="exact"/>
        <w:ind w:firstLine="640" w:firstLineChars="200"/>
        <w:textAlignment w:val="auto"/>
        <w:rPr>
          <w:rFonts w:ascii="仿宋_GB2312" w:hAnsi="Calibri" w:eastAsia="仿宋_GB2312"/>
          <w:color w:val="auto"/>
          <w:kern w:val="0"/>
          <w:sz w:val="32"/>
          <w:szCs w:val="32"/>
        </w:rPr>
      </w:pPr>
      <w:r>
        <w:rPr>
          <w:rFonts w:ascii="仿宋_GB2312" w:hAnsi="Calibri" w:eastAsia="仿宋_GB2312" w:cs="仿宋_GB2312"/>
          <w:color w:val="auto"/>
          <w:kern w:val="0"/>
          <w:sz w:val="32"/>
          <w:szCs w:val="32"/>
        </w:rPr>
        <w:t>9.</w:t>
      </w:r>
      <w:r>
        <w:rPr>
          <w:rFonts w:hint="eastAsia" w:ascii="仿宋_GB2312" w:hAnsi="Calibri" w:eastAsia="仿宋_GB2312" w:cs="仿宋_GB2312"/>
          <w:color w:val="auto"/>
          <w:kern w:val="0"/>
          <w:sz w:val="32"/>
          <w:szCs w:val="32"/>
        </w:rPr>
        <w:t>医疗卫生与计划生育（类）医疗保障（款）行政单位医疗（项）</w:t>
      </w:r>
      <w:r>
        <w:rPr>
          <w:rFonts w:ascii="仿宋_GB2312" w:hAnsi="Calibri" w:eastAsia="仿宋_GB2312" w:cs="仿宋_GB2312"/>
          <w:color w:val="auto"/>
          <w:kern w:val="0"/>
          <w:sz w:val="32"/>
          <w:szCs w:val="32"/>
        </w:rPr>
        <w:t>:</w:t>
      </w:r>
      <w:r>
        <w:rPr>
          <w:rFonts w:hint="eastAsia" w:ascii="仿宋_GB2312" w:hAnsi="Calibri" w:eastAsia="仿宋_GB2312" w:cs="仿宋_GB2312"/>
          <w:color w:val="auto"/>
          <w:kern w:val="0"/>
          <w:sz w:val="32"/>
          <w:szCs w:val="32"/>
        </w:rPr>
        <w:t>指财政部门集中安排的行政单位基本医疗保险缴费经费。</w:t>
      </w:r>
    </w:p>
    <w:p>
      <w:pPr>
        <w:pageBreakBefore w:val="0"/>
        <w:kinsoku/>
        <w:wordWrap/>
        <w:overflowPunct/>
        <w:topLinePunct w:val="0"/>
        <w:bidi w:val="0"/>
        <w:spacing w:line="576" w:lineRule="exact"/>
        <w:ind w:firstLine="640"/>
        <w:textAlignment w:val="auto"/>
        <w:rPr>
          <w:rFonts w:ascii="仿宋_GB2312" w:hAnsi="Calibri" w:eastAsia="仿宋_GB2312"/>
          <w:color w:val="auto"/>
          <w:kern w:val="0"/>
          <w:sz w:val="32"/>
          <w:szCs w:val="32"/>
        </w:rPr>
      </w:pPr>
      <w:r>
        <w:rPr>
          <w:rFonts w:ascii="仿宋_GB2312" w:hAnsi="Calibri" w:eastAsia="仿宋_GB2312" w:cs="仿宋_GB2312"/>
          <w:color w:val="auto"/>
          <w:kern w:val="0"/>
          <w:sz w:val="32"/>
          <w:szCs w:val="32"/>
        </w:rPr>
        <w:t>10.</w:t>
      </w:r>
      <w:r>
        <w:rPr>
          <w:rFonts w:hint="eastAsia" w:ascii="仿宋_GB2312" w:hAnsi="Calibri" w:eastAsia="仿宋_GB2312" w:cs="仿宋_GB2312"/>
          <w:color w:val="auto"/>
          <w:kern w:val="0"/>
          <w:sz w:val="32"/>
          <w:szCs w:val="32"/>
        </w:rPr>
        <w:t>住房保障支出（类）住房改革支出（款）住房公积金（项）</w:t>
      </w:r>
      <w:r>
        <w:rPr>
          <w:rFonts w:ascii="仿宋_GB2312" w:hAnsi="Calibri" w:eastAsia="仿宋_GB2312" w:cs="仿宋_GB2312"/>
          <w:color w:val="auto"/>
          <w:kern w:val="0"/>
          <w:sz w:val="32"/>
          <w:szCs w:val="32"/>
        </w:rPr>
        <w:t>:</w:t>
      </w:r>
      <w:r>
        <w:rPr>
          <w:rFonts w:hint="eastAsia" w:ascii="仿宋_GB2312" w:hAnsi="Calibri" w:eastAsia="仿宋_GB2312" w:cs="仿宋_GB2312"/>
          <w:color w:val="auto"/>
          <w:kern w:val="0"/>
          <w:sz w:val="32"/>
          <w:szCs w:val="32"/>
        </w:rPr>
        <w:t>指行政事业单位按人力资源和社会保障部、财政部规定的基本工资和津贴补贴以及规定比例为职工较缴纳的住房公积金。</w:t>
      </w:r>
    </w:p>
    <w:p>
      <w:pPr>
        <w:pageBreakBefore w:val="0"/>
        <w:kinsoku/>
        <w:wordWrap/>
        <w:overflowPunct/>
        <w:topLinePunct w:val="0"/>
        <w:bidi w:val="0"/>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hint="default" w:ascii="仿宋_GB2312" w:eastAsia="仿宋_GB2312"/>
          <w:color w:val="auto"/>
          <w:sz w:val="32"/>
          <w:szCs w:val="32"/>
          <w:highlight w:val="none"/>
          <w:lang w:eastAsia="zh-CN"/>
        </w:rPr>
        <w:t>1</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pageBreakBefore w:val="0"/>
        <w:kinsoku/>
        <w:wordWrap/>
        <w:overflowPunct/>
        <w:topLinePunct w:val="0"/>
        <w:bidi w:val="0"/>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hint="default" w:ascii="仿宋_GB2312" w:eastAsia="仿宋_GB2312"/>
          <w:color w:val="auto"/>
          <w:sz w:val="32"/>
          <w:szCs w:val="32"/>
          <w:highlight w:val="none"/>
          <w:lang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6"/>
        <w:pageBreakBefore w:val="0"/>
        <w:kinsoku/>
        <w:wordWrap/>
        <w:overflowPunct/>
        <w:topLinePunct w:val="0"/>
        <w:bidi w:val="0"/>
        <w:spacing w:line="56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6"/>
        <w:pageBreakBefore w:val="0"/>
        <w:kinsoku/>
        <w:wordWrap/>
        <w:overflowPunct/>
        <w:topLinePunct w:val="0"/>
        <w:bidi w:val="0"/>
        <w:spacing w:line="560" w:lineRule="exact"/>
        <w:ind w:firstLine="640" w:firstLineChars="200"/>
        <w:textAlignment w:val="auto"/>
        <w:rPr>
          <w:rFonts w:hint="eastAsia" w:ascii="黑体" w:hAnsi="黑体" w:eastAsia="黑体"/>
          <w:color w:val="auto"/>
          <w:sz w:val="44"/>
          <w:szCs w:val="44"/>
          <w:highlight w:val="none"/>
        </w:rPr>
      </w:pPr>
      <w:r>
        <w:rPr>
          <w:rFonts w:hint="eastAsia" w:ascii="仿宋_GB2312" w:eastAsia="仿宋_GB2312"/>
          <w:color w:val="auto"/>
          <w:sz w:val="32"/>
          <w:szCs w:val="32"/>
          <w:highlight w:val="none"/>
          <w:lang w:val="en-US" w:eastAsia="zh-CN"/>
        </w:rPr>
        <w:t>14</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56" w:name="_Toc15396614"/>
      <w:bookmarkStart w:id="57" w:name="_Toc15377226"/>
    </w:p>
    <w:bookmarkEnd w:id="56"/>
    <w:p>
      <w:pPr>
        <w:pageBreakBefore w:val="0"/>
        <w:kinsoku/>
        <w:wordWrap/>
        <w:overflowPunct/>
        <w:topLinePunct w:val="0"/>
        <w:bidi w:val="0"/>
        <w:spacing w:line="600" w:lineRule="exact"/>
        <w:jc w:val="both"/>
        <w:textAlignment w:val="auto"/>
        <w:outlineLvl w:val="9"/>
        <w:rPr>
          <w:rStyle w:val="17"/>
          <w:rFonts w:ascii="黑体" w:hAnsi="黑体" w:eastAsia="黑体"/>
          <w:b w:val="0"/>
          <w:color w:val="auto"/>
          <w:highlight w:val="none"/>
        </w:rPr>
      </w:pPr>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pageBreakBefore w:val="0"/>
        <w:kinsoku/>
        <w:wordWrap/>
        <w:overflowPunct/>
        <w:topLinePunct w:val="0"/>
        <w:bidi w:val="0"/>
        <w:spacing w:line="600" w:lineRule="exact"/>
        <w:jc w:val="center"/>
        <w:textAlignment w:val="auto"/>
        <w:outlineLvl w:val="9"/>
        <w:rPr>
          <w:rFonts w:hint="eastAsia" w:ascii="宋体" w:hAnsi="宋体" w:eastAsia="宋体" w:cs="宋体"/>
          <w:color w:val="auto"/>
          <w:kern w:val="0"/>
          <w:sz w:val="32"/>
          <w:szCs w:val="32"/>
          <w:highlight w:val="none"/>
          <w:lang w:val="en-US" w:eastAsia="zh-CN" w:bidi="ar-SA"/>
        </w:rPr>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pPr>
      <w:bookmarkStart w:id="58" w:name="_Toc15396618"/>
    </w:p>
    <w:p>
      <w:pPr>
        <w:pageBreakBefore w:val="0"/>
        <w:kinsoku/>
        <w:wordWrap/>
        <w:overflowPunct/>
        <w:topLinePunct w:val="0"/>
        <w:bidi w:val="0"/>
        <w:spacing w:line="600" w:lineRule="exact"/>
        <w:jc w:val="center"/>
        <w:textAlignment w:val="auto"/>
        <w:outlineLvl w:val="0"/>
        <w:rPr>
          <w:rFonts w:hint="eastAsia" w:ascii="宋体" w:hAnsi="宋体" w:eastAsia="宋体" w:cs="宋体"/>
          <w:color w:val="auto"/>
          <w:kern w:val="0"/>
          <w:sz w:val="32"/>
          <w:szCs w:val="32"/>
          <w:highlight w:val="none"/>
          <w:lang w:val="en-US" w:eastAsia="zh-CN" w:bidi="ar-SA"/>
        </w:rPr>
      </w:pPr>
      <w:bookmarkStart w:id="59" w:name="_Toc2018"/>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四部分 附件</w:t>
      </w:r>
      <w:bookmarkEnd w:id="59"/>
    </w:p>
    <w:tbl>
      <w:tblPr>
        <w:tblStyle w:val="13"/>
        <w:tblW w:w="1488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6"/>
        <w:gridCol w:w="1116"/>
        <w:gridCol w:w="1836"/>
        <w:gridCol w:w="3816"/>
        <w:gridCol w:w="576"/>
        <w:gridCol w:w="835"/>
        <w:gridCol w:w="497"/>
        <w:gridCol w:w="3816"/>
        <w:gridCol w:w="576"/>
        <w:gridCol w:w="666"/>
        <w:gridCol w:w="5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88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319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1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38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18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56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严格执行相关政策，保障工资及时发放、足额发放，预算编制科学合理，减少结余资金</w:t>
            </w:r>
          </w:p>
        </w:tc>
        <w:tc>
          <w:tcPr>
            <w:tcW w:w="56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整个年度严格执行相关政策，保障工资及时发放、足额发放，预算编制科学合理。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319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严格按照财政资金使用有关规定，按照既定目标推进工作，确保及时足额发放工资。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66.72</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90.55</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82.32</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90.92%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存在部分应缴未交经费。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66.72</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90.55</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82.32</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90.92%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按时发放率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结余率（计算方法为：结余数/预算数）</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30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项目实施较好，绩效目标实现较好。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9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p>
        </w:tc>
        <w:tc>
          <w:tcPr>
            <w:tcW w:w="6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3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8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35"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97"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8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88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319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1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38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18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56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保障单位日常运转，提高预算编制质量，严格执行预算</w:t>
            </w:r>
          </w:p>
        </w:tc>
        <w:tc>
          <w:tcPr>
            <w:tcW w:w="56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严格机关内控管理，保障单位日常运作，提高工资质效。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319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严格按照财政资金使用有关规定，按照既定目标推进工作，保障单位高效运转。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7.50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7.42</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5.74</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77.27%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7.50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7.42</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5.74</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77.27%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30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项目实施较好，绩效目标实现较好。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color w:val="000000"/>
                <w:sz w:val="16"/>
                <w:szCs w:val="16"/>
                <w:u w:val="none"/>
                <w:lang w:eastAsia="zh-CN"/>
              </w:rPr>
            </w:pPr>
            <w:r>
              <w:rPr>
                <w:rFonts w:hint="eastAsia" w:ascii="微软雅黑" w:hAnsi="微软雅黑" w:eastAsia="微软雅黑" w:cs="微软雅黑"/>
                <w:i/>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color w:val="000000"/>
                <w:sz w:val="16"/>
                <w:szCs w:val="16"/>
                <w:u w:val="none"/>
                <w:lang w:eastAsia="zh-CN"/>
              </w:rPr>
            </w:pPr>
            <w:r>
              <w:rPr>
                <w:rFonts w:hint="eastAsia" w:ascii="微软雅黑" w:hAnsi="微软雅黑" w:eastAsia="微软雅黑" w:cs="微软雅黑"/>
                <w:i/>
                <w:color w:val="000000"/>
                <w:sz w:val="16"/>
                <w:szCs w:val="16"/>
                <w:u w:val="none"/>
                <w:lang w:eastAsia="zh-CN"/>
              </w:rPr>
              <w:t>无</w:t>
            </w:r>
            <w:bookmarkStart w:id="88" w:name="_GoBack"/>
            <w:bookmarkEnd w:id="88"/>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p>
        </w:tc>
        <w:tc>
          <w:tcPr>
            <w:tcW w:w="6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3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8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35"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97"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8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88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319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1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38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18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56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保障单位日常运转，提高预算编制质量，严格执行预算</w:t>
            </w:r>
          </w:p>
        </w:tc>
        <w:tc>
          <w:tcPr>
            <w:tcW w:w="56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已完成年初既定目标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319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严格按照财政资金使用有关规定，按照既定目标推进工作，保障干部职工福利。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7.26</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7.26</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6.87</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94.52%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7.26</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7.26</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6.87</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94.52%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30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项目实施较好，绩效目标实现较好。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9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p>
        </w:tc>
        <w:tc>
          <w:tcPr>
            <w:tcW w:w="6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3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8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35"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97"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8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88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319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51080022T000004933756-《剑门关》文学杂志等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1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38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18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56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出版《剑门关》4期，引导广大作家、文学爱好者的正确创作导向，以文学方式宣传展示广元经济社会发展情况，团结广大作家与文学爱好者，培育文学新人。</w:t>
            </w:r>
          </w:p>
        </w:tc>
        <w:tc>
          <w:tcPr>
            <w:tcW w:w="56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出版《剑门关》4期，引导广大作家、文学爱好者的正确创作导向，以文学方式宣传展示广元经济社会发展情况，团结广大作家与文学爱好者，培育文学新人。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319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严格按照财政资金使用有关规定，按照既定目标推进工作，出版《剑门关》4期。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6.44</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6.44</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6.43</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99.84%</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6.44</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6.44</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6.43</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99.84%</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出版《剑门关》</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期</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出版印刷质量</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设计、编辑、编校、稿费等支出</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64400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提升广元文化软实力</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读者满意度指标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读者满意度</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30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项目实施较好，绩效目标实现率100%，自评得分100分。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9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p>
        </w:tc>
        <w:tc>
          <w:tcPr>
            <w:tcW w:w="6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3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8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35"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97"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8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88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319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51080022T000004933784-蜀道文化大讲堂作家讲座、主题创作采风活动等工作经费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1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38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18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56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邀请知名文学家、作家到广元开展讲座，传授创作经验，开展采风活动。</w:t>
            </w:r>
          </w:p>
        </w:tc>
        <w:tc>
          <w:tcPr>
            <w:tcW w:w="56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邀请知名文学家、作家到广元开展讲座，传授创作经验，开展采风活动。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319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严格按照财政资金使用有关规定，按照既定目标推进工作，邀请知名文学家、作家到广元开展讲座，传授创作经验，开展采风活动。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2.56</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2.56</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2.56</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2.56</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2.56</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2.56</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举办作家讲座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期</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讲课费、会议费等</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25600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提升本土作家创作水平</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高中低</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作家、文学爱好者、文学工作者满意</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高中低</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30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项目实施较好，绩效目标实现率100%，自评得分100分。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9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p>
        </w:tc>
        <w:tc>
          <w:tcPr>
            <w:tcW w:w="6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3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8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35"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97"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8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88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319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51080022T000005792218-创建中国“文学之乡”工作经费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1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38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18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56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举行文学之乡授牌仪式，成功创建文学之乡，提升文化软实力。</w:t>
            </w:r>
          </w:p>
        </w:tc>
        <w:tc>
          <w:tcPr>
            <w:tcW w:w="56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举行文学之乡授牌仪式，成功创建文学之乡，提升文化软实力。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319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严格按照财政资金使用有关规定，按照既定目标推进工作，开展采风活动、举办讲坛、举行文学之乡授牌仪式，成功创建文学之乡，提升文化软实力。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9.27</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9.27</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9.27</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9.27</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9.27</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9.27</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8"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开展采风活动</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举办论坛讲座</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举行授牌仪式</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经费支出</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92699.67</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元</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92699.67</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创建文学之乡工作</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好</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好</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完成工作时间</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月</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提升广元文化软实力</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好</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好</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30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项目实施较好，绩效目标实现率100%，自评得分100分。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9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p>
        </w:tc>
        <w:tc>
          <w:tcPr>
            <w:tcW w:w="6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3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8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35"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97"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81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88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319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51080022T000007130538-中国作家剑门关文学奖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1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38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18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56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中国作家剑门关文学奖由市委、市政府和中国作协《中国作家》杂志社联合设置，举行面向全国性征文及颁奖活动，以达到既用文学形式宣传广元，又鼓励广元本土作家成长目的，每年评奖1次。</w:t>
            </w:r>
          </w:p>
        </w:tc>
        <w:tc>
          <w:tcPr>
            <w:tcW w:w="56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中国作家剑门关文学奖由市委、市政府和中国作协《中国作家》杂志社联合设置，举行面向全国性征文及颁奖活动，以达到既用文学形式宣传广元，又鼓励广元本土作家成长目的，每年评奖1次。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319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严格按照财政资金使用有关规定，按照既定目标推进工作，开展评奖活动。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55.80</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54.80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98.21%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发放给两位评委专家的评审费被退回。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55.80</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54.80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98.21%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在《中国作家》发表广元题材稿件</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面向国内外公开征文时冠名</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好</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举行全国性颁奖活动时冠名</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对扩大广元知名度的影响力</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好</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扩大广元知名度和影响力</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公开征集众多优秀作品，扩大了对广元的宣传</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好</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公开征集众多优秀作品，扩大了对广元的宣传</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形成了知名文化品牌，提升了广元文化软实力</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好</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形成了知名文化品牌，提升了广元文化软实力</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作家和读者满意度</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3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冠名费</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200000</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元</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30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99.82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项目实施较好，绩效目标实现率100%，自评得分99.82分。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val="0"/>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9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p>
        </w:tc>
        <w:tc>
          <w:tcPr>
            <w:tcW w:w="6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p>
        </w:tc>
      </w:tr>
    </w:tbl>
    <w:p>
      <w:pPr>
        <w:pageBreakBefore w:val="0"/>
        <w:kinsoku/>
        <w:wordWrap/>
        <w:overflowPunct/>
        <w:topLinePunct w:val="0"/>
        <w:bidi w:val="0"/>
        <w:spacing w:line="600" w:lineRule="exact"/>
        <w:jc w:val="left"/>
        <w:textAlignment w:val="auto"/>
        <w:outlineLvl w:val="9"/>
        <w:rPr>
          <w:rFonts w:hint="eastAsia" w:ascii="仿宋_GB2312" w:hAnsi="Calibri" w:eastAsia="仿宋_GB2312" w:cs="仿宋"/>
          <w:color w:val="auto"/>
          <w:kern w:val="0"/>
          <w:sz w:val="32"/>
          <w:szCs w:val="32"/>
          <w:highlight w:val="none"/>
          <w:lang w:val="en-US" w:eastAsia="zh-CN" w:bidi="ar-SA"/>
        </w:rPr>
      </w:pPr>
    </w:p>
    <w:p>
      <w:pPr>
        <w:pageBreakBefore w:val="0"/>
        <w:kinsoku/>
        <w:wordWrap/>
        <w:overflowPunct/>
        <w:topLinePunct w:val="0"/>
        <w:bidi w:val="0"/>
        <w:spacing w:line="600" w:lineRule="exact"/>
        <w:jc w:val="center"/>
        <w:textAlignment w:val="auto"/>
        <w:outlineLvl w:val="0"/>
        <w:rPr>
          <w:rFonts w:hint="eastAsia" w:ascii="仿宋_GB2312" w:hAnsi="Calibri" w:eastAsia="仿宋_GB2312" w:cs="仿宋"/>
          <w:color w:val="auto"/>
          <w:kern w:val="0"/>
          <w:sz w:val="32"/>
          <w:szCs w:val="32"/>
          <w:highlight w:val="none"/>
          <w:lang w:val="en-US" w:eastAsia="zh-CN" w:bidi="ar-SA"/>
        </w:rPr>
      </w:pPr>
      <w:bookmarkStart w:id="60" w:name="_Toc17699"/>
    </w:p>
    <w:p>
      <w:pPr>
        <w:pageBreakBefore w:val="0"/>
        <w:kinsoku/>
        <w:wordWrap/>
        <w:overflowPunct/>
        <w:topLinePunct w:val="0"/>
        <w:bidi w:val="0"/>
        <w:spacing w:line="600" w:lineRule="exact"/>
        <w:jc w:val="center"/>
        <w:textAlignment w:val="auto"/>
        <w:outlineLvl w:val="0"/>
        <w:rPr>
          <w:rFonts w:hint="eastAsia" w:ascii="仿宋_GB2312" w:hAnsi="Calibri" w:eastAsia="仿宋_GB2312" w:cs="仿宋"/>
          <w:color w:val="auto"/>
          <w:kern w:val="0"/>
          <w:sz w:val="32"/>
          <w:szCs w:val="32"/>
          <w:highlight w:val="none"/>
          <w:lang w:val="en-US" w:eastAsia="zh-CN" w:bidi="ar-SA"/>
        </w:rPr>
      </w:pPr>
    </w:p>
    <w:p>
      <w:pPr>
        <w:pageBreakBefore w:val="0"/>
        <w:kinsoku/>
        <w:wordWrap/>
        <w:overflowPunct/>
        <w:topLinePunct w:val="0"/>
        <w:bidi w:val="0"/>
        <w:spacing w:line="600" w:lineRule="exact"/>
        <w:jc w:val="center"/>
        <w:textAlignment w:val="auto"/>
        <w:outlineLvl w:val="0"/>
        <w:rPr>
          <w:rFonts w:hint="eastAsia" w:ascii="仿宋_GB2312" w:hAnsi="Calibri" w:eastAsia="仿宋_GB2312" w:cs="仿宋"/>
          <w:color w:val="auto"/>
          <w:kern w:val="0"/>
          <w:sz w:val="32"/>
          <w:szCs w:val="32"/>
          <w:highlight w:val="none"/>
          <w:lang w:val="en-US" w:eastAsia="zh-CN" w:bidi="ar-SA"/>
        </w:rPr>
      </w:pPr>
    </w:p>
    <w:p>
      <w:pPr>
        <w:pageBreakBefore w:val="0"/>
        <w:kinsoku/>
        <w:wordWrap/>
        <w:overflowPunct/>
        <w:topLinePunct w:val="0"/>
        <w:bidi w:val="0"/>
        <w:spacing w:line="600" w:lineRule="exact"/>
        <w:jc w:val="center"/>
        <w:textAlignment w:val="auto"/>
        <w:outlineLvl w:val="0"/>
        <w:rPr>
          <w:rFonts w:hint="eastAsia" w:ascii="仿宋_GB2312" w:hAnsi="Calibri" w:eastAsia="仿宋_GB2312" w:cs="仿宋"/>
          <w:color w:val="auto"/>
          <w:kern w:val="0"/>
          <w:sz w:val="32"/>
          <w:szCs w:val="32"/>
          <w:highlight w:val="none"/>
          <w:lang w:val="en-US" w:eastAsia="zh-CN" w:bidi="ar-SA"/>
        </w:rPr>
      </w:pPr>
    </w:p>
    <w:p>
      <w:pPr>
        <w:pageBreakBefore w:val="0"/>
        <w:kinsoku/>
        <w:wordWrap/>
        <w:overflowPunct/>
        <w:topLinePunct w:val="0"/>
        <w:bidi w:val="0"/>
        <w:spacing w:line="600" w:lineRule="exact"/>
        <w:jc w:val="center"/>
        <w:textAlignment w:val="auto"/>
        <w:outlineLvl w:val="0"/>
        <w:rPr>
          <w:rFonts w:hint="eastAsia" w:ascii="仿宋_GB2312" w:hAnsi="Calibri" w:eastAsia="仿宋_GB2312" w:cs="仿宋"/>
          <w:color w:val="auto"/>
          <w:kern w:val="0"/>
          <w:sz w:val="32"/>
          <w:szCs w:val="32"/>
          <w:highlight w:val="none"/>
          <w:lang w:val="en-US" w:eastAsia="zh-CN" w:bidi="ar-SA"/>
        </w:rPr>
      </w:pPr>
    </w:p>
    <w:p>
      <w:pPr>
        <w:pageBreakBefore w:val="0"/>
        <w:kinsoku/>
        <w:wordWrap/>
        <w:overflowPunct/>
        <w:topLinePunct w:val="0"/>
        <w:bidi w:val="0"/>
        <w:spacing w:line="600" w:lineRule="exact"/>
        <w:jc w:val="center"/>
        <w:textAlignment w:val="auto"/>
        <w:outlineLvl w:val="0"/>
        <w:rPr>
          <w:rFonts w:hint="eastAsia" w:ascii="仿宋_GB2312" w:hAnsi="Calibri" w:eastAsia="仿宋_GB2312" w:cs="仿宋"/>
          <w:color w:val="auto"/>
          <w:kern w:val="0"/>
          <w:sz w:val="32"/>
          <w:szCs w:val="32"/>
          <w:highlight w:val="none"/>
          <w:lang w:val="en-US" w:eastAsia="zh-CN" w:bidi="ar-SA"/>
        </w:rPr>
      </w:pPr>
    </w:p>
    <w:p>
      <w:pPr>
        <w:pageBreakBefore w:val="0"/>
        <w:kinsoku/>
        <w:wordWrap/>
        <w:overflowPunct/>
        <w:topLinePunct w:val="0"/>
        <w:bidi w:val="0"/>
        <w:spacing w:line="600" w:lineRule="exact"/>
        <w:jc w:val="center"/>
        <w:textAlignment w:val="auto"/>
        <w:outlineLvl w:val="0"/>
        <w:rPr>
          <w:rFonts w:hint="eastAsia" w:ascii="仿宋_GB2312" w:hAnsi="Calibri" w:eastAsia="仿宋_GB2312" w:cs="仿宋"/>
          <w:color w:val="auto"/>
          <w:kern w:val="0"/>
          <w:sz w:val="32"/>
          <w:szCs w:val="32"/>
          <w:highlight w:val="none"/>
          <w:lang w:val="en-US" w:eastAsia="zh-CN" w:bidi="ar-SA"/>
        </w:rPr>
      </w:pPr>
    </w:p>
    <w:p>
      <w:pPr>
        <w:pageBreakBefore w:val="0"/>
        <w:kinsoku/>
        <w:wordWrap/>
        <w:overflowPunct/>
        <w:topLinePunct w:val="0"/>
        <w:bidi w:val="0"/>
        <w:spacing w:line="600" w:lineRule="exact"/>
        <w:jc w:val="center"/>
        <w:textAlignment w:val="auto"/>
        <w:outlineLvl w:val="0"/>
        <w:rPr>
          <w:rFonts w:hint="eastAsia" w:ascii="仿宋_GB2312" w:hAnsi="Calibri" w:eastAsia="仿宋_GB2312" w:cs="仿宋"/>
          <w:color w:val="auto"/>
          <w:kern w:val="0"/>
          <w:sz w:val="32"/>
          <w:szCs w:val="32"/>
          <w:highlight w:val="none"/>
          <w:lang w:val="en-US" w:eastAsia="zh-CN" w:bidi="ar-SA"/>
        </w:rPr>
      </w:pPr>
    </w:p>
    <w:p>
      <w:pPr>
        <w:pageBreakBefore w:val="0"/>
        <w:kinsoku/>
        <w:wordWrap/>
        <w:overflowPunct/>
        <w:topLinePunct w:val="0"/>
        <w:bidi w:val="0"/>
        <w:spacing w:line="600" w:lineRule="exact"/>
        <w:jc w:val="center"/>
        <w:textAlignment w:val="auto"/>
        <w:outlineLvl w:val="0"/>
        <w:rPr>
          <w:rFonts w:hint="eastAsia" w:ascii="仿宋_GB2312" w:hAnsi="Calibri" w:eastAsia="仿宋_GB2312" w:cs="仿宋"/>
          <w:color w:val="auto"/>
          <w:kern w:val="0"/>
          <w:sz w:val="32"/>
          <w:szCs w:val="32"/>
          <w:highlight w:val="none"/>
          <w:lang w:val="en-US" w:eastAsia="zh-CN" w:bidi="ar-SA"/>
        </w:rPr>
      </w:pPr>
    </w:p>
    <w:p>
      <w:pPr>
        <w:pageBreakBefore w:val="0"/>
        <w:kinsoku/>
        <w:wordWrap/>
        <w:overflowPunct/>
        <w:topLinePunct w:val="0"/>
        <w:bidi w:val="0"/>
        <w:spacing w:line="600" w:lineRule="exact"/>
        <w:jc w:val="center"/>
        <w:textAlignment w:val="auto"/>
        <w:outlineLvl w:val="0"/>
        <w:rPr>
          <w:rFonts w:hint="eastAsia" w:ascii="仿宋_GB2312" w:hAnsi="Calibri" w:eastAsia="仿宋_GB2312" w:cs="仿宋"/>
          <w:color w:val="auto"/>
          <w:kern w:val="0"/>
          <w:sz w:val="32"/>
          <w:szCs w:val="32"/>
          <w:highlight w:val="none"/>
          <w:lang w:val="en-US" w:eastAsia="zh-CN" w:bidi="ar-SA"/>
        </w:rPr>
      </w:pPr>
    </w:p>
    <w:p>
      <w:pPr>
        <w:pageBreakBefore w:val="0"/>
        <w:kinsoku/>
        <w:wordWrap/>
        <w:overflowPunct/>
        <w:topLinePunct w:val="0"/>
        <w:bidi w:val="0"/>
        <w:spacing w:line="600" w:lineRule="exact"/>
        <w:jc w:val="center"/>
        <w:textAlignment w:val="auto"/>
        <w:outlineLvl w:val="0"/>
        <w:rPr>
          <w:rFonts w:hint="eastAsia" w:ascii="仿宋_GB2312" w:hAnsi="Calibri" w:eastAsia="仿宋_GB2312" w:cs="仿宋"/>
          <w:color w:val="auto"/>
          <w:kern w:val="0"/>
          <w:sz w:val="32"/>
          <w:szCs w:val="32"/>
          <w:highlight w:val="none"/>
          <w:lang w:val="en-US" w:eastAsia="zh-CN" w:bidi="ar-SA"/>
        </w:rPr>
      </w:pPr>
    </w:p>
    <w:p>
      <w:pPr>
        <w:pageBreakBefore w:val="0"/>
        <w:kinsoku/>
        <w:wordWrap/>
        <w:overflowPunct/>
        <w:topLinePunct w:val="0"/>
        <w:bidi w:val="0"/>
        <w:spacing w:line="600" w:lineRule="exact"/>
        <w:jc w:val="center"/>
        <w:textAlignment w:val="auto"/>
        <w:outlineLvl w:val="0"/>
        <w:rPr>
          <w:rFonts w:hint="eastAsia" w:ascii="仿宋_GB2312" w:hAnsi="Calibri" w:eastAsia="仿宋_GB2312" w:cs="仿宋"/>
          <w:color w:val="auto"/>
          <w:kern w:val="0"/>
          <w:sz w:val="32"/>
          <w:szCs w:val="32"/>
          <w:highlight w:val="none"/>
          <w:lang w:val="en-US" w:eastAsia="zh-CN" w:bidi="ar-SA"/>
        </w:rPr>
      </w:pPr>
    </w:p>
    <w:p>
      <w:pPr>
        <w:pageBreakBefore w:val="0"/>
        <w:kinsoku/>
        <w:wordWrap/>
        <w:overflowPunct/>
        <w:topLinePunct w:val="0"/>
        <w:bidi w:val="0"/>
        <w:spacing w:line="600" w:lineRule="exact"/>
        <w:jc w:val="center"/>
        <w:textAlignment w:val="auto"/>
        <w:outlineLvl w:val="0"/>
        <w:rPr>
          <w:rFonts w:hint="eastAsia" w:ascii="仿宋_GB2312" w:hAnsi="Calibri" w:eastAsia="仿宋_GB2312" w:cs="仿宋"/>
          <w:color w:val="auto"/>
          <w:kern w:val="0"/>
          <w:sz w:val="32"/>
          <w:szCs w:val="32"/>
          <w:highlight w:val="none"/>
          <w:lang w:val="en-US" w:eastAsia="zh-CN" w:bidi="ar-SA"/>
        </w:rPr>
      </w:pPr>
    </w:p>
    <w:p>
      <w:pPr>
        <w:pageBreakBefore w:val="0"/>
        <w:kinsoku/>
        <w:wordWrap/>
        <w:overflowPunct/>
        <w:topLinePunct w:val="0"/>
        <w:bidi w:val="0"/>
        <w:spacing w:line="600" w:lineRule="exact"/>
        <w:jc w:val="center"/>
        <w:textAlignment w:val="auto"/>
        <w:outlineLvl w:val="0"/>
        <w:rPr>
          <w:rFonts w:hint="eastAsia" w:ascii="仿宋_GB2312" w:hAnsi="Calibri" w:eastAsia="仿宋_GB2312" w:cs="仿宋"/>
          <w:color w:val="auto"/>
          <w:kern w:val="0"/>
          <w:sz w:val="32"/>
          <w:szCs w:val="32"/>
          <w:highlight w:val="none"/>
          <w:lang w:val="en-US" w:eastAsia="zh-CN" w:bidi="ar-SA"/>
        </w:rPr>
      </w:pPr>
    </w:p>
    <w:p>
      <w:pPr>
        <w:pageBreakBefore w:val="0"/>
        <w:kinsoku/>
        <w:wordWrap/>
        <w:overflowPunct/>
        <w:topLinePunct w:val="0"/>
        <w:bidi w:val="0"/>
        <w:spacing w:line="600" w:lineRule="exact"/>
        <w:jc w:val="center"/>
        <w:textAlignment w:val="auto"/>
        <w:outlineLvl w:val="0"/>
        <w:rPr>
          <w:rFonts w:hint="eastAsia" w:ascii="仿宋_GB2312" w:hAnsi="Calibri" w:eastAsia="仿宋_GB2312" w:cs="仿宋"/>
          <w:color w:val="auto"/>
          <w:kern w:val="0"/>
          <w:sz w:val="32"/>
          <w:szCs w:val="32"/>
          <w:highlight w:val="none"/>
          <w:lang w:val="en-US" w:eastAsia="zh-CN" w:bidi="ar-SA"/>
        </w:rPr>
      </w:pPr>
    </w:p>
    <w:p>
      <w:pPr>
        <w:pageBreakBefore w:val="0"/>
        <w:kinsoku/>
        <w:wordWrap/>
        <w:overflowPunct/>
        <w:topLinePunct w:val="0"/>
        <w:bidi w:val="0"/>
        <w:spacing w:line="600" w:lineRule="exact"/>
        <w:jc w:val="center"/>
        <w:textAlignment w:val="auto"/>
        <w:outlineLvl w:val="0"/>
        <w:rPr>
          <w:rFonts w:hint="eastAsia" w:ascii="仿宋_GB2312" w:hAnsi="Calibri" w:eastAsia="仿宋_GB2312" w:cs="仿宋"/>
          <w:color w:val="auto"/>
          <w:kern w:val="0"/>
          <w:sz w:val="32"/>
          <w:szCs w:val="32"/>
          <w:highlight w:val="none"/>
          <w:lang w:val="en-US" w:eastAsia="zh-CN" w:bidi="ar-SA"/>
        </w:rPr>
      </w:pPr>
    </w:p>
    <w:p>
      <w:pPr>
        <w:pageBreakBefore w:val="0"/>
        <w:kinsoku/>
        <w:wordWrap/>
        <w:overflowPunct/>
        <w:topLinePunct w:val="0"/>
        <w:bidi w:val="0"/>
        <w:spacing w:line="600" w:lineRule="exact"/>
        <w:jc w:val="center"/>
        <w:textAlignment w:val="auto"/>
        <w:outlineLvl w:val="0"/>
        <w:rPr>
          <w:rFonts w:hint="eastAsia" w:ascii="仿宋" w:hAnsi="仿宋" w:eastAsia="仿宋"/>
          <w:b w:val="0"/>
          <w:color w:val="auto"/>
          <w:highlight w:val="none"/>
        </w:rPr>
      </w:pPr>
      <w:r>
        <w:rPr>
          <w:rFonts w:hint="eastAsia" w:ascii="仿宋_GB2312" w:hAnsi="Calibri" w:eastAsia="仿宋_GB2312" w:cs="仿宋"/>
          <w:color w:val="auto"/>
          <w:kern w:val="0"/>
          <w:sz w:val="32"/>
          <w:szCs w:val="32"/>
          <w:highlight w:val="none"/>
          <w:lang w:val="en-US" w:eastAsia="zh-CN" w:bidi="ar-SA"/>
        </w:rPr>
        <w:t>（</w:t>
      </w:r>
      <w:bookmarkEnd w:id="60"/>
      <w:bookmarkStart w:id="61" w:name="_Toc26101"/>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五部分 附表</w:t>
      </w:r>
      <w:bookmarkEnd w:id="57"/>
      <w:bookmarkEnd w:id="58"/>
      <w:bookmarkEnd w:id="61"/>
      <w:bookmarkStart w:id="62" w:name="_Toc15396619"/>
    </w:p>
    <w:p>
      <w:pPr>
        <w:pStyle w:val="4"/>
        <w:pageBreakBefore w:val="0"/>
        <w:kinsoku/>
        <w:wordWrap/>
        <w:overflowPunct/>
        <w:topLinePunct w:val="0"/>
        <w:bidi w:val="0"/>
        <w:spacing w:before="0" w:after="0"/>
        <w:textAlignment w:val="auto"/>
        <w:rPr>
          <w:rFonts w:ascii="仿宋" w:hAnsi="仿宋" w:eastAsia="仿宋"/>
          <w:color w:val="auto"/>
          <w:highlight w:val="none"/>
        </w:rPr>
      </w:pPr>
      <w:bookmarkStart w:id="63" w:name="_Toc28970"/>
      <w:r>
        <w:rPr>
          <w:rFonts w:hint="eastAsia" w:ascii="仿宋" w:hAnsi="仿宋" w:eastAsia="仿宋"/>
          <w:b w:val="0"/>
          <w:color w:val="auto"/>
          <w:highlight w:val="none"/>
        </w:rPr>
        <w:t>一、收</w:t>
      </w:r>
      <w:r>
        <w:rPr>
          <w:rStyle w:val="18"/>
          <w:rFonts w:hint="eastAsia" w:ascii="仿宋" w:hAnsi="仿宋" w:eastAsia="仿宋"/>
          <w:b w:val="0"/>
          <w:bCs w:val="0"/>
          <w:color w:val="auto"/>
          <w:highlight w:val="none"/>
        </w:rPr>
        <w:t>入支出决算总表</w:t>
      </w:r>
      <w:bookmarkEnd w:id="62"/>
      <w:bookmarkEnd w:id="63"/>
    </w:p>
    <w:p>
      <w:pPr>
        <w:pStyle w:val="4"/>
        <w:pageBreakBefore w:val="0"/>
        <w:kinsoku/>
        <w:wordWrap/>
        <w:overflowPunct/>
        <w:topLinePunct w:val="0"/>
        <w:bidi w:val="0"/>
        <w:spacing w:before="0" w:after="0"/>
        <w:textAlignment w:val="auto"/>
        <w:rPr>
          <w:rFonts w:ascii="仿宋" w:hAnsi="仿宋" w:eastAsia="仿宋"/>
          <w:color w:val="auto"/>
          <w:highlight w:val="none"/>
        </w:rPr>
      </w:pPr>
      <w:bookmarkStart w:id="64" w:name="_Toc15396620"/>
      <w:bookmarkStart w:id="65" w:name="_Toc24637"/>
      <w:r>
        <w:rPr>
          <w:rFonts w:hint="eastAsia" w:ascii="仿宋" w:hAnsi="仿宋" w:eastAsia="仿宋"/>
          <w:b w:val="0"/>
          <w:color w:val="auto"/>
          <w:highlight w:val="none"/>
        </w:rPr>
        <w:t>二、收</w:t>
      </w:r>
      <w:r>
        <w:rPr>
          <w:rStyle w:val="18"/>
          <w:rFonts w:hint="eastAsia" w:ascii="仿宋" w:hAnsi="仿宋" w:eastAsia="仿宋"/>
          <w:b w:val="0"/>
          <w:bCs w:val="0"/>
          <w:color w:val="auto"/>
          <w:highlight w:val="none"/>
        </w:rPr>
        <w:t>入决算表</w:t>
      </w:r>
      <w:bookmarkEnd w:id="64"/>
      <w:bookmarkEnd w:id="65"/>
    </w:p>
    <w:p>
      <w:pPr>
        <w:pStyle w:val="4"/>
        <w:pageBreakBefore w:val="0"/>
        <w:kinsoku/>
        <w:wordWrap/>
        <w:overflowPunct/>
        <w:topLinePunct w:val="0"/>
        <w:bidi w:val="0"/>
        <w:spacing w:before="0" w:after="0"/>
        <w:textAlignment w:val="auto"/>
        <w:rPr>
          <w:rFonts w:ascii="仿宋" w:hAnsi="仿宋" w:eastAsia="仿宋"/>
          <w:color w:val="auto"/>
          <w:highlight w:val="none"/>
        </w:rPr>
      </w:pPr>
      <w:bookmarkStart w:id="66" w:name="_Toc5090"/>
      <w:bookmarkStart w:id="67" w:name="_Toc15396621"/>
      <w:r>
        <w:rPr>
          <w:rStyle w:val="18"/>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8"/>
          <w:rFonts w:hint="eastAsia" w:ascii="仿宋" w:hAnsi="仿宋" w:eastAsia="仿宋"/>
          <w:b w:val="0"/>
          <w:bCs w:val="0"/>
          <w:color w:val="auto"/>
          <w:highlight w:val="none"/>
        </w:rPr>
        <w:t>出决算表</w:t>
      </w:r>
      <w:bookmarkEnd w:id="66"/>
      <w:bookmarkEnd w:id="67"/>
    </w:p>
    <w:p>
      <w:pPr>
        <w:pStyle w:val="4"/>
        <w:pageBreakBefore w:val="0"/>
        <w:kinsoku/>
        <w:wordWrap/>
        <w:overflowPunct/>
        <w:topLinePunct w:val="0"/>
        <w:bidi w:val="0"/>
        <w:spacing w:before="0" w:after="0"/>
        <w:textAlignment w:val="auto"/>
        <w:rPr>
          <w:rFonts w:ascii="仿宋" w:hAnsi="仿宋" w:eastAsia="仿宋"/>
          <w:b w:val="0"/>
          <w:color w:val="auto"/>
          <w:highlight w:val="none"/>
        </w:rPr>
      </w:pPr>
      <w:bookmarkStart w:id="68" w:name="_Toc15396622"/>
      <w:bookmarkStart w:id="69" w:name="_Toc7556"/>
      <w:r>
        <w:rPr>
          <w:rStyle w:val="18"/>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政拨款收入支出决算总表</w:t>
      </w:r>
      <w:bookmarkEnd w:id="68"/>
      <w:bookmarkEnd w:id="69"/>
    </w:p>
    <w:p>
      <w:pPr>
        <w:pStyle w:val="4"/>
        <w:pageBreakBefore w:val="0"/>
        <w:kinsoku/>
        <w:wordWrap/>
        <w:overflowPunct/>
        <w:topLinePunct w:val="0"/>
        <w:bidi w:val="0"/>
        <w:spacing w:before="0" w:after="0"/>
        <w:textAlignment w:val="auto"/>
        <w:rPr>
          <w:rStyle w:val="18"/>
          <w:rFonts w:ascii="仿宋" w:hAnsi="仿宋" w:eastAsia="仿宋"/>
          <w:b w:val="0"/>
          <w:bCs w:val="0"/>
          <w:color w:val="auto"/>
          <w:highlight w:val="none"/>
        </w:rPr>
      </w:pPr>
      <w:bookmarkStart w:id="70" w:name="_Toc15396623"/>
      <w:bookmarkStart w:id="71" w:name="_Toc23904"/>
      <w:r>
        <w:rPr>
          <w:rStyle w:val="18"/>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政拨款支出决算明细表</w:t>
      </w:r>
      <w:bookmarkEnd w:id="70"/>
      <w:bookmarkEnd w:id="71"/>
      <w:bookmarkStart w:id="72" w:name="_Toc15396624"/>
    </w:p>
    <w:p>
      <w:pPr>
        <w:pStyle w:val="4"/>
        <w:pageBreakBefore w:val="0"/>
        <w:kinsoku/>
        <w:wordWrap/>
        <w:overflowPunct/>
        <w:topLinePunct w:val="0"/>
        <w:bidi w:val="0"/>
        <w:spacing w:before="0" w:after="0"/>
        <w:textAlignment w:val="auto"/>
        <w:rPr>
          <w:rFonts w:ascii="仿宋" w:hAnsi="仿宋" w:eastAsia="仿宋"/>
          <w:color w:val="auto"/>
          <w:highlight w:val="none"/>
        </w:rPr>
      </w:pPr>
      <w:bookmarkStart w:id="73" w:name="_Toc26682"/>
      <w:r>
        <w:rPr>
          <w:rStyle w:val="18"/>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般公共预算财政拨款支出决算表</w:t>
      </w:r>
      <w:bookmarkEnd w:id="72"/>
      <w:bookmarkEnd w:id="73"/>
    </w:p>
    <w:p>
      <w:pPr>
        <w:pStyle w:val="4"/>
        <w:pageBreakBefore w:val="0"/>
        <w:kinsoku/>
        <w:wordWrap/>
        <w:overflowPunct/>
        <w:topLinePunct w:val="0"/>
        <w:bidi w:val="0"/>
        <w:spacing w:before="0" w:after="0"/>
        <w:textAlignment w:val="auto"/>
        <w:rPr>
          <w:rFonts w:ascii="仿宋" w:hAnsi="仿宋" w:eastAsia="仿宋"/>
          <w:color w:val="auto"/>
          <w:highlight w:val="none"/>
        </w:rPr>
      </w:pPr>
      <w:bookmarkStart w:id="74" w:name="_Toc15396625"/>
      <w:bookmarkStart w:id="75" w:name="_Toc1614"/>
      <w:r>
        <w:rPr>
          <w:rStyle w:val="18"/>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般公共预算财政拨款支出决算明细表</w:t>
      </w:r>
      <w:bookmarkEnd w:id="74"/>
      <w:bookmarkEnd w:id="75"/>
    </w:p>
    <w:p>
      <w:pPr>
        <w:pStyle w:val="4"/>
        <w:pageBreakBefore w:val="0"/>
        <w:kinsoku/>
        <w:wordWrap/>
        <w:overflowPunct/>
        <w:topLinePunct w:val="0"/>
        <w:bidi w:val="0"/>
        <w:spacing w:before="0" w:after="0"/>
        <w:textAlignment w:val="auto"/>
        <w:rPr>
          <w:rFonts w:ascii="仿宋" w:hAnsi="仿宋" w:eastAsia="仿宋"/>
          <w:color w:val="auto"/>
          <w:highlight w:val="none"/>
        </w:rPr>
      </w:pPr>
      <w:bookmarkStart w:id="76" w:name="_Toc22105"/>
      <w:bookmarkStart w:id="77" w:name="_Toc15396626"/>
      <w:r>
        <w:rPr>
          <w:rStyle w:val="18"/>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般公共预算财政拨款基本支出决算表</w:t>
      </w:r>
      <w:bookmarkEnd w:id="76"/>
      <w:bookmarkEnd w:id="77"/>
    </w:p>
    <w:p>
      <w:pPr>
        <w:pStyle w:val="4"/>
        <w:pageBreakBefore w:val="0"/>
        <w:kinsoku/>
        <w:wordWrap/>
        <w:overflowPunct/>
        <w:topLinePunct w:val="0"/>
        <w:bidi w:val="0"/>
        <w:spacing w:before="0" w:after="0"/>
        <w:textAlignment w:val="auto"/>
        <w:rPr>
          <w:rFonts w:ascii="仿宋" w:hAnsi="仿宋" w:eastAsia="仿宋"/>
          <w:color w:val="auto"/>
          <w:highlight w:val="none"/>
        </w:rPr>
      </w:pPr>
      <w:bookmarkStart w:id="78" w:name="_Toc29914"/>
      <w:bookmarkStart w:id="79" w:name="_Toc15396627"/>
      <w:r>
        <w:rPr>
          <w:rStyle w:val="18"/>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般公共预算财政拨款项目支出决算表</w:t>
      </w:r>
      <w:bookmarkEnd w:id="78"/>
      <w:bookmarkEnd w:id="79"/>
    </w:p>
    <w:p>
      <w:pPr>
        <w:pStyle w:val="4"/>
        <w:pageBreakBefore w:val="0"/>
        <w:kinsoku/>
        <w:wordWrap/>
        <w:overflowPunct/>
        <w:topLinePunct w:val="0"/>
        <w:bidi w:val="0"/>
        <w:spacing w:before="0" w:after="0"/>
        <w:textAlignment w:val="auto"/>
        <w:rPr>
          <w:rFonts w:ascii="仿宋" w:hAnsi="仿宋" w:eastAsia="仿宋"/>
          <w:color w:val="auto"/>
          <w:highlight w:val="none"/>
        </w:rPr>
      </w:pPr>
      <w:bookmarkStart w:id="80" w:name="_Toc15396628"/>
      <w:bookmarkStart w:id="81" w:name="_Toc1312"/>
      <w:r>
        <w:rPr>
          <w:rStyle w:val="18"/>
          <w:rFonts w:hint="eastAsia" w:ascii="仿宋" w:hAnsi="仿宋" w:eastAsia="仿宋"/>
          <w:b w:val="0"/>
          <w:bCs w:val="0"/>
          <w:color w:val="auto"/>
          <w:highlight w:val="none"/>
        </w:rPr>
        <w:t>十、</w:t>
      </w:r>
      <w:bookmarkEnd w:id="80"/>
      <w:r>
        <w:rPr>
          <w:rFonts w:hint="eastAsia" w:ascii="仿宋" w:hAnsi="仿宋" w:eastAsia="仿宋"/>
          <w:b w:val="0"/>
          <w:color w:val="auto"/>
          <w:highlight w:val="none"/>
        </w:rPr>
        <w:t>政</w:t>
      </w:r>
      <w:r>
        <w:rPr>
          <w:rStyle w:val="18"/>
          <w:rFonts w:hint="eastAsia" w:ascii="仿宋" w:hAnsi="仿宋" w:eastAsia="仿宋"/>
          <w:b w:val="0"/>
          <w:bCs w:val="0"/>
          <w:color w:val="auto"/>
          <w:highlight w:val="none"/>
        </w:rPr>
        <w:t>府性基金预算财政拨款收入支出决算表</w:t>
      </w:r>
      <w:bookmarkEnd w:id="81"/>
    </w:p>
    <w:p>
      <w:pPr>
        <w:pStyle w:val="4"/>
        <w:pageBreakBefore w:val="0"/>
        <w:kinsoku/>
        <w:wordWrap/>
        <w:overflowPunct/>
        <w:topLinePunct w:val="0"/>
        <w:bidi w:val="0"/>
        <w:spacing w:before="0" w:after="0"/>
        <w:textAlignment w:val="auto"/>
        <w:rPr>
          <w:rFonts w:ascii="仿宋" w:hAnsi="仿宋" w:eastAsia="仿宋"/>
          <w:color w:val="auto"/>
          <w:highlight w:val="none"/>
        </w:rPr>
      </w:pPr>
      <w:bookmarkStart w:id="82" w:name="_Toc15396629"/>
      <w:bookmarkStart w:id="83" w:name="_Toc2529"/>
      <w:r>
        <w:rPr>
          <w:rStyle w:val="18"/>
          <w:rFonts w:hint="eastAsia" w:ascii="仿宋" w:hAnsi="仿宋" w:eastAsia="仿宋"/>
          <w:b w:val="0"/>
          <w:bCs w:val="0"/>
          <w:color w:val="auto"/>
          <w:highlight w:val="none"/>
        </w:rPr>
        <w:t>十一、</w:t>
      </w:r>
      <w:bookmarkEnd w:id="82"/>
      <w:r>
        <w:rPr>
          <w:rFonts w:hint="eastAsia" w:ascii="仿宋" w:hAnsi="仿宋" w:eastAsia="仿宋"/>
          <w:b w:val="0"/>
          <w:color w:val="auto"/>
          <w:highlight w:val="none"/>
        </w:rPr>
        <w:t>国</w:t>
      </w:r>
      <w:r>
        <w:rPr>
          <w:rStyle w:val="18"/>
          <w:rFonts w:hint="eastAsia" w:ascii="仿宋" w:hAnsi="仿宋" w:eastAsia="仿宋"/>
          <w:b w:val="0"/>
          <w:bCs w:val="0"/>
          <w:color w:val="auto"/>
          <w:highlight w:val="none"/>
        </w:rPr>
        <w:t>有资本经营预算</w:t>
      </w:r>
      <w:r>
        <w:rPr>
          <w:rStyle w:val="18"/>
          <w:rFonts w:hint="eastAsia" w:ascii="仿宋" w:hAnsi="仿宋" w:eastAsia="仿宋"/>
          <w:b w:val="0"/>
          <w:bCs w:val="0"/>
          <w:color w:val="auto"/>
          <w:highlight w:val="none"/>
          <w:lang w:eastAsia="zh-CN"/>
        </w:rPr>
        <w:t>财政拨款收入</w:t>
      </w:r>
      <w:r>
        <w:rPr>
          <w:rStyle w:val="18"/>
          <w:rFonts w:hint="eastAsia" w:ascii="仿宋" w:hAnsi="仿宋" w:eastAsia="仿宋"/>
          <w:b w:val="0"/>
          <w:bCs w:val="0"/>
          <w:color w:val="auto"/>
          <w:highlight w:val="none"/>
        </w:rPr>
        <w:t>支出决算表</w:t>
      </w:r>
      <w:bookmarkEnd w:id="83"/>
    </w:p>
    <w:p>
      <w:pPr>
        <w:pStyle w:val="4"/>
        <w:pageBreakBefore w:val="0"/>
        <w:kinsoku/>
        <w:wordWrap/>
        <w:overflowPunct/>
        <w:topLinePunct w:val="0"/>
        <w:bidi w:val="0"/>
        <w:spacing w:before="0" w:after="0"/>
        <w:textAlignment w:val="auto"/>
        <w:rPr>
          <w:rFonts w:ascii="仿宋" w:hAnsi="仿宋" w:eastAsia="仿宋"/>
          <w:color w:val="auto"/>
          <w:highlight w:val="none"/>
        </w:rPr>
      </w:pPr>
      <w:bookmarkStart w:id="84" w:name="_Toc15396630"/>
      <w:bookmarkStart w:id="85" w:name="_Toc12308"/>
      <w:r>
        <w:rPr>
          <w:rStyle w:val="18"/>
          <w:rFonts w:hint="eastAsia" w:ascii="仿宋" w:hAnsi="仿宋" w:eastAsia="仿宋"/>
          <w:b w:val="0"/>
          <w:bCs w:val="0"/>
          <w:color w:val="auto"/>
          <w:highlight w:val="none"/>
        </w:rPr>
        <w:t>十二、</w:t>
      </w:r>
      <w:bookmarkEnd w:id="84"/>
      <w:r>
        <w:rPr>
          <w:rStyle w:val="18"/>
          <w:rFonts w:hint="eastAsia" w:ascii="仿宋" w:hAnsi="仿宋" w:eastAsia="仿宋"/>
          <w:b w:val="0"/>
          <w:bCs w:val="0"/>
          <w:color w:val="auto"/>
          <w:highlight w:val="none"/>
          <w:lang w:eastAsia="zh-CN"/>
        </w:rPr>
        <w:t>国有资本经营预算财政拨款支出决算表</w:t>
      </w:r>
      <w:bookmarkEnd w:id="85"/>
    </w:p>
    <w:p>
      <w:pPr>
        <w:pStyle w:val="4"/>
        <w:pageBreakBefore w:val="0"/>
        <w:kinsoku/>
        <w:wordWrap/>
        <w:overflowPunct/>
        <w:topLinePunct w:val="0"/>
        <w:bidi w:val="0"/>
        <w:spacing w:before="0" w:after="0"/>
        <w:textAlignment w:val="auto"/>
        <w:rPr>
          <w:rFonts w:hint="eastAsia" w:eastAsia="仿宋"/>
          <w:color w:val="auto"/>
          <w:highlight w:val="none"/>
          <w:lang w:eastAsia="zh-CN"/>
        </w:rPr>
      </w:pPr>
      <w:bookmarkStart w:id="86" w:name="_Toc15396631"/>
      <w:bookmarkStart w:id="87" w:name="_Toc24713"/>
      <w:r>
        <w:rPr>
          <w:rStyle w:val="18"/>
          <w:rFonts w:hint="eastAsia" w:ascii="仿宋" w:hAnsi="仿宋" w:eastAsia="仿宋"/>
          <w:b w:val="0"/>
          <w:bCs w:val="0"/>
          <w:color w:val="auto"/>
          <w:highlight w:val="none"/>
        </w:rPr>
        <w:t>十三、</w:t>
      </w:r>
      <w:bookmarkEnd w:id="86"/>
      <w:r>
        <w:rPr>
          <w:rStyle w:val="18"/>
          <w:rFonts w:hint="eastAsia" w:ascii="仿宋" w:hAnsi="仿宋" w:eastAsia="仿宋"/>
          <w:b w:val="0"/>
          <w:bCs w:val="0"/>
          <w:color w:val="auto"/>
          <w:highlight w:val="none"/>
          <w:lang w:eastAsia="zh-CN"/>
        </w:rPr>
        <w:t>财政拨款“三公”经费支出决算表</w:t>
      </w:r>
      <w:bookmarkEnd w:id="87"/>
    </w:p>
    <w:sectPr>
      <w:pgSz w:w="16838" w:h="11906" w:orient="landscape"/>
      <w:pgMar w:top="1803" w:right="1440" w:bottom="1803" w:left="1440" w:header="851" w:footer="992" w:gutter="0"/>
      <w:pgNumType w:fmt="decimal"/>
      <w:cols w:space="0" w:num="1"/>
      <w:titlePg/>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Georgia"/>
    <w:panose1 w:val="02040503050406030204"/>
    <w:charset w:val="00"/>
    <w:family w:val="roman"/>
    <w:pitch w:val="default"/>
    <w:sig w:usb0="00000000" w:usb1="00000000" w:usb2="02000000" w:usb3="00000000" w:csb0="2000019F" w:csb1="00000000"/>
  </w:font>
  <w:font w:name="微软雅黑">
    <w:altName w:val="黑体"/>
    <w:panose1 w:val="020B0503020204020204"/>
    <w:charset w:val="86"/>
    <w:family w:val="auto"/>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simhei">
    <w:altName w:val="Mangal"/>
    <w:panose1 w:val="00000000000000000000"/>
    <w:charset w:val="00"/>
    <w:family w:val="auto"/>
    <w:pitch w:val="default"/>
    <w:sig w:usb0="00000000" w:usb1="00000000" w:usb2="00000000" w:usb3="00000000" w:csb0="0000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Georgia">
    <w:panose1 w:val="02040502050405020303"/>
    <w:charset w:val="00"/>
    <w:family w:val="auto"/>
    <w:pitch w:val="default"/>
    <w:sig w:usb0="00000287" w:usb1="00000000" w:usb2="00000000" w:usb3="00000000" w:csb0="2000009F" w:csb1="00000000"/>
  </w:font>
  <w:font w:name="Mangal">
    <w:panose1 w:val="00000400000000000000"/>
    <w:charset w:val="00"/>
    <w:family w:val="auto"/>
    <w:pitch w:val="default"/>
    <w:sig w:usb0="00008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iMuAO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DiMuAOGwIAACkEAAAOAAAAAAAAAAEAIAAAADU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1">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9"/>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3A62B5"/>
    <w:rsid w:val="0A2032A3"/>
    <w:rsid w:val="0B8A37D8"/>
    <w:rsid w:val="0CFF7BF4"/>
    <w:rsid w:val="10C055FF"/>
    <w:rsid w:val="118107EC"/>
    <w:rsid w:val="11DD6519"/>
    <w:rsid w:val="16BB723D"/>
    <w:rsid w:val="18015F3F"/>
    <w:rsid w:val="1BE8440E"/>
    <w:rsid w:val="1D155CEE"/>
    <w:rsid w:val="1E7E1EE4"/>
    <w:rsid w:val="1EFB219F"/>
    <w:rsid w:val="20F57F95"/>
    <w:rsid w:val="240371BF"/>
    <w:rsid w:val="25711CC6"/>
    <w:rsid w:val="25C741E6"/>
    <w:rsid w:val="27842671"/>
    <w:rsid w:val="29FD04D3"/>
    <w:rsid w:val="2ABE7A3E"/>
    <w:rsid w:val="2CA234A8"/>
    <w:rsid w:val="2EFA178C"/>
    <w:rsid w:val="2FDF6F96"/>
    <w:rsid w:val="30B46D73"/>
    <w:rsid w:val="319F7F4E"/>
    <w:rsid w:val="383D272C"/>
    <w:rsid w:val="39AE70AB"/>
    <w:rsid w:val="3C0C0783"/>
    <w:rsid w:val="3D32D53E"/>
    <w:rsid w:val="3F9F3A96"/>
    <w:rsid w:val="3FEF80E4"/>
    <w:rsid w:val="41085755"/>
    <w:rsid w:val="48BF60AB"/>
    <w:rsid w:val="493C27E9"/>
    <w:rsid w:val="496F39ED"/>
    <w:rsid w:val="49FF41D3"/>
    <w:rsid w:val="4BE068DB"/>
    <w:rsid w:val="4BF6002B"/>
    <w:rsid w:val="4E2B7129"/>
    <w:rsid w:val="4ECE2238"/>
    <w:rsid w:val="51DB4B86"/>
    <w:rsid w:val="55333C3E"/>
    <w:rsid w:val="64CA39A1"/>
    <w:rsid w:val="69630ADE"/>
    <w:rsid w:val="6C4A05C8"/>
    <w:rsid w:val="6D3B1A89"/>
    <w:rsid w:val="6EFEEA81"/>
    <w:rsid w:val="6FDF168E"/>
    <w:rsid w:val="71BF4EC2"/>
    <w:rsid w:val="72734D90"/>
    <w:rsid w:val="7412278C"/>
    <w:rsid w:val="7904082E"/>
    <w:rsid w:val="79E7B28D"/>
    <w:rsid w:val="7ADBB9F1"/>
    <w:rsid w:val="7BD18CC5"/>
    <w:rsid w:val="7BFFD486"/>
    <w:rsid w:val="7F9F20EE"/>
    <w:rsid w:val="7FBEF218"/>
    <w:rsid w:val="7FED172D"/>
    <w:rsid w:val="8F7FE5BB"/>
    <w:rsid w:val="9E3A10E2"/>
    <w:rsid w:val="A7ED2432"/>
    <w:rsid w:val="ADBEE352"/>
    <w:rsid w:val="BF7FDF67"/>
    <w:rsid w:val="D7EE7883"/>
    <w:rsid w:val="D85AF6DD"/>
    <w:rsid w:val="F1FB4A98"/>
    <w:rsid w:val="F2E1F9D4"/>
    <w:rsid w:val="F57DD852"/>
    <w:rsid w:val="F7880819"/>
    <w:rsid w:val="FBFFBBDD"/>
    <w:rsid w:val="FDBF7CC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正文-啊"/>
    <w:basedOn w:val="1"/>
    <w:qFormat/>
    <w:uiPriority w:val="99"/>
    <w:pPr>
      <w:spacing w:beforeLines="100" w:line="276" w:lineRule="auto"/>
      <w:ind w:left="210" w:right="210" w:firstLine="600"/>
    </w:pPr>
    <w:rPr>
      <w:rFonts w:ascii="微软雅黑" w:hAnsi="微软雅黑" w:cs="微软雅黑"/>
      <w:color w:val="000000"/>
      <w:sz w:val="24"/>
      <w:szCs w:val="24"/>
    </w:r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10"/>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9"/>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8"/>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font01"/>
    <w:basedOn w:val="14"/>
    <w:qFormat/>
    <w:uiPriority w:val="0"/>
    <w:rPr>
      <w:rFonts w:hint="eastAsia" w:ascii="宋体" w:hAnsi="宋体" w:eastAsia="宋体" w:cs="宋体"/>
      <w:color w:val="000000"/>
      <w:sz w:val="18"/>
      <w:szCs w:val="18"/>
      <w:u w:val="none"/>
    </w:rPr>
  </w:style>
  <w:style w:type="paragraph" w:customStyle="1" w:styleId="32">
    <w:name w:val="WPSOffice手动目录 1"/>
    <w:qFormat/>
    <w:uiPriority w:val="0"/>
    <w:pPr>
      <w:ind w:leftChars="0"/>
    </w:pPr>
    <w:rPr>
      <w:rFonts w:ascii="Times New Roman" w:hAnsi="Times New Roman" w:eastAsia="宋体" w:cs="Times New Roman"/>
      <w:sz w:val="20"/>
      <w:szCs w:val="20"/>
    </w:rPr>
  </w:style>
  <w:style w:type="paragraph" w:customStyle="1" w:styleId="33">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2"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home/user/Desktop/&#26032;&#24314;Excel&#25991;&#26723;.xls"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home/user/Desktop/&#26032;&#24314;Excel&#25991;&#26723;.xls"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home/user/Desktop/&#26032;&#24314;Excel&#25991;&#26723;.xls"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home/user/Desktop/&#26032;&#24314;Excel&#25991;&#26723;.xls"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home/user/Desktop/&#26032;&#24314;Excel&#25991;&#26723;.xls"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home/user/Desktop/&#26032;&#24314;Excel&#25991;&#2672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p>
        </c:rich>
      </c:tx>
      <c:layout>
        <c:manualLayout>
          <c:xMode val="edge"/>
          <c:yMode val="edge"/>
          <c:x val="0.692916666666667"/>
          <c:y val="0.0555555555555556"/>
        </c:manualLayout>
      </c:layout>
      <c:overlay val="false"/>
      <c:spPr>
        <a:noFill/>
        <a:ln>
          <a:noFill/>
        </a:ln>
        <a:effectLst/>
      </c:spPr>
    </c:title>
    <c:autoTitleDeleted val="false"/>
    <c:plotArea>
      <c:layout/>
      <c:barChart>
        <c:barDir val="col"/>
        <c:grouping val="stack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[工作簿2]Sheet1!$A$1:$A$2</c:f>
              <c:strCache>
                <c:ptCount val="2"/>
                <c:pt idx="0">
                  <c:v>2021年</c:v>
                </c:pt>
                <c:pt idx="1">
                  <c:v>2022年</c:v>
                </c:pt>
              </c:strCache>
            </c:strRef>
          </c:cat>
          <c:val>
            <c:numRef>
              <c:f>[工作簿2]Sheet1!$B$1:$B$2</c:f>
              <c:numCache>
                <c:formatCode>General</c:formatCode>
                <c:ptCount val="2"/>
                <c:pt idx="0">
                  <c:v>226.28</c:v>
                </c:pt>
                <c:pt idx="1">
                  <c:v>179.68</c:v>
                </c:pt>
              </c:numCache>
            </c:numRef>
          </c:val>
        </c:ser>
        <c:dLbls>
          <c:showLegendKey val="false"/>
          <c:showVal val="true"/>
          <c:showCatName val="false"/>
          <c:showSerName val="false"/>
          <c:showPercent val="false"/>
          <c:showBubbleSize val="false"/>
        </c:dLbls>
        <c:gapWidth val="150"/>
        <c:overlap val="100"/>
        <c:axId val="619634313"/>
        <c:axId val="407503193"/>
      </c:barChart>
      <c:catAx>
        <c:axId val="619634313"/>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07503193"/>
        <c:crosses val="autoZero"/>
        <c:auto val="true"/>
        <c:lblAlgn val="ctr"/>
        <c:lblOffset val="100"/>
        <c:noMultiLvlLbl val="false"/>
      </c:catAx>
      <c:valAx>
        <c:axId val="407503193"/>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619634313"/>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p>
        </c:rich>
      </c:tx>
      <c:layout>
        <c:manualLayout>
          <c:xMode val="edge"/>
          <c:yMode val="edge"/>
          <c:x val="0.653254359363154"/>
          <c:y val="0.0689424721984602"/>
        </c:manualLayout>
      </c:layout>
      <c:overlay val="false"/>
      <c:spPr>
        <a:noFill/>
        <a:ln>
          <a:noFill/>
        </a:ln>
        <a:effectLst/>
      </c:spPr>
    </c:title>
    <c:autoTitleDeleted val="false"/>
    <c:plotArea>
      <c:layout>
        <c:manualLayout>
          <c:layoutTarget val="inner"/>
          <c:xMode val="edge"/>
          <c:yMode val="edge"/>
          <c:x val="0.126611111111111"/>
          <c:y val="0.197222222222222"/>
          <c:w val="0.869222222222222"/>
          <c:h val="0.607268518518518"/>
        </c:manualLayout>
      </c:layout>
      <c:pieChart>
        <c:varyColors val="true"/>
        <c:ser>
          <c:idx val="0"/>
          <c:order val="0"/>
          <c:spPr/>
          <c:explosion val="0"/>
          <c:dPt>
            <c:idx val="0"/>
            <c:bubble3D val="false"/>
            <c:spPr>
              <a:solidFill>
                <a:schemeClr val="accent1"/>
              </a:solidFill>
              <a:ln>
                <a:noFill/>
              </a:ln>
              <a:effectLst/>
            </c:spPr>
          </c:dPt>
          <c:dPt>
            <c:idx val="1"/>
            <c:bubble3D val="false"/>
            <c:spPr>
              <a:solidFill>
                <a:schemeClr val="accent2"/>
              </a:solidFill>
              <a:ln>
                <a:no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[新建Excel文档.xls]Sheet1!$A$4:$A$5</c:f>
              <c:strCache>
                <c:ptCount val="2"/>
                <c:pt idx="0">
                  <c:v>一般公共预算财政拨款收入</c:v>
                </c:pt>
              </c:strCache>
            </c:strRef>
          </c:cat>
          <c:val>
            <c:numRef>
              <c:f>[新建Excel文档.xls]Sheet1!$B$4:$B$5</c:f>
              <c:numCache>
                <c:formatCode>General</c:formatCode>
                <c:ptCount val="2"/>
                <c:pt idx="0">
                  <c:v>165.93</c:v>
                </c:pt>
              </c:numCache>
            </c:numRef>
          </c:val>
        </c:ser>
        <c:dLbls>
          <c:showLegendKey val="false"/>
          <c:showVal val="true"/>
          <c:showCatName val="false"/>
          <c:showSerName val="false"/>
          <c:showPercent val="true"/>
          <c:showBubbleSize val="false"/>
          <c:showLeaderLines val="true"/>
        </c:dLbls>
        <c:firstSliceAng val="0"/>
      </c:pieChart>
      <c:spPr>
        <a:noFill/>
        <a:ln>
          <a:noFill/>
        </a:ln>
        <a:effectLst/>
      </c:spPr>
    </c:plotArea>
    <c:legend>
      <c:legendPos val="r"/>
      <c:layout>
        <c:manualLayout>
          <c:xMode val="edge"/>
          <c:yMode val="edge"/>
          <c:x val="0.0326004548900682"/>
          <c:y val="0.567864271457086"/>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p>
        </c:rich>
      </c:tx>
      <c:layout>
        <c:manualLayout>
          <c:xMode val="edge"/>
          <c:yMode val="edge"/>
          <c:x val="0.7575"/>
          <c:y val="0.09375"/>
        </c:manualLayout>
      </c:layout>
      <c:overlay val="false"/>
      <c:spPr>
        <a:noFill/>
        <a:ln>
          <a:noFill/>
        </a:ln>
        <a:effectLst/>
      </c:spPr>
    </c:title>
    <c:autoTitleDeleted val="false"/>
    <c:plotArea>
      <c:layout>
        <c:manualLayout>
          <c:layoutTarget val="inner"/>
          <c:xMode val="edge"/>
          <c:yMode val="edge"/>
          <c:x val="0.126611111111111"/>
          <c:y val="0.197222222222222"/>
          <c:w val="0.869222222222222"/>
          <c:h val="0.607268518518518"/>
        </c:manualLayout>
      </c:layout>
      <c:pieChart>
        <c:varyColors val="true"/>
        <c:ser>
          <c:idx val="0"/>
          <c:order val="0"/>
          <c:spPr/>
          <c:explosion val="0"/>
          <c:dPt>
            <c:idx val="0"/>
            <c:bubble3D val="false"/>
            <c:spPr>
              <a:solidFill>
                <a:schemeClr val="accent1"/>
              </a:solidFill>
              <a:ln>
                <a:noFill/>
              </a:ln>
              <a:effectLst/>
            </c:spPr>
          </c:dPt>
          <c:dPt>
            <c:idx val="1"/>
            <c:bubble3D val="false"/>
            <c:spPr>
              <a:solidFill>
                <a:schemeClr val="accent2"/>
              </a:solidFill>
              <a:ln>
                <a:no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[新建Excel文档.xls]Sheet1!$A$4:$A$5</c:f>
              <c:strCache>
                <c:ptCount val="2"/>
                <c:pt idx="0">
                  <c:v>项目支出</c:v>
                </c:pt>
                <c:pt idx="1">
                  <c:v>基本支出</c:v>
                </c:pt>
              </c:strCache>
            </c:strRef>
          </c:cat>
          <c:val>
            <c:numRef>
              <c:f>[新建Excel文档.xls]Sheet1!$B$4:$B$5</c:f>
              <c:numCache>
                <c:formatCode>General</c:formatCode>
                <c:ptCount val="2"/>
                <c:pt idx="0">
                  <c:v>73.06</c:v>
                </c:pt>
                <c:pt idx="1">
                  <c:v>102.14</c:v>
                </c:pt>
              </c:numCache>
            </c:numRef>
          </c:val>
        </c:ser>
        <c:dLbls>
          <c:showLegendKey val="false"/>
          <c:showVal val="true"/>
          <c:showCatName val="false"/>
          <c:showSerName val="false"/>
          <c:showPercent val="tru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p>
        </c:rich>
      </c:tx>
      <c:layout>
        <c:manualLayout>
          <c:xMode val="edge"/>
          <c:yMode val="edge"/>
          <c:x val="0.733235910328933"/>
          <c:y val="0.0087361677344205"/>
        </c:manualLayout>
      </c:layout>
      <c:overlay val="false"/>
      <c:spPr>
        <a:noFill/>
        <a:ln>
          <a:noFill/>
        </a:ln>
        <a:effectLst/>
      </c:spPr>
    </c:title>
    <c:autoTitleDeleted val="false"/>
    <c:plotArea>
      <c:layout>
        <c:manualLayout>
          <c:layoutTarget val="inner"/>
          <c:xMode val="edge"/>
          <c:yMode val="edge"/>
          <c:x val="0.126611111111111"/>
          <c:y val="0.197222222222222"/>
          <c:w val="0.869222222222222"/>
          <c:h val="0.607268518518518"/>
        </c:manualLayout>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tru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[新建Excel文档.xls]Sheet1!$A$4:$A$5</c:f>
              <c:strCache>
                <c:ptCount val="2"/>
                <c:pt idx="0">
                  <c:v>2022年</c:v>
                </c:pt>
                <c:pt idx="1">
                  <c:v>2021年</c:v>
                </c:pt>
              </c:strCache>
            </c:strRef>
          </c:cat>
          <c:val>
            <c:numRef>
              <c:f>[新建Excel文档.xls]Sheet1!$B$4:$B$5</c:f>
              <c:numCache>
                <c:formatCode>General</c:formatCode>
                <c:ptCount val="2"/>
                <c:pt idx="0">
                  <c:v>175.2</c:v>
                </c:pt>
                <c:pt idx="1">
                  <c:v>186.56</c:v>
                </c:pt>
              </c:numCache>
            </c:numRef>
          </c:val>
        </c:ser>
        <c:dLbls>
          <c:showLegendKey val="false"/>
          <c:showVal val="true"/>
          <c:showCatName val="false"/>
          <c:showSerName val="false"/>
          <c:showPercent val="true"/>
          <c:showBubbleSize val="false"/>
        </c:dLbls>
        <c:gapWidth val="219"/>
        <c:overlap val="0"/>
        <c:axId val="853241253"/>
        <c:axId val="754835840"/>
      </c:barChart>
      <c:catAx>
        <c:axId val="853241253"/>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54835840"/>
        <c:crosses val="autoZero"/>
        <c:auto val="true"/>
        <c:lblAlgn val="ctr"/>
        <c:lblOffset val="100"/>
        <c:noMultiLvlLbl val="false"/>
      </c:catAx>
      <c:valAx>
        <c:axId val="754835840"/>
        <c:scaling>
          <c:orientation val="minMax"/>
        </c:scaling>
        <c:delete val="false"/>
        <c:axPos val="l"/>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53241253"/>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p>
        </c:rich>
      </c:tx>
      <c:layout>
        <c:manualLayout>
          <c:xMode val="edge"/>
          <c:yMode val="edge"/>
          <c:x val="0.75669056477032"/>
          <c:y val="0.0189049064238746"/>
        </c:manualLayout>
      </c:layout>
      <c:overlay val="false"/>
      <c:spPr>
        <a:noFill/>
        <a:ln>
          <a:noFill/>
        </a:ln>
        <a:effectLst/>
      </c:spPr>
    </c:title>
    <c:autoTitleDeleted val="false"/>
    <c:plotArea>
      <c:layout>
        <c:manualLayout>
          <c:layoutTarget val="inner"/>
          <c:xMode val="edge"/>
          <c:yMode val="edge"/>
          <c:x val="0.111611111111111"/>
          <c:y val="0.176388888888889"/>
          <c:w val="0.861305555555556"/>
          <c:h val="0.71212962962963"/>
        </c:manualLayout>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[新建Excel文档.xls]Sheet1!$A$5:$A$6</c:f>
              <c:strCache>
                <c:ptCount val="2"/>
                <c:pt idx="0">
                  <c:v>2022年</c:v>
                </c:pt>
                <c:pt idx="1">
                  <c:v>2021年</c:v>
                </c:pt>
              </c:strCache>
            </c:strRef>
          </c:cat>
          <c:val>
            <c:numRef>
              <c:f>[新建Excel文档.xls]Sheet1!$B$5:$B$6</c:f>
              <c:numCache>
                <c:formatCode>General</c:formatCode>
                <c:ptCount val="2"/>
                <c:pt idx="0">
                  <c:v>175.2</c:v>
                </c:pt>
                <c:pt idx="1">
                  <c:v>177.29</c:v>
                </c:pt>
              </c:numCache>
            </c:numRef>
          </c:val>
        </c:ser>
        <c:dLbls>
          <c:showLegendKey val="false"/>
          <c:showVal val="true"/>
          <c:showCatName val="false"/>
          <c:showSerName val="false"/>
          <c:showPercent val="false"/>
          <c:showBubbleSize val="false"/>
        </c:dLbls>
        <c:gapWidth val="219"/>
        <c:overlap val="-27"/>
        <c:axId val="361670846"/>
        <c:axId val="461949580"/>
      </c:barChart>
      <c:catAx>
        <c:axId val="361670846"/>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61949580"/>
        <c:crosses val="autoZero"/>
        <c:auto val="true"/>
        <c:lblAlgn val="ctr"/>
        <c:lblOffset val="100"/>
        <c:noMultiLvlLbl val="false"/>
      </c:catAx>
      <c:valAx>
        <c:axId val="461949580"/>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61670846"/>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p>
        </c:rich>
      </c:tx>
      <c:layout>
        <c:manualLayout>
          <c:xMode val="edge"/>
          <c:yMode val="edge"/>
          <c:x val="0.785833333333333"/>
          <c:y val="0.0416666666666667"/>
        </c:manualLayout>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noFill/>
              </a:ln>
              <a:effectLst/>
            </c:spPr>
          </c:dPt>
          <c:dPt>
            <c:idx val="1"/>
            <c:bubble3D val="false"/>
            <c:spPr>
              <a:solidFill>
                <a:schemeClr val="accent2"/>
              </a:solidFill>
              <a:ln>
                <a:noFill/>
              </a:ln>
              <a:effectLst/>
            </c:spPr>
          </c:dPt>
          <c:dPt>
            <c:idx val="2"/>
            <c:bubble3D val="false"/>
            <c:spPr>
              <a:solidFill>
                <a:schemeClr val="accent3"/>
              </a:solidFill>
              <a:ln>
                <a:noFill/>
              </a:ln>
              <a:effectLst/>
            </c:spPr>
          </c:dPt>
          <c:dPt>
            <c:idx val="3"/>
            <c:bubble3D val="false"/>
            <c:spPr>
              <a:solidFill>
                <a:schemeClr val="accent4"/>
              </a:solidFill>
              <a:ln>
                <a:noFill/>
              </a:ln>
              <a:effectLst/>
            </c:spPr>
          </c:dPt>
          <c:dPt>
            <c:idx val="4"/>
            <c:bubble3D val="false"/>
            <c:spPr>
              <a:solidFill>
                <a:schemeClr val="accent5"/>
              </a:solidFill>
              <a:ln>
                <a:noFill/>
              </a:ln>
              <a:effectLst/>
            </c:spPr>
          </c:dPt>
          <c:dLbls>
            <c:dLbl>
              <c:idx val="2"/>
              <c:layout>
                <c:manualLayout>
                  <c:x val="-0.1"/>
                  <c:y val="-0.00347222222222222"/>
                </c:manualLayout>
              </c:layout>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dLbl>
              <c:idx val="3"/>
              <c:layout>
                <c:manualLayout>
                  <c:x val="-0.01875"/>
                  <c:y val="-0.0833333333333333"/>
                </c:manualLayout>
              </c:layout>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dLbl>
              <c:idx val="4"/>
              <c:layout>
                <c:manualLayout>
                  <c:x val="0.0916666666666667"/>
                  <c:y val="-0.0520833333333333"/>
                </c:manualLayout>
              </c:layout>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[新建Excel文档.xls]Sheet1!$A$5:$A$9</c:f>
              <c:strCache>
                <c:ptCount val="5"/>
                <c:pt idx="0">
                  <c:v>一般公共服务支出</c:v>
                </c:pt>
                <c:pt idx="1">
                  <c:v>文化体育与传媒支出</c:v>
                </c:pt>
                <c:pt idx="2">
                  <c:v>社会保障和就业支出</c:v>
                </c:pt>
                <c:pt idx="3">
                  <c:v>卫生健康支出</c:v>
                </c:pt>
                <c:pt idx="4">
                  <c:v>住房保障支出</c:v>
                </c:pt>
              </c:strCache>
            </c:strRef>
          </c:cat>
          <c:val>
            <c:numRef>
              <c:f>[新建Excel文档.xls]Sheet1!$B$5:$B$9</c:f>
              <c:numCache>
                <c:formatCode>General</c:formatCode>
                <c:ptCount val="5"/>
                <c:pt idx="0">
                  <c:v>102.9</c:v>
                </c:pt>
                <c:pt idx="1">
                  <c:v>64.07</c:v>
                </c:pt>
                <c:pt idx="2">
                  <c:v>3.18</c:v>
                </c:pt>
                <c:pt idx="3">
                  <c:v>1.69</c:v>
                </c:pt>
                <c:pt idx="4">
                  <c:v>3.35</c:v>
                </c:pt>
              </c:numCache>
            </c:numRef>
          </c:val>
        </c:ser>
        <c:dLbls>
          <c:showLegendKey val="false"/>
          <c:showVal val="true"/>
          <c:showCatName val="false"/>
          <c:showSerName val="false"/>
          <c:showPercent val="tru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endParaRPr lang="en-US" altLang="zh-CN"/>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noFill/>
              </a:ln>
              <a:effectLst/>
            </c:spPr>
          </c:dPt>
          <c:dPt>
            <c:idx val="1"/>
            <c:bubble3D val="false"/>
            <c:spPr>
              <a:solidFill>
                <a:schemeClr val="accent2"/>
              </a:solidFill>
              <a:ln>
                <a:noFill/>
              </a:ln>
              <a:effectLst/>
            </c:spPr>
          </c:dPt>
          <c:dPt>
            <c:idx val="2"/>
            <c:bubble3D val="false"/>
            <c:spPr>
              <a:solidFill>
                <a:schemeClr val="accent3"/>
              </a:solidFill>
              <a:ln>
                <a:no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[新建Excel文档.xls]Sheet1!$A$5:$A$7</c:f>
              <c:strCache>
                <c:ptCount val="3"/>
                <c:pt idx="0">
                  <c:v>因公出国（境）费</c:v>
                </c:pt>
                <c:pt idx="1">
                  <c:v>公务用车购置及运行维护费</c:v>
                </c:pt>
                <c:pt idx="2">
                  <c:v>公务接待费</c:v>
                </c:pt>
              </c:strCache>
            </c:strRef>
          </c:cat>
          <c:val>
            <c:numRef>
              <c:f>[新建Excel文档.xls]Sheet1!$B$5:$B$7</c:f>
              <c:numCache>
                <c:formatCode>General</c:formatCode>
                <c:ptCount val="3"/>
                <c:pt idx="0">
                  <c:v>0</c:v>
                </c:pt>
                <c:pt idx="1">
                  <c:v>0</c:v>
                </c:pt>
                <c:pt idx="2">
                  <c:v>0.25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0</TotalTime>
  <ScaleCrop>false</ScaleCrop>
  <LinksUpToDate>false</LinksUpToDate>
  <CharactersWithSpaces>8692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2020-08-08T17:49:00Z</dcterms:created>
  <dc:creator>曹颖</dc:creator>
  <cp:lastModifiedBy> </cp:lastModifiedBy>
  <cp:lastPrinted>2023-08-03T18:35:00Z</cp:lastPrinted>
  <dcterms:modified xsi:type="dcterms:W3CDTF">2023-10-24T16:14:10Z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6B70361D626A4593B4A9C4A901EC4F63</vt:lpwstr>
  </property>
</Properties>
</file>