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left"/>
        <w:outlineLvl w:val="9"/>
        <w:rPr>
          <w:rFonts w:ascii="方正小标宋简体" w:hAnsi="宋体" w:eastAsia="方正小标宋简体"/>
          <w:color w:val="auto"/>
          <w:sz w:val="21"/>
          <w:szCs w:val="21"/>
          <w:highlight w:val="none"/>
        </w:rPr>
      </w:pPr>
      <w:bookmarkStart w:id="0" w:name="_Toc15306267"/>
    </w:p>
    <w:p>
      <w:pPr>
        <w:shd w:val="clear"/>
        <w:spacing w:line="600" w:lineRule="exact"/>
        <w:jc w:val="center"/>
        <w:outlineLvl w:val="9"/>
        <w:rPr>
          <w:rFonts w:ascii="方正小标宋简体" w:hAnsi="宋体" w:eastAsia="方正小标宋简体"/>
          <w:color w:val="auto"/>
          <w:sz w:val="72"/>
          <w:szCs w:val="72"/>
          <w:highlight w:val="none"/>
        </w:rPr>
      </w:pPr>
    </w:p>
    <w:p>
      <w:pPr>
        <w:pStyle w:val="2"/>
        <w:shd w:val="clear"/>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0"/>
        <w:rPr>
          <w:rFonts w:hint="eastAsia" w:ascii="方正小标宋简体" w:hAnsi="方正小标宋简体" w:eastAsia="方正小标宋简体" w:cs="方正小标宋简体"/>
          <w:color w:val="auto"/>
          <w:sz w:val="72"/>
          <w:szCs w:val="72"/>
          <w:highlight w:val="none"/>
          <w:lang w:eastAsia="zh-CN"/>
        </w:rPr>
      </w:pPr>
      <w:bookmarkStart w:id="1" w:name="_Toc15396475"/>
      <w:bookmarkStart w:id="2" w:name="_Toc15396597"/>
      <w:bookmarkStart w:id="3" w:name="_Toc15377425"/>
      <w:bookmarkStart w:id="4" w:name="_Toc15377193"/>
      <w:bookmarkStart w:id="5" w:name="_Toc29819"/>
      <w:bookmarkStart w:id="6" w:name="_Toc15378441"/>
      <w:r>
        <w:rPr>
          <w:rFonts w:hint="eastAsia" w:ascii="方正小标宋简体" w:hAnsi="方正小标宋简体" w:eastAsia="方正小标宋简体" w:cs="方正小标宋简体"/>
          <w:color w:val="auto"/>
          <w:sz w:val="72"/>
          <w:szCs w:val="72"/>
          <w:highlight w:val="none"/>
          <w:lang w:eastAsia="zh-CN"/>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lang w:eastAsia="zh-CN"/>
        </w:rPr>
        <w:t>年度</w:t>
      </w:r>
      <w:bookmarkEnd w:id="1"/>
      <w:bookmarkEnd w:id="2"/>
      <w:bookmarkEnd w:id="3"/>
      <w:bookmarkEnd w:id="4"/>
      <w:bookmarkEnd w:id="5"/>
      <w:bookmarkEnd w:id="6"/>
    </w:p>
    <w:p>
      <w:pPr>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0"/>
        <w:rPr>
          <w:rFonts w:hint="eastAsia" w:ascii="方正小标宋简体" w:hAnsi="方正小标宋简体" w:eastAsia="方正小标宋简体" w:cs="方正小标宋简体"/>
          <w:color w:val="auto"/>
          <w:sz w:val="72"/>
          <w:szCs w:val="72"/>
          <w:highlight w:val="none"/>
          <w:lang w:eastAsia="zh-CN"/>
        </w:rPr>
      </w:pPr>
      <w:bookmarkStart w:id="7" w:name="_Toc15396476"/>
      <w:bookmarkStart w:id="8" w:name="_Toc15378442"/>
      <w:bookmarkStart w:id="9" w:name="_Toc15396598"/>
      <w:bookmarkStart w:id="10" w:name="_Toc15377426"/>
      <w:bookmarkStart w:id="11" w:name="_Toc15377194"/>
      <w:bookmarkStart w:id="12" w:name="_Toc16071"/>
      <w:r>
        <w:rPr>
          <w:rFonts w:hint="eastAsia" w:ascii="方正小标宋简体" w:hAnsi="方正小标宋简体" w:eastAsia="方正小标宋简体" w:cs="方正小标宋简体"/>
          <w:color w:val="auto"/>
          <w:sz w:val="72"/>
          <w:szCs w:val="72"/>
          <w:highlight w:val="none"/>
          <w:lang w:eastAsia="zh-CN"/>
        </w:rPr>
        <w:t>九三学社广元市委</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单</w:t>
      </w:r>
      <w:bookmarkEnd w:id="7"/>
      <w:bookmarkEnd w:id="8"/>
      <w:bookmarkEnd w:id="9"/>
      <w:bookmarkEnd w:id="10"/>
      <w:bookmarkEnd w:id="11"/>
      <w:bookmarkEnd w:id="13"/>
      <w:r>
        <w:rPr>
          <w:rFonts w:hint="eastAsia" w:ascii="方正小标宋简体" w:hAnsi="方正小标宋简体" w:eastAsia="方正小标宋简体" w:cs="方正小标宋简体"/>
          <w:color w:val="auto"/>
          <w:sz w:val="72"/>
          <w:szCs w:val="72"/>
          <w:highlight w:val="none"/>
          <w:lang w:eastAsia="zh-CN"/>
        </w:rPr>
        <w:t>位决算</w:t>
      </w:r>
      <w:bookmarkEnd w:id="12"/>
    </w:p>
    <w:p>
      <w:pPr>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0"/>
        <w:rPr>
          <w:rFonts w:hint="default"/>
          <w:sz w:val="72"/>
          <w:szCs w:val="72"/>
          <w:highlight w:val="none"/>
          <w:lang w:val="en"/>
        </w:rPr>
      </w:pPr>
      <w:bookmarkStart w:id="14" w:name="_Toc20042"/>
      <w:r>
        <w:rPr>
          <w:rFonts w:hint="eastAsia" w:ascii="方正小标宋简体" w:hAnsi="方正小标宋简体" w:eastAsia="方正小标宋简体" w:cs="方正小标宋简体"/>
          <w:color w:val="auto"/>
          <w:sz w:val="72"/>
          <w:szCs w:val="72"/>
          <w:highlight w:val="none"/>
          <w:lang w:eastAsia="zh-CN"/>
        </w:rPr>
        <w:t>编制说明</w:t>
      </w:r>
      <w:bookmarkEnd w:id="14"/>
    </w:p>
    <w:p>
      <w:pPr>
        <w:widowControl/>
        <w:shd w:val="clear"/>
        <w:jc w:val="center"/>
        <w:rPr>
          <w:rFonts w:hint="eastAsia" w:ascii="黑体" w:hAnsi="黑体" w:eastAsia="黑体"/>
          <w:color w:val="auto"/>
          <w:sz w:val="48"/>
          <w:szCs w:val="48"/>
          <w:highlight w:val="none"/>
        </w:rPr>
        <w:sectPr>
          <w:headerReference r:id="rId3" w:type="default"/>
          <w:pgSz w:w="11906" w:h="16838"/>
          <w:pgMar w:top="2098" w:right="1531" w:bottom="1984" w:left="1587" w:header="851" w:footer="992" w:gutter="0"/>
          <w:pgNumType w:start="1"/>
          <w:cols w:space="0" w:num="1"/>
          <w:titlePg/>
          <w:rtlGutter w:val="0"/>
          <w:docGrid w:type="lines" w:linePitch="312" w:charSpace="0"/>
        </w:sectPr>
      </w:pPr>
    </w:p>
    <w:p>
      <w:pPr>
        <w:widowControl/>
        <w:shd w:val="clear"/>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0"/>
        <w:shd w:val="clear"/>
        <w:rPr>
          <w:rFonts w:hint="eastAsia"/>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7</w:t>
      </w:r>
      <w:bookmarkStart w:id="104" w:name="_GoBack"/>
      <w:bookmarkEnd w:id="104"/>
      <w:r>
        <w:rPr>
          <w:rFonts w:hint="eastAsia"/>
          <w:color w:val="auto"/>
          <w:highlight w:val="none"/>
        </w:rPr>
        <w:t>日</w:t>
      </w:r>
    </w:p>
    <w:sdt>
      <w:sdtPr>
        <w:rPr>
          <w:rFonts w:ascii="宋体" w:hAnsi="宋体" w:eastAsia="宋体" w:cs="Times New Roman"/>
          <w:kern w:val="2"/>
          <w:sz w:val="21"/>
          <w:szCs w:val="24"/>
          <w:highlight w:val="none"/>
          <w:lang w:val="en-US" w:eastAsia="zh-CN" w:bidi="ar-SA"/>
        </w:rPr>
        <w:id w:val="147479830"/>
        <w15:color w:val="DBDBDB"/>
        <w:docPartObj>
          <w:docPartGallery w:val="Table of Contents"/>
          <w:docPartUnique/>
        </w:docPartObj>
      </w:sdtPr>
      <w:sdtEndPr>
        <w:rPr>
          <w:rFonts w:hint="eastAsia" w:ascii="Times New Roman" w:hAnsi="Times New Roman" w:eastAsia="宋体" w:cs="Times New Roman"/>
          <w:b/>
          <w:kern w:val="2"/>
          <w:sz w:val="21"/>
          <w:szCs w:val="24"/>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highlight w:val="none"/>
            </w:rPr>
          </w:pPr>
        </w:p>
        <w:p>
          <w:pPr>
            <w:pStyle w:val="31"/>
            <w:shd w:val="clear"/>
            <w:tabs>
              <w:tab w:val="right" w:pos="5600"/>
              <w:tab w:val="right" w:leader="dot" w:pos="8788"/>
            </w:tabs>
            <w:rPr>
              <w:b/>
              <w:highlight w:val="none"/>
            </w:rPr>
          </w:pPr>
          <w:r>
            <w:rPr>
              <w:rFonts w:hint="eastAsia"/>
              <w:highlight w:val="none"/>
              <w:lang w:val="en-US" w:eastAsia="zh-CN"/>
            </w:rPr>
            <w:fldChar w:fldCharType="begin"/>
          </w:r>
          <w:r>
            <w:rPr>
              <w:rFonts w:hint="eastAsia"/>
              <w:highlight w:val="none"/>
              <w:lang w:val="en-US" w:eastAsia="zh-CN"/>
            </w:rPr>
            <w:instrText xml:space="preserve">TOC \o "1-2" \h \u </w:instrText>
          </w:r>
          <w:r>
            <w:rPr>
              <w:rFonts w:hint="eastAsia"/>
              <w:highlight w:val="none"/>
              <w:lang w:val="en-US" w:eastAsia="zh-CN"/>
            </w:rPr>
            <w:fldChar w:fldCharType="separate"/>
          </w:r>
        </w:p>
        <w:p>
          <w:pPr>
            <w:pStyle w:val="31"/>
            <w:shd w:val="clear"/>
            <w:tabs>
              <w:tab w:val="right" w:leader="dot" w:pos="8788"/>
            </w:tabs>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_Toc14392 </w:instrText>
          </w:r>
          <w:r>
            <w:rPr>
              <w:rFonts w:hint="eastAsia"/>
              <w:b/>
              <w:highlight w:val="none"/>
              <w:lang w:val="en-US" w:eastAsia="zh-CN"/>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highlight w:val="none"/>
            </w:rPr>
            <w:tab/>
          </w:r>
          <w:r>
            <w:rPr>
              <w:b/>
              <w:highlight w:val="none"/>
            </w:rPr>
            <w:fldChar w:fldCharType="begin"/>
          </w:r>
          <w:r>
            <w:rPr>
              <w:b/>
              <w:highlight w:val="none"/>
            </w:rPr>
            <w:instrText xml:space="preserve"> PAGEREF _Toc14392 \h </w:instrText>
          </w:r>
          <w:r>
            <w:rPr>
              <w:b/>
              <w:highlight w:val="none"/>
            </w:rPr>
            <w:fldChar w:fldCharType="separate"/>
          </w:r>
          <w:r>
            <w:rPr>
              <w:b/>
              <w:highlight w:val="none"/>
            </w:rPr>
            <w:t>1</w:t>
          </w:r>
          <w:r>
            <w:rPr>
              <w:b/>
              <w:highlight w:val="none"/>
            </w:rPr>
            <w:fldChar w:fldCharType="end"/>
          </w:r>
          <w:r>
            <w:rPr>
              <w:rFonts w:hint="eastAsia"/>
              <w:b/>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_Toc27736 </w:instrText>
          </w:r>
          <w:r>
            <w:rPr>
              <w:rFonts w:hint="eastAsia"/>
              <w:highlight w:val="none"/>
              <w:lang w:val="en-US" w:eastAsia="zh-CN"/>
            </w:rPr>
            <w:fldChar w:fldCharType="separate"/>
          </w:r>
          <w:r>
            <w:rPr>
              <w:rFonts w:hint="eastAsia" w:ascii="黑体" w:hAnsi="黑体" w:eastAsia="黑体"/>
              <w:bCs w:val="0"/>
              <w:highlight w:val="none"/>
              <w:lang w:eastAsia="zh-CN"/>
            </w:rPr>
            <w:t>一、 主要职责</w:t>
          </w:r>
          <w:r>
            <w:rPr>
              <w:highlight w:val="none"/>
            </w:rPr>
            <w:tab/>
          </w:r>
          <w:r>
            <w:rPr>
              <w:highlight w:val="none"/>
            </w:rPr>
            <w:fldChar w:fldCharType="begin"/>
          </w:r>
          <w:r>
            <w:rPr>
              <w:highlight w:val="none"/>
            </w:rPr>
            <w:instrText xml:space="preserve"> PAGEREF _Toc27736 \h </w:instrText>
          </w:r>
          <w:r>
            <w:rPr>
              <w:highlight w:val="none"/>
            </w:rPr>
            <w:fldChar w:fldCharType="separate"/>
          </w:r>
          <w:r>
            <w:rPr>
              <w:highlight w:val="none"/>
            </w:rPr>
            <w:t>1</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_Toc27564 </w:instrText>
          </w:r>
          <w:r>
            <w:rPr>
              <w:rFonts w:hint="eastAsia"/>
              <w:highlight w:val="none"/>
              <w:lang w:val="en-US" w:eastAsia="zh-CN"/>
            </w:rPr>
            <w:fldChar w:fldCharType="separate"/>
          </w:r>
          <w:r>
            <w:rPr>
              <w:rFonts w:hint="eastAsia" w:ascii="黑体" w:hAnsi="黑体" w:eastAsia="黑体"/>
              <w:highlight w:val="none"/>
              <w:lang w:val="en-US" w:eastAsia="zh-CN"/>
            </w:rPr>
            <w:t>二、 机构设置</w:t>
          </w:r>
          <w:r>
            <w:rPr>
              <w:highlight w:val="none"/>
            </w:rPr>
            <w:tab/>
          </w:r>
          <w:r>
            <w:rPr>
              <w:highlight w:val="none"/>
            </w:rPr>
            <w:fldChar w:fldCharType="begin"/>
          </w:r>
          <w:r>
            <w:rPr>
              <w:highlight w:val="none"/>
            </w:rPr>
            <w:instrText xml:space="preserve"> PAGEREF _Toc27564 \h </w:instrText>
          </w:r>
          <w:r>
            <w:rPr>
              <w:highlight w:val="none"/>
            </w:rPr>
            <w:fldChar w:fldCharType="separate"/>
          </w:r>
          <w:r>
            <w:rPr>
              <w:highlight w:val="none"/>
            </w:rPr>
            <w:t>1</w:t>
          </w:r>
          <w:r>
            <w:rPr>
              <w:highlight w:val="none"/>
            </w:rPr>
            <w:fldChar w:fldCharType="end"/>
          </w:r>
          <w:r>
            <w:rPr>
              <w:rFonts w:hint="eastAsia"/>
              <w:highlight w:val="none"/>
              <w:lang w:val="en-US" w:eastAsia="zh-CN"/>
            </w:rPr>
            <w:fldChar w:fldCharType="end"/>
          </w:r>
        </w:p>
        <w:p>
          <w:pPr>
            <w:pStyle w:val="31"/>
            <w:shd w:val="clear"/>
            <w:tabs>
              <w:tab w:val="right" w:leader="dot" w:pos="8788"/>
            </w:tabs>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_Toc519 </w:instrText>
          </w:r>
          <w:r>
            <w:rPr>
              <w:rFonts w:hint="eastAsia"/>
              <w:b/>
              <w:highlight w:val="none"/>
              <w:lang w:val="en-US" w:eastAsia="zh-CN"/>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highlight w:val="none"/>
            </w:rPr>
            <w:tab/>
          </w:r>
          <w:r>
            <w:rPr>
              <w:b/>
              <w:highlight w:val="none"/>
            </w:rPr>
            <w:fldChar w:fldCharType="begin"/>
          </w:r>
          <w:r>
            <w:rPr>
              <w:b/>
              <w:highlight w:val="none"/>
            </w:rPr>
            <w:instrText xml:space="preserve"> PAGEREF _Toc519 \h </w:instrText>
          </w:r>
          <w:r>
            <w:rPr>
              <w:b/>
              <w:highlight w:val="none"/>
            </w:rPr>
            <w:fldChar w:fldCharType="separate"/>
          </w:r>
          <w:r>
            <w:rPr>
              <w:b/>
              <w:highlight w:val="none"/>
            </w:rPr>
            <w:t>2</w:t>
          </w:r>
          <w:r>
            <w:rPr>
              <w:b/>
              <w:highlight w:val="none"/>
            </w:rPr>
            <w:fldChar w:fldCharType="end"/>
          </w:r>
          <w:r>
            <w:rPr>
              <w:rFonts w:hint="eastAsia"/>
              <w:b/>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_Toc2978 </w:instrText>
          </w:r>
          <w:r>
            <w:rPr>
              <w:rFonts w:hint="eastAsia"/>
              <w:highlight w:val="none"/>
              <w:lang w:val="en-US" w:eastAsia="zh-CN"/>
            </w:rPr>
            <w:fldChar w:fldCharType="separate"/>
          </w:r>
          <w:r>
            <w:rPr>
              <w:rFonts w:hint="default" w:ascii="黑体" w:hAnsi="黑体" w:eastAsia="黑体"/>
              <w:highlight w:val="none"/>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rPr>
              <w:highlight w:val="none"/>
            </w:rPr>
            <w:tab/>
          </w:r>
          <w:r>
            <w:rPr>
              <w:highlight w:val="none"/>
            </w:rPr>
            <w:fldChar w:fldCharType="begin"/>
          </w:r>
          <w:r>
            <w:rPr>
              <w:highlight w:val="none"/>
            </w:rPr>
            <w:instrText xml:space="preserve"> PAGEREF _Toc2978 \h </w:instrText>
          </w:r>
          <w:r>
            <w:rPr>
              <w:highlight w:val="none"/>
            </w:rPr>
            <w:fldChar w:fldCharType="separate"/>
          </w:r>
          <w:r>
            <w:rPr>
              <w:highlight w:val="none"/>
            </w:rPr>
            <w:t>2</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_Toc11196 </w:instrText>
          </w:r>
          <w:r>
            <w:rPr>
              <w:rFonts w:hint="eastAsia"/>
              <w:highlight w:val="none"/>
              <w:lang w:val="en-US" w:eastAsia="zh-CN"/>
            </w:rPr>
            <w:fldChar w:fldCharType="separate"/>
          </w:r>
          <w:r>
            <w:rPr>
              <w:rFonts w:hint="default" w:ascii="黑体" w:hAnsi="黑体" w:eastAsia="黑体"/>
              <w:highlight w:val="none"/>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rPr>
              <w:highlight w:val="none"/>
            </w:rPr>
            <w:tab/>
          </w:r>
          <w:r>
            <w:rPr>
              <w:highlight w:val="none"/>
            </w:rPr>
            <w:fldChar w:fldCharType="begin"/>
          </w:r>
          <w:r>
            <w:rPr>
              <w:highlight w:val="none"/>
            </w:rPr>
            <w:instrText xml:space="preserve"> PAGEREF _Toc11196 \h </w:instrText>
          </w:r>
          <w:r>
            <w:rPr>
              <w:highlight w:val="none"/>
            </w:rPr>
            <w:fldChar w:fldCharType="separate"/>
          </w:r>
          <w:r>
            <w:rPr>
              <w:highlight w:val="none"/>
            </w:rPr>
            <w:t>2</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_Toc1197 </w:instrText>
          </w:r>
          <w:r>
            <w:rPr>
              <w:rFonts w:hint="eastAsia"/>
              <w:highlight w:val="none"/>
              <w:lang w:val="en-US" w:eastAsia="zh-CN"/>
            </w:rPr>
            <w:fldChar w:fldCharType="separate"/>
          </w:r>
          <w:r>
            <w:rPr>
              <w:rFonts w:hint="default" w:ascii="黑体" w:hAnsi="黑体" w:eastAsia="黑体"/>
              <w:highlight w:val="none"/>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rPr>
              <w:highlight w:val="none"/>
            </w:rPr>
            <w:tab/>
          </w:r>
          <w:r>
            <w:rPr>
              <w:highlight w:val="none"/>
            </w:rPr>
            <w:fldChar w:fldCharType="begin"/>
          </w:r>
          <w:r>
            <w:rPr>
              <w:highlight w:val="none"/>
            </w:rPr>
            <w:instrText xml:space="preserve"> PAGEREF _Toc1197 \h </w:instrText>
          </w:r>
          <w:r>
            <w:rPr>
              <w:highlight w:val="none"/>
            </w:rPr>
            <w:fldChar w:fldCharType="separate"/>
          </w:r>
          <w:r>
            <w:rPr>
              <w:highlight w:val="none"/>
            </w:rPr>
            <w:t>3</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_Toc3516 </w:instrText>
          </w:r>
          <w:r>
            <w:rPr>
              <w:rFonts w:hint="eastAsia"/>
              <w:highlight w:val="none"/>
              <w:lang w:val="en-US" w:eastAsia="zh-CN"/>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rPr>
              <w:highlight w:val="none"/>
            </w:rPr>
            <w:tab/>
          </w:r>
          <w:r>
            <w:rPr>
              <w:highlight w:val="none"/>
            </w:rPr>
            <w:fldChar w:fldCharType="begin"/>
          </w:r>
          <w:r>
            <w:rPr>
              <w:highlight w:val="none"/>
            </w:rPr>
            <w:instrText xml:space="preserve"> PAGEREF _Toc3516 \h </w:instrText>
          </w:r>
          <w:r>
            <w:rPr>
              <w:highlight w:val="none"/>
            </w:rPr>
            <w:fldChar w:fldCharType="separate"/>
          </w:r>
          <w:r>
            <w:rPr>
              <w:highlight w:val="none"/>
            </w:rPr>
            <w:t>4</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_Toc15745 </w:instrText>
          </w:r>
          <w:r>
            <w:rPr>
              <w:rFonts w:hint="eastAsia"/>
              <w:highlight w:val="none"/>
              <w:lang w:val="en-US" w:eastAsia="zh-CN"/>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rPr>
              <w:highlight w:val="none"/>
            </w:rPr>
            <w:tab/>
          </w:r>
          <w:r>
            <w:rPr>
              <w:highlight w:val="none"/>
            </w:rPr>
            <w:fldChar w:fldCharType="begin"/>
          </w:r>
          <w:r>
            <w:rPr>
              <w:highlight w:val="none"/>
            </w:rPr>
            <w:instrText xml:space="preserve"> PAGEREF _Toc15745 \h </w:instrText>
          </w:r>
          <w:r>
            <w:rPr>
              <w:highlight w:val="none"/>
            </w:rPr>
            <w:fldChar w:fldCharType="separate"/>
          </w:r>
          <w:r>
            <w:rPr>
              <w:highlight w:val="none"/>
            </w:rPr>
            <w:t>4</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_Toc11927 </w:instrText>
          </w:r>
          <w:r>
            <w:rPr>
              <w:rFonts w:hint="eastAsia"/>
              <w:highlight w:val="none"/>
              <w:lang w:val="en-US" w:eastAsia="zh-CN"/>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rPr>
              <w:highlight w:val="none"/>
            </w:rPr>
            <w:tab/>
          </w:r>
          <w:r>
            <w:rPr>
              <w:highlight w:val="none"/>
            </w:rPr>
            <w:fldChar w:fldCharType="begin"/>
          </w:r>
          <w:r>
            <w:rPr>
              <w:highlight w:val="none"/>
            </w:rPr>
            <w:instrText xml:space="preserve"> PAGEREF _Toc11927 \h </w:instrText>
          </w:r>
          <w:r>
            <w:rPr>
              <w:highlight w:val="none"/>
            </w:rPr>
            <w:fldChar w:fldCharType="separate"/>
          </w:r>
          <w:r>
            <w:rPr>
              <w:highlight w:val="none"/>
            </w:rPr>
            <w:t>6</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_Toc1013 </w:instrText>
          </w:r>
          <w:r>
            <w:rPr>
              <w:rFonts w:hint="eastAsia"/>
              <w:highlight w:val="none"/>
              <w:lang w:val="en-US" w:eastAsia="zh-CN"/>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rPr>
              <w:highlight w:val="none"/>
            </w:rPr>
            <w:tab/>
          </w:r>
          <w:r>
            <w:rPr>
              <w:highlight w:val="none"/>
            </w:rPr>
            <w:fldChar w:fldCharType="begin"/>
          </w:r>
          <w:r>
            <w:rPr>
              <w:highlight w:val="none"/>
            </w:rPr>
            <w:instrText xml:space="preserve"> PAGEREF _Toc1013 \h </w:instrText>
          </w:r>
          <w:r>
            <w:rPr>
              <w:highlight w:val="none"/>
            </w:rPr>
            <w:fldChar w:fldCharType="separate"/>
          </w:r>
          <w:r>
            <w:rPr>
              <w:highlight w:val="none"/>
            </w:rPr>
            <w:t>7</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_Toc29400 </w:instrText>
          </w:r>
          <w:r>
            <w:rPr>
              <w:rFonts w:hint="eastAsia"/>
              <w:highlight w:val="none"/>
              <w:lang w:val="en-US" w:eastAsia="zh-CN"/>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rPr>
              <w:highlight w:val="none"/>
            </w:rPr>
            <w:tab/>
          </w:r>
          <w:r>
            <w:rPr>
              <w:highlight w:val="none"/>
            </w:rPr>
            <w:fldChar w:fldCharType="begin"/>
          </w:r>
          <w:r>
            <w:rPr>
              <w:highlight w:val="none"/>
            </w:rPr>
            <w:instrText xml:space="preserve"> PAGEREF _Toc29400 \h </w:instrText>
          </w:r>
          <w:r>
            <w:rPr>
              <w:highlight w:val="none"/>
            </w:rPr>
            <w:fldChar w:fldCharType="separate"/>
          </w:r>
          <w:r>
            <w:rPr>
              <w:highlight w:val="none"/>
            </w:rPr>
            <w:t>8</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_Toc2028 </w:instrText>
          </w:r>
          <w:r>
            <w:rPr>
              <w:rFonts w:hint="eastAsia"/>
              <w:highlight w:val="none"/>
              <w:lang w:val="en-US" w:eastAsia="zh-CN"/>
            </w:rPr>
            <w:fldChar w:fldCharType="separate"/>
          </w:r>
          <w:r>
            <w:rPr>
              <w:rFonts w:hint="eastAsia" w:ascii="黑体" w:hAnsi="黑体" w:eastAsia="黑体"/>
              <w:highlight w:val="none"/>
            </w:rPr>
            <w:t>九、 国有资本经营预算支出决算情况说明</w:t>
          </w:r>
          <w:r>
            <w:rPr>
              <w:highlight w:val="none"/>
            </w:rPr>
            <w:tab/>
          </w:r>
          <w:r>
            <w:rPr>
              <w:highlight w:val="none"/>
            </w:rPr>
            <w:fldChar w:fldCharType="begin"/>
          </w:r>
          <w:r>
            <w:rPr>
              <w:highlight w:val="none"/>
            </w:rPr>
            <w:instrText xml:space="preserve"> PAGEREF _Toc2028 \h </w:instrText>
          </w:r>
          <w:r>
            <w:rPr>
              <w:highlight w:val="none"/>
            </w:rPr>
            <w:fldChar w:fldCharType="separate"/>
          </w:r>
          <w:r>
            <w:rPr>
              <w:highlight w:val="none"/>
            </w:rPr>
            <w:t>8</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_Toc22377 </w:instrText>
          </w:r>
          <w:r>
            <w:rPr>
              <w:rFonts w:hint="eastAsia"/>
              <w:highlight w:val="none"/>
              <w:lang w:val="en-US" w:eastAsia="zh-CN"/>
            </w:rPr>
            <w:fldChar w:fldCharType="separate"/>
          </w:r>
          <w:r>
            <w:rPr>
              <w:rFonts w:hint="eastAsia" w:ascii="黑体" w:hAnsi="黑体" w:eastAsia="黑体"/>
              <w:highlight w:val="none"/>
            </w:rPr>
            <w:t>十、 其他重要事项的情况说明</w:t>
          </w:r>
          <w:r>
            <w:rPr>
              <w:highlight w:val="none"/>
            </w:rPr>
            <w:tab/>
          </w:r>
          <w:r>
            <w:rPr>
              <w:highlight w:val="none"/>
            </w:rPr>
            <w:fldChar w:fldCharType="begin"/>
          </w:r>
          <w:r>
            <w:rPr>
              <w:highlight w:val="none"/>
            </w:rPr>
            <w:instrText xml:space="preserve"> PAGEREF _Toc22377 \h </w:instrText>
          </w:r>
          <w:r>
            <w:rPr>
              <w:highlight w:val="none"/>
            </w:rPr>
            <w:fldChar w:fldCharType="separate"/>
          </w:r>
          <w:r>
            <w:rPr>
              <w:highlight w:val="none"/>
            </w:rPr>
            <w:t>8</w:t>
          </w:r>
          <w:r>
            <w:rPr>
              <w:highlight w:val="none"/>
            </w:rPr>
            <w:fldChar w:fldCharType="end"/>
          </w:r>
          <w:r>
            <w:rPr>
              <w:rFonts w:hint="eastAsia"/>
              <w:highlight w:val="none"/>
              <w:lang w:val="en-US" w:eastAsia="zh-CN"/>
            </w:rPr>
            <w:fldChar w:fldCharType="end"/>
          </w:r>
        </w:p>
        <w:p>
          <w:pPr>
            <w:pStyle w:val="31"/>
            <w:shd w:val="clear"/>
            <w:tabs>
              <w:tab w:val="right" w:leader="dot" w:pos="8788"/>
            </w:tabs>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_Toc24818 </w:instrText>
          </w:r>
          <w:r>
            <w:rPr>
              <w:rFonts w:hint="eastAsia"/>
              <w:b/>
              <w:highlight w:val="none"/>
              <w:lang w:val="en-US" w:eastAsia="zh-CN"/>
            </w:rPr>
            <w:fldChar w:fldCharType="separate"/>
          </w:r>
          <w:r>
            <w:rPr>
              <w:rFonts w:hint="eastAsia" w:ascii="黑体" w:hAnsi="黑体" w:eastAsia="黑体" w:cs="黑体"/>
              <w:b/>
              <w:szCs w:val="44"/>
              <w:highlight w:val="none"/>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highlight w:val="none"/>
            </w:rPr>
            <w:tab/>
          </w:r>
          <w:r>
            <w:rPr>
              <w:b/>
              <w:highlight w:val="none"/>
            </w:rPr>
            <w:fldChar w:fldCharType="begin"/>
          </w:r>
          <w:r>
            <w:rPr>
              <w:b/>
              <w:highlight w:val="none"/>
            </w:rPr>
            <w:instrText xml:space="preserve"> PAGEREF _Toc24818 \h </w:instrText>
          </w:r>
          <w:r>
            <w:rPr>
              <w:b/>
              <w:highlight w:val="none"/>
            </w:rPr>
            <w:fldChar w:fldCharType="separate"/>
          </w:r>
          <w:r>
            <w:rPr>
              <w:b/>
              <w:highlight w:val="none"/>
            </w:rPr>
            <w:t>10</w:t>
          </w:r>
          <w:r>
            <w:rPr>
              <w:b/>
              <w:highlight w:val="none"/>
            </w:rPr>
            <w:fldChar w:fldCharType="end"/>
          </w:r>
          <w:r>
            <w:rPr>
              <w:rFonts w:hint="eastAsia"/>
              <w:b/>
              <w:highlight w:val="none"/>
              <w:lang w:val="en-US" w:eastAsia="zh-CN"/>
            </w:rPr>
            <w:fldChar w:fldCharType="end"/>
          </w:r>
        </w:p>
        <w:p>
          <w:pPr>
            <w:pStyle w:val="31"/>
            <w:shd w:val="clear"/>
            <w:tabs>
              <w:tab w:val="right" w:leader="dot" w:pos="8788"/>
            </w:tabs>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_Toc12236 </w:instrText>
          </w:r>
          <w:r>
            <w:rPr>
              <w:rFonts w:hint="eastAsia"/>
              <w:b/>
              <w:highlight w:val="none"/>
              <w:lang w:val="en-US" w:eastAsia="zh-CN"/>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highlight w:val="none"/>
            </w:rPr>
            <w:tab/>
          </w:r>
          <w:r>
            <w:rPr>
              <w:b/>
              <w:highlight w:val="none"/>
            </w:rPr>
            <w:fldChar w:fldCharType="begin"/>
          </w:r>
          <w:r>
            <w:rPr>
              <w:b/>
              <w:highlight w:val="none"/>
            </w:rPr>
            <w:instrText xml:space="preserve"> PAGEREF _Toc12236 \h </w:instrText>
          </w:r>
          <w:r>
            <w:rPr>
              <w:b/>
              <w:highlight w:val="none"/>
            </w:rPr>
            <w:fldChar w:fldCharType="separate"/>
          </w:r>
          <w:r>
            <w:rPr>
              <w:b/>
              <w:highlight w:val="none"/>
            </w:rPr>
            <w:t>13</w:t>
          </w:r>
          <w:r>
            <w:rPr>
              <w:b/>
              <w:highlight w:val="none"/>
            </w:rPr>
            <w:fldChar w:fldCharType="end"/>
          </w:r>
          <w:r>
            <w:rPr>
              <w:rFonts w:hint="eastAsia"/>
              <w:b/>
              <w:highlight w:val="none"/>
              <w:lang w:val="en-US" w:eastAsia="zh-CN"/>
            </w:rPr>
            <w:fldChar w:fldCharType="end"/>
          </w:r>
        </w:p>
        <w:p>
          <w:pPr>
            <w:pStyle w:val="31"/>
            <w:shd w:val="clear"/>
            <w:tabs>
              <w:tab w:val="right" w:leader="dot" w:pos="8788"/>
            </w:tabs>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_Toc18061 </w:instrText>
          </w:r>
          <w:r>
            <w:rPr>
              <w:rFonts w:hint="eastAsia"/>
              <w:b/>
              <w:highlight w:val="none"/>
              <w:lang w:val="en-US" w:eastAsia="zh-CN"/>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highlight w:val="none"/>
            </w:rPr>
            <w:tab/>
          </w:r>
          <w:r>
            <w:rPr>
              <w:b/>
              <w:highlight w:val="none"/>
            </w:rPr>
            <w:fldChar w:fldCharType="begin"/>
          </w:r>
          <w:r>
            <w:rPr>
              <w:b/>
              <w:highlight w:val="none"/>
            </w:rPr>
            <w:instrText xml:space="preserve"> PAGEREF _Toc18061 \h </w:instrText>
          </w:r>
          <w:r>
            <w:rPr>
              <w:b/>
              <w:highlight w:val="none"/>
            </w:rPr>
            <w:fldChar w:fldCharType="separate"/>
          </w:r>
          <w:r>
            <w:rPr>
              <w:b/>
              <w:highlight w:val="none"/>
            </w:rPr>
            <w:t>15</w:t>
          </w:r>
          <w:r>
            <w:rPr>
              <w:b/>
              <w:highlight w:val="none"/>
            </w:rPr>
            <w:fldChar w:fldCharType="end"/>
          </w:r>
          <w:r>
            <w:rPr>
              <w:rFonts w:hint="eastAsia"/>
              <w:b/>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_Toc26446 </w:instrText>
          </w:r>
          <w:r>
            <w:rPr>
              <w:rFonts w:hint="eastAsia"/>
              <w:highlight w:val="none"/>
              <w:lang w:val="en-US" w:eastAsia="zh-CN"/>
            </w:rPr>
            <w:fldChar w:fldCharType="separate"/>
          </w:r>
          <w:r>
            <w:rPr>
              <w:rFonts w:hint="eastAsia" w:ascii="仿宋" w:hAnsi="仿宋" w:eastAsia="仿宋"/>
              <w:highlight w:val="none"/>
            </w:rPr>
            <w:t>一、</w:t>
          </w:r>
          <w:r>
            <w:rPr>
              <w:rFonts w:hint="eastAsia" w:ascii="仿宋" w:hAnsi="仿宋" w:eastAsia="仿宋" w:cstheme="majorBidi"/>
              <w:bCs/>
              <w:kern w:val="2"/>
              <w:szCs w:val="32"/>
              <w:highlight w:val="none"/>
              <w:lang w:val="en-US" w:eastAsia="zh-CN" w:bidi="ar-SA"/>
            </w:rPr>
            <w:t>收入支出决算总表</w:t>
          </w:r>
          <w:r>
            <w:rPr>
              <w:highlight w:val="none"/>
            </w:rPr>
            <w:tab/>
          </w:r>
          <w:r>
            <w:rPr>
              <w:highlight w:val="none"/>
            </w:rPr>
            <w:fldChar w:fldCharType="begin"/>
          </w:r>
          <w:r>
            <w:rPr>
              <w:highlight w:val="none"/>
            </w:rPr>
            <w:instrText xml:space="preserve"> PAGEREF _Toc26446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_Toc18736 </w:instrText>
          </w:r>
          <w:r>
            <w:rPr>
              <w:rFonts w:hint="eastAsia"/>
              <w:highlight w:val="none"/>
              <w:lang w:val="en-US" w:eastAsia="zh-CN"/>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rPr>
              <w:highlight w:val="none"/>
            </w:rPr>
            <w:tab/>
          </w:r>
          <w:r>
            <w:rPr>
              <w:highlight w:val="none"/>
            </w:rPr>
            <w:fldChar w:fldCharType="begin"/>
          </w:r>
          <w:r>
            <w:rPr>
              <w:highlight w:val="none"/>
            </w:rPr>
            <w:instrText xml:space="preserve"> PAGEREF _Toc18736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_Toc15751 </w:instrText>
          </w:r>
          <w:r>
            <w:rPr>
              <w:rFonts w:hint="eastAsia"/>
              <w:highlight w:val="none"/>
              <w:lang w:val="en-US" w:eastAsia="zh-CN"/>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rPr>
              <w:highlight w:val="none"/>
            </w:rPr>
            <w:tab/>
          </w:r>
          <w:r>
            <w:rPr>
              <w:highlight w:val="none"/>
            </w:rPr>
            <w:fldChar w:fldCharType="begin"/>
          </w:r>
          <w:r>
            <w:rPr>
              <w:highlight w:val="none"/>
            </w:rPr>
            <w:instrText xml:space="preserve"> PAGEREF _Toc15751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_Toc8000 </w:instrText>
          </w:r>
          <w:r>
            <w:rPr>
              <w:rFonts w:hint="eastAsia"/>
              <w:highlight w:val="none"/>
              <w:lang w:val="en-US" w:eastAsia="zh-CN"/>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rPr>
              <w:highlight w:val="none"/>
            </w:rPr>
            <w:tab/>
          </w:r>
          <w:r>
            <w:rPr>
              <w:highlight w:val="none"/>
            </w:rPr>
            <w:fldChar w:fldCharType="begin"/>
          </w:r>
          <w:r>
            <w:rPr>
              <w:highlight w:val="none"/>
            </w:rPr>
            <w:instrText xml:space="preserve"> PAGEREF _Toc8000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_Toc22474 </w:instrText>
          </w:r>
          <w:r>
            <w:rPr>
              <w:rFonts w:hint="eastAsia"/>
              <w:highlight w:val="none"/>
              <w:lang w:val="en-US" w:eastAsia="zh-CN"/>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rPr>
              <w:highlight w:val="none"/>
            </w:rPr>
            <w:tab/>
          </w:r>
          <w:r>
            <w:rPr>
              <w:highlight w:val="none"/>
            </w:rPr>
            <w:fldChar w:fldCharType="begin"/>
          </w:r>
          <w:r>
            <w:rPr>
              <w:highlight w:val="none"/>
            </w:rPr>
            <w:instrText xml:space="preserve"> PAGEREF _Toc22474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_Toc1847 </w:instrText>
          </w:r>
          <w:r>
            <w:rPr>
              <w:rFonts w:hint="eastAsia"/>
              <w:highlight w:val="none"/>
              <w:lang w:val="en-US" w:eastAsia="zh-CN"/>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rPr>
              <w:highlight w:val="none"/>
            </w:rPr>
            <w:tab/>
          </w:r>
          <w:r>
            <w:rPr>
              <w:highlight w:val="none"/>
            </w:rPr>
            <w:fldChar w:fldCharType="begin"/>
          </w:r>
          <w:r>
            <w:rPr>
              <w:highlight w:val="none"/>
            </w:rPr>
            <w:instrText xml:space="preserve"> PAGEREF _Toc1847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_Toc22334 </w:instrText>
          </w:r>
          <w:r>
            <w:rPr>
              <w:rFonts w:hint="eastAsia"/>
              <w:highlight w:val="none"/>
              <w:lang w:val="en-US" w:eastAsia="zh-CN"/>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rPr>
              <w:highlight w:val="none"/>
            </w:rPr>
            <w:tab/>
          </w:r>
          <w:r>
            <w:rPr>
              <w:highlight w:val="none"/>
            </w:rPr>
            <w:fldChar w:fldCharType="begin"/>
          </w:r>
          <w:r>
            <w:rPr>
              <w:highlight w:val="none"/>
            </w:rPr>
            <w:instrText xml:space="preserve"> PAGEREF _Toc22334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_Toc20467 </w:instrText>
          </w:r>
          <w:r>
            <w:rPr>
              <w:rFonts w:hint="eastAsia"/>
              <w:highlight w:val="none"/>
              <w:lang w:val="en-US" w:eastAsia="zh-CN"/>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rPr>
              <w:highlight w:val="none"/>
            </w:rPr>
            <w:tab/>
          </w:r>
          <w:r>
            <w:rPr>
              <w:highlight w:val="none"/>
            </w:rPr>
            <w:fldChar w:fldCharType="begin"/>
          </w:r>
          <w:r>
            <w:rPr>
              <w:highlight w:val="none"/>
            </w:rPr>
            <w:instrText xml:space="preserve"> PAGEREF _Toc20467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_Toc24681 </w:instrText>
          </w:r>
          <w:r>
            <w:rPr>
              <w:rFonts w:hint="eastAsia"/>
              <w:highlight w:val="none"/>
              <w:lang w:val="en-US" w:eastAsia="zh-CN"/>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rPr>
              <w:highlight w:val="none"/>
            </w:rPr>
            <w:tab/>
          </w:r>
          <w:r>
            <w:rPr>
              <w:highlight w:val="none"/>
            </w:rPr>
            <w:fldChar w:fldCharType="begin"/>
          </w:r>
          <w:r>
            <w:rPr>
              <w:highlight w:val="none"/>
            </w:rPr>
            <w:instrText xml:space="preserve"> PAGEREF _Toc24681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_Toc24693 </w:instrText>
          </w:r>
          <w:r>
            <w:rPr>
              <w:rFonts w:hint="eastAsia"/>
              <w:highlight w:val="none"/>
              <w:lang w:val="en-US" w:eastAsia="zh-CN"/>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rPr>
              <w:highlight w:val="none"/>
            </w:rPr>
            <w:tab/>
          </w:r>
          <w:r>
            <w:rPr>
              <w:highlight w:val="none"/>
            </w:rPr>
            <w:fldChar w:fldCharType="begin"/>
          </w:r>
          <w:r>
            <w:rPr>
              <w:highlight w:val="none"/>
            </w:rPr>
            <w:instrText xml:space="preserve"> PAGEREF _Toc24693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_Toc10363 </w:instrText>
          </w:r>
          <w:r>
            <w:rPr>
              <w:rFonts w:hint="eastAsia"/>
              <w:highlight w:val="none"/>
              <w:lang w:val="en-US" w:eastAsia="zh-CN"/>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rPr>
              <w:highlight w:val="none"/>
            </w:rPr>
            <w:tab/>
          </w:r>
          <w:r>
            <w:rPr>
              <w:highlight w:val="none"/>
            </w:rPr>
            <w:fldChar w:fldCharType="begin"/>
          </w:r>
          <w:r>
            <w:rPr>
              <w:highlight w:val="none"/>
            </w:rPr>
            <w:instrText xml:space="preserve"> PAGEREF _Toc10363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_Toc8856 </w:instrText>
          </w:r>
          <w:r>
            <w:rPr>
              <w:rFonts w:hint="eastAsia"/>
              <w:highlight w:val="none"/>
              <w:lang w:val="en-US" w:eastAsia="zh-CN"/>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rPr>
              <w:highlight w:val="none"/>
            </w:rPr>
            <w:tab/>
          </w:r>
          <w:r>
            <w:rPr>
              <w:highlight w:val="none"/>
            </w:rPr>
            <w:fldChar w:fldCharType="begin"/>
          </w:r>
          <w:r>
            <w:rPr>
              <w:highlight w:val="none"/>
            </w:rPr>
            <w:instrText xml:space="preserve"> PAGEREF _Toc8856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32"/>
            <w:shd w:val="clear"/>
            <w:tabs>
              <w:tab w:val="right" w:leader="dot" w:pos="8788"/>
            </w:tabs>
            <w:rPr>
              <w:highlight w:val="none"/>
            </w:rPr>
          </w:pPr>
          <w:r>
            <w:rPr>
              <w:rFonts w:hint="eastAsia"/>
              <w:highlight w:val="none"/>
              <w:lang w:val="en-US" w:eastAsia="zh-CN"/>
            </w:rPr>
            <w:fldChar w:fldCharType="begin"/>
          </w:r>
          <w:r>
            <w:rPr>
              <w:rFonts w:hint="eastAsia"/>
              <w:highlight w:val="none"/>
              <w:lang w:val="en-US" w:eastAsia="zh-CN"/>
            </w:rPr>
            <w:instrText xml:space="preserve"> HYPERLINK \l _Toc32162 </w:instrText>
          </w:r>
          <w:r>
            <w:rPr>
              <w:rFonts w:hint="eastAsia"/>
              <w:highlight w:val="none"/>
              <w:lang w:val="en-US" w:eastAsia="zh-CN"/>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rPr>
              <w:highlight w:val="none"/>
            </w:rPr>
            <w:tab/>
          </w:r>
          <w:r>
            <w:rPr>
              <w:highlight w:val="none"/>
            </w:rPr>
            <w:fldChar w:fldCharType="begin"/>
          </w:r>
          <w:r>
            <w:rPr>
              <w:highlight w:val="none"/>
            </w:rPr>
            <w:instrText xml:space="preserve"> PAGEREF _Toc32162 \h </w:instrText>
          </w:r>
          <w:r>
            <w:rPr>
              <w:highlight w:val="none"/>
            </w:rPr>
            <w:fldChar w:fldCharType="separate"/>
          </w:r>
          <w:r>
            <w:rPr>
              <w:highlight w:val="none"/>
            </w:rPr>
            <w:t>15</w:t>
          </w:r>
          <w:r>
            <w:rPr>
              <w:highlight w:val="none"/>
            </w:rPr>
            <w:fldChar w:fldCharType="end"/>
          </w:r>
          <w:r>
            <w:rPr>
              <w:rFonts w:hint="eastAsia"/>
              <w:highlight w:val="none"/>
              <w:lang w:val="en-US" w:eastAsia="zh-CN"/>
            </w:rPr>
            <w:fldChar w:fldCharType="end"/>
          </w:r>
        </w:p>
        <w:p>
          <w:pPr>
            <w:pStyle w:val="11"/>
            <w:keepNext w:val="0"/>
            <w:keepLines w:val="0"/>
            <w:pageBreakBefore w:val="0"/>
            <w:widowControl w:val="0"/>
            <w:shd w:val="clear"/>
            <w:kinsoku/>
            <w:wordWrap/>
            <w:overflowPunct/>
            <w:topLinePunct w:val="0"/>
            <w:autoSpaceDE/>
            <w:autoSpaceDN/>
            <w:bidi w:val="0"/>
            <w:adjustRightInd w:val="0"/>
            <w:snapToGrid w:val="0"/>
            <w:spacing w:line="240" w:lineRule="exact"/>
            <w:jc w:val="left"/>
            <w:textAlignment w:val="auto"/>
            <w:rPr>
              <w:rFonts w:hint="eastAsia" w:ascii="黑体" w:hAnsi="黑体" w:eastAsia="黑体" w:cs="黑体"/>
              <w:color w:val="auto"/>
              <w:sz w:val="20"/>
              <w:szCs w:val="20"/>
              <w:highlight w:val="none"/>
            </w:rPr>
          </w:pPr>
          <w:r>
            <w:rPr>
              <w:rFonts w:hint="eastAsia"/>
              <w:b/>
              <w:highlight w:val="none"/>
              <w:lang w:val="en-US" w:eastAsia="zh-CN"/>
            </w:rPr>
            <w:fldChar w:fldCharType="end"/>
          </w:r>
        </w:p>
      </w:sdtContent>
    </w:sdt>
    <w:p>
      <w:pPr>
        <w:pStyle w:val="3"/>
        <w:shd w:val="clear"/>
        <w:jc w:val="center"/>
        <w:rPr>
          <w:rFonts w:hint="eastAsia" w:ascii="黑体" w:hAnsi="黑体" w:eastAsia="黑体"/>
          <w:b w:val="0"/>
          <w:color w:val="auto"/>
          <w:highlight w:val="none"/>
        </w:rPr>
        <w:sectPr>
          <w:footerReference r:id="rId5" w:type="first"/>
          <w:footerReference r:id="rId4" w:type="default"/>
          <w:pgSz w:w="11906" w:h="16838"/>
          <w:pgMar w:top="2098" w:right="1531" w:bottom="1984" w:left="1587" w:header="851" w:footer="992" w:gutter="0"/>
          <w:pgNumType w:start="1"/>
          <w:cols w:space="0" w:num="1"/>
          <w:rtlGutter w:val="0"/>
          <w:docGrid w:type="lines" w:linePitch="312" w:charSpace="0"/>
        </w:sectPr>
      </w:pPr>
      <w:bookmarkStart w:id="15" w:name="_Toc15377196"/>
      <w:bookmarkStart w:id="16" w:name="_Toc15396599"/>
      <w:bookmarkStart w:id="17" w:name="_Toc14392"/>
    </w:p>
    <w:p>
      <w:pPr>
        <w:pStyle w:val="3"/>
        <w:shd w:val="clear"/>
        <w:jc w:val="center"/>
        <w:rPr>
          <w:rStyle w:val="17"/>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5"/>
      <w:bookmarkEnd w:id="16"/>
      <w:bookmarkEnd w:id="17"/>
    </w:p>
    <w:p>
      <w:pPr>
        <w:widowControl/>
        <w:shd w:val="clear"/>
        <w:jc w:val="left"/>
        <w:rPr>
          <w:rFonts w:ascii="黑体" w:eastAsia="黑体"/>
          <w:color w:val="auto"/>
          <w:sz w:val="32"/>
          <w:szCs w:val="32"/>
          <w:highlight w:val="none"/>
        </w:rPr>
      </w:pPr>
    </w:p>
    <w:p>
      <w:pPr>
        <w:pStyle w:val="4"/>
        <w:numPr>
          <w:ilvl w:val="0"/>
          <w:numId w:val="1"/>
        </w:numPr>
        <w:shd w:val="clear"/>
        <w:rPr>
          <w:rStyle w:val="18"/>
          <w:rFonts w:hint="eastAsia" w:ascii="黑体" w:hAnsi="黑体" w:eastAsia="黑体"/>
          <w:b w:val="0"/>
          <w:bCs w:val="0"/>
          <w:color w:val="auto"/>
          <w:highlight w:val="none"/>
          <w:lang w:eastAsia="zh-CN"/>
        </w:rPr>
      </w:pPr>
      <w:bookmarkStart w:id="18" w:name="_Toc27736"/>
      <w:bookmarkStart w:id="19" w:name="_Toc15377197"/>
      <w:bookmarkStart w:id="20" w:name="_Toc15396600"/>
      <w:r>
        <w:rPr>
          <w:rStyle w:val="18"/>
          <w:rFonts w:hint="eastAsia" w:ascii="黑体" w:hAnsi="黑体" w:eastAsia="黑体"/>
          <w:b w:val="0"/>
          <w:bCs w:val="0"/>
          <w:color w:val="auto"/>
          <w:highlight w:val="none"/>
          <w:lang w:eastAsia="zh-CN"/>
        </w:rPr>
        <w:t>主要职责</w:t>
      </w:r>
      <w:bookmarkEnd w:id="18"/>
    </w:p>
    <w:p>
      <w:pPr>
        <w:pStyle w:val="12"/>
        <w:keepNext w:val="0"/>
        <w:keepLines w:val="0"/>
        <w:pageBreakBefore w:val="0"/>
        <w:widowControl/>
        <w:suppressLineNumbers w:val="0"/>
        <w:shd w:val="clear"/>
        <w:kinsoku/>
        <w:wordWrap/>
        <w:overflowPunct/>
        <w:topLinePunct w:val="0"/>
        <w:autoSpaceDE/>
        <w:autoSpaceDN/>
        <w:bidi w:val="0"/>
        <w:adjustRightInd/>
        <w:snapToGrid/>
        <w:spacing w:line="576" w:lineRule="exact"/>
        <w:ind w:left="0" w:firstLine="640" w:firstLineChars="200"/>
        <w:jc w:val="left"/>
        <w:rPr>
          <w:rFonts w:hint="eastAsia"/>
          <w:highlight w:val="none"/>
          <w:lang w:eastAsia="zh-CN"/>
        </w:rPr>
      </w:pPr>
      <w:r>
        <w:rPr>
          <w:rFonts w:hint="eastAsia" w:ascii="方正仿宋_GB2312" w:hAnsi="方正仿宋_GB2312" w:eastAsia="方正仿宋_GB2312" w:cs="方正仿宋_GB2312"/>
          <w:i w:val="0"/>
          <w:iCs w:val="0"/>
          <w:caps w:val="0"/>
          <w:color w:val="000000"/>
          <w:spacing w:val="0"/>
          <w:sz w:val="32"/>
          <w:szCs w:val="32"/>
          <w:highlight w:val="none"/>
          <w:shd w:val="clear" w:fill="FFFFFF"/>
        </w:rPr>
        <w:t>九三学社广元市委员会系民主党派市级组织，主要职能是民主监督、参政议政</w:t>
      </w:r>
      <w:r>
        <w:rPr>
          <w:rFonts w:hint="eastAsia" w:ascii="方正仿宋_GB2312" w:hAnsi="方正仿宋_GB2312" w:eastAsia="方正仿宋_GB2312" w:cs="方正仿宋_GB2312"/>
          <w:i w:val="0"/>
          <w:iCs w:val="0"/>
          <w:caps w:val="0"/>
          <w:color w:val="000000"/>
          <w:spacing w:val="0"/>
          <w:sz w:val="32"/>
          <w:szCs w:val="32"/>
          <w:highlight w:val="none"/>
          <w:shd w:val="clear" w:fill="FFFFFF"/>
          <w:lang w:eastAsia="zh-CN"/>
        </w:rPr>
        <w:t>，以及</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参加中国共产党领导的政治协商。</w:t>
      </w:r>
    </w:p>
    <w:p>
      <w:pPr>
        <w:pStyle w:val="4"/>
        <w:numPr>
          <w:ilvl w:val="0"/>
          <w:numId w:val="1"/>
        </w:numPr>
        <w:shd w:val="clear"/>
        <w:ind w:left="0" w:leftChars="0" w:firstLine="0" w:firstLineChars="0"/>
        <w:rPr>
          <w:rFonts w:hint="eastAsia" w:ascii="黑体" w:hAnsi="黑体" w:eastAsia="黑体"/>
          <w:b w:val="0"/>
          <w:color w:val="auto"/>
          <w:highlight w:val="none"/>
          <w:lang w:val="en-US" w:eastAsia="zh-CN"/>
        </w:rPr>
      </w:pPr>
      <w:bookmarkStart w:id="21" w:name="_Toc27564"/>
      <w:r>
        <w:rPr>
          <w:rFonts w:hint="eastAsia" w:ascii="黑体" w:hAnsi="黑体" w:eastAsia="黑体"/>
          <w:b w:val="0"/>
          <w:color w:val="auto"/>
          <w:highlight w:val="none"/>
          <w:lang w:val="en-US" w:eastAsia="zh-CN"/>
        </w:rPr>
        <w:t>机构设置</w:t>
      </w:r>
      <w:bookmarkEnd w:id="21"/>
    </w:p>
    <w:p>
      <w:pPr>
        <w:numPr>
          <w:ilvl w:val="0"/>
          <w:numId w:val="0"/>
        </w:numPr>
        <w:shd w:val="clear"/>
        <w:ind w:leftChars="0" w:firstLine="640" w:firstLineChars="200"/>
        <w:rPr>
          <w:rFonts w:hint="eastAsia" w:ascii="方正仿宋_GB2312" w:hAnsi="方正仿宋_GB2312" w:eastAsia="方正仿宋_GB2312" w:cs="方正仿宋_GB2312"/>
          <w:i w:val="0"/>
          <w:iCs w:val="0"/>
          <w:caps w:val="0"/>
          <w:color w:val="000000"/>
          <w:spacing w:val="0"/>
          <w:kern w:val="0"/>
          <w:sz w:val="32"/>
          <w:szCs w:val="32"/>
          <w:highlight w:val="none"/>
          <w:shd w:val="clear" w:fill="FFFFFF"/>
          <w:lang w:val="en-US" w:eastAsia="zh-CN" w:bidi="ar"/>
        </w:rPr>
      </w:pPr>
      <w:r>
        <w:rPr>
          <w:rFonts w:hint="eastAsia" w:ascii="方正仿宋_GB2312" w:hAnsi="方正仿宋_GB2312" w:eastAsia="方正仿宋_GB2312" w:cs="方正仿宋_GB2312"/>
          <w:i w:val="0"/>
          <w:iCs w:val="0"/>
          <w:caps w:val="0"/>
          <w:color w:val="000000"/>
          <w:spacing w:val="0"/>
          <w:kern w:val="0"/>
          <w:sz w:val="32"/>
          <w:szCs w:val="32"/>
          <w:highlight w:val="none"/>
          <w:shd w:val="clear" w:fill="FFFFFF"/>
          <w:lang w:val="en-US" w:eastAsia="zh-CN" w:bidi="ar"/>
        </w:rPr>
        <w:t>九三学社广元市委员会是纳入中共广元市委统战部2022年部门预算编制范围的二级预算单位。</w:t>
      </w:r>
    </w:p>
    <w:bookmarkEnd w:id="19"/>
    <w:bookmarkEnd w:id="20"/>
    <w:p>
      <w:pPr>
        <w:widowControl/>
        <w:shd w:val="clear"/>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shd w:val="clear"/>
        <w:ind w:right="440"/>
        <w:jc w:val="center"/>
        <w:rPr>
          <w:rStyle w:val="17"/>
          <w:rFonts w:ascii="黑体" w:hAnsi="黑体" w:eastAsia="黑体"/>
          <w:b w:val="0"/>
          <w:bCs/>
          <w:color w:val="auto"/>
          <w:highlight w:val="none"/>
        </w:rPr>
      </w:pPr>
      <w:bookmarkStart w:id="22" w:name="_Toc15377204"/>
      <w:bookmarkStart w:id="23" w:name="_Toc519"/>
      <w:bookmarkStart w:id="24"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2"/>
      <w:bookmarkEnd w:id="23"/>
      <w:bookmarkEnd w:id="24"/>
    </w:p>
    <w:p>
      <w:pPr>
        <w:shd w:val="clear"/>
        <w:rPr>
          <w:color w:val="auto"/>
          <w:highlight w:val="none"/>
        </w:rPr>
      </w:pPr>
    </w:p>
    <w:p>
      <w:pPr>
        <w:pStyle w:val="27"/>
        <w:numPr>
          <w:ilvl w:val="0"/>
          <w:numId w:val="2"/>
        </w:numPr>
        <w:shd w:val="clear"/>
        <w:spacing w:line="600" w:lineRule="exact"/>
        <w:ind w:firstLineChars="0"/>
        <w:outlineLvl w:val="1"/>
        <w:rPr>
          <w:rStyle w:val="18"/>
          <w:rFonts w:ascii="黑体" w:hAnsi="黑体" w:eastAsia="黑体"/>
          <w:b w:val="0"/>
          <w:color w:val="auto"/>
          <w:highlight w:val="none"/>
        </w:rPr>
      </w:pPr>
      <w:bookmarkStart w:id="25" w:name="_Toc2978"/>
      <w:bookmarkStart w:id="26" w:name="_Toc15396603"/>
      <w:bookmarkStart w:id="27" w:name="_Toc1537720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5"/>
      <w:bookmarkEnd w:id="26"/>
      <w:bookmarkEnd w:id="27"/>
    </w:p>
    <w:p>
      <w:pPr>
        <w:shd w:val="clea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88.44</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8.79</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11.04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。主要变动原因是2022年新调入工作人员一人，增加了人员经费收入；2022年为我社建社30周年纪念年，上级部门给予周年活动经费补助</w:t>
      </w:r>
      <w:r>
        <w:rPr>
          <w:rFonts w:hint="eastAsia" w:ascii="仿宋" w:hAnsi="仿宋" w:eastAsia="仿宋"/>
          <w:color w:val="auto"/>
          <w:sz w:val="32"/>
          <w:szCs w:val="32"/>
          <w:highlight w:val="none"/>
          <w:lang w:eastAsia="zh-CN"/>
        </w:rPr>
        <w:t>。</w:t>
      </w:r>
    </w:p>
    <w:p>
      <w:pPr>
        <w:shd w:val="clea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410845</wp:posOffset>
            </wp:positionH>
            <wp:positionV relativeFrom="page">
              <wp:posOffset>4164965</wp:posOffset>
            </wp:positionV>
            <wp:extent cx="3885565" cy="2914015"/>
            <wp:effectExtent l="4445" t="4445" r="15240" b="1524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hd w:val="clear"/>
        <w:spacing w:line="600" w:lineRule="exact"/>
        <w:ind w:firstLine="640" w:firstLineChars="200"/>
        <w:jc w:val="center"/>
        <w:rPr>
          <w:rFonts w:hint="eastAsia" w:ascii="仿宋" w:hAnsi="仿宋" w:eastAsia="仿宋"/>
          <w:color w:val="auto"/>
          <w:sz w:val="32"/>
          <w:szCs w:val="32"/>
          <w:highlight w:val="none"/>
        </w:rPr>
      </w:pPr>
    </w:p>
    <w:p>
      <w:pPr>
        <w:shd w:val="clear"/>
        <w:spacing w:line="600" w:lineRule="exact"/>
        <w:ind w:firstLine="640" w:firstLineChars="200"/>
        <w:rPr>
          <w:rFonts w:hint="eastAsia" w:ascii="仿宋" w:hAnsi="仿宋" w:eastAsia="仿宋"/>
          <w:color w:val="auto"/>
          <w:sz w:val="32"/>
          <w:szCs w:val="32"/>
          <w:highlight w:val="none"/>
          <w:lang w:eastAsia="zh-CN"/>
        </w:rPr>
      </w:pPr>
    </w:p>
    <w:p>
      <w:pPr>
        <w:shd w:val="clear"/>
        <w:spacing w:line="600" w:lineRule="exact"/>
        <w:ind w:firstLine="640" w:firstLineChars="200"/>
        <w:rPr>
          <w:rFonts w:hint="eastAsia" w:ascii="仿宋" w:hAnsi="仿宋" w:eastAsia="仿宋"/>
          <w:color w:val="auto"/>
          <w:sz w:val="32"/>
          <w:szCs w:val="32"/>
          <w:highlight w:val="none"/>
        </w:rPr>
      </w:pPr>
    </w:p>
    <w:p>
      <w:pPr>
        <w:shd w:val="clear"/>
        <w:spacing w:line="600" w:lineRule="exact"/>
        <w:ind w:firstLine="640" w:firstLineChars="200"/>
        <w:rPr>
          <w:rFonts w:hint="eastAsia" w:ascii="仿宋" w:hAnsi="仿宋" w:eastAsia="仿宋"/>
          <w:color w:val="auto"/>
          <w:sz w:val="32"/>
          <w:szCs w:val="32"/>
          <w:highlight w:val="none"/>
        </w:rPr>
      </w:pPr>
    </w:p>
    <w:p>
      <w:pPr>
        <w:shd w:val="clear"/>
        <w:spacing w:line="600" w:lineRule="exact"/>
        <w:ind w:firstLine="640" w:firstLineChars="200"/>
        <w:rPr>
          <w:rFonts w:hint="eastAsia" w:ascii="仿宋" w:hAnsi="仿宋" w:eastAsia="仿宋"/>
          <w:color w:val="auto"/>
          <w:sz w:val="32"/>
          <w:szCs w:val="32"/>
          <w:highlight w:val="none"/>
          <w:lang w:eastAsia="zh-CN"/>
        </w:rPr>
      </w:pPr>
    </w:p>
    <w:p>
      <w:pPr>
        <w:shd w:val="clear"/>
        <w:spacing w:line="600" w:lineRule="exact"/>
        <w:ind w:firstLine="640" w:firstLineChars="200"/>
        <w:rPr>
          <w:rFonts w:hint="eastAsia" w:ascii="仿宋" w:hAnsi="仿宋" w:eastAsia="仿宋"/>
          <w:color w:val="auto"/>
          <w:sz w:val="32"/>
          <w:szCs w:val="32"/>
          <w:highlight w:val="none"/>
        </w:rPr>
      </w:pPr>
    </w:p>
    <w:p>
      <w:pPr>
        <w:shd w:val="clear"/>
        <w:spacing w:line="600" w:lineRule="exact"/>
        <w:ind w:firstLine="640" w:firstLineChars="200"/>
        <w:rPr>
          <w:rFonts w:hint="eastAsia" w:ascii="仿宋" w:hAnsi="仿宋" w:eastAsia="仿宋"/>
          <w:color w:val="auto"/>
          <w:sz w:val="32"/>
          <w:szCs w:val="32"/>
          <w:highlight w:val="none"/>
          <w:lang w:eastAsia="zh-CN"/>
        </w:rPr>
      </w:pPr>
    </w:p>
    <w:p>
      <w:pPr>
        <w:shd w:val="clear"/>
        <w:spacing w:line="600" w:lineRule="exact"/>
        <w:ind w:firstLine="640" w:firstLineChars="200"/>
        <w:rPr>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27"/>
        <w:numPr>
          <w:ilvl w:val="0"/>
          <w:numId w:val="2"/>
        </w:numPr>
        <w:shd w:val="clear"/>
        <w:spacing w:line="600" w:lineRule="exact"/>
        <w:ind w:firstLineChars="0"/>
        <w:outlineLvl w:val="1"/>
        <w:rPr>
          <w:rStyle w:val="18"/>
          <w:rFonts w:ascii="黑体" w:hAnsi="黑体" w:eastAsia="黑体"/>
          <w:b w:val="0"/>
          <w:color w:val="auto"/>
          <w:highlight w:val="none"/>
        </w:rPr>
      </w:pPr>
      <w:bookmarkStart w:id="28" w:name="_Toc11196"/>
      <w:bookmarkStart w:id="29" w:name="_Toc15377206"/>
      <w:bookmarkStart w:id="30" w:name="_Toc15396604"/>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8"/>
      <w:bookmarkEnd w:id="29"/>
      <w:bookmarkEnd w:id="30"/>
    </w:p>
    <w:p>
      <w:pPr>
        <w:shd w:val="clear"/>
        <w:spacing w:line="600" w:lineRule="exact"/>
        <w:ind w:firstLine="640" w:firstLineChars="200"/>
        <w:outlineLvl w:val="1"/>
        <w:rPr>
          <w:rFonts w:hint="eastAsia" w:eastAsia="仿宋_GB2312"/>
          <w:highlight w:val="none"/>
          <w:lang w:eastAsia="zh-CN"/>
          <w14:props3d w14:extrusionH="19050" w14:contourW="12700"/>
        </w:rPr>
      </w:pPr>
      <w:bookmarkStart w:id="31" w:name="_Toc27610"/>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87.87</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84.87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95.59</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其他</w:t>
      </w:r>
      <w:r>
        <w:rPr>
          <w:rFonts w:hint="eastAsia" w:ascii="仿宋" w:hAnsi="仿宋" w:eastAsia="仿宋"/>
          <w:color w:val="auto"/>
          <w:sz w:val="32"/>
          <w:szCs w:val="32"/>
          <w:highlight w:val="none"/>
        </w:rPr>
        <w:t>收入</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3.41</w:t>
      </w:r>
      <w:r>
        <w:rPr>
          <w:rFonts w:hint="eastAsia" w:ascii="仿宋" w:hAnsi="仿宋" w:eastAsia="仿宋"/>
          <w:color w:val="auto"/>
          <w:sz w:val="32"/>
          <w:szCs w:val="32"/>
          <w:highlight w:val="none"/>
        </w:rPr>
        <w:t>%。</w:t>
      </w:r>
      <w:r>
        <w:rPr>
          <w:rFonts w:hint="eastAsia" w:eastAsia="仿宋_GB2312"/>
          <w:highlight w:val="none"/>
          <w:lang w:eastAsia="zh-CN"/>
        </w:rPr>
        <w:drawing>
          <wp:anchor distT="0" distB="0" distL="114300" distR="114300" simplePos="0" relativeHeight="251664384" behindDoc="0" locked="0" layoutInCell="1" allowOverlap="1">
            <wp:simplePos x="0" y="0"/>
            <wp:positionH relativeFrom="column">
              <wp:posOffset>6350</wp:posOffset>
            </wp:positionH>
            <wp:positionV relativeFrom="page">
              <wp:posOffset>1868805</wp:posOffset>
            </wp:positionV>
            <wp:extent cx="3963670" cy="2973070"/>
            <wp:effectExtent l="6350" t="6350" r="11430" b="1143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bookmarkEnd w:id="31"/>
    </w:p>
    <w:p>
      <w:pPr>
        <w:shd w:val="clear"/>
        <w:spacing w:line="600" w:lineRule="exact"/>
        <w:ind w:firstLine="640" w:firstLineChars="200"/>
        <w:rPr>
          <w:highlight w:val="none"/>
        </w:rPr>
      </w:pPr>
      <w:r>
        <w:rPr>
          <w:rFonts w:hint="eastAsia" w:ascii="仿宋" w:hAnsi="仿宋" w:eastAsia="仿宋"/>
          <w:color w:val="auto"/>
          <w:sz w:val="32"/>
          <w:szCs w:val="32"/>
          <w:highlight w:val="none"/>
        </w:rPr>
        <w:t>（图2：收入决算结构图）</w:t>
      </w:r>
    </w:p>
    <w:p>
      <w:pPr>
        <w:pStyle w:val="27"/>
        <w:numPr>
          <w:ilvl w:val="0"/>
          <w:numId w:val="2"/>
        </w:numPr>
        <w:shd w:val="clear"/>
        <w:spacing w:line="600" w:lineRule="exact"/>
        <w:ind w:firstLineChars="0"/>
        <w:outlineLvl w:val="1"/>
        <w:rPr>
          <w:rStyle w:val="18"/>
          <w:rFonts w:ascii="黑体" w:hAnsi="黑体" w:eastAsia="黑体"/>
          <w:b w:val="0"/>
          <w:color w:val="auto"/>
          <w:highlight w:val="none"/>
        </w:rPr>
      </w:pPr>
      <w:bookmarkStart w:id="32" w:name="_Toc1197"/>
      <w:bookmarkStart w:id="33" w:name="_Toc15396605"/>
      <w:bookmarkStart w:id="34" w:name="_Toc15377207"/>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2"/>
      <w:bookmarkEnd w:id="33"/>
      <w:bookmarkEnd w:id="34"/>
    </w:p>
    <w:p>
      <w:pPr>
        <w:shd w:val="clear"/>
        <w:spacing w:line="600" w:lineRule="exact"/>
        <w:ind w:firstLine="640" w:firstLineChars="200"/>
        <w:outlineLvl w:val="1"/>
        <w:rPr>
          <w:rFonts w:ascii="仿宋" w:hAnsi="仿宋" w:eastAsia="仿宋"/>
          <w:color w:val="auto"/>
          <w:sz w:val="32"/>
          <w:szCs w:val="32"/>
          <w:highlight w:val="none"/>
        </w:rPr>
      </w:pPr>
      <w:bookmarkStart w:id="35" w:name="_Toc16222"/>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88.44</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58.40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66.03</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30.04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33.97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5"/>
    </w:p>
    <w:p>
      <w:pPr>
        <w:shd w:val="clear"/>
        <w:spacing w:line="600" w:lineRule="exact"/>
        <w:ind w:firstLine="640"/>
        <w:rPr>
          <w:rFonts w:ascii="仿宋" w:hAnsi="仿宋" w:eastAsia="仿宋"/>
          <w:color w:val="auto"/>
          <w:sz w:val="32"/>
          <w:szCs w:val="32"/>
          <w:highlight w:val="none"/>
          <w:shd w:val="pct10" w:color="auto" w:fill="FFFFFF"/>
        </w:rPr>
      </w:pPr>
    </w:p>
    <w:p>
      <w:pPr>
        <w:pStyle w:val="2"/>
        <w:shd w:val="clear"/>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3929380" cy="2195830"/>
            <wp:effectExtent l="5080" t="4445" r="8890" b="47625"/>
            <wp:docPr id="4" name="图表 4" descr="7b0a202020202263686172745265734964223a202232303437363132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hd w:val="clear"/>
        <w:spacing w:line="600" w:lineRule="exact"/>
        <w:ind w:firstLine="1280" w:firstLineChars="400"/>
        <w:rPr>
          <w:rFonts w:ascii="仿宋_GB2312" w:eastAsia="仿宋_GB2312"/>
          <w:color w:val="FF0000"/>
          <w:sz w:val="32"/>
          <w:szCs w:val="32"/>
          <w:highlight w:val="none"/>
        </w:rPr>
      </w:pPr>
      <w:r>
        <w:rPr>
          <w:rFonts w:hint="eastAsia" w:ascii="仿宋" w:hAnsi="仿宋" w:eastAsia="仿宋"/>
          <w:color w:val="auto"/>
          <w:sz w:val="32"/>
          <w:szCs w:val="32"/>
          <w:highlight w:val="none"/>
        </w:rPr>
        <w:t>（图3：支出决算结构图）</w:t>
      </w:r>
    </w:p>
    <w:p>
      <w:pPr>
        <w:shd w:val="clear"/>
        <w:spacing w:line="600" w:lineRule="exact"/>
        <w:ind w:firstLine="640" w:firstLineChars="200"/>
        <w:outlineLvl w:val="1"/>
        <w:rPr>
          <w:rStyle w:val="18"/>
          <w:rFonts w:ascii="黑体" w:hAnsi="黑体" w:eastAsia="黑体"/>
          <w:b w:val="0"/>
          <w:color w:val="auto"/>
          <w:highlight w:val="none"/>
        </w:rPr>
      </w:pPr>
      <w:bookmarkStart w:id="36" w:name="_Toc15377208"/>
      <w:bookmarkStart w:id="37" w:name="_Toc3516"/>
      <w:bookmarkStart w:id="38" w:name="_Toc15396606"/>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6"/>
      <w:bookmarkEnd w:id="37"/>
      <w:bookmarkEnd w:id="38"/>
    </w:p>
    <w:p>
      <w:pPr>
        <w:shd w:val="clea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84.90</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10.63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14.31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。主要变动原因是2022年新调入工作人员一人，增加了人员经费收入；2022年为我社建社30周年纪念年，上级部门给予周年活动经费补助</w:t>
      </w:r>
      <w:r>
        <w:rPr>
          <w:rFonts w:hint="eastAsia" w:ascii="仿宋" w:hAnsi="仿宋" w:eastAsia="仿宋"/>
          <w:color w:val="auto"/>
          <w:sz w:val="32"/>
          <w:szCs w:val="32"/>
          <w:highlight w:val="none"/>
          <w:lang w:eastAsia="zh-CN"/>
        </w:rPr>
        <w:t>。</w:t>
      </w:r>
    </w:p>
    <w:p>
      <w:pPr>
        <w:shd w:val="clear"/>
        <w:spacing w:line="600" w:lineRule="exact"/>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688975</wp:posOffset>
            </wp:positionH>
            <wp:positionV relativeFrom="page">
              <wp:posOffset>4194810</wp:posOffset>
            </wp:positionV>
            <wp:extent cx="3241675" cy="2431415"/>
            <wp:effectExtent l="5080" t="4445" r="10795" b="21590"/>
            <wp:wrapNone/>
            <wp:docPr id="5" name="图表 5" descr="7b0a202020202263686172745265734964223a202232303437363038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hd w:val="clear"/>
        <w:spacing w:line="600" w:lineRule="exact"/>
        <w:ind w:firstLine="640" w:firstLineChars="200"/>
        <w:rPr>
          <w:rFonts w:hint="eastAsia" w:ascii="仿宋" w:hAnsi="仿宋" w:eastAsia="仿宋"/>
          <w:color w:val="auto"/>
          <w:sz w:val="32"/>
          <w:szCs w:val="32"/>
          <w:highlight w:val="none"/>
        </w:rPr>
      </w:pPr>
    </w:p>
    <w:p>
      <w:pPr>
        <w:shd w:val="clear"/>
        <w:spacing w:line="600" w:lineRule="exact"/>
        <w:ind w:firstLine="640" w:firstLineChars="200"/>
        <w:rPr>
          <w:rFonts w:hint="eastAsia" w:ascii="仿宋" w:hAnsi="仿宋" w:eastAsia="仿宋"/>
          <w:color w:val="auto"/>
          <w:sz w:val="32"/>
          <w:szCs w:val="32"/>
          <w:highlight w:val="none"/>
        </w:rPr>
      </w:pPr>
    </w:p>
    <w:p>
      <w:pPr>
        <w:shd w:val="clear"/>
        <w:spacing w:line="600" w:lineRule="exact"/>
        <w:ind w:firstLine="640" w:firstLineChars="200"/>
        <w:rPr>
          <w:rFonts w:hint="eastAsia" w:ascii="仿宋" w:hAnsi="仿宋" w:eastAsia="仿宋"/>
          <w:color w:val="auto"/>
          <w:sz w:val="32"/>
          <w:szCs w:val="32"/>
          <w:highlight w:val="none"/>
          <w:lang w:eastAsia="zh-CN"/>
        </w:rPr>
      </w:pPr>
    </w:p>
    <w:p>
      <w:pPr>
        <w:shd w:val="clear"/>
        <w:spacing w:line="600" w:lineRule="exact"/>
        <w:ind w:firstLine="640" w:firstLineChars="200"/>
        <w:rPr>
          <w:rFonts w:hint="eastAsia" w:ascii="仿宋" w:hAnsi="仿宋" w:eastAsia="仿宋"/>
          <w:color w:val="auto"/>
          <w:sz w:val="32"/>
          <w:szCs w:val="32"/>
          <w:highlight w:val="none"/>
        </w:rPr>
      </w:pPr>
    </w:p>
    <w:p>
      <w:pPr>
        <w:shd w:val="clear"/>
        <w:spacing w:line="600" w:lineRule="exact"/>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 xml:space="preserve">   </w:t>
      </w:r>
    </w:p>
    <w:p>
      <w:pPr>
        <w:shd w:val="clear"/>
        <w:spacing w:line="600" w:lineRule="exact"/>
        <w:ind w:firstLine="600" w:firstLineChars="200"/>
        <w:rPr>
          <w:rFonts w:hint="eastAsia" w:ascii="仿宋" w:hAnsi="仿宋" w:eastAsia="仿宋"/>
          <w:color w:val="auto"/>
          <w:sz w:val="30"/>
          <w:szCs w:val="30"/>
          <w:highlight w:val="none"/>
        </w:rPr>
      </w:pPr>
    </w:p>
    <w:p>
      <w:pPr>
        <w:shd w:val="clear"/>
        <w:spacing w:line="600" w:lineRule="exact"/>
        <w:ind w:firstLine="600" w:firstLineChars="200"/>
        <w:rPr>
          <w:rFonts w:hint="eastAsia" w:ascii="仿宋" w:hAnsi="仿宋" w:eastAsia="仿宋"/>
          <w:b/>
          <w:color w:val="auto"/>
          <w:sz w:val="32"/>
          <w:szCs w:val="32"/>
          <w:highlight w:val="none"/>
          <w:lang w:val="en-US" w:eastAsia="zh-CN"/>
        </w:rPr>
      </w:pPr>
      <w:r>
        <w:rPr>
          <w:rFonts w:hint="eastAsia" w:ascii="仿宋" w:hAnsi="仿宋" w:eastAsia="仿宋"/>
          <w:color w:val="auto"/>
          <w:sz w:val="30"/>
          <w:szCs w:val="30"/>
          <w:highlight w:val="none"/>
        </w:rPr>
        <w:t>（图4：财政拨款收、支决算总计变动情况）</w:t>
      </w:r>
    </w:p>
    <w:p>
      <w:pPr>
        <w:shd w:val="clear"/>
        <w:spacing w:line="600" w:lineRule="exact"/>
        <w:ind w:firstLine="640" w:firstLineChars="200"/>
        <w:outlineLvl w:val="1"/>
        <w:rPr>
          <w:rStyle w:val="18"/>
          <w:rFonts w:ascii="黑体" w:hAnsi="黑体" w:eastAsia="黑体"/>
          <w:b w:val="0"/>
          <w:color w:val="auto"/>
          <w:highlight w:val="none"/>
        </w:rPr>
      </w:pPr>
      <w:bookmarkStart w:id="39" w:name="_Toc15396607"/>
      <w:bookmarkStart w:id="40" w:name="_Toc15377209"/>
      <w:bookmarkStart w:id="41" w:name="_Toc15745"/>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9"/>
      <w:bookmarkEnd w:id="40"/>
      <w:bookmarkEnd w:id="41"/>
    </w:p>
    <w:p>
      <w:pPr>
        <w:shd w:val="clear"/>
        <w:spacing w:line="600" w:lineRule="exact"/>
        <w:ind w:firstLine="642" w:firstLineChars="200"/>
        <w:outlineLvl w:val="2"/>
        <w:rPr>
          <w:rFonts w:ascii="仿宋" w:hAnsi="仿宋" w:eastAsia="仿宋"/>
          <w:b/>
          <w:color w:val="auto"/>
          <w:sz w:val="32"/>
          <w:szCs w:val="32"/>
          <w:highlight w:val="none"/>
        </w:rPr>
      </w:pPr>
      <w:bookmarkStart w:id="42" w:name="_Toc15377210"/>
      <w:r>
        <w:rPr>
          <w:rFonts w:hint="eastAsia" w:ascii="仿宋" w:hAnsi="仿宋" w:eastAsia="仿宋"/>
          <w:b/>
          <w:color w:val="auto"/>
          <w:sz w:val="32"/>
          <w:szCs w:val="32"/>
          <w:highlight w:val="none"/>
        </w:rPr>
        <w:t>（一）一般公共预算财政拨款支出决算总体情况</w:t>
      </w:r>
      <w:bookmarkEnd w:id="42"/>
    </w:p>
    <w:p>
      <w:pPr>
        <w:shd w:val="clea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84.90</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96</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w:t>
      </w:r>
      <w:r>
        <w:rPr>
          <w:rFonts w:hint="eastAsia" w:ascii="仿宋" w:hAnsi="仿宋" w:eastAsia="仿宋"/>
          <w:color w:val="auto"/>
          <w:sz w:val="32"/>
          <w:szCs w:val="32"/>
          <w:highlight w:val="none"/>
          <w:lang w:eastAsia="zh-CN"/>
        </w:rPr>
        <w:t>加</w:t>
      </w:r>
      <w:r>
        <w:rPr>
          <w:rFonts w:hint="eastAsia" w:ascii="仿宋" w:hAnsi="仿宋" w:eastAsia="仿宋"/>
          <w:color w:val="auto"/>
          <w:sz w:val="32"/>
          <w:szCs w:val="32"/>
          <w:highlight w:val="none"/>
          <w:lang w:val="en-US" w:eastAsia="zh-CN"/>
        </w:rPr>
        <w:t>10.63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14.31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。主要变动原因是2022年新调入工作人员一人，增加了人员经费收入；2022年为我社建社30周年纪念年，上级部门给予周年活动经费补助</w:t>
      </w:r>
      <w:r>
        <w:rPr>
          <w:rFonts w:hint="eastAsia" w:ascii="仿宋" w:hAnsi="仿宋" w:eastAsia="仿宋"/>
          <w:color w:val="auto"/>
          <w:sz w:val="32"/>
          <w:szCs w:val="32"/>
          <w:highlight w:val="none"/>
          <w:lang w:eastAsia="zh-CN"/>
        </w:rPr>
        <w:t>。</w:t>
      </w:r>
    </w:p>
    <w:p>
      <w:pPr>
        <w:shd w:val="clear"/>
        <w:spacing w:line="600" w:lineRule="exact"/>
        <w:ind w:firstLine="640" w:firstLineChars="200"/>
        <w:rPr>
          <w:rFonts w:hint="eastAsia" w:ascii="仿宋" w:hAnsi="仿宋" w:eastAsia="仿宋"/>
          <w:color w:val="auto"/>
          <w:sz w:val="32"/>
          <w:szCs w:val="32"/>
          <w:highlight w:val="none"/>
          <w:lang w:eastAsia="zh-CN"/>
        </w:rPr>
      </w:pPr>
    </w:p>
    <w:p>
      <w:pPr>
        <w:shd w:val="clear"/>
        <w:spacing w:line="600" w:lineRule="exact"/>
        <w:ind w:firstLine="640" w:firstLineChars="200"/>
        <w:rPr>
          <w:rFonts w:hint="eastAsia" w:ascii="仿宋" w:hAnsi="仿宋" w:eastAsia="仿宋"/>
          <w:color w:val="auto"/>
          <w:sz w:val="32"/>
          <w:szCs w:val="32"/>
          <w:highlight w:val="none"/>
        </w:rPr>
      </w:pPr>
    </w:p>
    <w:p>
      <w:pPr>
        <w:shd w:val="clear"/>
        <w:spacing w:line="600" w:lineRule="exact"/>
        <w:ind w:firstLine="640" w:firstLineChars="200"/>
        <w:rPr>
          <w:rFonts w:hint="eastAsia" w:ascii="仿宋" w:hAnsi="仿宋" w:eastAsia="仿宋"/>
          <w:color w:val="000000"/>
          <w:sz w:val="32"/>
          <w:szCs w:val="32"/>
          <w:highlight w:val="none"/>
          <w14:textOutline w14:w="9525">
            <w14:gradFill>
              <w14:gsLst>
                <w14:gs w14:pos="0">
                  <w14:schemeClr w14:val="accent1">
                    <w14:lumMod w14:val="5000"/>
                    <w14:lumOff w14:val="95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true"/>
            </w14:gradFill>
            <w14:round/>
          </w14:textOutline>
          <w14:textFill>
            <w14:solidFill>
              <w14:srgbClr w14:val="000000">
                <w14:alpha w14:val="40000"/>
              </w14:srgbClr>
            </w14:solidFill>
          </w14:textFill>
        </w:rPr>
      </w:pPr>
    </w:p>
    <w:p>
      <w:pPr>
        <w:shd w:val="clear"/>
        <w:spacing w:line="600" w:lineRule="exact"/>
        <w:ind w:firstLine="640" w:firstLineChars="200"/>
        <w:rPr>
          <w:rFonts w:hint="eastAsia" w:ascii="仿宋" w:hAnsi="仿宋" w:eastAsia="仿宋"/>
          <w:color w:val="auto"/>
          <w:sz w:val="32"/>
          <w:szCs w:val="32"/>
          <w:highlight w:val="none"/>
        </w:rPr>
      </w:pPr>
    </w:p>
    <w:p>
      <w:pPr>
        <w:pStyle w:val="2"/>
        <w:shd w:val="clear"/>
        <w:rPr>
          <w:rFonts w:hint="eastAsia" w:ascii="仿宋" w:hAnsi="仿宋" w:eastAsia="仿宋"/>
          <w:color w:val="auto"/>
          <w:sz w:val="32"/>
          <w:szCs w:val="32"/>
          <w:highlight w:val="none"/>
        </w:rPr>
      </w:pPr>
    </w:p>
    <w:p>
      <w:pPr>
        <w:pStyle w:val="2"/>
        <w:shd w:val="clear"/>
        <w:rPr>
          <w:rFonts w:hint="eastAsia" w:ascii="仿宋" w:hAnsi="仿宋" w:eastAsia="仿宋"/>
          <w:color w:val="auto"/>
          <w:sz w:val="32"/>
          <w:szCs w:val="32"/>
          <w:highlight w:val="none"/>
        </w:rPr>
      </w:pPr>
    </w:p>
    <w:p>
      <w:pPr>
        <w:pStyle w:val="2"/>
        <w:shd w:val="clear"/>
        <w:rPr>
          <w:rFonts w:hint="eastAsia" w:ascii="仿宋" w:hAnsi="仿宋" w:eastAsia="仿宋"/>
          <w:color w:val="auto"/>
          <w:sz w:val="32"/>
          <w:szCs w:val="32"/>
          <w:highlight w:val="none"/>
        </w:rPr>
      </w:pPr>
    </w:p>
    <w:p>
      <w:pPr>
        <w:pStyle w:val="2"/>
        <w:shd w:val="clear"/>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 xml:space="preserve">           </w:t>
      </w:r>
    </w:p>
    <w:p>
      <w:pPr>
        <w:shd w:val="clear"/>
        <w:spacing w:line="600" w:lineRule="exact"/>
        <w:ind w:firstLine="640" w:firstLineChars="200"/>
        <w:outlineLvl w:val="2"/>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bookmarkStart w:id="43" w:name="_Toc15377211"/>
    </w:p>
    <w:p>
      <w:pPr>
        <w:shd w:val="clear"/>
        <w:spacing w:line="600" w:lineRule="exact"/>
        <w:ind w:firstLine="642"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bookmarkEnd w:id="43"/>
    </w:p>
    <w:p>
      <w:pPr>
        <w:shd w:val="clea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84.90</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72.89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85.85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2.70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31.80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1.38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1.63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7.93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9.34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hd w:val="clea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ge">
              <wp:posOffset>7575550</wp:posOffset>
            </wp:positionV>
            <wp:extent cx="3834130" cy="2059940"/>
            <wp:effectExtent l="5080" t="4445" r="8890" b="12065"/>
            <wp:wrapNone/>
            <wp:docPr id="6" name="图表 6" descr="7b0a202020202263686172745265734964223a2022343636393838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859155</wp:posOffset>
            </wp:positionH>
            <wp:positionV relativeFrom="page">
              <wp:posOffset>2101850</wp:posOffset>
            </wp:positionV>
            <wp:extent cx="3247390" cy="2435860"/>
            <wp:effectExtent l="5080" t="4445" r="5080" b="1714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hd w:val="clear"/>
        <w:spacing w:line="600" w:lineRule="exact"/>
        <w:ind w:firstLine="640" w:firstLineChars="200"/>
        <w:rPr>
          <w:rFonts w:hint="eastAsia" w:ascii="仿宋" w:hAnsi="仿宋" w:eastAsia="仿宋"/>
          <w:color w:val="auto"/>
          <w:sz w:val="32"/>
          <w:szCs w:val="32"/>
          <w:highlight w:val="none"/>
        </w:rPr>
      </w:pPr>
    </w:p>
    <w:p>
      <w:pPr>
        <w:shd w:val="clear"/>
        <w:spacing w:line="600" w:lineRule="exact"/>
        <w:ind w:firstLine="640" w:firstLineChars="200"/>
        <w:rPr>
          <w:rFonts w:hint="eastAsia" w:ascii="仿宋" w:hAnsi="仿宋" w:eastAsia="仿宋"/>
          <w:color w:val="auto"/>
          <w:sz w:val="32"/>
          <w:szCs w:val="32"/>
          <w:highlight w:val="none"/>
          <w:lang w:eastAsia="zh-CN"/>
        </w:rPr>
      </w:pPr>
    </w:p>
    <w:p>
      <w:pPr>
        <w:shd w:val="clear"/>
        <w:spacing w:line="600" w:lineRule="exact"/>
        <w:ind w:firstLine="640" w:firstLineChars="200"/>
        <w:rPr>
          <w:rFonts w:hint="eastAsia" w:ascii="仿宋" w:hAnsi="仿宋" w:eastAsia="仿宋"/>
          <w:color w:val="auto"/>
          <w:sz w:val="32"/>
          <w:szCs w:val="32"/>
          <w:highlight w:val="none"/>
        </w:rPr>
      </w:pPr>
    </w:p>
    <w:p>
      <w:pPr>
        <w:pStyle w:val="2"/>
        <w:shd w:val="clear"/>
        <w:rPr>
          <w:rFonts w:hint="eastAsia"/>
          <w:highlight w:val="none"/>
        </w:rPr>
      </w:pPr>
    </w:p>
    <w:p>
      <w:pPr>
        <w:shd w:val="clear"/>
        <w:spacing w:line="600" w:lineRule="exact"/>
        <w:ind w:firstLine="960" w:firstLineChars="300"/>
        <w:outlineLvl w:val="2"/>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bookmarkStart w:id="44" w:name="_Toc15377212"/>
    </w:p>
    <w:p>
      <w:pPr>
        <w:shd w:val="clear"/>
        <w:spacing w:line="600" w:lineRule="exact"/>
        <w:ind w:firstLine="642"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44"/>
    </w:p>
    <w:p>
      <w:pPr>
        <w:shd w:val="clear"/>
        <w:spacing w:line="600" w:lineRule="exact"/>
        <w:ind w:firstLine="642" w:firstLineChars="200"/>
        <w:outlineLvl w:val="1"/>
        <w:rPr>
          <w:rFonts w:ascii="仿宋" w:hAnsi="仿宋" w:eastAsia="仿宋"/>
          <w:color w:val="auto"/>
          <w:sz w:val="32"/>
          <w:szCs w:val="32"/>
          <w:highlight w:val="none"/>
        </w:rPr>
      </w:pPr>
      <w:bookmarkStart w:id="45" w:name="_Toc23297"/>
      <w:bookmarkStart w:id="46" w:name="_Toc15378460"/>
      <w:bookmarkStart w:id="47" w:name="_Toc15377444"/>
      <w:bookmarkStart w:id="48"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84.90</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45"/>
      <w:bookmarkEnd w:id="46"/>
      <w:bookmarkEnd w:id="47"/>
      <w:bookmarkEnd w:id="48"/>
    </w:p>
    <w:p>
      <w:pPr>
        <w:shd w:val="clear"/>
        <w:spacing w:line="600" w:lineRule="exact"/>
        <w:ind w:firstLine="642"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1.</w:t>
      </w:r>
      <w:r>
        <w:rPr>
          <w:rStyle w:val="15"/>
          <w:rFonts w:hint="eastAsia" w:ascii="仿宋" w:hAnsi="仿宋" w:eastAsia="仿宋"/>
          <w:bCs/>
          <w:color w:val="auto"/>
          <w:sz w:val="32"/>
          <w:szCs w:val="32"/>
          <w:highlight w:val="none"/>
        </w:rPr>
        <w:t>一般公共服务（类）</w:t>
      </w:r>
      <w:r>
        <w:rPr>
          <w:rStyle w:val="15"/>
          <w:rFonts w:hint="eastAsia" w:ascii="仿宋" w:hAnsi="仿宋" w:eastAsia="仿宋" w:cstheme="minorBidi"/>
          <w:bCs/>
          <w:color w:val="auto"/>
          <w:sz w:val="32"/>
          <w:szCs w:val="32"/>
          <w:highlight w:val="none"/>
        </w:rPr>
        <w:t>民主党派及工商联事务</w:t>
      </w:r>
      <w:r>
        <w:rPr>
          <w:rStyle w:val="15"/>
          <w:rFonts w:hint="eastAsia" w:ascii="仿宋" w:hAnsi="仿宋" w:eastAsia="仿宋"/>
          <w:bCs/>
          <w:color w:val="auto"/>
          <w:sz w:val="32"/>
          <w:szCs w:val="32"/>
          <w:highlight w:val="none"/>
        </w:rPr>
        <w:t>（款）</w:t>
      </w:r>
      <w:r>
        <w:rPr>
          <w:rStyle w:val="15"/>
          <w:rFonts w:hint="eastAsia" w:ascii="仿宋" w:hAnsi="仿宋" w:eastAsia="仿宋" w:cstheme="minorBidi"/>
          <w:bCs/>
          <w:color w:val="auto"/>
          <w:sz w:val="32"/>
          <w:szCs w:val="32"/>
          <w:highlight w:val="none"/>
        </w:rPr>
        <w:t>行政运行</w:t>
      </w:r>
      <w:r>
        <w:rPr>
          <w:rStyle w:val="15"/>
          <w:rFonts w:hint="eastAsia" w:ascii="仿宋" w:hAnsi="仿宋" w:eastAsia="仿宋"/>
          <w:bCs/>
          <w:color w:val="auto"/>
          <w:sz w:val="32"/>
          <w:szCs w:val="32"/>
          <w:highlight w:val="none"/>
        </w:rPr>
        <w:t>（项）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46.39</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hd w:val="clear"/>
        <w:spacing w:line="600" w:lineRule="exact"/>
        <w:ind w:firstLine="642"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2.</w:t>
      </w:r>
      <w:r>
        <w:rPr>
          <w:rFonts w:hint="eastAsia" w:ascii="方正仿宋_GB2312" w:hAnsi="方正仿宋_GB2312" w:eastAsia="方正仿宋_GB2312" w:cs="方正仿宋_GB2312"/>
          <w:b/>
          <w:bCs/>
          <w:i w:val="0"/>
          <w:iCs w:val="0"/>
          <w:caps w:val="0"/>
          <w:color w:val="000000"/>
          <w:spacing w:val="0"/>
          <w:sz w:val="32"/>
          <w:szCs w:val="32"/>
          <w:highlight w:val="none"/>
          <w:shd w:val="clear" w:fill="FFFFFF"/>
        </w:rPr>
        <w:t>一般公共服务（类）民主党派及工商联事务（款）一般行政管理事务（项）</w:t>
      </w:r>
      <w:r>
        <w:rPr>
          <w:rFonts w:hint="eastAsia" w:ascii="方正仿宋_GB2312" w:hAnsi="方正仿宋_GB2312" w:eastAsia="方正仿宋_GB2312" w:cs="方正仿宋_GB2312"/>
          <w:b/>
          <w:bCs/>
          <w:i w:val="0"/>
          <w:iCs w:val="0"/>
          <w:caps w:val="0"/>
          <w:color w:val="000000"/>
          <w:spacing w:val="0"/>
          <w:sz w:val="32"/>
          <w:szCs w:val="32"/>
          <w:highlight w:val="none"/>
          <w:shd w:val="clear" w:fill="FFFFFF"/>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26.50</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hd w:val="clear"/>
        <w:spacing w:line="600" w:lineRule="exact"/>
        <w:ind w:firstLine="642"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3.</w:t>
      </w:r>
      <w:r>
        <w:rPr>
          <w:rStyle w:val="15"/>
          <w:rFonts w:hint="eastAsia" w:ascii="仿宋" w:hAnsi="仿宋" w:eastAsia="仿宋"/>
          <w:bCs/>
          <w:color w:val="auto"/>
          <w:sz w:val="32"/>
          <w:szCs w:val="32"/>
          <w:highlight w:val="none"/>
        </w:rPr>
        <w:t>社会保障和就业（类）</w:t>
      </w:r>
      <w:r>
        <w:rPr>
          <w:rFonts w:hint="eastAsia" w:ascii="方正仿宋_GB2312" w:hAnsi="方正仿宋_GB2312" w:eastAsia="方正仿宋_GB2312" w:cs="方正仿宋_GB2312"/>
          <w:b/>
          <w:bCs/>
          <w:i w:val="0"/>
          <w:iCs w:val="0"/>
          <w:caps w:val="0"/>
          <w:color w:val="000000"/>
          <w:spacing w:val="0"/>
          <w:sz w:val="32"/>
          <w:szCs w:val="32"/>
          <w:highlight w:val="none"/>
          <w:shd w:val="clear" w:fill="FFFFFF"/>
        </w:rPr>
        <w:t>行政事业单位养老支出</w:t>
      </w:r>
      <w:r>
        <w:rPr>
          <w:rStyle w:val="15"/>
          <w:rFonts w:hint="eastAsia" w:ascii="仿宋" w:hAnsi="仿宋" w:eastAsia="仿宋"/>
          <w:bCs/>
          <w:color w:val="auto"/>
          <w:sz w:val="32"/>
          <w:szCs w:val="32"/>
          <w:highlight w:val="none"/>
        </w:rPr>
        <w:t>（款）</w:t>
      </w:r>
      <w:r>
        <w:rPr>
          <w:rFonts w:hint="eastAsia" w:ascii="方正仿宋_GB2312" w:hAnsi="方正仿宋_GB2312" w:eastAsia="方正仿宋_GB2312" w:cs="方正仿宋_GB2312"/>
          <w:b/>
          <w:bCs/>
          <w:i w:val="0"/>
          <w:iCs w:val="0"/>
          <w:caps w:val="0"/>
          <w:color w:val="000000"/>
          <w:spacing w:val="0"/>
          <w:sz w:val="32"/>
          <w:szCs w:val="32"/>
          <w:highlight w:val="none"/>
          <w:shd w:val="clear" w:fill="FFFFFF"/>
        </w:rPr>
        <w:t>机关事业单位基本养老保险缴费支出</w:t>
      </w:r>
      <w:r>
        <w:rPr>
          <w:rStyle w:val="15"/>
          <w:rFonts w:hint="eastAsia" w:ascii="仿宋" w:hAnsi="仿宋" w:eastAsia="仿宋"/>
          <w:bCs/>
          <w:color w:val="auto"/>
          <w:sz w:val="32"/>
          <w:szCs w:val="32"/>
          <w:highlight w:val="none"/>
        </w:rPr>
        <w:t>（项）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2.70</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hd w:val="clear"/>
        <w:spacing w:line="600" w:lineRule="exact"/>
        <w:ind w:firstLine="642"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4</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5"/>
          <w:rFonts w:hint="eastAsia" w:ascii="仿宋" w:hAnsi="仿宋" w:eastAsia="仿宋"/>
          <w:bCs/>
          <w:color w:val="auto"/>
          <w:sz w:val="32"/>
          <w:szCs w:val="32"/>
          <w:highlight w:val="none"/>
        </w:rPr>
        <w:t>（类）</w:t>
      </w:r>
      <w:r>
        <w:rPr>
          <w:rFonts w:hint="eastAsia" w:ascii="方正仿宋_GB2312" w:hAnsi="方正仿宋_GB2312" w:eastAsia="方正仿宋_GB2312" w:cs="方正仿宋_GB2312"/>
          <w:b/>
          <w:bCs/>
          <w:i w:val="0"/>
          <w:iCs w:val="0"/>
          <w:caps w:val="0"/>
          <w:color w:val="000000"/>
          <w:spacing w:val="0"/>
          <w:sz w:val="32"/>
          <w:szCs w:val="32"/>
          <w:highlight w:val="none"/>
          <w:shd w:val="clear" w:fill="FFFFFF"/>
        </w:rPr>
        <w:t>行政事业单位医疗</w:t>
      </w:r>
      <w:r>
        <w:rPr>
          <w:rStyle w:val="15"/>
          <w:rFonts w:hint="eastAsia" w:ascii="仿宋" w:hAnsi="仿宋" w:eastAsia="仿宋"/>
          <w:bCs/>
          <w:color w:val="auto"/>
          <w:sz w:val="32"/>
          <w:szCs w:val="32"/>
          <w:highlight w:val="none"/>
        </w:rPr>
        <w:t>（款）</w:t>
      </w:r>
      <w:r>
        <w:rPr>
          <w:rFonts w:hint="eastAsia" w:ascii="方正仿宋_GB2312" w:hAnsi="方正仿宋_GB2312" w:eastAsia="方正仿宋_GB2312" w:cs="方正仿宋_GB2312"/>
          <w:b/>
          <w:bCs/>
          <w:i w:val="0"/>
          <w:iCs w:val="0"/>
          <w:caps w:val="0"/>
          <w:color w:val="000000"/>
          <w:spacing w:val="0"/>
          <w:sz w:val="32"/>
          <w:szCs w:val="32"/>
          <w:highlight w:val="none"/>
          <w:shd w:val="clear" w:fill="FFFFFF"/>
        </w:rPr>
        <w:t>行政单位医疗</w:t>
      </w:r>
      <w:r>
        <w:rPr>
          <w:rStyle w:val="15"/>
          <w:rFonts w:hint="eastAsia" w:ascii="仿宋" w:hAnsi="仿宋" w:eastAsia="仿宋"/>
          <w:bCs/>
          <w:color w:val="auto"/>
          <w:sz w:val="32"/>
          <w:szCs w:val="32"/>
          <w:highlight w:val="none"/>
        </w:rPr>
        <w:t>（项）</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1.38</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hd w:val="clear"/>
        <w:tabs>
          <w:tab w:val="right" w:pos="8306"/>
        </w:tabs>
        <w:spacing w:line="600" w:lineRule="exact"/>
        <w:ind w:firstLine="640"/>
        <w:outlineLvl w:val="1"/>
        <w:rPr>
          <w:rStyle w:val="15"/>
          <w:rFonts w:hint="eastAsia" w:ascii="仿宋" w:hAnsi="仿宋" w:eastAsia="仿宋"/>
          <w:b w:val="0"/>
          <w:bCs/>
          <w:color w:val="auto"/>
          <w:sz w:val="32"/>
          <w:szCs w:val="32"/>
          <w:highlight w:val="none"/>
        </w:rPr>
      </w:pPr>
      <w:bookmarkStart w:id="49" w:name="_Toc17350"/>
      <w:r>
        <w:rPr>
          <w:rStyle w:val="15"/>
          <w:rFonts w:hint="eastAsia" w:ascii="仿宋" w:hAnsi="仿宋" w:eastAsia="仿宋" w:cstheme="minorBidi"/>
          <w:bCs/>
          <w:color w:val="auto"/>
          <w:kern w:val="2"/>
          <w:sz w:val="32"/>
          <w:szCs w:val="32"/>
          <w:highlight w:val="none"/>
          <w:lang w:val="en-US" w:eastAsia="zh-CN" w:bidi="ar-SA"/>
        </w:rPr>
        <w:t>5.住房保障（类）住房改革支出（款）住房公积金（项）：</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7.93</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bookmarkEnd w:id="49"/>
      <w:bookmarkStart w:id="50" w:name="_Toc15377214"/>
      <w:bookmarkStart w:id="51" w:name="_Toc15396608"/>
    </w:p>
    <w:p>
      <w:pPr>
        <w:shd w:val="clear"/>
        <w:tabs>
          <w:tab w:val="right" w:pos="8306"/>
        </w:tabs>
        <w:spacing w:line="600" w:lineRule="exact"/>
        <w:ind w:firstLine="640"/>
        <w:outlineLvl w:val="1"/>
        <w:rPr>
          <w:rStyle w:val="18"/>
          <w:color w:val="auto"/>
          <w:highlight w:val="none"/>
        </w:rPr>
      </w:pPr>
      <w:bookmarkStart w:id="52" w:name="_Toc11927"/>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50"/>
      <w:bookmarkEnd w:id="51"/>
      <w:bookmarkEnd w:id="52"/>
      <w:r>
        <w:rPr>
          <w:rStyle w:val="18"/>
          <w:rFonts w:ascii="黑体" w:hAnsi="黑体" w:eastAsia="黑体"/>
          <w:b w:val="0"/>
          <w:color w:val="auto"/>
          <w:highlight w:val="none"/>
        </w:rPr>
        <w:tab/>
      </w:r>
    </w:p>
    <w:p>
      <w:pPr>
        <w:shd w:val="clea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58.40</w:t>
      </w:r>
      <w:r>
        <w:rPr>
          <w:rFonts w:hint="eastAsia" w:ascii="仿宋" w:hAnsi="仿宋" w:eastAsia="仿宋"/>
          <w:color w:val="auto"/>
          <w:sz w:val="32"/>
          <w:szCs w:val="32"/>
          <w:highlight w:val="none"/>
        </w:rPr>
        <w:t>万元，其中：</w:t>
      </w:r>
    </w:p>
    <w:p>
      <w:pPr>
        <w:shd w:val="clea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49.96</w:t>
      </w:r>
      <w:r>
        <w:rPr>
          <w:rFonts w:hint="eastAsia" w:ascii="仿宋" w:hAnsi="仿宋" w:eastAsia="仿宋"/>
          <w:color w:val="auto"/>
          <w:sz w:val="32"/>
          <w:szCs w:val="32"/>
          <w:highlight w:val="none"/>
        </w:rPr>
        <w:t>万元，主要包括：基本工资、津贴补贴、奖金、机关事业单位基本养老保险缴费、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生活补助、奖励金。</w:t>
      </w:r>
    </w:p>
    <w:p>
      <w:pPr>
        <w:shd w:val="clea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8.44</w:t>
      </w:r>
      <w:r>
        <w:rPr>
          <w:rFonts w:hint="eastAsia" w:ascii="仿宋" w:hAnsi="仿宋" w:eastAsia="仿宋"/>
          <w:color w:val="auto"/>
          <w:sz w:val="32"/>
          <w:szCs w:val="32"/>
          <w:highlight w:val="none"/>
        </w:rPr>
        <w:t>万元，主要包括：办公费、手续费、水费、电费、邮电费、物业管理费、差旅费、维修（护）费、</w:t>
      </w:r>
      <w:r>
        <w:rPr>
          <w:rFonts w:hint="eastAsia" w:ascii="仿宋" w:hAnsi="仿宋" w:eastAsia="仿宋" w:cs="Times New Roman"/>
          <w:color w:val="auto"/>
          <w:sz w:val="32"/>
          <w:szCs w:val="32"/>
          <w:highlight w:val="none"/>
        </w:rPr>
        <w:t>公务接待费、</w:t>
      </w:r>
      <w:r>
        <w:rPr>
          <w:rFonts w:hint="eastAsia" w:ascii="仿宋" w:hAnsi="仿宋" w:eastAsia="仿宋"/>
          <w:color w:val="auto"/>
          <w:sz w:val="32"/>
          <w:szCs w:val="32"/>
          <w:highlight w:val="none"/>
        </w:rPr>
        <w:t>劳务费、工会经费、福利费、其他交通费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、其他商品和服务支出等。</w:t>
      </w:r>
    </w:p>
    <w:p>
      <w:pPr>
        <w:shd w:val="clear"/>
        <w:spacing w:line="600" w:lineRule="exact"/>
        <w:ind w:firstLine="640"/>
        <w:outlineLvl w:val="1"/>
        <w:rPr>
          <w:rStyle w:val="18"/>
          <w:rFonts w:ascii="黑体" w:hAnsi="黑体" w:eastAsia="黑体"/>
          <w:b w:val="0"/>
          <w:color w:val="auto"/>
          <w:highlight w:val="none"/>
        </w:rPr>
      </w:pPr>
      <w:bookmarkStart w:id="53" w:name="_Toc1013"/>
      <w:bookmarkStart w:id="54" w:name="_Toc15377215"/>
      <w:bookmarkStart w:id="55" w:name="_Toc15396609"/>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3"/>
      <w:bookmarkEnd w:id="54"/>
      <w:bookmarkEnd w:id="55"/>
    </w:p>
    <w:p>
      <w:pPr>
        <w:shd w:val="clear"/>
        <w:spacing w:line="600" w:lineRule="exact"/>
        <w:ind w:firstLine="640"/>
        <w:outlineLvl w:val="2"/>
        <w:rPr>
          <w:rFonts w:ascii="仿宋" w:hAnsi="仿宋" w:eastAsia="仿宋"/>
          <w:b/>
          <w:color w:val="auto"/>
          <w:sz w:val="32"/>
          <w:szCs w:val="32"/>
          <w:highlight w:val="none"/>
        </w:rPr>
      </w:pPr>
      <w:bookmarkStart w:id="56" w:name="_Toc15377216"/>
      <w:r>
        <w:rPr>
          <w:rFonts w:hint="eastAsia" w:ascii="仿宋" w:hAnsi="仿宋" w:eastAsia="仿宋"/>
          <w:b/>
          <w:color w:val="auto"/>
          <w:sz w:val="32"/>
          <w:szCs w:val="32"/>
          <w:highlight w:val="none"/>
        </w:rPr>
        <w:t>（一）“三公”经费财政拨款支出决算总体情况说明</w:t>
      </w:r>
      <w:bookmarkEnd w:id="56"/>
    </w:p>
    <w:p>
      <w:pPr>
        <w:shd w:val="clear"/>
        <w:spacing w:line="600" w:lineRule="exact"/>
        <w:ind w:firstLine="640"/>
        <w:rPr>
          <w:rFonts w:hint="default"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0.64</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98.46</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减少1.60万元，下降71.43%。</w:t>
      </w:r>
      <w:r>
        <w:rPr>
          <w:rFonts w:hint="default" w:ascii="仿宋" w:hAnsi="仿宋" w:eastAsia="仿宋"/>
          <w:color w:val="auto"/>
          <w:sz w:val="32"/>
          <w:szCs w:val="32"/>
          <w:highlight w:val="none"/>
          <w:lang w:eastAsia="zh-CN"/>
        </w:rPr>
        <w:t>决算数小于预算数主要是因为厉行节约。</w:t>
      </w:r>
    </w:p>
    <w:p>
      <w:pPr>
        <w:shd w:val="clear"/>
        <w:spacing w:line="600" w:lineRule="exact"/>
        <w:ind w:firstLine="640"/>
        <w:outlineLvl w:val="2"/>
        <w:rPr>
          <w:rFonts w:ascii="仿宋" w:hAnsi="仿宋" w:eastAsia="仿宋"/>
          <w:b/>
          <w:color w:val="auto"/>
          <w:sz w:val="32"/>
          <w:szCs w:val="32"/>
          <w:highlight w:val="none"/>
        </w:rPr>
      </w:pPr>
      <w:bookmarkStart w:id="57" w:name="_Toc15377217"/>
      <w:r>
        <w:rPr>
          <w:rFonts w:hint="eastAsia" w:ascii="仿宋" w:hAnsi="仿宋" w:eastAsia="仿宋"/>
          <w:b/>
          <w:color w:val="auto"/>
          <w:sz w:val="32"/>
          <w:szCs w:val="32"/>
          <w:highlight w:val="none"/>
        </w:rPr>
        <w:t>（二）“三公”经费财政拨款支出决算具体情况说明</w:t>
      </w:r>
      <w:bookmarkEnd w:id="57"/>
    </w:p>
    <w:p>
      <w:pPr>
        <w:shd w:val="clear"/>
        <w:spacing w:line="600" w:lineRule="exact"/>
        <w:ind w:firstLine="640"/>
        <w:rPr>
          <w:rFonts w:hint="default"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0.64</w:t>
      </w:r>
      <w:r>
        <w:rPr>
          <w:rFonts w:hint="eastAsia" w:ascii="仿宋" w:hAnsi="仿宋" w:eastAsia="仿宋"/>
          <w:color w:val="auto"/>
          <w:sz w:val="32"/>
          <w:szCs w:val="32"/>
          <w:highlight w:val="none"/>
        </w:rPr>
        <w:t>万元，占</w:t>
      </w:r>
      <w:r>
        <w:rPr>
          <w:rFonts w:hint="default" w:ascii="仿宋" w:hAnsi="仿宋" w:eastAsia="仿宋"/>
          <w:color w:val="auto"/>
          <w:sz w:val="32"/>
          <w:szCs w:val="32"/>
          <w:highlight w:val="none"/>
        </w:rPr>
        <w:t>100</w:t>
      </w:r>
      <w:r>
        <w:rPr>
          <w:rFonts w:hint="eastAsia" w:ascii="仿宋" w:hAnsi="仿宋" w:eastAsia="仿宋"/>
          <w:color w:val="auto"/>
          <w:sz w:val="32"/>
          <w:szCs w:val="32"/>
          <w:highlight w:val="none"/>
        </w:rPr>
        <w:t>%。具体情况如下：</w:t>
      </w:r>
    </w:p>
    <w:p>
      <w:pPr>
        <w:pStyle w:val="2"/>
        <w:shd w:val="clear"/>
        <w:rPr>
          <w:rFonts w:hint="eastAsia" w:eastAsia="仿宋_GB2312"/>
          <w:highlight w:val="none"/>
          <w:lang w:eastAsia="zh-CN"/>
        </w:rPr>
      </w:pPr>
      <w:r>
        <w:rPr>
          <w:rFonts w:hint="eastAsia"/>
          <w:highlight w:val="none"/>
          <w:lang w:val="en-US" w:eastAsia="zh-CN"/>
        </w:rPr>
        <w:t xml:space="preserve">         </w:t>
      </w:r>
      <w:r>
        <w:rPr>
          <w:rFonts w:hint="eastAsia" w:eastAsia="仿宋_GB2312"/>
          <w:highlight w:val="none"/>
          <w:lang w:eastAsia="zh-CN"/>
        </w:rPr>
        <w:drawing>
          <wp:inline distT="0" distB="0" distL="114300" distR="114300">
            <wp:extent cx="3388995" cy="2541905"/>
            <wp:effectExtent l="4445" t="4445" r="16510" b="635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hd w:val="clea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numPr>
          <w:ilvl w:val="0"/>
          <w:numId w:val="0"/>
        </w:numPr>
        <w:shd w:val="clear"/>
        <w:spacing w:line="600" w:lineRule="exact"/>
        <w:ind w:firstLine="642" w:firstLineChars="200"/>
        <w:rPr>
          <w:rFonts w:hint="eastAsia" w:ascii="方正仿宋_GB2312" w:hAnsi="方正仿宋_GB2312" w:eastAsia="方正仿宋_GB2312" w:cs="方正仿宋_GB2312"/>
          <w:i w:val="0"/>
          <w:iCs w:val="0"/>
          <w:caps w:val="0"/>
          <w:color w:val="000000"/>
          <w:spacing w:val="0"/>
          <w:sz w:val="32"/>
          <w:szCs w:val="32"/>
          <w:highlight w:val="none"/>
          <w:shd w:val="clear" w:fill="FFFFFF"/>
        </w:rPr>
      </w:pPr>
      <w:r>
        <w:rPr>
          <w:rFonts w:hint="eastAsia" w:ascii="仿宋_GB2312" w:eastAsia="仿宋_GB2312"/>
          <w:b/>
          <w:color w:val="auto"/>
          <w:sz w:val="32"/>
          <w:szCs w:val="32"/>
          <w:highlight w:val="none"/>
          <w:lang w:val="en-US" w:eastAsia="zh-CN"/>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年初未安排预算</w:t>
      </w:r>
      <w:r>
        <w:rPr>
          <w:rFonts w:hint="default" w:ascii="方正仿宋_GB2312" w:hAnsi="方正仿宋_GB2312" w:eastAsia="方正仿宋_GB2312" w:cs="方正仿宋_GB2312"/>
          <w:i w:val="0"/>
          <w:iCs w:val="0"/>
          <w:caps w:val="0"/>
          <w:color w:val="000000"/>
          <w:spacing w:val="0"/>
          <w:sz w:val="32"/>
          <w:szCs w:val="32"/>
          <w:highlight w:val="none"/>
          <w:shd w:val="clear" w:fill="FFFFFF"/>
        </w:rPr>
        <w:t>，较上年无变化</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w:t>
      </w:r>
    </w:p>
    <w:p>
      <w:pPr>
        <w:numPr>
          <w:ilvl w:val="0"/>
          <w:numId w:val="0"/>
        </w:numPr>
        <w:shd w:val="clear"/>
        <w:spacing w:line="600" w:lineRule="exact"/>
        <w:ind w:firstLine="642" w:firstLineChars="200"/>
        <w:rPr>
          <w:rFonts w:hint="eastAsia" w:ascii="方正仿宋_GB2312" w:hAnsi="方正仿宋_GB2312" w:eastAsia="方正仿宋_GB2312" w:cs="方正仿宋_GB2312"/>
          <w:i w:val="0"/>
          <w:iCs w:val="0"/>
          <w:caps w:val="0"/>
          <w:color w:val="000000"/>
          <w:spacing w:val="0"/>
          <w:sz w:val="32"/>
          <w:szCs w:val="32"/>
          <w:highlight w:val="none"/>
          <w:shd w:val="clear" w:fill="FFFFFF"/>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b/>
          <w:color w:val="auto"/>
          <w:sz w:val="32"/>
          <w:szCs w:val="32"/>
          <w:highlight w:val="none"/>
          <w:lang w:val="en-US" w:eastAsia="zh-CN"/>
        </w:rPr>
        <w:t>0</w:t>
      </w:r>
      <w:r>
        <w:rPr>
          <w:rFonts w:hint="eastAsia" w:ascii="仿宋_GB2312" w:eastAsia="仿宋_GB2312"/>
          <w:b/>
          <w:color w:val="auto"/>
          <w:sz w:val="32"/>
          <w:szCs w:val="32"/>
          <w:highlight w:val="none"/>
        </w:rPr>
        <w:t>万元</w:t>
      </w:r>
      <w:r>
        <w:rPr>
          <w:rFonts w:hint="eastAsia" w:ascii="仿宋_GB2312" w:eastAsia="仿宋_GB2312"/>
          <w:b/>
          <w:color w:val="auto"/>
          <w:sz w:val="32"/>
          <w:szCs w:val="32"/>
          <w:highlight w:val="none"/>
          <w:lang w:eastAsia="zh-CN"/>
        </w:rPr>
        <w:t>，</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年初未安排预算</w:t>
      </w:r>
      <w:r>
        <w:rPr>
          <w:rFonts w:hint="default" w:ascii="方正仿宋_GB2312" w:hAnsi="方正仿宋_GB2312" w:eastAsia="方正仿宋_GB2312" w:cs="方正仿宋_GB2312"/>
          <w:i w:val="0"/>
          <w:iCs w:val="0"/>
          <w:caps w:val="0"/>
          <w:color w:val="000000"/>
          <w:spacing w:val="0"/>
          <w:sz w:val="32"/>
          <w:szCs w:val="32"/>
          <w:highlight w:val="none"/>
          <w:shd w:val="clear" w:fill="FFFFFF"/>
        </w:rPr>
        <w:t>，较上年无变化</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w:t>
      </w:r>
    </w:p>
    <w:p>
      <w:pPr>
        <w:pStyle w:val="2"/>
        <w:shd w:val="clear"/>
        <w:ind w:firstLine="640" w:firstLineChars="200"/>
        <w:rPr>
          <w:rFonts w:hint="eastAsia"/>
          <w:color w:val="auto"/>
          <w:sz w:val="32"/>
          <w:szCs w:val="32"/>
          <w:highlight w:val="none"/>
          <w:lang w:eastAsia="zh-CN"/>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color w:val="auto"/>
          <w:sz w:val="32"/>
          <w:szCs w:val="32"/>
          <w:highlight w:val="none"/>
          <w:lang w:eastAsia="zh-CN"/>
        </w:rPr>
        <w:t>。</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color w:val="auto"/>
          <w:sz w:val="32"/>
          <w:szCs w:val="32"/>
          <w:highlight w:val="none"/>
          <w:lang w:eastAsia="zh-CN"/>
        </w:rPr>
        <w:t>。</w:t>
      </w:r>
    </w:p>
    <w:p>
      <w:pPr>
        <w:pStyle w:val="2"/>
        <w:shd w:val="clear"/>
        <w:ind w:firstLine="642" w:firstLineChars="200"/>
        <w:rPr>
          <w:rFonts w:hint="eastAsia"/>
          <w:color w:val="auto"/>
          <w:sz w:val="32"/>
          <w:szCs w:val="32"/>
          <w:highlight w:val="none"/>
          <w:lang w:val="en-US" w:eastAsia="zh-CN"/>
        </w:rPr>
      </w:pPr>
      <w:r>
        <w:rPr>
          <w:rFonts w:hint="eastAsia" w:ascii="仿宋_GB2312" w:eastAsia="仿宋_GB2312"/>
          <w:b/>
          <w:color w:val="auto"/>
          <w:sz w:val="32"/>
          <w:szCs w:val="32"/>
          <w:highlight w:val="none"/>
        </w:rPr>
        <w:t>公务用车运行维护费支出</w:t>
      </w:r>
      <w:r>
        <w:rPr>
          <w:rFonts w:hint="eastAsia"/>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0"/>
        </w:numPr>
        <w:shd w:val="clear"/>
        <w:spacing w:line="600" w:lineRule="exact"/>
        <w:ind w:firstLine="642" w:firstLineChars="200"/>
        <w:rPr>
          <w:rFonts w:hint="eastAsia" w:ascii="方正仿宋_GB2312" w:hAnsi="方正仿宋_GB2312" w:eastAsia="方正仿宋_GB2312" w:cs="方正仿宋_GB2312"/>
          <w:i w:val="0"/>
          <w:iCs w:val="0"/>
          <w:caps w:val="0"/>
          <w:color w:val="000000"/>
          <w:spacing w:val="0"/>
          <w:sz w:val="32"/>
          <w:szCs w:val="32"/>
          <w:highlight w:val="none"/>
          <w:shd w:val="clear" w:fill="FFFFFF"/>
        </w:rPr>
      </w:pPr>
      <w:r>
        <w:rPr>
          <w:rFonts w:hint="eastAsia" w:ascii="仿宋_GB2312" w:eastAsia="仿宋_GB2312"/>
          <w:b/>
          <w:color w:val="auto"/>
          <w:sz w:val="32"/>
          <w:szCs w:val="32"/>
          <w:highlight w:val="none"/>
        </w:rPr>
        <w:t>3.公务接待费支出</w:t>
      </w:r>
      <w:r>
        <w:rPr>
          <w:rFonts w:hint="eastAsia" w:ascii="仿宋_GB2312" w:eastAsia="仿宋_GB2312"/>
          <w:b/>
          <w:color w:val="auto"/>
          <w:sz w:val="32"/>
          <w:szCs w:val="32"/>
          <w:highlight w:val="none"/>
          <w:lang w:val="en-US" w:eastAsia="zh-CN"/>
        </w:rPr>
        <w:t>0.64</w:t>
      </w:r>
      <w:r>
        <w:rPr>
          <w:rFonts w:hint="eastAsia" w:ascii="仿宋_GB2312" w:eastAsia="仿宋_GB2312"/>
          <w:b/>
          <w:color w:val="auto"/>
          <w:sz w:val="32"/>
          <w:szCs w:val="32"/>
          <w:highlight w:val="none"/>
        </w:rPr>
        <w:t>万元，</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完成预算</w:t>
      </w:r>
      <w:r>
        <w:rPr>
          <w:rFonts w:hint="eastAsia" w:ascii="方正仿宋_GB2312" w:hAnsi="方正仿宋_GB2312" w:eastAsia="方正仿宋_GB2312" w:cs="方正仿宋_GB2312"/>
          <w:i w:val="0"/>
          <w:iCs w:val="0"/>
          <w:caps w:val="0"/>
          <w:color w:val="000000"/>
          <w:spacing w:val="0"/>
          <w:sz w:val="32"/>
          <w:szCs w:val="32"/>
          <w:highlight w:val="none"/>
          <w:shd w:val="clear" w:fill="FFFFFF"/>
          <w:lang w:val="en-US" w:eastAsia="zh-CN"/>
        </w:rPr>
        <w:t>98.46</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%。公务接待费支出决算比20</w:t>
      </w:r>
      <w:r>
        <w:rPr>
          <w:rFonts w:hint="eastAsia" w:ascii="方正仿宋_GB2312" w:hAnsi="方正仿宋_GB2312" w:eastAsia="方正仿宋_GB2312" w:cs="方正仿宋_GB2312"/>
          <w:i w:val="0"/>
          <w:iCs w:val="0"/>
          <w:caps w:val="0"/>
          <w:color w:val="000000"/>
          <w:spacing w:val="0"/>
          <w:sz w:val="32"/>
          <w:szCs w:val="32"/>
          <w:highlight w:val="none"/>
          <w:shd w:val="clear" w:fill="FFFFFF"/>
          <w:lang w:val="en-US" w:eastAsia="zh-CN"/>
        </w:rPr>
        <w:t>21</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年减少</w:t>
      </w:r>
      <w:r>
        <w:rPr>
          <w:rFonts w:hint="eastAsia" w:ascii="方正仿宋_GB2312" w:hAnsi="方正仿宋_GB2312" w:eastAsia="方正仿宋_GB2312" w:cs="方正仿宋_GB2312"/>
          <w:i w:val="0"/>
          <w:iCs w:val="0"/>
          <w:caps w:val="0"/>
          <w:color w:val="000000"/>
          <w:spacing w:val="0"/>
          <w:sz w:val="32"/>
          <w:szCs w:val="32"/>
          <w:highlight w:val="none"/>
          <w:shd w:val="clear" w:fill="FFFFFF"/>
          <w:lang w:val="en-US" w:eastAsia="zh-CN"/>
        </w:rPr>
        <w:t>1.60</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万元，下降</w:t>
      </w:r>
      <w:r>
        <w:rPr>
          <w:rFonts w:hint="eastAsia" w:ascii="方正仿宋_GB2312" w:hAnsi="方正仿宋_GB2312" w:eastAsia="方正仿宋_GB2312" w:cs="方正仿宋_GB2312"/>
          <w:i w:val="0"/>
          <w:iCs w:val="0"/>
          <w:caps w:val="0"/>
          <w:color w:val="000000"/>
          <w:spacing w:val="0"/>
          <w:sz w:val="32"/>
          <w:szCs w:val="32"/>
          <w:highlight w:val="none"/>
          <w:shd w:val="clear" w:fill="FFFFFF"/>
          <w:lang w:val="en-US" w:eastAsia="zh-CN"/>
        </w:rPr>
        <w:t>71.43</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%。主要原因</w:t>
      </w:r>
      <w:r>
        <w:rPr>
          <w:rFonts w:hint="eastAsia" w:ascii="方正仿宋_GB2312" w:hAnsi="方正仿宋_GB2312" w:eastAsia="方正仿宋_GB2312" w:cs="方正仿宋_GB2312"/>
          <w:i w:val="0"/>
          <w:iCs w:val="0"/>
          <w:caps w:val="0"/>
          <w:color w:val="000000"/>
          <w:spacing w:val="0"/>
          <w:sz w:val="32"/>
          <w:szCs w:val="32"/>
          <w:highlight w:val="none"/>
          <w:shd w:val="clear" w:fill="FFFFFF"/>
          <w:lang w:val="en-US" w:eastAsia="zh-CN"/>
        </w:rPr>
        <w:t>是受新冠疫情的影响，相关工作未能如期开展，另进一步落实相关文件精神，严格公务接待标准和管理审核。</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其中：</w:t>
      </w:r>
    </w:p>
    <w:p>
      <w:pPr>
        <w:pStyle w:val="12"/>
        <w:keepNext w:val="0"/>
        <w:keepLines w:val="0"/>
        <w:pageBreakBefore w:val="0"/>
        <w:widowControl/>
        <w:suppressLineNumbers w:val="0"/>
        <w:shd w:val="clear"/>
        <w:kinsoku/>
        <w:wordWrap/>
        <w:overflowPunct/>
        <w:topLinePunct w:val="0"/>
        <w:autoSpaceDE/>
        <w:autoSpaceDN/>
        <w:bidi w:val="0"/>
        <w:adjustRightInd/>
        <w:snapToGrid/>
        <w:spacing w:line="576" w:lineRule="exact"/>
        <w:ind w:left="0" w:firstLine="642" w:firstLineChars="200"/>
        <w:jc w:val="left"/>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0.64</w:t>
      </w:r>
      <w:r>
        <w:rPr>
          <w:rFonts w:hint="eastAsia" w:ascii="仿宋_GB2312" w:eastAsia="仿宋_GB2312"/>
          <w:color w:val="auto"/>
          <w:sz w:val="32"/>
          <w:szCs w:val="32"/>
          <w:highlight w:val="none"/>
        </w:rPr>
        <w:t>万元，</w:t>
      </w:r>
      <w:r>
        <w:rPr>
          <w:rFonts w:hint="eastAsia" w:ascii="方正仿宋_GB2312" w:hAnsi="方正仿宋_GB2312" w:eastAsia="方正仿宋_GB2312" w:cs="方正仿宋_GB2312"/>
          <w:i w:val="0"/>
          <w:iCs w:val="0"/>
          <w:caps w:val="0"/>
          <w:color w:val="000000"/>
          <w:spacing w:val="0"/>
          <w:kern w:val="2"/>
          <w:sz w:val="32"/>
          <w:szCs w:val="32"/>
          <w:highlight w:val="none"/>
          <w:shd w:val="clear" w:fill="FFFFFF"/>
          <w:lang w:val="en-US" w:eastAsia="zh-CN" w:bidi="ar-SA"/>
        </w:rPr>
        <w:t>主要用于开展公务活动交流</w:t>
      </w:r>
      <w:r>
        <w:rPr>
          <w:rFonts w:hint="default" w:ascii="方正仿宋_GB2312" w:hAnsi="方正仿宋_GB2312" w:eastAsia="方正仿宋_GB2312" w:cs="方正仿宋_GB2312"/>
          <w:i w:val="0"/>
          <w:iCs w:val="0"/>
          <w:caps w:val="0"/>
          <w:color w:val="000000"/>
          <w:spacing w:val="0"/>
          <w:kern w:val="2"/>
          <w:sz w:val="32"/>
          <w:szCs w:val="32"/>
          <w:highlight w:val="none"/>
          <w:shd w:val="clear" w:fill="FFFFFF"/>
          <w:lang w:eastAsia="zh-CN" w:bidi="ar-SA"/>
        </w:rPr>
        <w:t>的</w:t>
      </w:r>
      <w:r>
        <w:rPr>
          <w:rFonts w:hint="eastAsia" w:ascii="方正仿宋_GB2312" w:hAnsi="方正仿宋_GB2312" w:eastAsia="方正仿宋_GB2312" w:cs="方正仿宋_GB2312"/>
          <w:i w:val="0"/>
          <w:iCs w:val="0"/>
          <w:caps w:val="0"/>
          <w:color w:val="000000"/>
          <w:spacing w:val="0"/>
          <w:kern w:val="2"/>
          <w:sz w:val="32"/>
          <w:szCs w:val="32"/>
          <w:highlight w:val="none"/>
          <w:shd w:val="clear" w:fill="FFFFFF"/>
          <w:lang w:val="en-US" w:eastAsia="zh-CN" w:bidi="ar-SA"/>
        </w:rPr>
        <w:t>用餐费等。国内公务接待</w:t>
      </w:r>
      <w:r>
        <w:rPr>
          <w:rFonts w:hint="eastAsia" w:ascii="仿宋_GB2312" w:eastAsia="仿宋_GB2312"/>
          <w:color w:val="auto"/>
          <w:sz w:val="32"/>
          <w:szCs w:val="32"/>
          <w:highlight w:val="none"/>
          <w:lang w:val="en-US" w:eastAsia="zh-CN"/>
        </w:rPr>
        <w:t>4</w:t>
      </w:r>
      <w:r>
        <w:rPr>
          <w:rFonts w:hint="eastAsia" w:ascii="方正仿宋_GB2312" w:hAnsi="方正仿宋_GB2312" w:eastAsia="方正仿宋_GB2312" w:cs="方正仿宋_GB2312"/>
          <w:i w:val="0"/>
          <w:iCs w:val="0"/>
          <w:caps w:val="0"/>
          <w:color w:val="000000"/>
          <w:spacing w:val="0"/>
          <w:kern w:val="2"/>
          <w:sz w:val="32"/>
          <w:szCs w:val="32"/>
          <w:highlight w:val="none"/>
          <w:shd w:val="clear" w:fill="FFFFFF"/>
          <w:lang w:val="en-US" w:eastAsia="zh-CN" w:bidi="ar-SA"/>
        </w:rPr>
        <w:t>批次</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50</w:t>
      </w:r>
      <w:r>
        <w:rPr>
          <w:rFonts w:hint="eastAsia" w:ascii="方正仿宋_GB2312" w:hAnsi="方正仿宋_GB2312" w:eastAsia="方正仿宋_GB2312" w:cs="方正仿宋_GB2312"/>
          <w:i w:val="0"/>
          <w:iCs w:val="0"/>
          <w:caps w:val="0"/>
          <w:color w:val="000000"/>
          <w:spacing w:val="0"/>
          <w:kern w:val="2"/>
          <w:sz w:val="32"/>
          <w:szCs w:val="32"/>
          <w:highlight w:val="none"/>
          <w:shd w:val="clear" w:fill="FFFFFF"/>
          <w:lang w:val="en-US" w:eastAsia="zh-CN" w:bidi="ar-SA"/>
        </w:rPr>
        <w:t>余人次（不包括陪同人员），共计支出</w:t>
      </w:r>
      <w:r>
        <w:rPr>
          <w:rFonts w:hint="eastAsia" w:ascii="仿宋_GB2312" w:eastAsia="仿宋_GB2312"/>
          <w:color w:val="auto"/>
          <w:sz w:val="32"/>
          <w:szCs w:val="32"/>
          <w:highlight w:val="none"/>
          <w:lang w:val="en-US" w:eastAsia="zh-CN"/>
        </w:rPr>
        <w:t>0.64</w:t>
      </w:r>
      <w:r>
        <w:rPr>
          <w:rFonts w:hint="eastAsia" w:ascii="方正仿宋_GB2312" w:hAnsi="方正仿宋_GB2312" w:eastAsia="方正仿宋_GB2312" w:cs="方正仿宋_GB2312"/>
          <w:i w:val="0"/>
          <w:iCs w:val="0"/>
          <w:caps w:val="0"/>
          <w:color w:val="000000"/>
          <w:spacing w:val="0"/>
          <w:kern w:val="2"/>
          <w:sz w:val="32"/>
          <w:szCs w:val="32"/>
          <w:highlight w:val="none"/>
          <w:shd w:val="clear" w:fill="FFFFFF"/>
          <w:lang w:val="en-US" w:eastAsia="zh-CN" w:bidi="ar-SA"/>
        </w:rPr>
        <w:t>万元，具体内容包括：</w:t>
      </w:r>
      <w:r>
        <w:rPr>
          <w:rFonts w:hint="eastAsia" w:ascii="方正仿宋_GB2312" w:hAnsi="方正仿宋_GB2312" w:eastAsia="方正仿宋_GB2312" w:cs="方正仿宋_GB2312"/>
          <w:i w:val="0"/>
          <w:iCs w:val="0"/>
          <w:caps w:val="0"/>
          <w:color w:val="000000"/>
          <w:spacing w:val="0"/>
          <w:sz w:val="32"/>
          <w:szCs w:val="32"/>
          <w:highlight w:val="none"/>
          <w:shd w:val="clear" w:fill="FFFFFF"/>
        </w:rPr>
        <w:t>九三学社各级组织来广考察调研。</w:t>
      </w:r>
    </w:p>
    <w:p>
      <w:pPr>
        <w:shd w:val="clear"/>
        <w:spacing w:line="600" w:lineRule="exact"/>
        <w:ind w:firstLine="642"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hd w:val="clear"/>
        <w:spacing w:line="600" w:lineRule="exact"/>
        <w:ind w:firstLine="640"/>
        <w:outlineLvl w:val="1"/>
        <w:rPr>
          <w:rStyle w:val="18"/>
          <w:rFonts w:ascii="黑体" w:hAnsi="黑体" w:eastAsia="黑体"/>
          <w:color w:val="auto"/>
          <w:highlight w:val="none"/>
        </w:rPr>
      </w:pPr>
      <w:bookmarkStart w:id="58" w:name="_Toc29400"/>
      <w:bookmarkStart w:id="59" w:name="_Toc15377218"/>
      <w:bookmarkStart w:id="60" w:name="_Toc15396610"/>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8"/>
      <w:bookmarkEnd w:id="59"/>
      <w:bookmarkEnd w:id="60"/>
    </w:p>
    <w:p>
      <w:pPr>
        <w:shd w:val="clea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hd w:val="clear"/>
        <w:spacing w:line="600" w:lineRule="exact"/>
        <w:ind w:firstLine="640"/>
        <w:outlineLvl w:val="1"/>
        <w:rPr>
          <w:rStyle w:val="18"/>
          <w:rFonts w:ascii="黑体" w:hAnsi="黑体" w:eastAsia="黑体"/>
          <w:b w:val="0"/>
          <w:color w:val="auto"/>
          <w:highlight w:val="none"/>
        </w:rPr>
      </w:pPr>
      <w:bookmarkStart w:id="61" w:name="_Toc15377219"/>
      <w:bookmarkStart w:id="62" w:name="_Toc15396611"/>
      <w:bookmarkStart w:id="63" w:name="_Toc2028"/>
      <w:r>
        <w:rPr>
          <w:rStyle w:val="18"/>
          <w:rFonts w:hint="eastAsia" w:ascii="黑体" w:hAnsi="黑体" w:eastAsia="黑体"/>
          <w:b w:val="0"/>
          <w:color w:val="auto"/>
          <w:highlight w:val="none"/>
        </w:rPr>
        <w:t>国有资本经营预算支出决算情况说明</w:t>
      </w:r>
      <w:bookmarkEnd w:id="61"/>
      <w:bookmarkEnd w:id="62"/>
      <w:bookmarkEnd w:id="63"/>
    </w:p>
    <w:p>
      <w:pPr>
        <w:shd w:val="clea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hd w:val="clear"/>
        <w:spacing w:line="600" w:lineRule="exact"/>
        <w:ind w:firstLine="640"/>
        <w:outlineLvl w:val="1"/>
        <w:rPr>
          <w:rStyle w:val="18"/>
          <w:rFonts w:hint="eastAsia" w:ascii="黑体" w:hAnsi="黑体" w:eastAsia="黑体"/>
          <w:b w:val="0"/>
          <w:color w:val="auto"/>
          <w:highlight w:val="none"/>
        </w:rPr>
      </w:pPr>
      <w:bookmarkStart w:id="64" w:name="_Toc15377221"/>
      <w:bookmarkStart w:id="65" w:name="_Toc22377"/>
      <w:bookmarkStart w:id="66" w:name="_Toc15396612"/>
      <w:r>
        <w:rPr>
          <w:rStyle w:val="18"/>
          <w:rFonts w:hint="eastAsia" w:ascii="黑体" w:hAnsi="黑体" w:eastAsia="黑体"/>
          <w:b w:val="0"/>
          <w:color w:val="auto"/>
          <w:highlight w:val="none"/>
        </w:rPr>
        <w:t>其他重要事项的情况说明</w:t>
      </w:r>
      <w:bookmarkEnd w:id="64"/>
      <w:bookmarkEnd w:id="65"/>
      <w:bookmarkEnd w:id="66"/>
    </w:p>
    <w:p>
      <w:pPr>
        <w:shd w:val="clear"/>
        <w:spacing w:line="600" w:lineRule="exact"/>
        <w:ind w:firstLine="642" w:firstLineChars="200"/>
        <w:outlineLvl w:val="2"/>
        <w:rPr>
          <w:rFonts w:ascii="仿宋" w:hAnsi="仿宋" w:eastAsia="仿宋"/>
          <w:color w:val="auto"/>
          <w:sz w:val="32"/>
          <w:szCs w:val="32"/>
          <w:highlight w:val="none"/>
        </w:rPr>
      </w:pPr>
      <w:bookmarkStart w:id="67" w:name="_Toc15377222"/>
      <w:r>
        <w:rPr>
          <w:rFonts w:hint="eastAsia" w:ascii="仿宋" w:hAnsi="仿宋" w:eastAsia="仿宋"/>
          <w:b/>
          <w:color w:val="auto"/>
          <w:sz w:val="32"/>
          <w:szCs w:val="32"/>
          <w:highlight w:val="none"/>
        </w:rPr>
        <w:t>（一）机关运行经费支出情况</w:t>
      </w:r>
      <w:bookmarkEnd w:id="67"/>
    </w:p>
    <w:p>
      <w:pPr>
        <w:pStyle w:val="12"/>
        <w:keepNext w:val="0"/>
        <w:keepLines w:val="0"/>
        <w:pageBreakBefore w:val="0"/>
        <w:widowControl/>
        <w:suppressLineNumbers w:val="0"/>
        <w:shd w:val="clear"/>
        <w:kinsoku/>
        <w:wordWrap/>
        <w:overflowPunct/>
        <w:topLinePunct w:val="0"/>
        <w:autoSpaceDE/>
        <w:autoSpaceDN/>
        <w:bidi w:val="0"/>
        <w:adjustRightInd/>
        <w:snapToGrid/>
        <w:spacing w:before="225" w:beforeAutospacing="0" w:after="225" w:afterAutospacing="0" w:line="576" w:lineRule="exact"/>
        <w:ind w:left="0" w:right="0"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九三学社市委</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8.44</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1.71</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25.41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。主要原因是2022年新调入工作人员一人，机关运行经费相应增加。</w:t>
      </w:r>
    </w:p>
    <w:p>
      <w:pPr>
        <w:shd w:val="clea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8" w:name="_Toc15377223"/>
      <w:r>
        <w:rPr>
          <w:rFonts w:hint="eastAsia" w:ascii="仿宋" w:hAnsi="仿宋" w:eastAsia="仿宋"/>
          <w:b/>
          <w:color w:val="auto"/>
          <w:sz w:val="32"/>
          <w:szCs w:val="32"/>
          <w:highlight w:val="none"/>
        </w:rPr>
        <w:t>（二）政府采购支出情况</w:t>
      </w:r>
      <w:bookmarkEnd w:id="68"/>
    </w:p>
    <w:p>
      <w:pPr>
        <w:shd w:val="clea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九三学社广元市委</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hd w:val="clea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9" w:name="_Toc15377224"/>
      <w:r>
        <w:rPr>
          <w:rFonts w:hint="eastAsia" w:ascii="仿宋" w:hAnsi="仿宋" w:eastAsia="仿宋"/>
          <w:b/>
          <w:color w:val="auto"/>
          <w:sz w:val="32"/>
          <w:szCs w:val="32"/>
          <w:highlight w:val="none"/>
        </w:rPr>
        <w:t>（三）国有资产占有使用情况</w:t>
      </w:r>
      <w:bookmarkEnd w:id="69"/>
    </w:p>
    <w:p>
      <w:pPr>
        <w:shd w:val="clea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九三学社广元市委</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shd w:val="clea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shd w:val="clear"/>
        <w:ind w:firstLine="640" w:firstLineChars="20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根据预算绩效管理要求，本单位在2022年度预算编制阶段，组织对</w:t>
      </w:r>
      <w:r>
        <w:rPr>
          <w:rFonts w:hint="eastAsia" w:ascii="仿宋_GB2312" w:hAnsi="仿宋_GB2312" w:eastAsia="仿宋_GB2312" w:cs="仿宋_GB2312"/>
          <w:color w:val="auto"/>
          <w:sz w:val="32"/>
          <w:szCs w:val="32"/>
          <w:highlight w:val="none"/>
        </w:rPr>
        <w:t>组织对</w:t>
      </w:r>
      <w:r>
        <w:rPr>
          <w:rFonts w:hint="eastAsia" w:hAnsi="仿宋_GB2312" w:cs="仿宋_GB2312"/>
          <w:color w:val="auto"/>
          <w:sz w:val="32"/>
          <w:szCs w:val="32"/>
          <w:highlight w:val="none"/>
          <w:lang w:eastAsia="zh-CN"/>
        </w:rPr>
        <w:t>开展政党协商、九广合作专项经费</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r>
        <w:rPr>
          <w:rFonts w:hint="eastAsia" w:ascii="仿宋_GB2312" w:hAnsi="Times New Roman" w:eastAsia="仿宋_GB2312" w:cs="Times New Roman"/>
          <w:color w:val="auto"/>
          <w:kern w:val="2"/>
          <w:sz w:val="32"/>
          <w:szCs w:val="32"/>
          <w:highlight w:val="none"/>
          <w:lang w:val="en-US" w:eastAsia="zh-CN" w:bidi="ar-SA"/>
        </w:rPr>
        <w:t>。</w:t>
      </w:r>
    </w:p>
    <w:p>
      <w:pPr>
        <w:widowControl/>
        <w:shd w:val="clear"/>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hd w:val="clear"/>
        <w:spacing w:line="600" w:lineRule="exact"/>
        <w:ind w:firstLine="660" w:firstLineChars="150"/>
        <w:jc w:val="center"/>
        <w:outlineLvl w:val="0"/>
        <w:rPr>
          <w:rStyle w:val="17"/>
          <w:rFonts w:ascii="黑体" w:hAnsi="黑体" w:eastAsia="黑体"/>
          <w:b w:val="0"/>
          <w:color w:val="auto"/>
          <w:highlight w:val="none"/>
        </w:rPr>
      </w:pPr>
      <w:bookmarkStart w:id="70" w:name="_Toc15377225"/>
      <w:bookmarkStart w:id="71" w:name="_Toc15396613"/>
      <w:bookmarkStart w:id="72" w:name="_Toc24818"/>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70"/>
      <w:bookmarkEnd w:id="71"/>
      <w:bookmarkEnd w:id="72"/>
    </w:p>
    <w:p>
      <w:pPr>
        <w:shd w:val="clear"/>
        <w:spacing w:line="600" w:lineRule="exact"/>
        <w:jc w:val="left"/>
        <w:rPr>
          <w:rFonts w:ascii="宋体"/>
          <w:b/>
          <w:color w:val="auto"/>
          <w:sz w:val="44"/>
          <w:szCs w:val="44"/>
          <w:highlight w:val="none"/>
        </w:rPr>
      </w:pPr>
    </w:p>
    <w:p>
      <w:pPr>
        <w:pStyle w:val="26"/>
        <w:shd w:val="clear"/>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shd w:val="clear"/>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6"/>
        <w:shd w:val="clear"/>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shd w:val="clear"/>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4.一般公共服务（类）民主党派及工商联事务（款）行政运行（项）： 指反映行政单位（包括实行公务员管理的事业单位）的基本支出。</w:t>
      </w:r>
    </w:p>
    <w:p>
      <w:pPr>
        <w:pStyle w:val="2"/>
        <w:shd w:val="clear"/>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hAnsi="Calibri" w:cs="仿宋"/>
          <w:color w:val="auto"/>
          <w:kern w:val="0"/>
          <w:sz w:val="32"/>
          <w:szCs w:val="32"/>
          <w:highlight w:val="none"/>
          <w:lang w:val="en-US" w:eastAsia="zh-CN" w:bidi="ar-SA"/>
        </w:rPr>
        <w:t>5</w:t>
      </w:r>
      <w:r>
        <w:rPr>
          <w:rFonts w:hint="eastAsia" w:ascii="仿宋_GB2312" w:hAnsi="Calibri" w:eastAsia="仿宋_GB2312" w:cs="仿宋"/>
          <w:color w:val="auto"/>
          <w:kern w:val="0"/>
          <w:sz w:val="32"/>
          <w:szCs w:val="32"/>
          <w:highlight w:val="none"/>
          <w:lang w:val="en-US" w:eastAsia="zh-CN" w:bidi="ar-SA"/>
        </w:rPr>
        <w:t>.一般公共服务（类）民主党派及工商联事务（款）一般行政管理事务（项）：指反映行政单位（包括实行公务员管理的事业单位）未单独设置项级科目的其他项目支出。</w:t>
      </w:r>
    </w:p>
    <w:p>
      <w:pPr>
        <w:pStyle w:val="2"/>
        <w:shd w:val="clear"/>
        <w:ind w:firstLine="640" w:firstLineChars="200"/>
        <w:rPr>
          <w:rFonts w:hint="default" w:ascii="仿宋_GB2312" w:hAnsi="Calibri" w:eastAsia="仿宋_GB2312" w:cs="仿宋"/>
          <w:color w:val="auto"/>
          <w:kern w:val="0"/>
          <w:sz w:val="32"/>
          <w:szCs w:val="32"/>
          <w:highlight w:val="red"/>
          <w:lang w:eastAsia="zh-CN" w:bidi="ar-SA"/>
        </w:rPr>
      </w:pPr>
      <w:r>
        <w:rPr>
          <w:rFonts w:hint="default" w:ascii="仿宋_GB2312" w:hAnsi="Calibri" w:eastAsia="仿宋_GB2312" w:cs="仿宋"/>
          <w:color w:val="auto"/>
          <w:kern w:val="0"/>
          <w:sz w:val="32"/>
          <w:szCs w:val="32"/>
          <w:highlight w:val="none"/>
          <w:lang w:val="en-US" w:eastAsia="zh-CN" w:bidi="ar-SA"/>
        </w:rPr>
        <w:t>6</w:t>
      </w:r>
      <w:r>
        <w:rPr>
          <w:rFonts w:hint="eastAsia" w:ascii="仿宋_GB2312" w:hAnsi="Calibri" w:eastAsia="仿宋_GB2312" w:cs="仿宋"/>
          <w:color w:val="auto"/>
          <w:kern w:val="0"/>
          <w:sz w:val="32"/>
          <w:szCs w:val="32"/>
          <w:highlight w:val="none"/>
          <w:lang w:val="en-US" w:eastAsia="zh-CN" w:bidi="ar-SA"/>
        </w:rPr>
        <w:t>一般公共服务（类）民主党派及工商联事务（款）其他民主党派及工商联事务支出（项）: 指反映除上述项目以外其他用于民主党派及工商联事务方面的支出。</w:t>
      </w:r>
    </w:p>
    <w:p>
      <w:pPr>
        <w:pStyle w:val="12"/>
        <w:keepNext w:val="0"/>
        <w:keepLines w:val="0"/>
        <w:pageBreakBefore w:val="0"/>
        <w:widowControl/>
        <w:suppressLineNumbers w:val="0"/>
        <w:shd w:val="clear"/>
        <w:kinsoku/>
        <w:wordWrap/>
        <w:overflowPunct/>
        <w:topLinePunct w:val="0"/>
        <w:autoSpaceDE/>
        <w:autoSpaceDN/>
        <w:bidi w:val="0"/>
        <w:adjustRightInd/>
        <w:snapToGrid/>
        <w:spacing w:before="210" w:beforeAutospacing="0" w:after="210" w:afterAutospacing="0" w:line="576" w:lineRule="exact"/>
        <w:ind w:left="0" w:right="0" w:firstLine="640" w:firstLineChars="200"/>
        <w:jc w:val="left"/>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7.社会保障和就业（类）行政事业单位养老支出（款）机关事业单位养老保险缴费支出（项）： 指反映机关事业单位实施养老保险制度由单位缴纳的基本养老保险费支出。</w:t>
      </w:r>
    </w:p>
    <w:p>
      <w:pPr>
        <w:pStyle w:val="12"/>
        <w:keepNext w:val="0"/>
        <w:keepLines w:val="0"/>
        <w:pageBreakBefore w:val="0"/>
        <w:widowControl/>
        <w:suppressLineNumbers w:val="0"/>
        <w:shd w:val="clear"/>
        <w:kinsoku/>
        <w:wordWrap/>
        <w:overflowPunct/>
        <w:topLinePunct w:val="0"/>
        <w:autoSpaceDE/>
        <w:autoSpaceDN/>
        <w:bidi w:val="0"/>
        <w:adjustRightInd/>
        <w:snapToGrid/>
        <w:spacing w:before="210" w:beforeAutospacing="0" w:after="210" w:afterAutospacing="0" w:line="576" w:lineRule="exact"/>
        <w:ind w:left="0" w:right="0" w:firstLine="640" w:firstLineChars="200"/>
        <w:jc w:val="left"/>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8.卫生健康（类）行政事业单位医疗（款）行政单位医疗（项）：指反映财政部门安排的行政单位（包括实行公务员管理的事业单位，下同）基本医疗保险缴费经费，未参加医疗保险的行政单位的公费医疗经费，按国家规定享受离休人员、红军老战士待遇人员的医疗经费。</w:t>
      </w:r>
    </w:p>
    <w:p>
      <w:pPr>
        <w:pStyle w:val="12"/>
        <w:keepNext w:val="0"/>
        <w:keepLines w:val="0"/>
        <w:pageBreakBefore w:val="0"/>
        <w:widowControl/>
        <w:suppressLineNumbers w:val="0"/>
        <w:shd w:val="clear"/>
        <w:kinsoku/>
        <w:wordWrap/>
        <w:overflowPunct/>
        <w:topLinePunct w:val="0"/>
        <w:autoSpaceDE/>
        <w:autoSpaceDN/>
        <w:bidi w:val="0"/>
        <w:adjustRightInd/>
        <w:snapToGrid/>
        <w:spacing w:before="210" w:beforeAutospacing="0" w:after="210" w:afterAutospacing="0" w:line="576" w:lineRule="exact"/>
        <w:ind w:left="0" w:right="0" w:firstLine="640" w:firstLineChars="200"/>
        <w:jc w:val="left"/>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9.住房保障支出（类）住房改革支出（款）住房公积金（项）：指反映行政事业单位按人力资源和社会保障部、财政部规定的基本工资和津贴补贴以及规定比例为职工缴纳的住房公积金。</w:t>
      </w:r>
    </w:p>
    <w:p>
      <w:pPr>
        <w:pStyle w:val="12"/>
        <w:keepNext w:val="0"/>
        <w:keepLines w:val="0"/>
        <w:pageBreakBefore w:val="0"/>
        <w:widowControl/>
        <w:suppressLineNumbers w:val="0"/>
        <w:shd w:val="clear"/>
        <w:kinsoku/>
        <w:wordWrap/>
        <w:overflowPunct/>
        <w:topLinePunct w:val="0"/>
        <w:autoSpaceDE/>
        <w:autoSpaceDN/>
        <w:bidi w:val="0"/>
        <w:adjustRightInd/>
        <w:snapToGrid/>
        <w:spacing w:before="210" w:beforeAutospacing="0" w:after="210" w:afterAutospacing="0" w:line="576" w:lineRule="exact"/>
        <w:ind w:left="0" w:right="0" w:firstLine="640" w:firstLineChars="200"/>
        <w:jc w:val="left"/>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10.基本支出：指为保障机构正常运转、完成日常工作任务而发生的人员支出和公用支出。</w:t>
      </w:r>
    </w:p>
    <w:p>
      <w:pPr>
        <w:pStyle w:val="12"/>
        <w:keepNext w:val="0"/>
        <w:keepLines w:val="0"/>
        <w:pageBreakBefore w:val="0"/>
        <w:widowControl/>
        <w:suppressLineNumbers w:val="0"/>
        <w:shd w:val="clear"/>
        <w:kinsoku/>
        <w:wordWrap/>
        <w:overflowPunct/>
        <w:topLinePunct w:val="0"/>
        <w:autoSpaceDE/>
        <w:autoSpaceDN/>
        <w:bidi w:val="0"/>
        <w:adjustRightInd/>
        <w:snapToGrid/>
        <w:spacing w:before="210" w:beforeAutospacing="0" w:after="210" w:afterAutospacing="0" w:line="576" w:lineRule="exact"/>
        <w:ind w:left="0" w:right="0" w:firstLine="640" w:firstLineChars="200"/>
        <w:jc w:val="left"/>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11.项目支出：指在基本支出之外为完成特定行政任务和事业发展目标所发生的支出。</w:t>
      </w:r>
    </w:p>
    <w:p>
      <w:pPr>
        <w:pStyle w:val="12"/>
        <w:keepNext w:val="0"/>
        <w:keepLines w:val="0"/>
        <w:pageBreakBefore w:val="0"/>
        <w:widowControl/>
        <w:suppressLineNumbers w:val="0"/>
        <w:shd w:val="clear"/>
        <w:kinsoku/>
        <w:wordWrap/>
        <w:overflowPunct/>
        <w:topLinePunct w:val="0"/>
        <w:autoSpaceDE/>
        <w:autoSpaceDN/>
        <w:bidi w:val="0"/>
        <w:adjustRightInd/>
        <w:snapToGrid/>
        <w:spacing w:before="210" w:beforeAutospacing="0" w:after="210" w:afterAutospacing="0" w:line="576" w:lineRule="exact"/>
        <w:ind w:left="0" w:right="0" w:firstLine="640" w:firstLineChars="200"/>
        <w:jc w:val="left"/>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12.“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2"/>
        <w:keepNext w:val="0"/>
        <w:keepLines w:val="0"/>
        <w:pageBreakBefore w:val="0"/>
        <w:widowControl/>
        <w:suppressLineNumbers w:val="0"/>
        <w:shd w:val="clear"/>
        <w:kinsoku/>
        <w:wordWrap/>
        <w:overflowPunct/>
        <w:topLinePunct w:val="0"/>
        <w:autoSpaceDE/>
        <w:autoSpaceDN/>
        <w:bidi w:val="0"/>
        <w:adjustRightInd/>
        <w:snapToGrid/>
        <w:spacing w:before="210" w:beforeAutospacing="0" w:after="210" w:afterAutospacing="0" w:line="576" w:lineRule="exact"/>
        <w:ind w:left="0" w:right="0" w:firstLine="640" w:firstLineChars="200"/>
        <w:jc w:val="left"/>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shd w:val="clear"/>
        <w:spacing w:line="600" w:lineRule="exact"/>
        <w:jc w:val="center"/>
        <w:outlineLvl w:val="9"/>
        <w:rPr>
          <w:rFonts w:hint="eastAsia" w:ascii="黑体" w:hAnsi="黑体" w:eastAsia="黑体"/>
          <w:color w:val="auto"/>
          <w:sz w:val="44"/>
          <w:szCs w:val="44"/>
          <w:highlight w:val="none"/>
        </w:rPr>
      </w:pPr>
      <w:bookmarkStart w:id="73" w:name="_Toc15396614"/>
      <w:bookmarkStart w:id="74" w:name="_Toc15377226"/>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both"/>
        <w:outlineLvl w:val="9"/>
        <w:rPr>
          <w:rFonts w:hint="eastAsia" w:ascii="黑体" w:hAnsi="黑体" w:eastAsia="黑体"/>
          <w:color w:val="auto"/>
          <w:sz w:val="44"/>
          <w:szCs w:val="44"/>
          <w:highlight w:val="none"/>
        </w:rPr>
      </w:pPr>
    </w:p>
    <w:bookmarkEnd w:id="73"/>
    <w:p>
      <w:pPr>
        <w:spacing w:line="600" w:lineRule="exact"/>
        <w:jc w:val="center"/>
        <w:outlineLvl w:val="0"/>
        <w:rPr>
          <w:rStyle w:val="17"/>
          <w:rFonts w:ascii="黑体" w:hAnsi="黑体" w:eastAsia="黑体"/>
          <w:b w:val="0"/>
          <w:color w:val="auto"/>
          <w:highlight w:val="none"/>
        </w:rPr>
      </w:pPr>
      <w:bookmarkStart w:id="75" w:name="_Toc15396618"/>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p>
    <w:p>
      <w:pPr>
        <w:keepNext w:val="0"/>
        <w:keepLines w:val="0"/>
        <w:pageBreakBefore w:val="0"/>
        <w:kinsoku/>
        <w:wordWrap/>
        <w:overflowPunct/>
        <w:topLinePunct w:val="0"/>
        <w:autoSpaceDE/>
        <w:autoSpaceDN/>
        <w:bidi w:val="0"/>
        <w:spacing w:line="572" w:lineRule="exact"/>
        <w:jc w:val="left"/>
        <w:textAlignment w:val="auto"/>
        <w:outlineLvl w:val="0"/>
        <w:rPr>
          <w:rFonts w:ascii="仿宋_GB2312" w:hAnsi="仿宋_GB2312" w:eastAsia="仿宋_GB2312" w:cs="仿宋_GB2312"/>
          <w:color w:val="auto"/>
          <w:sz w:val="32"/>
          <w:szCs w:val="32"/>
          <w:highlight w:val="none"/>
        </w:rPr>
      </w:pPr>
    </w:p>
    <w:p>
      <w:pPr>
        <w:spacing w:line="600" w:lineRule="exact"/>
        <w:jc w:val="center"/>
        <w:outlineLvl w:val="0"/>
        <w:rPr>
          <w:rFonts w:hint="eastAsia" w:ascii="宋体" w:hAnsi="宋体" w:cs="宋体"/>
          <w:color w:val="auto"/>
          <w:kern w:val="0"/>
          <w:sz w:val="32"/>
          <w:szCs w:val="32"/>
          <w:highlight w:val="none"/>
          <w:lang w:val="en-US" w:eastAsia="zh-CN" w:bidi="ar-SA"/>
        </w:rPr>
      </w:pPr>
      <w:r>
        <w:rPr>
          <w:rFonts w:hint="eastAsia" w:ascii="宋体" w:hAnsi="宋体" w:cs="宋体"/>
          <w:color w:val="auto"/>
          <w:kern w:val="0"/>
          <w:sz w:val="32"/>
          <w:szCs w:val="32"/>
          <w:highlight w:val="none"/>
          <w:lang w:val="en-US" w:eastAsia="zh-CN" w:bidi="ar-SA"/>
        </w:rPr>
        <w:t>九三学社广元市委</w:t>
      </w:r>
    </w:p>
    <w:p>
      <w:pPr>
        <w:spacing w:line="600" w:lineRule="exact"/>
        <w:jc w:val="center"/>
        <w:outlineLvl w:val="0"/>
        <w:rPr>
          <w:rFonts w:hint="eastAsia" w:ascii="宋体" w:hAnsi="宋体" w:eastAsia="宋体" w:cs="宋体"/>
          <w:color w:val="auto"/>
          <w:kern w:val="0"/>
          <w:sz w:val="32"/>
          <w:szCs w:val="32"/>
          <w:highlight w:val="none"/>
          <w:lang w:val="en-US" w:eastAsia="zh-CN" w:bidi="ar-SA"/>
        </w:rPr>
      </w:pPr>
      <w:r>
        <w:rPr>
          <w:rFonts w:hint="eastAsia" w:ascii="宋体" w:hAnsi="宋体" w:cs="宋体"/>
          <w:color w:val="auto"/>
          <w:kern w:val="0"/>
          <w:sz w:val="32"/>
          <w:szCs w:val="32"/>
          <w:highlight w:val="none"/>
          <w:lang w:val="en-US" w:eastAsia="zh-CN" w:bidi="ar-SA"/>
        </w:rPr>
        <w:t>部门</w:t>
      </w:r>
      <w:r>
        <w:rPr>
          <w:rFonts w:hint="eastAsia" w:ascii="宋体" w:hAnsi="宋体" w:eastAsia="宋体" w:cs="宋体"/>
          <w:color w:val="auto"/>
          <w:kern w:val="0"/>
          <w:sz w:val="32"/>
          <w:szCs w:val="32"/>
          <w:highlight w:val="none"/>
          <w:lang w:val="en-US" w:eastAsia="zh-CN" w:bidi="ar-SA"/>
        </w:rPr>
        <w:t>预算项目支出绩效自评表（2022年度）</w:t>
      </w:r>
    </w:p>
    <w:p>
      <w:pPr>
        <w:pStyle w:val="2"/>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5" o:spt="75" type="#_x0000_t75" style="height:500.45pt;width:414.7pt;" o:ole="t" filled="f" o:preferrelative="t" stroked="f" coordsize="21600,21600">
            <v:path/>
            <v:fill on="f" focussize="0,0"/>
            <v:stroke on="f"/>
            <v:imagedata r:id="rId16" o:title=""/>
            <o:lock v:ext="edit" aspectratio="f"/>
            <w10:wrap type="none"/>
            <w10:anchorlock/>
          </v:shape>
          <o:OLEObject Type="Embed" ProgID="Excel.Sheet.12" ShapeID="_x0000_i1025" DrawAspect="Content" ObjectID="_1468075725" r:id="rId15">
            <o:LockedField>false</o:LockedField>
          </o:OLEObject>
        </w:object>
      </w:r>
    </w:p>
    <w:p>
      <w:pPr>
        <w:pStyle w:val="2"/>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6" o:spt="75" type="#_x0000_t75" style="height:686pt;width:414.7pt;" o:ole="t" filled="f" o:preferrelative="t" stroked="f" coordsize="21600,21600">
            <v:path/>
            <v:fill on="f" focussize="0,0"/>
            <v:stroke on="f"/>
            <v:imagedata r:id="rId18" o:title=""/>
            <o:lock v:ext="edit" aspectratio="f"/>
            <w10:wrap type="none"/>
            <w10:anchorlock/>
          </v:shape>
          <o:OLEObject Type="Embed" ProgID="Excel.Sheet.12" ShapeID="_x0000_i1026" DrawAspect="Content" ObjectID="_1468075726" r:id="rId17">
            <o:LockedField>false</o:LockedField>
          </o:OLEObject>
        </w:object>
      </w:r>
    </w:p>
    <w:p>
      <w:pPr>
        <w:pStyle w:val="2"/>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7" o:spt="75" type="#_x0000_t75" style="height:690.75pt;width:414.7pt;" o:ole="t" filled="f" o:preferrelative="t" stroked="f" coordsize="21600,21600">
            <v:path/>
            <v:fill on="f" focussize="0,0"/>
            <v:stroke on="f"/>
            <v:imagedata r:id="rId20" o:title=""/>
            <o:lock v:ext="edit" aspectratio="f"/>
            <w10:wrap type="none"/>
            <w10:anchorlock/>
          </v:shape>
          <o:OLEObject Type="Embed" ProgID="Excel.Sheet.12" ShapeID="_x0000_i1027" DrawAspect="Content" ObjectID="_1468075727" r:id="rId19">
            <o:LockedField>false</o:LockedField>
          </o:OLEObject>
        </w:object>
      </w:r>
    </w:p>
    <w:p>
      <w:pPr>
        <w:pStyle w:val="2"/>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8" o:spt="75" type="#_x0000_t75" style="height:678.4pt;width:414.7pt;" o:ole="t" filled="f" o:preferrelative="t" stroked="f" coordsize="21600,21600">
            <v:path/>
            <v:fill on="f" focussize="0,0"/>
            <v:stroke on="f"/>
            <v:imagedata r:id="rId22" o:title=""/>
            <o:lock v:ext="edit" aspectratio="f"/>
            <w10:wrap type="none"/>
            <w10:anchorlock/>
          </v:shape>
          <o:OLEObject Type="Embed" ProgID="Excel.Sheet.12" ShapeID="_x0000_i1028" DrawAspect="Content" ObjectID="_1468075728" r:id="rId21">
            <o:LockedField>false</o:LockedField>
          </o:OLEObject>
        </w:object>
      </w:r>
    </w:p>
    <w:p>
      <w:pPr>
        <w:pStyle w:val="2"/>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9" o:spt="75" type="#_x0000_t75" style="height:508.7pt;width:414.7pt;" o:ole="t" filled="f" o:preferrelative="t" stroked="f" coordsize="21600,21600">
            <v:path/>
            <v:fill on="f" focussize="0,0"/>
            <v:stroke on="f"/>
            <v:imagedata r:id="rId24" o:title=""/>
            <o:lock v:ext="edit" aspectratio="f"/>
            <w10:wrap type="none"/>
            <w10:anchorlock/>
          </v:shape>
          <o:OLEObject Type="Embed" ProgID="Excel.Sheet.12" ShapeID="_x0000_i1029" DrawAspect="Content" ObjectID="_1468075729" r:id="rId23">
            <o:LockedField>false</o:LockedField>
          </o:OLEObject>
        </w:object>
      </w:r>
    </w:p>
    <w:p>
      <w:pPr>
        <w:pStyle w:val="2"/>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黑体" w:hAnsi="黑体" w:eastAsia="黑体"/>
          <w:color w:val="auto"/>
          <w:sz w:val="44"/>
          <w:szCs w:val="44"/>
          <w:highlight w:val="none"/>
        </w:rPr>
      </w:pPr>
    </w:p>
    <w:p>
      <w:pPr>
        <w:pStyle w:val="2"/>
        <w:shd w:val="clear"/>
        <w:rPr>
          <w:rFonts w:hint="eastAsia" w:ascii="黑体" w:hAnsi="黑体" w:eastAsia="黑体"/>
          <w:color w:val="auto"/>
          <w:sz w:val="44"/>
          <w:szCs w:val="44"/>
          <w:highlight w:val="none"/>
        </w:rPr>
      </w:pPr>
    </w:p>
    <w:p>
      <w:pPr>
        <w:shd w:val="clear"/>
        <w:spacing w:line="600" w:lineRule="exact"/>
        <w:jc w:val="center"/>
        <w:outlineLvl w:val="0"/>
        <w:rPr>
          <w:rStyle w:val="17"/>
          <w:rFonts w:hint="eastAsia" w:ascii="黑体" w:hAnsi="黑体" w:eastAsia="黑体"/>
          <w:b w:val="0"/>
          <w:color w:val="auto"/>
          <w:highlight w:val="none"/>
        </w:rPr>
      </w:pPr>
      <w:bookmarkStart w:id="76" w:name="_Toc18061"/>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4"/>
      <w:bookmarkEnd w:id="75"/>
      <w:bookmarkEnd w:id="76"/>
      <w:bookmarkStart w:id="77" w:name="_Toc15396619"/>
    </w:p>
    <w:p>
      <w:pPr>
        <w:shd w:val="clear"/>
        <w:spacing w:line="600" w:lineRule="exact"/>
        <w:jc w:val="left"/>
        <w:outlineLvl w:val="1"/>
        <w:rPr>
          <w:rFonts w:hint="eastAsia" w:ascii="仿宋" w:hAnsi="仿宋" w:eastAsia="仿宋" w:cstheme="majorBidi"/>
          <w:b w:val="0"/>
          <w:bCs/>
          <w:color w:val="auto"/>
          <w:kern w:val="2"/>
          <w:sz w:val="32"/>
          <w:szCs w:val="32"/>
          <w:highlight w:val="none"/>
          <w:lang w:val="en-US" w:eastAsia="zh-CN" w:bidi="ar-SA"/>
        </w:rPr>
      </w:pPr>
      <w:bookmarkStart w:id="78" w:name="_Toc26446"/>
      <w:r>
        <w:rPr>
          <w:rFonts w:hint="eastAsia" w:ascii="仿宋" w:hAnsi="仿宋" w:eastAsia="仿宋"/>
          <w:b w:val="0"/>
          <w:color w:val="auto"/>
          <w:highlight w:val="none"/>
        </w:rPr>
        <w:t>一、</w:t>
      </w:r>
      <w:r>
        <w:rPr>
          <w:rFonts w:hint="eastAsia" w:ascii="仿宋" w:hAnsi="仿宋" w:eastAsia="仿宋" w:cstheme="majorBidi"/>
          <w:b w:val="0"/>
          <w:bCs/>
          <w:color w:val="auto"/>
          <w:kern w:val="2"/>
          <w:sz w:val="32"/>
          <w:szCs w:val="32"/>
          <w:highlight w:val="none"/>
          <w:lang w:val="en-US" w:eastAsia="zh-CN" w:bidi="ar-SA"/>
        </w:rPr>
        <w:t>收入支出决算总表</w:t>
      </w:r>
      <w:bookmarkEnd w:id="77"/>
      <w:bookmarkEnd w:id="78"/>
    </w:p>
    <w:p>
      <w:pPr>
        <w:pStyle w:val="4"/>
        <w:shd w:val="clear"/>
        <w:rPr>
          <w:rFonts w:ascii="仿宋" w:hAnsi="仿宋" w:eastAsia="仿宋"/>
          <w:color w:val="auto"/>
          <w:highlight w:val="none"/>
        </w:rPr>
      </w:pPr>
      <w:bookmarkStart w:id="79" w:name="_Toc18736"/>
      <w:bookmarkStart w:id="80" w:name="_Toc15396620"/>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79"/>
      <w:bookmarkEnd w:id="80"/>
    </w:p>
    <w:p>
      <w:pPr>
        <w:pStyle w:val="4"/>
        <w:shd w:val="clear"/>
        <w:rPr>
          <w:rFonts w:ascii="仿宋" w:hAnsi="仿宋" w:eastAsia="仿宋"/>
          <w:color w:val="auto"/>
          <w:highlight w:val="none"/>
        </w:rPr>
      </w:pPr>
      <w:bookmarkStart w:id="81" w:name="_Toc15396621"/>
      <w:bookmarkStart w:id="82" w:name="_Toc1575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81"/>
      <w:bookmarkEnd w:id="82"/>
    </w:p>
    <w:p>
      <w:pPr>
        <w:pStyle w:val="4"/>
        <w:shd w:val="clear"/>
        <w:rPr>
          <w:rFonts w:ascii="仿宋" w:hAnsi="仿宋" w:eastAsia="仿宋"/>
          <w:b w:val="0"/>
          <w:color w:val="auto"/>
          <w:highlight w:val="none"/>
        </w:rPr>
      </w:pPr>
      <w:bookmarkStart w:id="83" w:name="_Toc8000"/>
      <w:bookmarkStart w:id="84" w:name="_Toc15396622"/>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83"/>
      <w:bookmarkEnd w:id="84"/>
    </w:p>
    <w:p>
      <w:pPr>
        <w:pStyle w:val="4"/>
        <w:shd w:val="clear"/>
        <w:rPr>
          <w:rStyle w:val="18"/>
          <w:rFonts w:ascii="仿宋" w:hAnsi="仿宋" w:eastAsia="仿宋"/>
          <w:b w:val="0"/>
          <w:bCs w:val="0"/>
          <w:color w:val="auto"/>
          <w:highlight w:val="none"/>
        </w:rPr>
      </w:pPr>
      <w:bookmarkStart w:id="85" w:name="_Toc22474"/>
      <w:bookmarkStart w:id="86" w:name="_Toc15396623"/>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85"/>
      <w:bookmarkEnd w:id="86"/>
      <w:bookmarkStart w:id="87" w:name="_Toc15396624"/>
    </w:p>
    <w:p>
      <w:pPr>
        <w:pStyle w:val="4"/>
        <w:shd w:val="clear"/>
        <w:rPr>
          <w:rFonts w:ascii="仿宋" w:hAnsi="仿宋" w:eastAsia="仿宋"/>
          <w:color w:val="auto"/>
          <w:highlight w:val="none"/>
        </w:rPr>
      </w:pPr>
      <w:bookmarkStart w:id="88" w:name="_Toc1847"/>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87"/>
      <w:bookmarkEnd w:id="88"/>
    </w:p>
    <w:p>
      <w:pPr>
        <w:pStyle w:val="4"/>
        <w:shd w:val="clear"/>
        <w:rPr>
          <w:rFonts w:ascii="仿宋" w:hAnsi="仿宋" w:eastAsia="仿宋"/>
          <w:color w:val="auto"/>
          <w:highlight w:val="none"/>
        </w:rPr>
      </w:pPr>
      <w:bookmarkStart w:id="89" w:name="_Toc15396625"/>
      <w:bookmarkStart w:id="90" w:name="_Toc22334"/>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89"/>
      <w:bookmarkEnd w:id="90"/>
    </w:p>
    <w:p>
      <w:pPr>
        <w:pStyle w:val="4"/>
        <w:shd w:val="clear"/>
        <w:rPr>
          <w:rFonts w:ascii="仿宋" w:hAnsi="仿宋" w:eastAsia="仿宋"/>
          <w:color w:val="auto"/>
          <w:highlight w:val="none"/>
        </w:rPr>
      </w:pPr>
      <w:bookmarkStart w:id="91" w:name="_Toc15396626"/>
      <w:bookmarkStart w:id="92" w:name="_Toc20467"/>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91"/>
      <w:bookmarkEnd w:id="92"/>
    </w:p>
    <w:p>
      <w:pPr>
        <w:pStyle w:val="4"/>
        <w:shd w:val="clear"/>
        <w:rPr>
          <w:rFonts w:ascii="仿宋" w:hAnsi="仿宋" w:eastAsia="仿宋"/>
          <w:color w:val="auto"/>
          <w:highlight w:val="none"/>
        </w:rPr>
      </w:pPr>
      <w:bookmarkStart w:id="93" w:name="_Toc15396627"/>
      <w:bookmarkStart w:id="94" w:name="_Toc24681"/>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93"/>
      <w:bookmarkEnd w:id="94"/>
    </w:p>
    <w:p>
      <w:pPr>
        <w:pStyle w:val="4"/>
        <w:shd w:val="clear"/>
        <w:rPr>
          <w:rFonts w:ascii="仿宋" w:hAnsi="仿宋" w:eastAsia="仿宋"/>
          <w:color w:val="auto"/>
          <w:highlight w:val="none"/>
        </w:rPr>
      </w:pPr>
      <w:bookmarkStart w:id="95" w:name="_Toc15396628"/>
      <w:bookmarkStart w:id="96" w:name="_Toc24693"/>
      <w:r>
        <w:rPr>
          <w:rStyle w:val="18"/>
          <w:rFonts w:hint="eastAsia" w:ascii="仿宋" w:hAnsi="仿宋" w:eastAsia="仿宋"/>
          <w:b w:val="0"/>
          <w:bCs w:val="0"/>
          <w:color w:val="auto"/>
          <w:highlight w:val="none"/>
        </w:rPr>
        <w:t>十、</w:t>
      </w:r>
      <w:bookmarkEnd w:id="95"/>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96"/>
    </w:p>
    <w:p>
      <w:pPr>
        <w:pStyle w:val="4"/>
        <w:shd w:val="clear"/>
        <w:rPr>
          <w:rFonts w:ascii="仿宋" w:hAnsi="仿宋" w:eastAsia="仿宋"/>
          <w:color w:val="auto"/>
          <w:highlight w:val="none"/>
        </w:rPr>
      </w:pPr>
      <w:bookmarkStart w:id="97" w:name="_Toc15396629"/>
      <w:bookmarkStart w:id="98" w:name="_Toc10363"/>
      <w:r>
        <w:rPr>
          <w:rStyle w:val="18"/>
          <w:rFonts w:hint="eastAsia" w:ascii="仿宋" w:hAnsi="仿宋" w:eastAsia="仿宋"/>
          <w:b w:val="0"/>
          <w:bCs w:val="0"/>
          <w:color w:val="auto"/>
          <w:highlight w:val="none"/>
        </w:rPr>
        <w:t>十一、</w:t>
      </w:r>
      <w:bookmarkEnd w:id="97"/>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98"/>
    </w:p>
    <w:p>
      <w:pPr>
        <w:pStyle w:val="4"/>
        <w:shd w:val="clear"/>
        <w:rPr>
          <w:rFonts w:ascii="仿宋" w:hAnsi="仿宋" w:eastAsia="仿宋"/>
          <w:color w:val="auto"/>
          <w:highlight w:val="none"/>
        </w:rPr>
      </w:pPr>
      <w:bookmarkStart w:id="99" w:name="_Toc15396630"/>
      <w:bookmarkStart w:id="100" w:name="_Toc8856"/>
      <w:r>
        <w:rPr>
          <w:rStyle w:val="18"/>
          <w:rFonts w:hint="eastAsia" w:ascii="仿宋" w:hAnsi="仿宋" w:eastAsia="仿宋"/>
          <w:b w:val="0"/>
          <w:bCs w:val="0"/>
          <w:color w:val="auto"/>
          <w:highlight w:val="none"/>
        </w:rPr>
        <w:t>十二、</w:t>
      </w:r>
      <w:bookmarkEnd w:id="99"/>
      <w:r>
        <w:rPr>
          <w:rStyle w:val="18"/>
          <w:rFonts w:hint="eastAsia" w:ascii="仿宋" w:hAnsi="仿宋" w:eastAsia="仿宋"/>
          <w:b w:val="0"/>
          <w:bCs w:val="0"/>
          <w:color w:val="auto"/>
          <w:highlight w:val="none"/>
          <w:lang w:eastAsia="zh-CN"/>
        </w:rPr>
        <w:t>国有资本经营预算财政拨款支出决算表</w:t>
      </w:r>
      <w:bookmarkEnd w:id="100"/>
    </w:p>
    <w:p>
      <w:pPr>
        <w:pStyle w:val="4"/>
        <w:shd w:val="clear"/>
        <w:rPr>
          <w:rStyle w:val="18"/>
          <w:rFonts w:hint="eastAsia" w:ascii="仿宋" w:hAnsi="仿宋" w:eastAsia="仿宋"/>
          <w:b w:val="0"/>
          <w:bCs w:val="0"/>
          <w:color w:val="auto"/>
          <w:highlight w:val="none"/>
          <w:lang w:eastAsia="zh-CN"/>
        </w:rPr>
      </w:pPr>
      <w:bookmarkStart w:id="101" w:name="_Toc15396631"/>
      <w:bookmarkStart w:id="102" w:name="_Toc32162"/>
      <w:r>
        <w:rPr>
          <w:rStyle w:val="18"/>
          <w:rFonts w:hint="eastAsia" w:ascii="仿宋" w:hAnsi="仿宋" w:eastAsia="仿宋"/>
          <w:b w:val="0"/>
          <w:bCs w:val="0"/>
          <w:color w:val="auto"/>
          <w:highlight w:val="none"/>
        </w:rPr>
        <w:t>十三、</w:t>
      </w:r>
      <w:bookmarkEnd w:id="101"/>
      <w:r>
        <w:rPr>
          <w:rStyle w:val="18"/>
          <w:rFonts w:hint="eastAsia" w:ascii="仿宋" w:hAnsi="仿宋" w:eastAsia="仿宋"/>
          <w:b w:val="0"/>
          <w:bCs w:val="0"/>
          <w:color w:val="auto"/>
          <w:highlight w:val="none"/>
          <w:lang w:eastAsia="zh-CN"/>
        </w:rPr>
        <w:t>财政拨款“三公”经费支出决算表</w:t>
      </w:r>
      <w:bookmarkEnd w:id="102"/>
    </w:p>
    <w:p>
      <w:pPr>
        <w:shd w:val="clear"/>
        <w:rPr>
          <w:rFonts w:hint="eastAsia"/>
          <w:highlight w:val="none"/>
          <w:lang w:eastAsia="zh-CN"/>
        </w:rPr>
      </w:pPr>
      <w:bookmarkStart w:id="103" w:name="_Toc4238"/>
      <w:r>
        <w:rPr>
          <w:rStyle w:val="18"/>
          <w:rFonts w:hint="eastAsia" w:ascii="仿宋" w:hAnsi="仿宋" w:eastAsia="仿宋"/>
          <w:b w:val="0"/>
          <w:bCs w:val="0"/>
          <w:color w:val="auto"/>
          <w:highlight w:val="none"/>
          <w:lang w:val="en-US" w:eastAsia="zh-CN" w:bidi="ar-SA"/>
        </w:rPr>
        <w:t>附件：</w:t>
      </w:r>
      <w:bookmarkEnd w:id="103"/>
      <w:r>
        <w:rPr>
          <w:rFonts w:hint="eastAsia"/>
          <w:highlight w:val="none"/>
          <w:lang w:eastAsia="zh-CN"/>
        </w:rPr>
        <w:fldChar w:fldCharType="begin"/>
      </w:r>
      <w:r>
        <w:rPr>
          <w:rFonts w:hint="eastAsia"/>
          <w:highlight w:val="none"/>
          <w:lang w:eastAsia="zh-CN"/>
        </w:rPr>
        <w:instrText xml:space="preserve"> HYPERLINK "九三学社2022年决算公开表.xls" </w:instrText>
      </w:r>
      <w:r>
        <w:rPr>
          <w:rFonts w:hint="eastAsia"/>
          <w:highlight w:val="none"/>
          <w:lang w:eastAsia="zh-CN"/>
        </w:rPr>
        <w:fldChar w:fldCharType="separate"/>
      </w:r>
      <w:r>
        <w:rPr>
          <w:rStyle w:val="16"/>
          <w:rFonts w:hint="eastAsia"/>
          <w:highlight w:val="none"/>
          <w:lang w:eastAsia="zh-CN"/>
        </w:rPr>
        <w:t>九三学社2022年决算公开表.xls</w:t>
      </w:r>
      <w:r>
        <w:rPr>
          <w:rFonts w:hint="eastAsia"/>
          <w:highlight w:val="none"/>
          <w:lang w:eastAsia="zh-CN"/>
        </w:rPr>
        <w:fldChar w:fldCharType="end"/>
      </w:r>
    </w:p>
    <w:sectPr>
      <w:footerReference r:id="rId6" w:type="default"/>
      <w:pgSz w:w="11906" w:h="16838"/>
      <w:pgMar w:top="2098" w:right="1531" w:bottom="1984" w:left="1587"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仿宋_GB2312">
    <w:altName w:val="方正仿宋_GBK"/>
    <w:panose1 w:val="02000000000000000000"/>
    <w:charset w:val="86"/>
    <w:family w:val="auto"/>
    <w:pitch w:val="default"/>
    <w:sig w:usb0="00000000" w:usb1="00000000" w:usb2="00000012" w:usb3="00000000" w:csb0="00040001" w:csb1="00000000"/>
  </w:font>
  <w:font w:name="Impact">
    <w:panose1 w:val="020B0806030902050204"/>
    <w:charset w:val="00"/>
    <w:family w:val="auto"/>
    <w:pitch w:val="default"/>
    <w:sig w:usb0="00000287" w:usb1="00000000" w:usb2="00000000" w:usb3="00000000" w:csb0="2000009F" w:csb1="DFD70000"/>
  </w:font>
  <w:font w:name="微软雅黑">
    <w:altName w:val="黑体"/>
    <w:panose1 w:val="020B0503020204020204"/>
    <w:charset w:val="86"/>
    <w:family w:val="auto"/>
    <w:pitch w:val="default"/>
    <w:sig w:usb0="0000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kYTFiNWNlYWQ0MTUyNTk2M2M1YmU4MWQ1MjBkNT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4E11C7"/>
    <w:rsid w:val="02544886"/>
    <w:rsid w:val="042E4DF5"/>
    <w:rsid w:val="053A62B5"/>
    <w:rsid w:val="0A2032A3"/>
    <w:rsid w:val="0B8A37D8"/>
    <w:rsid w:val="0F6310DF"/>
    <w:rsid w:val="103A4DD7"/>
    <w:rsid w:val="10C055FF"/>
    <w:rsid w:val="118107EC"/>
    <w:rsid w:val="11DD6519"/>
    <w:rsid w:val="16BB723D"/>
    <w:rsid w:val="18015F3F"/>
    <w:rsid w:val="1BE8440E"/>
    <w:rsid w:val="1CBC44B8"/>
    <w:rsid w:val="1D155CEE"/>
    <w:rsid w:val="20F57F95"/>
    <w:rsid w:val="23ED02BF"/>
    <w:rsid w:val="240371BF"/>
    <w:rsid w:val="25711CC6"/>
    <w:rsid w:val="25C741E6"/>
    <w:rsid w:val="27842671"/>
    <w:rsid w:val="29FD04D3"/>
    <w:rsid w:val="2ABE7A3E"/>
    <w:rsid w:val="2CA234A8"/>
    <w:rsid w:val="2EB474E3"/>
    <w:rsid w:val="2EFA178C"/>
    <w:rsid w:val="30B46D73"/>
    <w:rsid w:val="319F7F4E"/>
    <w:rsid w:val="32827D3A"/>
    <w:rsid w:val="383D272C"/>
    <w:rsid w:val="3963145B"/>
    <w:rsid w:val="39AE70AB"/>
    <w:rsid w:val="3C0C0783"/>
    <w:rsid w:val="3F9F3A96"/>
    <w:rsid w:val="40F7071D"/>
    <w:rsid w:val="41085755"/>
    <w:rsid w:val="415E23D7"/>
    <w:rsid w:val="48BF60AB"/>
    <w:rsid w:val="493C27E9"/>
    <w:rsid w:val="496F39ED"/>
    <w:rsid w:val="49FF41D3"/>
    <w:rsid w:val="4ACA0AC4"/>
    <w:rsid w:val="4BE068DB"/>
    <w:rsid w:val="4BF6002B"/>
    <w:rsid w:val="4ECE2238"/>
    <w:rsid w:val="50096420"/>
    <w:rsid w:val="51966DD0"/>
    <w:rsid w:val="51DB4B86"/>
    <w:rsid w:val="52B27ED6"/>
    <w:rsid w:val="55333C3E"/>
    <w:rsid w:val="574F1AE3"/>
    <w:rsid w:val="5FB128D8"/>
    <w:rsid w:val="61390D00"/>
    <w:rsid w:val="64CA39A1"/>
    <w:rsid w:val="65FF7ED3"/>
    <w:rsid w:val="675D7E8D"/>
    <w:rsid w:val="67EB09AE"/>
    <w:rsid w:val="69630ADE"/>
    <w:rsid w:val="6BFE3D2B"/>
    <w:rsid w:val="6C4A05C8"/>
    <w:rsid w:val="6CDE55CC"/>
    <w:rsid w:val="6D3B1A89"/>
    <w:rsid w:val="71BF4EC2"/>
    <w:rsid w:val="72734D90"/>
    <w:rsid w:val="7412278C"/>
    <w:rsid w:val="773F049C"/>
    <w:rsid w:val="783E536B"/>
    <w:rsid w:val="7904082E"/>
    <w:rsid w:val="79E7B28D"/>
    <w:rsid w:val="7F970248"/>
    <w:rsid w:val="7F9F20EE"/>
    <w:rsid w:val="7FBF56BF"/>
    <w:rsid w:val="9E3A10E2"/>
    <w:rsid w:val="9F3F5FE6"/>
    <w:rsid w:val="EFEBEF79"/>
    <w:rsid w:val="F2E1F9D4"/>
    <w:rsid w:val="F7880819"/>
    <w:rsid w:val="FBEF2AA1"/>
    <w:rsid w:val="FC9FAA93"/>
    <w:rsid w:val="FFB262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9"/>
    <w:semiHidden/>
    <w:unhideWhenUsed/>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9"/>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8"/>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7"/>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5.emf"/><Relationship Id="rId23" Type="http://schemas.openxmlformats.org/officeDocument/2006/relationships/oleObject" Target="embeddings/oleObject5.bin"/><Relationship Id="rId22" Type="http://schemas.openxmlformats.org/officeDocument/2006/relationships/image" Target="media/image4.emf"/><Relationship Id="rId21" Type="http://schemas.openxmlformats.org/officeDocument/2006/relationships/oleObject" Target="embeddings/oleObject4.bin"/><Relationship Id="rId20" Type="http://schemas.openxmlformats.org/officeDocument/2006/relationships/image" Target="media/image3.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2.emf"/><Relationship Id="rId17" Type="http://schemas.openxmlformats.org/officeDocument/2006/relationships/oleObject" Target="embeddings/oleObject2.bin"/><Relationship Id="rId16" Type="http://schemas.openxmlformats.org/officeDocument/2006/relationships/image" Target="media/image1.emf"/><Relationship Id="rId15" Type="http://schemas.openxmlformats.org/officeDocument/2006/relationships/oleObject" Target="embeddings/oleObject1.bin"/><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2.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1.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8" Type="http://schemas.microsoft.com/office/2011/relationships/chartColorStyle" Target="colors3.xml"/><Relationship Id="rId7" Type="http://schemas.microsoft.com/office/2011/relationships/chartStyle" Target="style3.xml"/><Relationship Id="rId6" Type="http://schemas.openxmlformats.org/officeDocument/2006/relationships/image" Target="../media/image10.png"/><Relationship Id="rId5" Type="http://schemas.openxmlformats.org/officeDocument/2006/relationships/image" Target="../media/image9.png"/><Relationship Id="rId4" Type="http://schemas.openxmlformats.org/officeDocument/2006/relationships/image" Target="../media/image8.png"/><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2021年</c:v>
                </c:pt>
              </c:strCache>
            </c:strRef>
          </c:tx>
          <c:spPr>
            <a:gradFill rotWithShape="true">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2"/>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tx2">
                          <a:lumMod val="35000"/>
                          <a:lumOff val="65000"/>
                        </a:schemeClr>
                      </a:solidFill>
                    </a:ln>
                    <a:effectLst/>
                  </c:spPr>
                </c15:leaderLines>
              </c:ext>
            </c:extLst>
          </c:dLbls>
          <c:cat>
            <c:numRef>
              <c:f>Sheet1!$A$2:$A$5</c:f>
              <c:numCache>
                <c:formatCode>General</c:formatCode>
                <c:ptCount val="4"/>
                <c:pt idx="0">
                  <c:v>2021</c:v>
                </c:pt>
                <c:pt idx="1">
                  <c:v>2022</c:v>
                </c:pt>
              </c:numCache>
            </c:numRef>
          </c:cat>
          <c:val>
            <c:numRef>
              <c:f>Sheet1!$B$2:$B$5</c:f>
              <c:numCache>
                <c:formatCode>General</c:formatCode>
                <c:ptCount val="4"/>
                <c:pt idx="0">
                  <c:v>79.65</c:v>
                </c:pt>
              </c:numCache>
            </c:numRef>
          </c:val>
        </c:ser>
        <c:ser>
          <c:idx val="1"/>
          <c:order val="1"/>
          <c:tx>
            <c:strRef>
              <c:f>Sheet1!$C$1</c:f>
              <c:strCache>
                <c:ptCount val="1"/>
                <c:pt idx="0">
                  <c:v>2022年</c:v>
                </c:pt>
              </c:strCache>
            </c:strRef>
          </c:tx>
          <c:spPr>
            <a:gradFill rotWithShape="true">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2"/>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tx2">
                          <a:lumMod val="35000"/>
                          <a:lumOff val="65000"/>
                        </a:schemeClr>
                      </a:solidFill>
                    </a:ln>
                    <a:effectLst/>
                  </c:spPr>
                </c15:leaderLines>
              </c:ext>
            </c:extLst>
          </c:dLbls>
          <c:cat>
            <c:numRef>
              <c:f>Sheet1!$A$2:$A$5</c:f>
              <c:numCache>
                <c:formatCode>General</c:formatCode>
                <c:ptCount val="4"/>
                <c:pt idx="0">
                  <c:v>2021</c:v>
                </c:pt>
                <c:pt idx="1">
                  <c:v>2022</c:v>
                </c:pt>
              </c:numCache>
            </c:numRef>
          </c:cat>
          <c:val>
            <c:numRef>
              <c:f>Sheet1!$C$2:$C$5</c:f>
              <c:numCache>
                <c:formatCode>General</c:formatCode>
                <c:ptCount val="4"/>
                <c:pt idx="1">
                  <c:v>88.44</c:v>
                </c:pt>
              </c:numCache>
            </c:numRef>
          </c:val>
        </c:ser>
        <c:dLbls>
          <c:showLegendKey val="false"/>
          <c:showVal val="true"/>
          <c:showCatName val="false"/>
          <c:showSerName val="false"/>
          <c:showPercent val="false"/>
          <c:showBubbleSize val="false"/>
        </c:dLbls>
        <c:gapWidth val="87"/>
        <c:overlap val="82"/>
        <c:axId val="59593414"/>
        <c:axId val="324121166"/>
      </c:barChart>
      <c:catAx>
        <c:axId val="59593414"/>
        <c:scaling>
          <c:orientation val="minMax"/>
        </c:scaling>
        <c:delete val="false"/>
        <c:axPos val="b"/>
        <c:majorTickMark val="none"/>
        <c:minorTickMark val="none"/>
        <c:tickLblPos val="nextTo"/>
        <c:spPr>
          <a:noFill/>
          <a:ln w="9525" cap="flat" cmpd="sng" algn="ctr">
            <a:solidFill>
              <a:schemeClr val="tx2">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crossAx val="324121166"/>
        <c:crosses val="autoZero"/>
        <c:auto val="true"/>
        <c:lblAlgn val="ctr"/>
        <c:lblOffset val="100"/>
        <c:noMultiLvlLbl val="false"/>
      </c:catAx>
      <c:valAx>
        <c:axId val="324121166"/>
        <c:scaling>
          <c:orientation val="minMax"/>
        </c:scaling>
        <c:delete val="false"/>
        <c:axPos val="l"/>
        <c:majorGridlines>
          <c:spPr>
            <a:ln w="9525" cap="flat" cmpd="sng" algn="ctr">
              <a:solidFill>
                <a:schemeClr val="tx2">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crossAx val="5959341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legend>
    <c:plotVisOnly val="true"/>
    <c:dispBlanksAs val="gap"/>
    <c:showDLblsOverMax val="false"/>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dLbl>
              <c:idx val="1"/>
              <c:layout>
                <c:manualLayout>
                  <c:x val="0.0234978607450576"/>
                  <c:y val="0.10365382856201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一般公共预算财政拨款收入</c:v>
                </c:pt>
                <c:pt idx="1">
                  <c:v>其他收入</c:v>
                </c:pt>
              </c:strCache>
            </c:strRef>
          </c:cat>
          <c:val>
            <c:numRef>
              <c:f>Sheet1!$B$2:$B$5</c:f>
              <c:numCache>
                <c:formatCode>0.00%</c:formatCode>
                <c:ptCount val="4"/>
                <c:pt idx="0">
                  <c:v>0.9559</c:v>
                </c:pt>
                <c:pt idx="1">
                  <c:v>0.0341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egendEntry>
        <c:idx val="2"/>
        <c:delete val="true"/>
      </c:legendEntry>
      <c:legendEntry>
        <c:idx val="3"/>
        <c:delete val="true"/>
      </c:legendEntry>
      <c:layout>
        <c:manualLayout>
          <c:xMode val="edge"/>
          <c:yMode val="edge"/>
          <c:x val="0.26725"/>
          <c:y val="0.9245"/>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12700" cap="flat" cmpd="sng" algn="ctr">
      <a:solidFill>
        <a:schemeClr val="accent1"/>
      </a:solidFill>
      <a:round/>
    </a:ln>
    <a:effectLst/>
  </c:spPr>
  <c:txPr>
    <a:bodyPr rot="120000"/>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pieChart>
        <c:varyColors val="true"/>
        <c:ser>
          <c:idx val="0"/>
          <c:order val="0"/>
          <c:tx>
            <c:strRef>
              <c:f>Sheet1!$B$1</c:f>
              <c:strCache>
                <c:ptCount val="1"/>
                <c:pt idx="0">
                  <c:v>列1</c:v>
                </c:pt>
              </c:strCache>
            </c:strRef>
          </c:tx>
          <c:spPr/>
          <c:explosion val="0"/>
          <c:dPt>
            <c:idx val="0"/>
            <c:bubble3D val="false"/>
            <c:spPr>
              <a:gradFill>
                <a:gsLst>
                  <a:gs pos="70000">
                    <a:schemeClr val="accent1"/>
                  </a:gs>
                  <a:gs pos="0">
                    <a:schemeClr val="accent1">
                      <a:lumMod val="60000"/>
                      <a:lumOff val="40000"/>
                    </a:schemeClr>
                  </a:gs>
                </a:gsLst>
                <a:lin ang="5400000"/>
              </a:gradFill>
              <a:ln w="19050">
                <a:noFill/>
              </a:ln>
              <a:effectLst>
                <a:outerShdw blurRad="63500" sx="102000" sy="102000" algn="ctr" rotWithShape="0">
                  <a:prstClr val="black">
                    <a:alpha val="25000"/>
                  </a:prstClr>
                </a:outerShdw>
              </a:effectLst>
            </c:spPr>
          </c:dPt>
          <c:dPt>
            <c:idx val="1"/>
            <c:bubble3D val="false"/>
            <c:spPr>
              <a:gradFill>
                <a:gsLst>
                  <a:gs pos="70000">
                    <a:schemeClr val="accent2"/>
                  </a:gs>
                  <a:gs pos="0">
                    <a:schemeClr val="accent2">
                      <a:lumMod val="60000"/>
                      <a:lumOff val="40000"/>
                    </a:schemeClr>
                  </a:gs>
                </a:gsLst>
                <a:lin ang="5400000" scaled="false"/>
              </a:gradFill>
              <a:ln w="19050">
                <a:noFill/>
              </a:ln>
              <a:effectLst>
                <a:outerShdw blurRad="63500" sx="102000" sy="102000" algn="ctr" rotWithShape="0">
                  <a:prstClr val="black">
                    <a:alpha val="25000"/>
                  </a:prstClr>
                </a:outerShdw>
              </a:effectLst>
            </c:spPr>
          </c:dPt>
          <c:dPt>
            <c:idx val="2"/>
            <c:bubble3D val="false"/>
            <c:spPr>
              <a:gradFill>
                <a:gsLst>
                  <a:gs pos="70000">
                    <a:schemeClr val="accent3"/>
                  </a:gs>
                  <a:gs pos="0">
                    <a:schemeClr val="accent3">
                      <a:lumMod val="60000"/>
                      <a:lumOff val="40000"/>
                    </a:schemeClr>
                  </a:gs>
                </a:gsLst>
                <a:lin ang="5400000" scaled="false"/>
              </a:gradFill>
              <a:ln w="88900">
                <a:noFill/>
                <a:miter lim="800000"/>
              </a:ln>
              <a:effectLst>
                <a:outerShdw blurRad="63500" sx="102000" sy="102000" algn="ctr" rotWithShape="0">
                  <a:prstClr val="black">
                    <a:alpha val="25000"/>
                  </a:prstClr>
                </a:outerShdw>
              </a:effectLst>
            </c:spPr>
          </c:dPt>
          <c:dPt>
            <c:idx val="3"/>
            <c:bubble3D val="false"/>
            <c:spPr>
              <a:gradFill>
                <a:gsLst>
                  <a:gs pos="70000">
                    <a:schemeClr val="accent4"/>
                  </a:gs>
                  <a:gs pos="0">
                    <a:schemeClr val="accent4">
                      <a:lumMod val="60000"/>
                      <a:lumOff val="40000"/>
                    </a:schemeClr>
                  </a:gs>
                </a:gsLst>
                <a:lin ang="5400000" scaled="false"/>
              </a:gradFill>
              <a:ln w="19050">
                <a:noFill/>
              </a:ln>
              <a:effectLst>
                <a:outerShdw blurRad="63500" sx="102000" sy="102000" algn="ctr" rotWithShape="0">
                  <a:prstClr val="black">
                    <a:alpha val="25000"/>
                  </a:prstClr>
                </a:outerShdw>
              </a:effectLst>
            </c:spPr>
          </c:dPt>
          <c:dLbls>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1100" b="0" i="0" u="none" strike="noStrike" kern="1200" baseline="0">
                    <a:solidFill>
                      <a:schemeClr val="bg1"/>
                    </a:solidFill>
                    <a:latin typeface="+mn-lt"/>
                    <a:ea typeface="+mn-ea"/>
                    <a:cs typeface="+mn-cs"/>
                  </a:defRPr>
                </a:pPr>
              </a:p>
            </c:txPr>
            <c:dLblPos val="ctr"/>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0.00%</c:formatCode>
                <c:ptCount val="4"/>
                <c:pt idx="0">
                  <c:v>0.6603</c:v>
                </c:pt>
                <c:pt idx="1">
                  <c:v>0.3397</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egendEntry>
        <c:idx val="2"/>
        <c:delete val="true"/>
      </c:legendEntry>
      <c:legendEntry>
        <c:idx val="3"/>
        <c:delete val="true"/>
      </c:legendEntry>
      <c:layout>
        <c:manualLayout>
          <c:xMode val="edge"/>
          <c:yMode val="edge"/>
          <c:x val="0.276499365827143"/>
          <c:y val="0.883659184166063"/>
        </c:manualLayou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accent1"/>
      </a:solidFill>
      <a:round/>
    </a:ln>
    <a:effectLst>
      <a:outerShdw blurRad="63500" dist="37357" dir="2700000" sx="0" sy="0" rotWithShape="0">
        <a:scrgbClr r="0" g="0" b="0"/>
      </a:outerShdw>
    </a:effectLst>
  </c:spPr>
  <c:txPr>
    <a:bodyPr/>
    <a:lstStyle/>
    <a:p>
      <a:pPr>
        <a:defRPr lang="zh-CN" sz="1100"/>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manualLayout>
          <c:layoutTarget val="inner"/>
          <c:xMode val="edge"/>
          <c:yMode val="edge"/>
          <c:x val="0.0753731343283582"/>
          <c:y val="0.169766435986159"/>
          <c:w val="0.845035691109669"/>
          <c:h val="0.621626297577855"/>
        </c:manualLayout>
      </c:layout>
      <c:barChart>
        <c:barDir val="col"/>
        <c:grouping val="clustered"/>
        <c:varyColors val="false"/>
        <c:ser>
          <c:idx val="0"/>
          <c:order val="0"/>
          <c:tx>
            <c:strRef>
              <c:f>Sheet1!$B$1</c:f>
              <c:strCache>
                <c:ptCount val="1"/>
                <c:pt idx="0">
                  <c:v>2021</c:v>
                </c:pt>
              </c:strCache>
            </c:strRef>
          </c:tx>
          <c:spPr>
            <a:gradFill>
              <a:gsLst>
                <a:gs pos="0">
                  <a:schemeClr val="accent1">
                    <a:lumMod val="60000"/>
                    <a:lumOff val="40000"/>
                  </a:schemeClr>
                </a:gs>
                <a:gs pos="100000">
                  <a:schemeClr val="accent1"/>
                </a:gs>
              </a:gsLst>
              <a:lin ang="5400000" scaled="false"/>
            </a:gradFill>
            <a:ln w="15875">
              <a:gradFill>
                <a:gsLst>
                  <a:gs pos="0">
                    <a:schemeClr val="accent1"/>
                  </a:gs>
                  <a:gs pos="100000">
                    <a:schemeClr val="accent1">
                      <a:lumMod val="75000"/>
                    </a:schemeClr>
                  </a:gs>
                </a:gsLst>
                <a:lin ang="5400000" scaled="true"/>
              </a:gradFill>
            </a:ln>
            <a:effectLst/>
            <a:sp3d contourW="15875"/>
          </c:spPr>
          <c:invertIfNegative val="false"/>
          <c:dLbls>
            <c:delete val="true"/>
          </c:dLbls>
          <c:cat>
            <c:strRef>
              <c:f>Sheet1!$A$2:$A$5</c:f>
              <c:strCache>
                <c:ptCount val="4"/>
                <c:pt idx="0">
                  <c:v>2021年</c:v>
                </c:pt>
                <c:pt idx="1">
                  <c:v>2022年</c:v>
                </c:pt>
              </c:strCache>
            </c:strRef>
          </c:cat>
          <c:val>
            <c:numRef>
              <c:f>Sheet1!$B$2:$B$5</c:f>
              <c:numCache>
                <c:formatCode>General</c:formatCode>
                <c:ptCount val="4"/>
                <c:pt idx="0">
                  <c:v>74.3</c:v>
                </c:pt>
              </c:numCache>
            </c:numRef>
          </c:val>
        </c:ser>
        <c:ser>
          <c:idx val="1"/>
          <c:order val="1"/>
          <c:tx>
            <c:strRef>
              <c:f>Sheet1!$C$1</c:f>
              <c:strCache>
                <c:ptCount val="1"/>
                <c:pt idx="0">
                  <c:v>2022</c:v>
                </c:pt>
              </c:strCache>
            </c:strRef>
          </c:tx>
          <c:spPr>
            <a:gradFill>
              <a:gsLst>
                <a:gs pos="0">
                  <a:schemeClr val="accent2">
                    <a:lumMod val="60000"/>
                    <a:lumOff val="40000"/>
                  </a:schemeClr>
                </a:gs>
                <a:gs pos="100000">
                  <a:schemeClr val="accent2"/>
                </a:gs>
              </a:gsLst>
              <a:lin ang="5400000" scaled="false"/>
            </a:gradFill>
            <a:ln w="15875">
              <a:gradFill>
                <a:gsLst>
                  <a:gs pos="0">
                    <a:schemeClr val="accent2"/>
                  </a:gs>
                  <a:gs pos="100000">
                    <a:schemeClr val="accent2">
                      <a:lumMod val="75000"/>
                    </a:schemeClr>
                  </a:gs>
                </a:gsLst>
                <a:lin ang="5700000" scaled="false"/>
              </a:gradFill>
            </a:ln>
            <a:effectLst/>
            <a:sp3d contourW="15875"/>
          </c:spPr>
          <c:invertIfNegative val="false"/>
          <c:dLbls>
            <c:dLbl>
              <c:idx val="1"/>
              <c:delete val="true"/>
            </c:dLbl>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900" b="0" i="0" u="none" strike="noStrike" kern="1200" baseline="0">
                    <a:solidFill>
                      <a:schemeClr val="bg1"/>
                    </a:solidFill>
                    <a:effectLst>
                      <a:outerShdw blurRad="50800" dist="38100" dir="2700000" algn="tl" rotWithShape="0">
                        <a:schemeClr val="accent2">
                          <a:lumMod val="50000"/>
                          <a:alpha val="40000"/>
                        </a:schemeClr>
                      </a:outerShdw>
                    </a:effectLst>
                    <a:latin typeface="+mn-lt"/>
                    <a:ea typeface="+mn-ea"/>
                    <a:cs typeface="+mn-cs"/>
                  </a:defRPr>
                </a:pPr>
              </a:p>
            </c:txPr>
            <c:dLblPos val="inBase"/>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2021年</c:v>
                </c:pt>
                <c:pt idx="1">
                  <c:v>2022年</c:v>
                </c:pt>
              </c:strCache>
            </c:strRef>
          </c:cat>
          <c:val>
            <c:numRef>
              <c:f>Sheet1!$C$2:$C$5</c:f>
              <c:numCache>
                <c:formatCode>General</c:formatCode>
                <c:ptCount val="4"/>
                <c:pt idx="1">
                  <c:v>84.9</c:v>
                </c:pt>
              </c:numCache>
            </c:numRef>
          </c:val>
        </c:ser>
        <c:ser>
          <c:idx val="2"/>
          <c:order val="2"/>
          <c:tx>
            <c:strRef>
              <c:f>Sheet1!$D$1</c:f>
              <c:strCache>
                <c:ptCount val="1"/>
                <c:pt idx="0">
                  <c:v/>
                </c:pt>
              </c:strCache>
            </c:strRef>
          </c:tx>
          <c:spPr>
            <a:gradFill>
              <a:gsLst>
                <a:gs pos="0">
                  <a:schemeClr val="accent3">
                    <a:lumMod val="60000"/>
                    <a:lumOff val="40000"/>
                  </a:schemeClr>
                </a:gs>
                <a:gs pos="100000">
                  <a:schemeClr val="accent3"/>
                </a:gs>
              </a:gsLst>
              <a:lin ang="5400000" scaled="false"/>
            </a:gradFill>
            <a:ln w="15875">
              <a:gradFill>
                <a:gsLst>
                  <a:gs pos="0">
                    <a:schemeClr val="accent3"/>
                  </a:gs>
                  <a:gs pos="100000">
                    <a:schemeClr val="accent3">
                      <a:lumMod val="75000"/>
                    </a:schemeClr>
                  </a:gs>
                </a:gsLst>
                <a:lin ang="5400000" scaled="true"/>
              </a:gradFill>
            </a:ln>
            <a:effectLst/>
            <a:sp3d contourW="15875"/>
          </c:spPr>
          <c:invertIfNegative val="false"/>
          <c:dLbls>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900" b="0" i="0" u="none" strike="noStrike" kern="1200" baseline="0">
                    <a:solidFill>
                      <a:schemeClr val="bg1"/>
                    </a:solidFill>
                    <a:effectLst>
                      <a:outerShdw blurRad="50800" dist="38100" dir="2700000" algn="tl" rotWithShape="0">
                        <a:schemeClr val="accent3">
                          <a:lumMod val="50000"/>
                          <a:alpha val="40000"/>
                        </a:schemeClr>
                      </a:outerShdw>
                    </a:effectLst>
                    <a:latin typeface="+mn-lt"/>
                    <a:ea typeface="+mn-ea"/>
                    <a:cs typeface="+mn-cs"/>
                  </a:defRPr>
                </a:pPr>
              </a:p>
            </c:txPr>
            <c:dLblPos val="inBase"/>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2021年</c:v>
                </c:pt>
                <c:pt idx="1">
                  <c:v>2022年</c:v>
                </c:pt>
              </c:strCache>
            </c:strRef>
          </c:cat>
          <c:val>
            <c:numRef>
              <c:f>Sheet1!$D$2:$D$5</c:f>
              <c:numCache>
                <c:formatCode>General</c:formatCode>
                <c:ptCount val="4"/>
              </c:numCache>
            </c:numRef>
          </c:val>
        </c:ser>
        <c:dLbls>
          <c:showLegendKey val="false"/>
          <c:showVal val="true"/>
          <c:showCatName val="false"/>
          <c:showSerName val="false"/>
          <c:showPercent val="false"/>
          <c:showBubbleSize val="false"/>
        </c:dLbls>
        <c:gapWidth val="10"/>
        <c:overlap val="-22"/>
        <c:axId val="323391412"/>
        <c:axId val="432941362"/>
      </c:barChart>
      <c:catAx>
        <c:axId val="323391412"/>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crossAx val="432941362"/>
        <c:crosses val="autoZero"/>
        <c:auto val="true"/>
        <c:lblAlgn val="ctr"/>
        <c:lblOffset val="100"/>
        <c:noMultiLvlLbl val="false"/>
      </c:catAx>
      <c:valAx>
        <c:axId val="432941362"/>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crossAx val="323391412"/>
        <c:crosses val="autoZero"/>
        <c:crossBetween val="between"/>
      </c:valAx>
      <c:spPr>
        <a:noFill/>
        <a:ln>
          <a:noFill/>
        </a:ln>
        <a:effectLst/>
      </c:spPr>
    </c:plotArea>
    <c:legend>
      <c:legendPos val="b"/>
      <c:legendEntry>
        <c:idx val="2"/>
        <c:delete val="true"/>
      </c:legendEntry>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569306161577667"/>
          <c:y val="0.308110999147884"/>
          <c:w val="0.912725372354324"/>
          <c:h val="0.592861893150078"/>
        </c:manualLayout>
      </c:layout>
      <c:barChart>
        <c:barDir val="col"/>
        <c:grouping val="clustered"/>
        <c:varyColors val="false"/>
        <c:ser>
          <c:idx val="0"/>
          <c:order val="0"/>
          <c:tx>
            <c:strRef>
              <c:f>Sheet1!$B$1</c:f>
              <c:strCache>
                <c:ptCount val="1"/>
                <c:pt idx="0">
                  <c:v>2021</c:v>
                </c:pt>
              </c:strCache>
            </c:strRef>
          </c:tx>
          <c:spPr>
            <a:gradFill rotWithShape="true">
              <a:gsLst>
                <a:gs pos="0">
                  <a:srgbClr val="FE4444"/>
                </a:gs>
                <a:gs pos="100000">
                  <a:srgbClr val="832B2B"/>
                </a:gs>
              </a:gsLst>
              <a:lin ang="5400000" scaled="false"/>
            </a:gradFill>
            <a:ln>
              <a:noFill/>
            </a:ln>
            <a:effectLst>
              <a:outerShdw blurRad="76200" dir="2400000" sy="23000" kx="-1200000" algn="bl" rotWithShape="0">
                <a:schemeClr val="bg1">
                  <a:lumMod val="50000"/>
                  <a:alpha val="20000"/>
                </a:schemeClr>
              </a:outerShdw>
            </a:effectLst>
          </c:spPr>
          <c:invertIfNegative val="false"/>
          <c:dPt>
            <c:idx val="0"/>
            <c:invertIfNegative val="false"/>
            <c:bubble3D val="false"/>
            <c:spPr>
              <a:gradFill rotWithShape="true">
                <a:gsLst>
                  <a:gs pos="0">
                    <a:srgbClr val="FE4444"/>
                  </a:gs>
                  <a:gs pos="100000">
                    <a:srgbClr val="832B2B"/>
                  </a:gs>
                </a:gsLst>
                <a:lin ang="5400000" scaled="false"/>
              </a:gradFill>
              <a:ln>
                <a:noFill/>
              </a:ln>
              <a:effectLst>
                <a:outerShdw blurRad="76200" dir="2400000" sy="23000" kx="-1200000" algn="bl" rotWithShape="0">
                  <a:schemeClr val="bg1">
                    <a:lumMod val="50000"/>
                    <a:alpha val="20000"/>
                  </a:schemeClr>
                </a:outerShdw>
              </a:effectLst>
            </c:spPr>
          </c:dPt>
          <c:dPt>
            <c:idx val="1"/>
            <c:invertIfNegative val="false"/>
            <c:bubble3D val="false"/>
            <c:spPr>
              <a:gradFill rotWithShape="true">
                <a:gsLst>
                  <a:gs pos="0">
                    <a:srgbClr val="FE4444"/>
                  </a:gs>
                  <a:gs pos="100000">
                    <a:srgbClr val="832B2B"/>
                  </a:gs>
                </a:gsLst>
                <a:lin ang="5400000" scaled="false"/>
              </a:gradFill>
              <a:ln>
                <a:noFill/>
              </a:ln>
              <a:effectLst>
                <a:outerShdw blurRad="76200" dir="2400000" sy="23000" kx="-1200000" algn="bl" rotWithShape="0">
                  <a:schemeClr val="bg1">
                    <a:lumMod val="50000"/>
                    <a:alpha val="20000"/>
                  </a:schemeClr>
                </a:outerShdw>
              </a:effectLst>
            </c:spPr>
          </c:dPt>
          <c:dPt>
            <c:idx val="2"/>
            <c:invertIfNegative val="false"/>
            <c:bubble3D val="false"/>
            <c:spPr>
              <a:gradFill rotWithShape="true">
                <a:gsLst>
                  <a:gs pos="0">
                    <a:srgbClr val="FE4444"/>
                  </a:gs>
                  <a:gs pos="100000">
                    <a:srgbClr val="832B2B"/>
                  </a:gs>
                </a:gsLst>
                <a:lin ang="5400000" scaled="false"/>
              </a:gradFill>
              <a:ln>
                <a:noFill/>
              </a:ln>
              <a:effectLst>
                <a:outerShdw blurRad="76200" dir="2400000" sy="23000" kx="-1200000" algn="bl" rotWithShape="0">
                  <a:schemeClr val="bg1">
                    <a:lumMod val="50000"/>
                    <a:alpha val="20000"/>
                  </a:schemeClr>
                </a:outerShdw>
              </a:effectLst>
            </c:spPr>
          </c:dPt>
          <c:dPt>
            <c:idx val="3"/>
            <c:invertIfNegative val="false"/>
            <c:bubble3D val="false"/>
            <c:spPr>
              <a:gradFill rotWithShape="true">
                <a:gsLst>
                  <a:gs pos="0">
                    <a:srgbClr val="FE4444"/>
                  </a:gs>
                  <a:gs pos="100000">
                    <a:srgbClr val="832B2B"/>
                  </a:gs>
                </a:gsLst>
                <a:lin ang="5400000" scaled="false"/>
              </a:gradFill>
              <a:ln>
                <a:noFill/>
              </a:ln>
              <a:effectLst>
                <a:outerShdw blurRad="76200" dir="2400000" sy="23000" kx="-1200000" algn="bl" rotWithShape="0">
                  <a:schemeClr val="bg1">
                    <a:lumMod val="50000"/>
                    <a:alpha val="20000"/>
                  </a:schemeClr>
                </a:outerShdw>
              </a:effectLst>
            </c:spPr>
          </c:dPt>
          <c:dLbls>
            <c:dLbl>
              <c:idx val="0"/>
              <c:layout/>
              <c:numFmt formatCode="General" sourceLinked="true"/>
              <c:spPr>
                <a:gradFill>
                  <a:gsLst>
                    <a:gs pos="0">
                      <a:schemeClr val="accent1">
                        <a:lumMod val="60000"/>
                        <a:lumOff val="40000"/>
                      </a:schemeClr>
                    </a:gs>
                    <a:gs pos="100000">
                      <a:schemeClr val="accent1">
                        <a:alpha val="100000"/>
                        <a:lumMod val="94000"/>
                      </a:schemeClr>
                    </a:gs>
                  </a:gsLst>
                  <a:lin ang="5400000" scaled="false"/>
                </a:gradFill>
                <a:ln>
                  <a:noFill/>
                </a:ln>
                <a:effectLst/>
              </c:spPr>
              <c:txPr>
                <a:bodyPr rot="0" spcFirstLastPara="0" vertOverflow="ellipsis" vert="horz" wrap="square" lIns="107950" tIns="19050" rIns="107950" bIns="19050" anchor="ctr" anchorCtr="true" forceAA="false"/>
                <a:lstStyle/>
                <a:p>
                  <a:pPr>
                    <a:defRPr lang="zh-CN" sz="900" b="0" i="0" u="none" strike="noStrike" kern="1200" baseline="0">
                      <a:solidFill>
                        <a:schemeClr val="bg1"/>
                      </a:solidFill>
                      <a:latin typeface="Impact" panose="020B0806030902050204" charset="0"/>
                      <a:ea typeface="Impact" panose="020B0806030902050204" charset="0"/>
                      <a:cs typeface="Impact" panose="020B0806030902050204" charset="0"/>
                      <a:sym typeface="Impact" panose="020B0806030902050204" charset="0"/>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1"/>
              <c:layout/>
              <c:numFmt formatCode="General" sourceLinked="true"/>
              <c:spPr>
                <a:gradFill>
                  <a:gsLst>
                    <a:gs pos="0">
                      <a:schemeClr val="accent1">
                        <a:lumMod val="60000"/>
                        <a:lumOff val="40000"/>
                      </a:schemeClr>
                    </a:gs>
                    <a:gs pos="100000">
                      <a:schemeClr val="accent1">
                        <a:alpha val="100000"/>
                        <a:lumMod val="94000"/>
                      </a:schemeClr>
                    </a:gs>
                  </a:gsLst>
                  <a:lin ang="5400000" scaled="false"/>
                </a:gradFill>
                <a:ln>
                  <a:noFill/>
                </a:ln>
                <a:effectLst/>
              </c:spPr>
              <c:txPr>
                <a:bodyPr rot="0" spcFirstLastPara="0" vertOverflow="ellipsis" vert="horz" wrap="square" lIns="107950" tIns="19050" rIns="107950" bIns="19050" anchor="ctr" anchorCtr="true" forceAA="false"/>
                <a:lstStyle/>
                <a:p>
                  <a:pPr>
                    <a:defRPr lang="zh-CN" sz="900" b="0" i="0" u="none" strike="noStrike" kern="1200" baseline="0">
                      <a:solidFill>
                        <a:schemeClr val="bg1"/>
                      </a:solidFill>
                      <a:latin typeface="Impact" panose="020B0806030902050204" charset="0"/>
                      <a:ea typeface="Impact" panose="020B0806030902050204" charset="0"/>
                      <a:cs typeface="Impact" panose="020B0806030902050204" charset="0"/>
                      <a:sym typeface="Impact" panose="020B0806030902050204" charset="0"/>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2"/>
              <c:layout/>
              <c:numFmt formatCode="General" sourceLinked="true"/>
              <c:spPr>
                <a:gradFill>
                  <a:gsLst>
                    <a:gs pos="0">
                      <a:schemeClr val="accent1">
                        <a:lumMod val="60000"/>
                        <a:lumOff val="40000"/>
                      </a:schemeClr>
                    </a:gs>
                    <a:gs pos="100000">
                      <a:schemeClr val="accent1">
                        <a:alpha val="100000"/>
                        <a:lumMod val="94000"/>
                      </a:schemeClr>
                    </a:gs>
                  </a:gsLst>
                  <a:lin ang="5400000" scaled="false"/>
                </a:gradFill>
                <a:ln>
                  <a:noFill/>
                </a:ln>
                <a:effectLst/>
              </c:spPr>
              <c:txPr>
                <a:bodyPr rot="0" spcFirstLastPara="0" vertOverflow="ellipsis" vert="horz" wrap="square" lIns="107950" tIns="19050" rIns="107950" bIns="19050" anchor="ctr" anchorCtr="true" forceAA="false"/>
                <a:lstStyle/>
                <a:p>
                  <a:pPr>
                    <a:defRPr lang="zh-CN" sz="900" b="0" i="0" u="none" strike="noStrike" kern="1200" baseline="0">
                      <a:solidFill>
                        <a:schemeClr val="bg1"/>
                      </a:solidFill>
                      <a:latin typeface="Impact" panose="020B0806030902050204" charset="0"/>
                      <a:ea typeface="Impact" panose="020B0806030902050204" charset="0"/>
                      <a:cs typeface="Impact" panose="020B0806030902050204" charset="0"/>
                      <a:sym typeface="Impact" panose="020B0806030902050204" charset="0"/>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3"/>
              <c:layout/>
              <c:numFmt formatCode="General" sourceLinked="true"/>
              <c:spPr>
                <a:gradFill>
                  <a:gsLst>
                    <a:gs pos="0">
                      <a:schemeClr val="accent1">
                        <a:lumMod val="60000"/>
                        <a:lumOff val="40000"/>
                      </a:schemeClr>
                    </a:gs>
                    <a:gs pos="100000">
                      <a:schemeClr val="accent1">
                        <a:alpha val="100000"/>
                        <a:lumMod val="94000"/>
                      </a:schemeClr>
                    </a:gs>
                  </a:gsLst>
                  <a:lin ang="5400000" scaled="false"/>
                </a:gradFill>
                <a:ln>
                  <a:noFill/>
                </a:ln>
                <a:effectLst/>
              </c:spPr>
              <c:txPr>
                <a:bodyPr rot="0" spcFirstLastPara="0" vertOverflow="ellipsis" vert="horz" wrap="square" lIns="107950" tIns="19050" rIns="107950" bIns="19050" anchor="ctr" anchorCtr="true" forceAA="false"/>
                <a:lstStyle/>
                <a:p>
                  <a:pPr>
                    <a:defRPr lang="zh-CN" sz="900" b="0" i="0" u="none" strike="noStrike" kern="1200" baseline="0">
                      <a:solidFill>
                        <a:schemeClr val="bg1"/>
                      </a:solidFill>
                      <a:latin typeface="Impact" panose="020B0806030902050204" charset="0"/>
                      <a:ea typeface="Impact" panose="020B0806030902050204" charset="0"/>
                      <a:cs typeface="Impact" panose="020B0806030902050204" charset="0"/>
                      <a:sym typeface="Impact" panose="020B0806030902050204" charset="0"/>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numFmt formatCode="General" sourceLinked="true"/>
            <c:spPr>
              <a:gradFill>
                <a:gsLst>
                  <a:gs pos="0">
                    <a:schemeClr val="accent1">
                      <a:lumMod val="60000"/>
                      <a:lumOff val="40000"/>
                    </a:schemeClr>
                  </a:gs>
                  <a:gs pos="100000">
                    <a:schemeClr val="accent1">
                      <a:alpha val="100000"/>
                      <a:lumMod val="94000"/>
                    </a:schemeClr>
                  </a:gs>
                </a:gsLst>
                <a:lin ang="5400000" scaled="false"/>
              </a:gradFill>
              <a:ln>
                <a:noFill/>
              </a:ln>
              <a:effectLst/>
            </c:spPr>
            <c:txPr>
              <a:bodyPr rot="0" spcFirstLastPara="0" vertOverflow="ellipsis" vert="horz" wrap="square" lIns="107950" tIns="19050" rIns="107950" bIns="19050" anchor="ctr" anchorCtr="true" forceAA="false"/>
              <a:lstStyle/>
              <a:p>
                <a:pPr>
                  <a:defRPr lang="zh-CN" sz="900" b="0" i="0" u="none" strike="noStrike" kern="1200" baseline="0">
                    <a:solidFill>
                      <a:schemeClr val="bg1"/>
                    </a:solidFill>
                    <a:latin typeface="Impact" panose="020B0806030902050204" charset="0"/>
                    <a:ea typeface="Impact" panose="020B0806030902050204" charset="0"/>
                    <a:cs typeface="Impact" panose="020B0806030902050204" charset="0"/>
                    <a:sym typeface="Impact" panose="020B0806030902050204" charset="0"/>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2021</c:v>
                </c:pt>
                <c:pt idx="1">
                  <c:v>2022</c:v>
                </c:pt>
              </c:numCache>
            </c:numRef>
          </c:cat>
          <c:val>
            <c:numRef>
              <c:f>Sheet1!$B$2:$B$5</c:f>
              <c:numCache>
                <c:formatCode>General</c:formatCode>
                <c:ptCount val="4"/>
                <c:pt idx="0">
                  <c:v>74.27</c:v>
                </c:pt>
              </c:numCache>
            </c:numRef>
          </c:val>
        </c:ser>
        <c:ser>
          <c:idx val="1"/>
          <c:order val="1"/>
          <c:tx>
            <c:strRef>
              <c:f>Sheet1!$C$1</c:f>
              <c:strCache>
                <c:ptCount val="1"/>
                <c:pt idx="0">
                  <c:v>2022</c:v>
                </c:pt>
              </c:strCache>
            </c:strRef>
          </c:tx>
          <c:spPr>
            <a:solidFill>
              <a:srgbClr val="4F81BD"/>
            </a:solidFill>
            <a:ln>
              <a:noFill/>
            </a:ln>
            <a:effectLst>
              <a:outerShdw blurRad="76200" dir="2400000" sy="23000" kx="-1200000" algn="bl" rotWithShape="0">
                <a:schemeClr val="bg1">
                  <a:lumMod val="50000"/>
                  <a:alpha val="20000"/>
                </a:schemeClr>
              </a:outerShdw>
            </a:effectLst>
          </c:spPr>
          <c:invertIfNegative val="false"/>
          <c:dPt>
            <c:idx val="0"/>
            <c:invertIfNegative val="false"/>
            <c:bubble3D val="false"/>
            <c:spPr>
              <a:solidFill>
                <a:srgbClr val="4F81BD"/>
              </a:solidFill>
              <a:ln>
                <a:noFill/>
              </a:ln>
              <a:effectLst>
                <a:outerShdw blurRad="76200" dir="2400000" sy="23000" kx="-1200000" algn="bl" rotWithShape="0">
                  <a:schemeClr val="bg1">
                    <a:lumMod val="50000"/>
                    <a:alpha val="20000"/>
                  </a:schemeClr>
                </a:outerShdw>
              </a:effectLst>
            </c:spPr>
          </c:dPt>
          <c:dPt>
            <c:idx val="1"/>
            <c:invertIfNegative val="false"/>
            <c:bubble3D val="false"/>
            <c:spPr>
              <a:solidFill>
                <a:srgbClr val="4F81BD"/>
              </a:solidFill>
              <a:ln>
                <a:noFill/>
              </a:ln>
              <a:effectLst>
                <a:outerShdw blurRad="76200" dir="2400000" sy="23000" kx="-1200000" algn="bl" rotWithShape="0">
                  <a:schemeClr val="bg1">
                    <a:lumMod val="50000"/>
                    <a:alpha val="20000"/>
                  </a:schemeClr>
                </a:outerShdw>
              </a:effectLst>
            </c:spPr>
          </c:dPt>
          <c:dPt>
            <c:idx val="2"/>
            <c:invertIfNegative val="false"/>
            <c:bubble3D val="false"/>
            <c:spPr>
              <a:solidFill>
                <a:srgbClr val="4F81BD"/>
              </a:solidFill>
              <a:ln>
                <a:noFill/>
              </a:ln>
              <a:effectLst>
                <a:outerShdw blurRad="76200" dir="2400000" sy="23000" kx="-1200000" algn="bl" rotWithShape="0">
                  <a:schemeClr val="bg1">
                    <a:lumMod val="50000"/>
                    <a:alpha val="20000"/>
                  </a:schemeClr>
                </a:outerShdw>
              </a:effectLst>
            </c:spPr>
          </c:dPt>
          <c:dPt>
            <c:idx val="3"/>
            <c:invertIfNegative val="false"/>
            <c:bubble3D val="false"/>
            <c:spPr>
              <a:solidFill>
                <a:srgbClr val="4F81BD"/>
              </a:solidFill>
              <a:ln>
                <a:noFill/>
              </a:ln>
              <a:effectLst>
                <a:outerShdw blurRad="76200" dir="2400000" sy="23000" kx="-1200000" algn="bl" rotWithShape="0">
                  <a:schemeClr val="bg1">
                    <a:lumMod val="50000"/>
                    <a:alpha val="20000"/>
                  </a:schemeClr>
                </a:outerShdw>
              </a:effectLst>
            </c:spPr>
          </c:dPt>
          <c:dLbls>
            <c:numFmt formatCode="General" sourceLinked="true"/>
            <c:spPr>
              <a:gradFill>
                <a:gsLst>
                  <a:gs pos="0">
                    <a:schemeClr val="accent1">
                      <a:lumMod val="60000"/>
                      <a:lumOff val="40000"/>
                    </a:schemeClr>
                  </a:gs>
                  <a:gs pos="100000">
                    <a:schemeClr val="accent1">
                      <a:lumMod val="50000"/>
                      <a:alpha val="29000"/>
                    </a:schemeClr>
                  </a:gs>
                </a:gsLst>
                <a:lin ang="5400000" scaled="false"/>
              </a:grad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2021</c:v>
                </c:pt>
                <c:pt idx="1">
                  <c:v>2022</c:v>
                </c:pt>
              </c:numCache>
            </c:numRef>
          </c:cat>
          <c:val>
            <c:numRef>
              <c:f>Sheet1!$C$2:$C$5</c:f>
              <c:numCache>
                <c:formatCode>General</c:formatCode>
                <c:ptCount val="4"/>
                <c:pt idx="1" c:formatCode="0.00_);\(0.00\)">
                  <c:v>84.9</c:v>
                </c:pt>
              </c:numCache>
            </c:numRef>
          </c:val>
        </c:ser>
        <c:ser>
          <c:idx val="2"/>
          <c:order val="2"/>
          <c:tx>
            <c:strRef>
              <c:f>Sheet1!$D$1</c:f>
              <c:strCache>
                <c:ptCount val="1"/>
                <c:pt idx="0">
                  <c:v/>
                </c:pt>
              </c:strCache>
            </c:strRef>
          </c:tx>
          <c:spPr>
            <a:blipFill rotWithShape="true">
              <a:blip xmlns:r="http://schemas.openxmlformats.org/officeDocument/2006/relationships" r:embed="rId2"/>
              <a:stretch>
                <a:fillRect/>
              </a:stretch>
            </a:blipFill>
            <a:ln>
              <a:noFill/>
            </a:ln>
            <a:effectLst>
              <a:outerShdw blurRad="76200" dir="2400000" sy="23000" kx="-1200000" algn="bl" rotWithShape="0">
                <a:schemeClr val="bg1">
                  <a:lumMod val="50000"/>
                  <a:alpha val="20000"/>
                </a:schemeClr>
              </a:outerShdw>
            </a:effectLst>
          </c:spPr>
          <c:invertIfNegative val="false"/>
          <c:dPt>
            <c:idx val="0"/>
            <c:invertIfNegative val="false"/>
            <c:bubble3D val="false"/>
            <c:spPr>
              <a:blipFill rotWithShape="true">
                <a:blip xmlns:r="http://schemas.openxmlformats.org/officeDocument/2006/relationships" r:embed="rId3"/>
                <a:stretch>
                  <a:fillRect/>
                </a:stretch>
              </a:blipFill>
              <a:ln>
                <a:noFill/>
              </a:ln>
              <a:effectLst>
                <a:outerShdw blurRad="76200" dir="2400000" sy="23000" kx="-1200000" algn="bl" rotWithShape="0">
                  <a:schemeClr val="bg1">
                    <a:lumMod val="50000"/>
                    <a:alpha val="20000"/>
                  </a:schemeClr>
                </a:outerShdw>
              </a:effectLst>
            </c:spPr>
          </c:dPt>
          <c:dPt>
            <c:idx val="1"/>
            <c:invertIfNegative val="false"/>
            <c:bubble3D val="false"/>
            <c:spPr>
              <a:blipFill rotWithShape="true">
                <a:blip xmlns:r="http://schemas.openxmlformats.org/officeDocument/2006/relationships" r:embed="rId4"/>
                <a:stretch>
                  <a:fillRect/>
                </a:stretch>
              </a:blipFill>
              <a:ln>
                <a:noFill/>
              </a:ln>
              <a:effectLst>
                <a:outerShdw blurRad="76200" dir="2400000" sy="23000" kx="-1200000" algn="bl" rotWithShape="0">
                  <a:schemeClr val="bg1">
                    <a:lumMod val="50000"/>
                    <a:alpha val="20000"/>
                  </a:schemeClr>
                </a:outerShdw>
              </a:effectLst>
            </c:spPr>
          </c:dPt>
          <c:dPt>
            <c:idx val="2"/>
            <c:invertIfNegative val="false"/>
            <c:bubble3D val="false"/>
            <c:spPr>
              <a:blipFill rotWithShape="true">
                <a:blip xmlns:r="http://schemas.openxmlformats.org/officeDocument/2006/relationships" r:embed="rId5"/>
                <a:stretch>
                  <a:fillRect/>
                </a:stretch>
              </a:blipFill>
              <a:ln>
                <a:noFill/>
              </a:ln>
              <a:effectLst>
                <a:outerShdw blurRad="76200" dir="2400000" sy="23000" kx="-1200000" algn="bl" rotWithShape="0">
                  <a:schemeClr val="bg1">
                    <a:lumMod val="50000"/>
                    <a:alpha val="20000"/>
                  </a:schemeClr>
                </a:outerShdw>
              </a:effectLst>
            </c:spPr>
          </c:dPt>
          <c:dPt>
            <c:idx val="3"/>
            <c:invertIfNegative val="false"/>
            <c:bubble3D val="false"/>
            <c:spPr>
              <a:blipFill rotWithShape="true">
                <a:blip xmlns:r="http://schemas.openxmlformats.org/officeDocument/2006/relationships" r:embed="rId6"/>
                <a:stretch>
                  <a:fillRect/>
                </a:stretch>
              </a:blipFill>
              <a:ln>
                <a:noFill/>
              </a:ln>
              <a:effectLst>
                <a:outerShdw blurRad="76200" dir="2400000" sy="23000" kx="-1200000" algn="bl" rotWithShape="0">
                  <a:schemeClr val="bg1">
                    <a:lumMod val="50000"/>
                    <a:alpha val="20000"/>
                  </a:schemeClr>
                </a:outerShdw>
              </a:effectLst>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2021</c:v>
                </c:pt>
                <c:pt idx="1">
                  <c:v>2022</c:v>
                </c:pt>
              </c:numCache>
            </c:numRef>
          </c:cat>
          <c:val>
            <c:numRef>
              <c:f>Sheet1!$D$2:$D$5</c:f>
              <c:numCache>
                <c:formatCode>General</c:formatCode>
                <c:ptCount val="4"/>
              </c:numCache>
            </c:numRef>
          </c:val>
        </c:ser>
        <c:dLbls>
          <c:showLegendKey val="false"/>
          <c:showVal val="true"/>
          <c:showCatName val="false"/>
          <c:showSerName val="false"/>
          <c:showPercent val="false"/>
          <c:showBubbleSize val="false"/>
        </c:dLbls>
        <c:gapWidth val="128"/>
        <c:overlap val="-27"/>
        <c:axId val="170489950"/>
        <c:axId val="536906411"/>
      </c:barChart>
      <c:catAx>
        <c:axId val="170489950"/>
        <c:scaling>
          <c:orientation val="minMax"/>
        </c:scaling>
        <c:delete val="false"/>
        <c:axPos val="b"/>
        <c:majorGridlines>
          <c:spPr>
            <a:ln w="3175" cap="flat" cmpd="sng" algn="ctr">
              <a:solidFill>
                <a:schemeClr val="bg1">
                  <a:lumMod val="95000"/>
                </a:schemeClr>
              </a:solidFill>
              <a:round/>
            </a:ln>
            <a:effectLst/>
          </c:spPr>
        </c:majorGridlines>
        <c:numFmt formatCode="General" sourceLinked="true"/>
        <c:majorTickMark val="none"/>
        <c:minorTickMark val="none"/>
        <c:tickLblPos val="nextTo"/>
        <c:spPr>
          <a:noFill/>
          <a:ln w="9525" cap="flat" cmpd="sng" algn="ctr">
            <a:noFill/>
            <a:round/>
          </a:ln>
          <a:effectLst/>
        </c:spPr>
        <c:txPr>
          <a:bodyPr rot="-6000000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536906411"/>
        <c:crosses val="autoZero"/>
        <c:auto val="true"/>
        <c:lblAlgn val="ctr"/>
        <c:lblOffset val="100"/>
        <c:noMultiLvlLbl val="false"/>
      </c:catAx>
      <c:valAx>
        <c:axId val="536906411"/>
        <c:scaling>
          <c:orientation val="minMax"/>
        </c:scaling>
        <c:delete val="true"/>
        <c:axPos val="l"/>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70489950"/>
        <c:crosses val="autoZero"/>
        <c:crossBetween val="between"/>
      </c:valAx>
      <c:spPr>
        <a:noFill/>
        <a:ln w="3175">
          <a:solidFill>
            <a:schemeClr val="bg1">
              <a:lumMod val="95000"/>
            </a:schemeClr>
          </a:solidFill>
        </a:ln>
        <a:effectLst/>
      </c:spPr>
    </c:plotArea>
    <c:legend>
      <c:legendPos val="r"/>
      <c:legendEntry>
        <c:idx val="2"/>
        <c:delete val="true"/>
      </c:legendEntry>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0.00%</c:formatCode>
                <c:ptCount val="4"/>
                <c:pt idx="0">
                  <c:v>0.8585</c:v>
                </c:pt>
                <c:pt idx="1">
                  <c:v>0.318</c:v>
                </c:pt>
                <c:pt idx="2">
                  <c:v>0.0163</c:v>
                </c:pt>
                <c:pt idx="3">
                  <c:v>0.0934</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因公出国（境）费支出</c:v>
                </c:pt>
                <c:pt idx="1">
                  <c:v>公务用车购置及运行维护费支出</c:v>
                </c:pt>
                <c:pt idx="2">
                  <c:v>公务接待费支出</c:v>
                </c:pt>
              </c:strCache>
            </c:strRef>
          </c:cat>
          <c:val>
            <c:numRef>
              <c:f>Sheet1!$B$2:$B$5</c:f>
              <c:numCache>
                <c:formatCode>General</c:formatCode>
                <c:ptCount val="4"/>
                <c:pt idx="0">
                  <c:v>0</c:v>
                </c:pt>
                <c:pt idx="1">
                  <c:v>0</c:v>
                </c:pt>
                <c:pt idx="2" c:formatCode="0.00%">
                  <c:v>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egendEntry>
        <c:idx val="3"/>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5】">
    <a:dk1>
      <a:srgbClr val="000000"/>
    </a:dk1>
    <a:lt1>
      <a:srgbClr val="FFFFFF"/>
    </a:lt1>
    <a:dk2>
      <a:srgbClr val="0C0E1F"/>
    </a:dk2>
    <a:lt2>
      <a:srgbClr val="FEFFFF"/>
    </a:lt2>
    <a:accent1>
      <a:srgbClr val="F2B600"/>
    </a:accent1>
    <a:accent2>
      <a:srgbClr val="96CE1E"/>
    </a:accent2>
    <a:accent3>
      <a:srgbClr val="058CF5"/>
    </a:accent3>
    <a:accent4>
      <a:srgbClr val="1CC6C8"/>
    </a:accent4>
    <a:accent5>
      <a:srgbClr val="13AF67"/>
    </a:accent5>
    <a:accent6>
      <a:srgbClr val="566EFE"/>
    </a:accent6>
    <a:hlink>
      <a:srgbClr val="304FFE"/>
    </a:hlink>
    <a:folHlink>
      <a:srgbClr val="492067"/>
    </a:folHlink>
  </a:clrScheme>
  <a:fontScheme name="自定义 2">
    <a:majorFont>
      <a:latin typeface="微软雅黑"/>
      <a:ea typeface="微软雅黑"/>
      <a:cs typeface=""/>
    </a:majorFont>
    <a:minorFont>
      <a:latin typeface="微软雅黑"/>
      <a:ea typeface="微软雅黑"/>
      <a:cs typeface=""/>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2.xml><?xml version="1.0" encoding="utf-8"?>
<a:themeOverride xmlns:a="http://schemas.openxmlformats.org/drawingml/2006/main">
  <a:clrScheme name="自定义 2">
    <a:dk1>
      <a:srgbClr val="000000"/>
    </a:dk1>
    <a:lt1>
      <a:srgbClr val="FFFFFF"/>
    </a:lt1>
    <a:dk2>
      <a:srgbClr val="0C0E1F"/>
    </a:dk2>
    <a:lt2>
      <a:srgbClr val="FEFFFF"/>
    </a:lt2>
    <a:accent1>
      <a:srgbClr val="4F81FF"/>
    </a:accent1>
    <a:accent2>
      <a:srgbClr val="16CC8A"/>
    </a:accent2>
    <a:accent3>
      <a:srgbClr val="83D8FF"/>
    </a:accent3>
    <a:accent4>
      <a:srgbClr val="646BFE"/>
    </a:accent4>
    <a:accent5>
      <a:srgbClr val="F64699"/>
    </a:accent5>
    <a:accent6>
      <a:srgbClr val="FFC619"/>
    </a:accent6>
    <a:hlink>
      <a:srgbClr val="304FFE"/>
    </a:hlink>
    <a:folHlink>
      <a:srgbClr val="492067"/>
    </a:folHlink>
  </a:clrScheme>
  <a:fontScheme name="自定义 2">
    <a:majorFont>
      <a:latin typeface="微软雅黑"/>
      <a:ea typeface="微软雅黑"/>
      <a:cs typeface=""/>
    </a:majorFont>
    <a:minorFont>
      <a:latin typeface="微软雅黑"/>
      <a:ea typeface="微软雅黑"/>
      <a:cs typeface=""/>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20</Pages>
  <Words>3954</Words>
  <Characters>4337</Characters>
  <Lines>61</Lines>
  <Paragraphs>17</Paragraphs>
  <TotalTime>3</TotalTime>
  <ScaleCrop>false</ScaleCrop>
  <LinksUpToDate>false</LinksUpToDate>
  <CharactersWithSpaces>4544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2020-08-06T09:49:00Z</dcterms:created>
  <dc:creator>曹颖</dc:creator>
  <cp:lastModifiedBy> </cp:lastModifiedBy>
  <cp:lastPrinted>2023-08-01T10:35:00Z</cp:lastPrinted>
  <dcterms:modified xsi:type="dcterms:W3CDTF">2023-10-24T16:22:02Z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24500C8DCDD94C4DB4CDA45C64ED10AE</vt:lpwstr>
  </property>
</Properties>
</file>