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9"/>
        <w:rPr>
          <w:rFonts w:hint="eastAsia" w:ascii="华文中宋" w:hAnsi="华文中宋" w:eastAsia="华文中宋" w:cs="华文中宋"/>
          <w:b/>
          <w:bCs/>
          <w:color w:val="auto"/>
          <w:sz w:val="72"/>
          <w:szCs w:val="72"/>
          <w:highlight w:val="none"/>
        </w:rPr>
      </w:pPr>
      <w:bookmarkStart w:id="1" w:name="_Toc15377193"/>
      <w:bookmarkStart w:id="2" w:name="_Toc15377425"/>
      <w:bookmarkStart w:id="3" w:name="_Toc15378441"/>
      <w:bookmarkStart w:id="4" w:name="_Toc15396597"/>
      <w:bookmarkStart w:id="5" w:name="_Toc15396475"/>
    </w:p>
    <w:p>
      <w:pPr>
        <w:adjustRightInd w:val="0"/>
        <w:snapToGrid w:val="0"/>
        <w:spacing w:line="360" w:lineRule="auto"/>
        <w:jc w:val="center"/>
        <w:outlineLvl w:val="9"/>
        <w:rPr>
          <w:rFonts w:hint="eastAsia" w:ascii="华文中宋" w:hAnsi="华文中宋" w:eastAsia="华文中宋" w:cs="华文中宋"/>
          <w:b/>
          <w:bCs/>
          <w:color w:val="auto"/>
          <w:sz w:val="72"/>
          <w:szCs w:val="72"/>
          <w:highlight w:val="none"/>
        </w:rPr>
      </w:pPr>
      <w:r>
        <w:rPr>
          <w:rFonts w:hint="eastAsia" w:ascii="华文中宋" w:hAnsi="华文中宋" w:eastAsia="华文中宋" w:cs="华文中宋"/>
          <w:b/>
          <w:bCs/>
          <w:color w:val="auto"/>
          <w:sz w:val="72"/>
          <w:szCs w:val="72"/>
          <w:highlight w:val="none"/>
        </w:rPr>
        <w:t>20</w:t>
      </w:r>
      <w:r>
        <w:rPr>
          <w:rFonts w:hint="eastAsia" w:ascii="华文中宋" w:hAnsi="华文中宋" w:eastAsia="华文中宋" w:cs="华文中宋"/>
          <w:b/>
          <w:bCs/>
          <w:color w:val="auto"/>
          <w:sz w:val="72"/>
          <w:szCs w:val="72"/>
          <w:highlight w:val="none"/>
          <w:lang w:val="en-US" w:eastAsia="zh-CN"/>
        </w:rPr>
        <w:t>22</w:t>
      </w:r>
      <w:r>
        <w:rPr>
          <w:rFonts w:hint="eastAsia" w:ascii="华文中宋" w:hAnsi="华文中宋" w:eastAsia="华文中宋" w:cs="华文中宋"/>
          <w:b/>
          <w:bCs/>
          <w:color w:val="auto"/>
          <w:sz w:val="72"/>
          <w:szCs w:val="72"/>
          <w:highlight w:val="none"/>
        </w:rPr>
        <w:t>年度</w:t>
      </w:r>
      <w:bookmarkEnd w:id="1"/>
      <w:bookmarkEnd w:id="2"/>
      <w:bookmarkEnd w:id="3"/>
      <w:bookmarkEnd w:id="4"/>
      <w:bookmarkEnd w:id="5"/>
    </w:p>
    <w:bookmarkEnd w:id="0"/>
    <w:p>
      <w:pPr>
        <w:adjustRightInd w:val="0"/>
        <w:snapToGrid w:val="0"/>
        <w:spacing w:line="360" w:lineRule="auto"/>
        <w:jc w:val="center"/>
        <w:outlineLvl w:val="9"/>
        <w:rPr>
          <w:rFonts w:hint="eastAsia" w:ascii="华文中宋" w:hAnsi="华文中宋" w:eastAsia="华文中宋" w:cs="华文中宋"/>
          <w:b/>
          <w:bCs/>
          <w:color w:val="auto"/>
          <w:sz w:val="72"/>
          <w:szCs w:val="72"/>
          <w:highlight w:val="none"/>
        </w:rPr>
      </w:pPr>
      <w:bookmarkStart w:id="6" w:name="_Toc15396476"/>
      <w:bookmarkStart w:id="7" w:name="_Toc15306268"/>
      <w:bookmarkStart w:id="8" w:name="_Toc15396598"/>
      <w:bookmarkStart w:id="9" w:name="_Toc15378442"/>
      <w:bookmarkStart w:id="10" w:name="_Toc15377426"/>
      <w:bookmarkStart w:id="11" w:name="_Toc15377194"/>
      <w:r>
        <w:rPr>
          <w:rFonts w:hint="eastAsia" w:ascii="华文中宋" w:hAnsi="华文中宋" w:eastAsia="华文中宋" w:cs="华文中宋"/>
          <w:b/>
          <w:bCs/>
          <w:color w:val="auto"/>
          <w:sz w:val="72"/>
          <w:szCs w:val="72"/>
          <w:highlight w:val="none"/>
          <w:lang w:val="en-US" w:eastAsia="zh-CN"/>
        </w:rPr>
        <w:t>四川省广元中学</w:t>
      </w:r>
      <w:r>
        <w:rPr>
          <w:rFonts w:hint="eastAsia" w:ascii="华文中宋" w:hAnsi="华文中宋" w:eastAsia="华文中宋" w:cs="华文中宋"/>
          <w:b/>
          <w:bCs/>
          <w:color w:val="auto"/>
          <w:sz w:val="72"/>
          <w:szCs w:val="72"/>
          <w:highlight w:val="none"/>
          <w:lang w:eastAsia="zh-CN"/>
        </w:rPr>
        <w:t>单位</w:t>
      </w:r>
      <w:r>
        <w:rPr>
          <w:rFonts w:hint="eastAsia" w:ascii="华文中宋" w:hAnsi="华文中宋" w:eastAsia="华文中宋" w:cs="华文中宋"/>
          <w:b/>
          <w:bCs/>
          <w:color w:val="auto"/>
          <w:sz w:val="72"/>
          <w:szCs w:val="72"/>
          <w:highlight w:val="none"/>
        </w:rPr>
        <w:t>决算</w:t>
      </w:r>
      <w:bookmarkEnd w:id="6"/>
      <w:bookmarkEnd w:id="7"/>
      <w:bookmarkEnd w:id="8"/>
      <w:bookmarkEnd w:id="9"/>
      <w:bookmarkEnd w:id="10"/>
      <w:bookmarkEnd w:id="11"/>
    </w:p>
    <w:p>
      <w:pPr>
        <w:pStyle w:val="9"/>
        <w:pBdr>
          <w:top w:val="none" w:color="auto" w:sz="0" w:space="0"/>
          <w:left w:val="none" w:color="auto" w:sz="0" w:space="0"/>
          <w:bottom w:val="none" w:color="auto" w:sz="0" w:space="1"/>
          <w:right w:val="none" w:color="auto" w:sz="0" w:space="0"/>
          <w:between w:val="none" w:color="auto" w:sz="0" w:space="0"/>
        </w:pBdr>
        <w:rPr>
          <w:rFonts w:hint="default" w:eastAsia="华文中宋"/>
          <w:lang w:val="en-US" w:eastAsia="zh-CN"/>
        </w:rPr>
      </w:pPr>
    </w:p>
    <w:p>
      <w:pPr>
        <w:spacing w:before="0" w:beforeLines="0" w:after="0" w:afterLines="0" w:line="240" w:lineRule="auto"/>
        <w:ind w:left="0" w:leftChars="0" w:right="0" w:rightChars="0" w:firstLine="0" w:firstLineChars="0"/>
        <w:jc w:val="center"/>
        <w:rPr>
          <w:rFonts w:ascii="宋体" w:hAnsi="宋体" w:eastAsia="宋体" w:cs="Times New Roman"/>
          <w:b/>
          <w:bCs/>
          <w:kern w:val="2"/>
          <w:sz w:val="32"/>
          <w:szCs w:val="40"/>
          <w:lang w:val="en-US" w:eastAsia="zh-CN" w:bidi="ar-SA"/>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sdt>
      <w:sdtPr>
        <w:rPr>
          <w:rFonts w:ascii="宋体" w:hAnsi="宋体" w:eastAsia="宋体" w:cs="Times New Roman"/>
          <w:b/>
          <w:bCs/>
          <w:kern w:val="2"/>
          <w:sz w:val="32"/>
          <w:szCs w:val="40"/>
          <w:lang w:val="en-US" w:eastAsia="zh-CN" w:bidi="ar-SA"/>
        </w:rPr>
        <w:id w:val="147453399"/>
        <w15:color w:val="DBDBDB"/>
        <w:docPartObj>
          <w:docPartGallery w:val="Table of Contents"/>
          <w:docPartUnique/>
        </w:docPartObj>
      </w:sdtPr>
      <w:sdtEndPr>
        <w:rPr>
          <w:rFonts w:ascii="Times New Roman" w:hAnsi="Times New Roman" w:eastAsia="宋体" w:cs="Times New Roman"/>
          <w:b/>
          <w:bCs/>
          <w:color w:val="auto"/>
          <w:kern w:val="2"/>
          <w:sz w:val="24"/>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b/>
              <w:bCs/>
              <w:sz w:val="32"/>
              <w:szCs w:val="40"/>
            </w:rPr>
          </w:pPr>
          <w:r>
            <w:rPr>
              <w:rFonts w:ascii="宋体" w:hAnsi="宋体" w:eastAsia="宋体"/>
              <w:b/>
              <w:bCs/>
              <w:sz w:val="32"/>
              <w:szCs w:val="40"/>
            </w:rPr>
            <w:t>目</w:t>
          </w:r>
          <w:r>
            <w:rPr>
              <w:rFonts w:hint="eastAsia" w:ascii="宋体" w:hAnsi="宋体" w:eastAsia="宋体"/>
              <w:b/>
              <w:bCs/>
              <w:sz w:val="32"/>
              <w:szCs w:val="40"/>
              <w:lang w:val="en-US" w:eastAsia="zh-CN"/>
            </w:rPr>
            <w:t xml:space="preserve">  </w:t>
          </w:r>
          <w:r>
            <w:rPr>
              <w:rFonts w:ascii="宋体" w:hAnsi="宋体" w:eastAsia="宋体"/>
              <w:b/>
              <w:bCs/>
              <w:sz w:val="32"/>
              <w:szCs w:val="40"/>
            </w:rPr>
            <w:t>录</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4"/>
              <w:szCs w:val="32"/>
              <w:highlight w:val="none"/>
              <w:lang w:val="en-US" w:eastAsia="zh-CN" w:bidi="ar-SA"/>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17</w:t>
          </w:r>
          <w:r>
            <w:rPr>
              <w:rFonts w:hint="eastAsia"/>
              <w:color w:val="auto"/>
              <w:highlight w:val="none"/>
            </w:rPr>
            <w:t>日</w:t>
          </w:r>
          <w:r>
            <w:rPr>
              <w:color w:val="auto"/>
              <w:sz w:val="36"/>
              <w:szCs w:val="36"/>
              <w:highlight w:val="none"/>
            </w:rPr>
            <w:fldChar w:fldCharType="begin"/>
          </w:r>
          <w:r>
            <w:rPr>
              <w:color w:val="auto"/>
              <w:sz w:val="36"/>
              <w:szCs w:val="36"/>
              <w:highlight w:val="none"/>
            </w:rPr>
            <w:instrText xml:space="preserve">TOC \o "1-2" \h \u </w:instrText>
          </w:r>
          <w:r>
            <w:rPr>
              <w:color w:val="auto"/>
              <w:sz w:val="36"/>
              <w:szCs w:val="36"/>
              <w:highlight w:val="none"/>
            </w:rPr>
            <w:fldChar w:fldCharType="separate"/>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b/>
              <w:bCs/>
              <w:color w:val="auto"/>
              <w:sz w:val="24"/>
              <w:szCs w:val="24"/>
              <w:highlight w:val="none"/>
            </w:rPr>
            <w:fldChar w:fldCharType="begin"/>
          </w:r>
          <w:r>
            <w:rPr>
              <w:rFonts w:hint="eastAsia" w:ascii="华文楷体" w:hAnsi="华文楷体" w:eastAsia="华文楷体" w:cs="华文楷体"/>
              <w:b/>
              <w:bCs/>
              <w:sz w:val="24"/>
              <w:szCs w:val="24"/>
              <w:highlight w:val="none"/>
            </w:rPr>
            <w:instrText xml:space="preserve"> HYPERLINK \l _Toc15845 </w:instrText>
          </w:r>
          <w:r>
            <w:rPr>
              <w:rFonts w:hint="eastAsia" w:ascii="华文楷体" w:hAnsi="华文楷体" w:eastAsia="华文楷体" w:cs="华文楷体"/>
              <w:b/>
              <w:bCs/>
              <w:sz w:val="24"/>
              <w:szCs w:val="24"/>
              <w:highlight w:val="none"/>
            </w:rPr>
            <w:fldChar w:fldCharType="separate"/>
          </w:r>
          <w:r>
            <w:rPr>
              <w:rFonts w:hint="eastAsia" w:ascii="华文楷体" w:hAnsi="华文楷体" w:eastAsia="华文楷体" w:cs="华文楷体"/>
              <w:b/>
              <w:bCs/>
              <w:sz w:val="24"/>
              <w:szCs w:val="24"/>
              <w:highlight w:val="none"/>
            </w:rPr>
            <w:t xml:space="preserve">第一部分 </w:t>
          </w:r>
          <w:r>
            <w:rPr>
              <w:rFonts w:hint="eastAsia" w:ascii="华文楷体" w:hAnsi="华文楷体" w:eastAsia="华文楷体" w:cs="华文楷体"/>
              <w:b/>
              <w:bCs/>
              <w:sz w:val="24"/>
              <w:szCs w:val="24"/>
              <w:highlight w:val="none"/>
              <w:lang w:eastAsia="zh-CN"/>
            </w:rPr>
            <w:t>单位</w:t>
          </w:r>
          <w:r>
            <w:rPr>
              <w:rFonts w:hint="eastAsia" w:ascii="华文楷体" w:hAnsi="华文楷体" w:eastAsia="华文楷体" w:cs="华文楷体"/>
              <w:b/>
              <w:bCs/>
              <w:sz w:val="24"/>
              <w:szCs w:val="24"/>
              <w:highlight w:val="none"/>
            </w:rPr>
            <w:t>概况</w:t>
          </w:r>
          <w:r>
            <w:rPr>
              <w:rFonts w:hint="eastAsia" w:ascii="华文楷体" w:hAnsi="华文楷体" w:eastAsia="华文楷体" w:cs="华文楷体"/>
              <w:b/>
              <w:bCs/>
              <w:sz w:val="24"/>
              <w:szCs w:val="24"/>
            </w:rPr>
            <w:tab/>
          </w:r>
          <w:r>
            <w:rPr>
              <w:rFonts w:hint="eastAsia" w:ascii="华文楷体" w:hAnsi="华文楷体" w:eastAsia="华文楷体" w:cs="华文楷体"/>
              <w:b/>
              <w:bCs/>
              <w:sz w:val="24"/>
              <w:szCs w:val="24"/>
            </w:rPr>
            <w:fldChar w:fldCharType="begin"/>
          </w:r>
          <w:r>
            <w:rPr>
              <w:rFonts w:hint="eastAsia" w:ascii="华文楷体" w:hAnsi="华文楷体" w:eastAsia="华文楷体" w:cs="华文楷体"/>
              <w:b/>
              <w:bCs/>
              <w:sz w:val="24"/>
              <w:szCs w:val="24"/>
            </w:rPr>
            <w:instrText xml:space="preserve"> PAGEREF _Toc15845 \h </w:instrText>
          </w:r>
          <w:r>
            <w:rPr>
              <w:rFonts w:hint="eastAsia" w:ascii="华文楷体" w:hAnsi="华文楷体" w:eastAsia="华文楷体" w:cs="华文楷体"/>
              <w:b/>
              <w:bCs/>
              <w:sz w:val="24"/>
              <w:szCs w:val="24"/>
            </w:rPr>
            <w:fldChar w:fldCharType="separate"/>
          </w:r>
          <w:r>
            <w:rPr>
              <w:rFonts w:hint="eastAsia" w:ascii="华文楷体" w:hAnsi="华文楷体" w:eastAsia="华文楷体" w:cs="华文楷体"/>
              <w:b/>
              <w:bCs/>
              <w:sz w:val="24"/>
              <w:szCs w:val="24"/>
            </w:rPr>
            <w:t>1</w:t>
          </w:r>
          <w:r>
            <w:rPr>
              <w:rFonts w:hint="eastAsia" w:ascii="华文楷体" w:hAnsi="华文楷体" w:eastAsia="华文楷体" w:cs="华文楷体"/>
              <w:b/>
              <w:bCs/>
              <w:sz w:val="24"/>
              <w:szCs w:val="24"/>
            </w:rPr>
            <w:fldChar w:fldCharType="end"/>
          </w:r>
          <w:r>
            <w:rPr>
              <w:rFonts w:hint="eastAsia" w:ascii="华文楷体" w:hAnsi="华文楷体" w:eastAsia="华文楷体" w:cs="华文楷体"/>
              <w:b/>
              <w:bCs/>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_Toc31304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rPr>
            <w:t>一、</w:t>
          </w:r>
          <w:r>
            <w:rPr>
              <w:rFonts w:hint="eastAsia" w:ascii="华文楷体" w:hAnsi="华文楷体" w:eastAsia="华文楷体" w:cs="华文楷体"/>
              <w:bCs w:val="0"/>
              <w:sz w:val="24"/>
              <w:szCs w:val="24"/>
              <w:highlight w:val="none"/>
              <w:lang w:eastAsia="zh-CN"/>
            </w:rPr>
            <w:t>主要职责</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_Toc31304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_Toc10252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highlight w:val="none"/>
              <w:lang w:val="en-US" w:eastAsia="zh-CN"/>
            </w:rPr>
            <w:t>二、机构设置</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_Toc10252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b/>
              <w:bCs/>
              <w:color w:val="auto"/>
              <w:sz w:val="24"/>
              <w:szCs w:val="24"/>
              <w:highlight w:val="none"/>
            </w:rPr>
            <w:fldChar w:fldCharType="begin"/>
          </w:r>
          <w:r>
            <w:rPr>
              <w:rFonts w:hint="eastAsia" w:ascii="华文楷体" w:hAnsi="华文楷体" w:eastAsia="华文楷体" w:cs="华文楷体"/>
              <w:b/>
              <w:bCs/>
              <w:sz w:val="24"/>
              <w:szCs w:val="24"/>
              <w:highlight w:val="none"/>
            </w:rPr>
            <w:instrText xml:space="preserve"> HYPERLINK \l _Toc4392 </w:instrText>
          </w:r>
          <w:r>
            <w:rPr>
              <w:rFonts w:hint="eastAsia" w:ascii="华文楷体" w:hAnsi="华文楷体" w:eastAsia="华文楷体" w:cs="华文楷体"/>
              <w:b/>
              <w:bCs/>
              <w:sz w:val="24"/>
              <w:szCs w:val="24"/>
              <w:highlight w:val="none"/>
            </w:rPr>
            <w:fldChar w:fldCharType="separate"/>
          </w:r>
          <w:r>
            <w:rPr>
              <w:rFonts w:hint="eastAsia" w:ascii="华文楷体" w:hAnsi="华文楷体" w:eastAsia="华文楷体" w:cs="华文楷体"/>
              <w:b/>
              <w:bCs/>
              <w:sz w:val="24"/>
              <w:szCs w:val="24"/>
              <w:highlight w:val="none"/>
            </w:rPr>
            <w:t xml:space="preserve">第二部分 </w:t>
          </w:r>
          <w:r>
            <w:rPr>
              <w:rFonts w:hint="eastAsia" w:ascii="华文楷体" w:hAnsi="华文楷体" w:eastAsia="华文楷体" w:cs="华文楷体"/>
              <w:b/>
              <w:bCs/>
              <w:sz w:val="24"/>
              <w:szCs w:val="24"/>
              <w:highlight w:val="none"/>
              <w:lang w:val="en-US" w:eastAsia="zh-CN"/>
            </w:rPr>
            <w:t>2022年度</w:t>
          </w:r>
          <w:r>
            <w:rPr>
              <w:rFonts w:hint="eastAsia" w:ascii="华文楷体" w:hAnsi="华文楷体" w:eastAsia="华文楷体" w:cs="华文楷体"/>
              <w:b/>
              <w:bCs/>
              <w:sz w:val="24"/>
              <w:szCs w:val="24"/>
              <w:highlight w:val="none"/>
              <w:lang w:eastAsia="zh-CN"/>
            </w:rPr>
            <w:t>单位</w:t>
          </w:r>
          <w:r>
            <w:rPr>
              <w:rFonts w:hint="eastAsia" w:ascii="华文楷体" w:hAnsi="华文楷体" w:eastAsia="华文楷体" w:cs="华文楷体"/>
              <w:b/>
              <w:bCs/>
              <w:sz w:val="24"/>
              <w:szCs w:val="24"/>
              <w:highlight w:val="none"/>
            </w:rPr>
            <w:t>决算情况说明</w:t>
          </w:r>
          <w:r>
            <w:rPr>
              <w:rFonts w:hint="eastAsia" w:ascii="华文楷体" w:hAnsi="华文楷体" w:eastAsia="华文楷体" w:cs="华文楷体"/>
              <w:b/>
              <w:bCs/>
              <w:sz w:val="24"/>
              <w:szCs w:val="24"/>
            </w:rPr>
            <w:tab/>
          </w:r>
          <w:r>
            <w:rPr>
              <w:rFonts w:hint="eastAsia" w:ascii="华文楷体" w:hAnsi="华文楷体" w:eastAsia="华文楷体" w:cs="华文楷体"/>
              <w:b/>
              <w:bCs/>
              <w:sz w:val="24"/>
              <w:szCs w:val="24"/>
            </w:rPr>
            <w:fldChar w:fldCharType="begin"/>
          </w:r>
          <w:r>
            <w:rPr>
              <w:rFonts w:hint="eastAsia" w:ascii="华文楷体" w:hAnsi="华文楷体" w:eastAsia="华文楷体" w:cs="华文楷体"/>
              <w:b/>
              <w:bCs/>
              <w:sz w:val="24"/>
              <w:szCs w:val="24"/>
            </w:rPr>
            <w:instrText xml:space="preserve"> PAGEREF _Toc4392 \h </w:instrText>
          </w:r>
          <w:r>
            <w:rPr>
              <w:rFonts w:hint="eastAsia" w:ascii="华文楷体" w:hAnsi="华文楷体" w:eastAsia="华文楷体" w:cs="华文楷体"/>
              <w:b/>
              <w:bCs/>
              <w:sz w:val="24"/>
              <w:szCs w:val="24"/>
            </w:rPr>
            <w:fldChar w:fldCharType="separate"/>
          </w:r>
          <w:r>
            <w:rPr>
              <w:rFonts w:hint="eastAsia" w:ascii="华文楷体" w:hAnsi="华文楷体" w:eastAsia="华文楷体" w:cs="华文楷体"/>
              <w:b/>
              <w:bCs/>
              <w:sz w:val="24"/>
              <w:szCs w:val="24"/>
            </w:rPr>
            <w:t>2</w:t>
          </w:r>
          <w:r>
            <w:rPr>
              <w:rFonts w:hint="eastAsia" w:ascii="华文楷体" w:hAnsi="华文楷体" w:eastAsia="华文楷体" w:cs="华文楷体"/>
              <w:b/>
              <w:bCs/>
              <w:sz w:val="24"/>
              <w:szCs w:val="24"/>
            </w:rPr>
            <w:fldChar w:fldCharType="end"/>
          </w:r>
          <w:r>
            <w:rPr>
              <w:rFonts w:hint="eastAsia" w:ascii="华文楷体" w:hAnsi="华文楷体" w:eastAsia="华文楷体" w:cs="华文楷体"/>
              <w:b/>
              <w:bCs/>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_Toc27914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rPr>
            <w:t>一、</w:t>
          </w:r>
          <w:r>
            <w:rPr>
              <w:rFonts w:hint="eastAsia" w:ascii="华文楷体" w:hAnsi="华文楷体" w:eastAsia="华文楷体" w:cs="华文楷体"/>
              <w:sz w:val="24"/>
              <w:szCs w:val="24"/>
              <w:highlight w:val="none"/>
            </w:rPr>
            <w:t>收入支出决算总体情况说明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_Toc27914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2</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_Toc2162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rPr>
            <w:t>二、</w:t>
          </w:r>
          <w:r>
            <w:rPr>
              <w:rFonts w:hint="eastAsia" w:ascii="华文楷体" w:hAnsi="华文楷体" w:eastAsia="华文楷体" w:cs="华文楷体"/>
              <w:sz w:val="24"/>
              <w:szCs w:val="24"/>
              <w:highlight w:val="none"/>
            </w:rPr>
            <w:t>收入决算情况说明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_Toc2162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2</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_Toc2812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rPr>
            <w:t>三、</w:t>
          </w:r>
          <w:r>
            <w:rPr>
              <w:rFonts w:hint="eastAsia" w:ascii="华文楷体" w:hAnsi="华文楷体" w:eastAsia="华文楷体" w:cs="华文楷体"/>
              <w:sz w:val="24"/>
              <w:szCs w:val="24"/>
              <w:highlight w:val="none"/>
            </w:rPr>
            <w:t>支出决算情况说明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_Toc2812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_Toc8013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highlight w:val="none"/>
            </w:rPr>
            <w:t>四、财政拨款收入支出决算总体情况说明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_Toc8013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_Toc1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highlight w:val="none"/>
            </w:rPr>
            <w:t>六、一般公共预算财政拨款基本支出决算情况说明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_Toc1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6</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_Toc28831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highlight w:val="none"/>
            </w:rPr>
            <w:t>七、财政拨款“三公”经费支出决算情况说明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_Toc28831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7</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_Toc25477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highlight w:val="none"/>
            </w:rPr>
            <w:t>八、政府性基金预算支出决算情况说明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_Toc25477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8</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_Toc1474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rPr>
            <w:t>九、</w:t>
          </w:r>
          <w:r>
            <w:rPr>
              <w:rFonts w:hint="eastAsia" w:ascii="华文楷体" w:hAnsi="华文楷体" w:eastAsia="华文楷体" w:cs="华文楷体"/>
              <w:sz w:val="24"/>
              <w:szCs w:val="24"/>
              <w:highlight w:val="none"/>
            </w:rPr>
            <w:t>国有资本经营预算支出决算情况说明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_Toc1474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8</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_Toc4784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rPr>
            <w:t>十、</w:t>
          </w:r>
          <w:r>
            <w:rPr>
              <w:rFonts w:hint="eastAsia" w:ascii="华文楷体" w:hAnsi="华文楷体" w:eastAsia="华文楷体" w:cs="华文楷体"/>
              <w:sz w:val="24"/>
              <w:szCs w:val="24"/>
              <w:highlight w:val="none"/>
            </w:rPr>
            <w:t>其他重要事项的情况说明</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_Toc4784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8</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bCs/>
              <w:sz w:val="24"/>
              <w:szCs w:val="24"/>
            </w:rPr>
          </w:pPr>
          <w:r>
            <w:rPr>
              <w:rFonts w:hint="eastAsia" w:ascii="华文楷体" w:hAnsi="华文楷体" w:eastAsia="华文楷体" w:cs="华文楷体"/>
              <w:b/>
              <w:bCs/>
              <w:color w:val="auto"/>
              <w:sz w:val="24"/>
              <w:szCs w:val="24"/>
              <w:highlight w:val="none"/>
            </w:rPr>
            <w:fldChar w:fldCharType="begin"/>
          </w:r>
          <w:r>
            <w:rPr>
              <w:rFonts w:hint="eastAsia" w:ascii="华文楷体" w:hAnsi="华文楷体" w:eastAsia="华文楷体" w:cs="华文楷体"/>
              <w:b/>
              <w:bCs/>
              <w:sz w:val="24"/>
              <w:szCs w:val="24"/>
              <w:highlight w:val="none"/>
            </w:rPr>
            <w:instrText xml:space="preserve"> HYPERLINK \l _Toc9127 </w:instrText>
          </w:r>
          <w:r>
            <w:rPr>
              <w:rFonts w:hint="eastAsia" w:ascii="华文楷体" w:hAnsi="华文楷体" w:eastAsia="华文楷体" w:cs="华文楷体"/>
              <w:b/>
              <w:bCs/>
              <w:sz w:val="24"/>
              <w:szCs w:val="24"/>
              <w:highlight w:val="none"/>
            </w:rPr>
            <w:fldChar w:fldCharType="separate"/>
          </w:r>
          <w:r>
            <w:rPr>
              <w:rFonts w:hint="eastAsia" w:ascii="华文楷体" w:hAnsi="华文楷体" w:eastAsia="华文楷体" w:cs="华文楷体"/>
              <w:b/>
              <w:bCs/>
              <w:sz w:val="24"/>
              <w:szCs w:val="24"/>
            </w:rPr>
            <w:t xml:space="preserve">第三部分 </w:t>
          </w:r>
          <w:r>
            <w:rPr>
              <w:rFonts w:hint="eastAsia" w:ascii="华文楷体" w:hAnsi="华文楷体" w:eastAsia="华文楷体" w:cs="华文楷体"/>
              <w:b/>
              <w:bCs/>
              <w:sz w:val="24"/>
              <w:szCs w:val="24"/>
              <w:highlight w:val="none"/>
            </w:rPr>
            <w:t>名词解释</w:t>
          </w:r>
          <w:r>
            <w:rPr>
              <w:rFonts w:hint="eastAsia" w:ascii="华文楷体" w:hAnsi="华文楷体" w:eastAsia="华文楷体" w:cs="华文楷体"/>
              <w:b/>
              <w:bCs/>
              <w:sz w:val="24"/>
              <w:szCs w:val="24"/>
            </w:rPr>
            <w:tab/>
          </w:r>
          <w:r>
            <w:rPr>
              <w:rFonts w:hint="eastAsia" w:ascii="华文楷体" w:hAnsi="华文楷体" w:eastAsia="华文楷体" w:cs="华文楷体"/>
              <w:b/>
              <w:bCs/>
              <w:sz w:val="24"/>
              <w:szCs w:val="24"/>
            </w:rPr>
            <w:fldChar w:fldCharType="begin"/>
          </w:r>
          <w:r>
            <w:rPr>
              <w:rFonts w:hint="eastAsia" w:ascii="华文楷体" w:hAnsi="华文楷体" w:eastAsia="华文楷体" w:cs="华文楷体"/>
              <w:b/>
              <w:bCs/>
              <w:sz w:val="24"/>
              <w:szCs w:val="24"/>
            </w:rPr>
            <w:instrText xml:space="preserve"> PAGEREF _Toc9127 \h </w:instrText>
          </w:r>
          <w:r>
            <w:rPr>
              <w:rFonts w:hint="eastAsia" w:ascii="华文楷体" w:hAnsi="华文楷体" w:eastAsia="华文楷体" w:cs="华文楷体"/>
              <w:b/>
              <w:bCs/>
              <w:sz w:val="24"/>
              <w:szCs w:val="24"/>
            </w:rPr>
            <w:fldChar w:fldCharType="separate"/>
          </w:r>
          <w:r>
            <w:rPr>
              <w:rFonts w:hint="eastAsia" w:ascii="华文楷体" w:hAnsi="华文楷体" w:eastAsia="华文楷体" w:cs="华文楷体"/>
              <w:b/>
              <w:bCs/>
              <w:sz w:val="24"/>
              <w:szCs w:val="24"/>
            </w:rPr>
            <w:t>10</w:t>
          </w:r>
          <w:r>
            <w:rPr>
              <w:rFonts w:hint="eastAsia" w:ascii="华文楷体" w:hAnsi="华文楷体" w:eastAsia="华文楷体" w:cs="华文楷体"/>
              <w:b/>
              <w:bCs/>
              <w:sz w:val="24"/>
              <w:szCs w:val="24"/>
            </w:rPr>
            <w:fldChar w:fldCharType="end"/>
          </w:r>
          <w:r>
            <w:rPr>
              <w:rFonts w:hint="eastAsia" w:ascii="华文楷体" w:hAnsi="华文楷体" w:eastAsia="华文楷体" w:cs="华文楷体"/>
              <w:b/>
              <w:bCs/>
              <w:color w:val="auto"/>
              <w:sz w:val="24"/>
              <w:szCs w:val="24"/>
              <w:highlight w:val="none"/>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bCs/>
              <w:sz w:val="24"/>
              <w:szCs w:val="24"/>
            </w:rPr>
          </w:pPr>
          <w:r>
            <w:rPr>
              <w:rFonts w:hint="eastAsia" w:ascii="华文楷体" w:hAnsi="华文楷体" w:eastAsia="华文楷体" w:cs="华文楷体"/>
              <w:b/>
              <w:bCs/>
              <w:color w:val="auto"/>
              <w:sz w:val="24"/>
              <w:szCs w:val="24"/>
              <w:highlight w:val="none"/>
            </w:rPr>
            <w:fldChar w:fldCharType="begin"/>
          </w:r>
          <w:r>
            <w:rPr>
              <w:rFonts w:hint="eastAsia" w:ascii="华文楷体" w:hAnsi="华文楷体" w:eastAsia="华文楷体" w:cs="华文楷体"/>
              <w:b/>
              <w:bCs/>
              <w:sz w:val="24"/>
              <w:szCs w:val="24"/>
              <w:highlight w:val="none"/>
            </w:rPr>
            <w:instrText xml:space="preserve"> HYPERLINK \l _Toc20847 </w:instrText>
          </w:r>
          <w:r>
            <w:rPr>
              <w:rFonts w:hint="eastAsia" w:ascii="华文楷体" w:hAnsi="华文楷体" w:eastAsia="华文楷体" w:cs="华文楷体"/>
              <w:b/>
              <w:bCs/>
              <w:sz w:val="24"/>
              <w:szCs w:val="24"/>
              <w:highlight w:val="none"/>
            </w:rPr>
            <w:fldChar w:fldCharType="separate"/>
          </w:r>
          <w:r>
            <w:rPr>
              <w:rFonts w:hint="eastAsia" w:ascii="华文楷体" w:hAnsi="华文楷体" w:eastAsia="华文楷体" w:cs="华文楷体"/>
              <w:b/>
              <w:bCs/>
              <w:kern w:val="2"/>
              <w:sz w:val="24"/>
              <w:szCs w:val="24"/>
            </w:rPr>
            <w:t>第</w:t>
          </w:r>
          <w:r>
            <w:rPr>
              <w:rFonts w:hint="eastAsia" w:ascii="华文楷体" w:hAnsi="华文楷体" w:eastAsia="华文楷体" w:cs="华文楷体"/>
              <w:b/>
              <w:bCs/>
              <w:kern w:val="44"/>
              <w:sz w:val="24"/>
              <w:szCs w:val="24"/>
            </w:rPr>
            <w:t>四部分 附件</w:t>
          </w:r>
          <w:r>
            <w:rPr>
              <w:rFonts w:hint="eastAsia" w:ascii="华文楷体" w:hAnsi="华文楷体" w:eastAsia="华文楷体" w:cs="华文楷体"/>
              <w:b/>
              <w:bCs/>
              <w:sz w:val="24"/>
              <w:szCs w:val="24"/>
            </w:rPr>
            <w:tab/>
          </w:r>
          <w:r>
            <w:rPr>
              <w:rFonts w:hint="eastAsia" w:ascii="华文楷体" w:hAnsi="华文楷体" w:eastAsia="华文楷体" w:cs="华文楷体"/>
              <w:b/>
              <w:bCs/>
              <w:sz w:val="24"/>
              <w:szCs w:val="24"/>
            </w:rPr>
            <w:fldChar w:fldCharType="begin"/>
          </w:r>
          <w:r>
            <w:rPr>
              <w:rFonts w:hint="eastAsia" w:ascii="华文楷体" w:hAnsi="华文楷体" w:eastAsia="华文楷体" w:cs="华文楷体"/>
              <w:b/>
              <w:bCs/>
              <w:sz w:val="24"/>
              <w:szCs w:val="24"/>
            </w:rPr>
            <w:instrText xml:space="preserve"> PAGEREF _Toc20847 \h </w:instrText>
          </w:r>
          <w:r>
            <w:rPr>
              <w:rFonts w:hint="eastAsia" w:ascii="华文楷体" w:hAnsi="华文楷体" w:eastAsia="华文楷体" w:cs="华文楷体"/>
              <w:b/>
              <w:bCs/>
              <w:sz w:val="24"/>
              <w:szCs w:val="24"/>
            </w:rPr>
            <w:fldChar w:fldCharType="separate"/>
          </w:r>
          <w:r>
            <w:rPr>
              <w:rFonts w:hint="eastAsia" w:ascii="华文楷体" w:hAnsi="华文楷体" w:eastAsia="华文楷体" w:cs="华文楷体"/>
              <w:b/>
              <w:bCs/>
              <w:sz w:val="24"/>
              <w:szCs w:val="24"/>
            </w:rPr>
            <w:t>12</w:t>
          </w:r>
          <w:r>
            <w:rPr>
              <w:rFonts w:hint="eastAsia" w:ascii="华文楷体" w:hAnsi="华文楷体" w:eastAsia="华文楷体" w:cs="华文楷体"/>
              <w:b/>
              <w:bCs/>
              <w:sz w:val="24"/>
              <w:szCs w:val="24"/>
            </w:rPr>
            <w:fldChar w:fldCharType="end"/>
          </w:r>
          <w:r>
            <w:rPr>
              <w:rFonts w:hint="eastAsia" w:ascii="华文楷体" w:hAnsi="华文楷体" w:eastAsia="华文楷体" w:cs="华文楷体"/>
              <w:b/>
              <w:bCs/>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_Toc20034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rPr>
            <w:t>部门预算项目支出绩效自评表（2022年度）</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_Toc20034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12</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b/>
              <w:bCs/>
              <w:color w:val="auto"/>
              <w:sz w:val="24"/>
              <w:szCs w:val="24"/>
              <w:highlight w:val="none"/>
            </w:rPr>
            <w:fldChar w:fldCharType="begin"/>
          </w:r>
          <w:r>
            <w:rPr>
              <w:rFonts w:hint="eastAsia" w:ascii="华文楷体" w:hAnsi="华文楷体" w:eastAsia="华文楷体" w:cs="华文楷体"/>
              <w:b/>
              <w:bCs/>
              <w:sz w:val="24"/>
              <w:szCs w:val="24"/>
              <w:highlight w:val="none"/>
            </w:rPr>
            <w:instrText xml:space="preserve"> HYPERLINK \l _Toc3255 </w:instrText>
          </w:r>
          <w:r>
            <w:rPr>
              <w:rFonts w:hint="eastAsia" w:ascii="华文楷体" w:hAnsi="华文楷体" w:eastAsia="华文楷体" w:cs="华文楷体"/>
              <w:b/>
              <w:bCs/>
              <w:sz w:val="24"/>
              <w:szCs w:val="24"/>
              <w:highlight w:val="none"/>
            </w:rPr>
            <w:fldChar w:fldCharType="separate"/>
          </w:r>
          <w:r>
            <w:rPr>
              <w:rFonts w:hint="eastAsia" w:ascii="华文楷体" w:hAnsi="华文楷体" w:eastAsia="华文楷体" w:cs="华文楷体"/>
              <w:b/>
              <w:bCs/>
              <w:sz w:val="24"/>
              <w:szCs w:val="24"/>
              <w:highlight w:val="none"/>
            </w:rPr>
            <w:t>第五部分 附表</w:t>
          </w:r>
          <w:r>
            <w:rPr>
              <w:rFonts w:hint="eastAsia" w:ascii="华文楷体" w:hAnsi="华文楷体" w:eastAsia="华文楷体" w:cs="华文楷体"/>
              <w:b/>
              <w:bCs/>
              <w:sz w:val="24"/>
              <w:szCs w:val="24"/>
            </w:rPr>
            <w:tab/>
          </w:r>
          <w:r>
            <w:rPr>
              <w:rFonts w:hint="eastAsia" w:ascii="华文楷体" w:hAnsi="华文楷体" w:eastAsia="华文楷体" w:cs="华文楷体"/>
              <w:b/>
              <w:bCs/>
              <w:sz w:val="24"/>
              <w:szCs w:val="24"/>
            </w:rPr>
            <w:fldChar w:fldCharType="begin"/>
          </w:r>
          <w:r>
            <w:rPr>
              <w:rFonts w:hint="eastAsia" w:ascii="华文楷体" w:hAnsi="华文楷体" w:eastAsia="华文楷体" w:cs="华文楷体"/>
              <w:b/>
              <w:bCs/>
              <w:sz w:val="24"/>
              <w:szCs w:val="24"/>
            </w:rPr>
            <w:instrText xml:space="preserve"> PAGEREF _Toc3255 \h </w:instrText>
          </w:r>
          <w:r>
            <w:rPr>
              <w:rFonts w:hint="eastAsia" w:ascii="华文楷体" w:hAnsi="华文楷体" w:eastAsia="华文楷体" w:cs="华文楷体"/>
              <w:b/>
              <w:bCs/>
              <w:sz w:val="24"/>
              <w:szCs w:val="24"/>
            </w:rPr>
            <w:fldChar w:fldCharType="separate"/>
          </w:r>
          <w:r>
            <w:rPr>
              <w:rFonts w:hint="eastAsia" w:ascii="华文楷体" w:hAnsi="华文楷体" w:eastAsia="华文楷体" w:cs="华文楷体"/>
              <w:b/>
              <w:bCs/>
              <w:sz w:val="24"/>
              <w:szCs w:val="24"/>
            </w:rPr>
            <w:t>13</w:t>
          </w:r>
          <w:r>
            <w:rPr>
              <w:rFonts w:hint="eastAsia" w:ascii="华文楷体" w:hAnsi="华文楷体" w:eastAsia="华文楷体" w:cs="华文楷体"/>
              <w:b/>
              <w:bCs/>
              <w:sz w:val="24"/>
              <w:szCs w:val="24"/>
            </w:rPr>
            <w:fldChar w:fldCharType="end"/>
          </w:r>
          <w:r>
            <w:rPr>
              <w:rFonts w:hint="eastAsia" w:ascii="华文楷体" w:hAnsi="华文楷体" w:eastAsia="华文楷体" w:cs="华文楷体"/>
              <w:b/>
              <w:bCs/>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_Toc7228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highlight w:val="none"/>
            </w:rPr>
            <w:t>一、收</w:t>
          </w:r>
          <w:r>
            <w:rPr>
              <w:rFonts w:hint="eastAsia" w:ascii="华文楷体" w:hAnsi="华文楷体" w:eastAsia="华文楷体" w:cs="华文楷体"/>
              <w:bCs w:val="0"/>
              <w:sz w:val="24"/>
              <w:szCs w:val="24"/>
              <w:highlight w:val="none"/>
            </w:rPr>
            <w:t>入支出决算总表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_Toc7228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_Toc4081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sz w:val="24"/>
              <w:szCs w:val="24"/>
              <w:highlight w:val="none"/>
            </w:rPr>
            <w:t>二、收</w:t>
          </w:r>
          <w:r>
            <w:rPr>
              <w:rFonts w:hint="eastAsia" w:ascii="华文楷体" w:hAnsi="华文楷体" w:eastAsia="华文楷体" w:cs="华文楷体"/>
              <w:bCs w:val="0"/>
              <w:sz w:val="24"/>
              <w:szCs w:val="24"/>
              <w:highlight w:val="none"/>
            </w:rPr>
            <w:t>入决算表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_Toc4081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_Toc1332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三、</w:t>
          </w:r>
          <w:r>
            <w:rPr>
              <w:rFonts w:hint="eastAsia" w:ascii="华文楷体" w:hAnsi="华文楷体" w:eastAsia="华文楷体" w:cs="华文楷体"/>
              <w:sz w:val="24"/>
              <w:szCs w:val="24"/>
              <w:highlight w:val="none"/>
            </w:rPr>
            <w:t>支</w:t>
          </w:r>
          <w:r>
            <w:rPr>
              <w:rFonts w:hint="eastAsia" w:ascii="华文楷体" w:hAnsi="华文楷体" w:eastAsia="华文楷体" w:cs="华文楷体"/>
              <w:bCs w:val="0"/>
              <w:sz w:val="24"/>
              <w:szCs w:val="24"/>
              <w:highlight w:val="none"/>
            </w:rPr>
            <w:t>出决算表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_Toc1332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_Toc20144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四、</w:t>
          </w:r>
          <w:r>
            <w:rPr>
              <w:rFonts w:hint="eastAsia" w:ascii="华文楷体" w:hAnsi="华文楷体" w:eastAsia="华文楷体" w:cs="华文楷体"/>
              <w:sz w:val="24"/>
              <w:szCs w:val="24"/>
              <w:highlight w:val="none"/>
            </w:rPr>
            <w:t>财</w:t>
          </w:r>
          <w:r>
            <w:rPr>
              <w:rFonts w:hint="eastAsia" w:ascii="华文楷体" w:hAnsi="华文楷体" w:eastAsia="华文楷体" w:cs="华文楷体"/>
              <w:bCs w:val="0"/>
              <w:sz w:val="24"/>
              <w:szCs w:val="24"/>
              <w:highlight w:val="none"/>
            </w:rPr>
            <w:t>政拨款收入支出决算总表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_Toc20144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_Toc26399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五、</w:t>
          </w:r>
          <w:r>
            <w:rPr>
              <w:rFonts w:hint="eastAsia" w:ascii="华文楷体" w:hAnsi="华文楷体" w:eastAsia="华文楷体" w:cs="华文楷体"/>
              <w:sz w:val="24"/>
              <w:szCs w:val="24"/>
              <w:highlight w:val="none"/>
            </w:rPr>
            <w:t>财</w:t>
          </w:r>
          <w:r>
            <w:rPr>
              <w:rFonts w:hint="eastAsia" w:ascii="华文楷体" w:hAnsi="华文楷体" w:eastAsia="华文楷体" w:cs="华文楷体"/>
              <w:bCs w:val="0"/>
              <w:sz w:val="24"/>
              <w:szCs w:val="24"/>
              <w:highlight w:val="none"/>
            </w:rPr>
            <w:t>政拨款支出决算明细表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_Toc26399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_Toc11547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六、</w:t>
          </w:r>
          <w:r>
            <w:rPr>
              <w:rFonts w:hint="eastAsia" w:ascii="华文楷体" w:hAnsi="华文楷体" w:eastAsia="华文楷体" w:cs="华文楷体"/>
              <w:sz w:val="24"/>
              <w:szCs w:val="24"/>
              <w:highlight w:val="none"/>
            </w:rPr>
            <w:t>一</w:t>
          </w:r>
          <w:r>
            <w:rPr>
              <w:rFonts w:hint="eastAsia" w:ascii="华文楷体" w:hAnsi="华文楷体" w:eastAsia="华文楷体" w:cs="华文楷体"/>
              <w:bCs w:val="0"/>
              <w:sz w:val="24"/>
              <w:szCs w:val="24"/>
              <w:highlight w:val="none"/>
            </w:rPr>
            <w:t>般公共预算财政拨款支出决算表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_Toc11547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_Toc9088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七、</w:t>
          </w:r>
          <w:r>
            <w:rPr>
              <w:rFonts w:hint="eastAsia" w:ascii="华文楷体" w:hAnsi="华文楷体" w:eastAsia="华文楷体" w:cs="华文楷体"/>
              <w:sz w:val="24"/>
              <w:szCs w:val="24"/>
              <w:highlight w:val="none"/>
            </w:rPr>
            <w:t>一</w:t>
          </w:r>
          <w:r>
            <w:rPr>
              <w:rFonts w:hint="eastAsia" w:ascii="华文楷体" w:hAnsi="华文楷体" w:eastAsia="华文楷体" w:cs="华文楷体"/>
              <w:bCs w:val="0"/>
              <w:sz w:val="24"/>
              <w:szCs w:val="24"/>
              <w:highlight w:val="none"/>
            </w:rPr>
            <w:t>般公共预算财政拨款支出决算明细表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_Toc9088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_Toc17589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八、</w:t>
          </w:r>
          <w:r>
            <w:rPr>
              <w:rFonts w:hint="eastAsia" w:ascii="华文楷体" w:hAnsi="华文楷体" w:eastAsia="华文楷体" w:cs="华文楷体"/>
              <w:sz w:val="24"/>
              <w:szCs w:val="24"/>
              <w:highlight w:val="none"/>
            </w:rPr>
            <w:t>一</w:t>
          </w:r>
          <w:r>
            <w:rPr>
              <w:rFonts w:hint="eastAsia" w:ascii="华文楷体" w:hAnsi="华文楷体" w:eastAsia="华文楷体" w:cs="华文楷体"/>
              <w:bCs w:val="0"/>
              <w:sz w:val="24"/>
              <w:szCs w:val="24"/>
              <w:highlight w:val="none"/>
            </w:rPr>
            <w:t>般公共预算财政拨款基本支出决算表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_Toc17589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_Toc31635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九、</w:t>
          </w:r>
          <w:r>
            <w:rPr>
              <w:rFonts w:hint="eastAsia" w:ascii="华文楷体" w:hAnsi="华文楷体" w:eastAsia="华文楷体" w:cs="华文楷体"/>
              <w:sz w:val="24"/>
              <w:szCs w:val="24"/>
              <w:highlight w:val="none"/>
            </w:rPr>
            <w:t>一</w:t>
          </w:r>
          <w:r>
            <w:rPr>
              <w:rFonts w:hint="eastAsia" w:ascii="华文楷体" w:hAnsi="华文楷体" w:eastAsia="华文楷体" w:cs="华文楷体"/>
              <w:bCs w:val="0"/>
              <w:sz w:val="24"/>
              <w:szCs w:val="24"/>
              <w:highlight w:val="none"/>
            </w:rPr>
            <w:t>般公共预算财政拨款项目支出决算表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_Toc31635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_Toc20593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十、</w:t>
          </w:r>
          <w:bookmarkStart w:id="109" w:name="_GoBack"/>
          <w:bookmarkEnd w:id="109"/>
          <w:r>
            <w:rPr>
              <w:rFonts w:hint="eastAsia" w:ascii="华文楷体" w:hAnsi="华文楷体" w:eastAsia="华文楷体" w:cs="华文楷体"/>
              <w:sz w:val="24"/>
              <w:szCs w:val="24"/>
              <w:highlight w:val="none"/>
            </w:rPr>
            <w:t>政</w:t>
          </w:r>
          <w:r>
            <w:rPr>
              <w:rFonts w:hint="eastAsia" w:ascii="华文楷体" w:hAnsi="华文楷体" w:eastAsia="华文楷体" w:cs="华文楷体"/>
              <w:bCs w:val="0"/>
              <w:sz w:val="24"/>
              <w:szCs w:val="24"/>
              <w:highlight w:val="none"/>
            </w:rPr>
            <w:t>府性基金预算财政拨款收入支出决算表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_Toc20593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_Toc19106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十一、</w:t>
          </w:r>
          <w:r>
            <w:rPr>
              <w:rFonts w:hint="eastAsia" w:ascii="华文楷体" w:hAnsi="华文楷体" w:eastAsia="华文楷体" w:cs="华文楷体"/>
              <w:sz w:val="24"/>
              <w:szCs w:val="24"/>
              <w:highlight w:val="none"/>
            </w:rPr>
            <w:t>国</w:t>
          </w:r>
          <w:r>
            <w:rPr>
              <w:rFonts w:hint="eastAsia" w:ascii="华文楷体" w:hAnsi="华文楷体" w:eastAsia="华文楷体" w:cs="华文楷体"/>
              <w:bCs w:val="0"/>
              <w:sz w:val="24"/>
              <w:szCs w:val="24"/>
              <w:highlight w:val="none"/>
            </w:rPr>
            <w:t>有资本经营预算</w:t>
          </w:r>
          <w:r>
            <w:rPr>
              <w:rFonts w:hint="eastAsia" w:ascii="华文楷体" w:hAnsi="华文楷体" w:eastAsia="华文楷体" w:cs="华文楷体"/>
              <w:bCs w:val="0"/>
              <w:sz w:val="24"/>
              <w:szCs w:val="24"/>
              <w:highlight w:val="none"/>
              <w:lang w:eastAsia="zh-CN"/>
            </w:rPr>
            <w:t>财政拨款收入</w:t>
          </w:r>
          <w:r>
            <w:rPr>
              <w:rFonts w:hint="eastAsia" w:ascii="华文楷体" w:hAnsi="华文楷体" w:eastAsia="华文楷体" w:cs="华文楷体"/>
              <w:bCs w:val="0"/>
              <w:sz w:val="24"/>
              <w:szCs w:val="24"/>
              <w:highlight w:val="none"/>
            </w:rPr>
            <w:t>支出决算表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_Toc19106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_Toc547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十二、</w:t>
          </w:r>
          <w:r>
            <w:rPr>
              <w:rFonts w:hint="eastAsia" w:ascii="华文楷体" w:hAnsi="华文楷体" w:eastAsia="华文楷体" w:cs="华文楷体"/>
              <w:bCs w:val="0"/>
              <w:sz w:val="24"/>
              <w:szCs w:val="24"/>
              <w:highlight w:val="none"/>
              <w:lang w:eastAsia="zh-CN"/>
            </w:rPr>
            <w:t>国有资本经营预算财政拨款支出决算表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_Toc547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sz w:val="24"/>
              <w:szCs w:val="24"/>
            </w:rPr>
          </w:pPr>
          <w:r>
            <w:rPr>
              <w:rFonts w:hint="eastAsia" w:ascii="华文楷体" w:hAnsi="华文楷体" w:eastAsia="华文楷体" w:cs="华文楷体"/>
              <w:color w:val="auto"/>
              <w:sz w:val="24"/>
              <w:szCs w:val="24"/>
              <w:highlight w:val="none"/>
            </w:rPr>
            <w:fldChar w:fldCharType="begin"/>
          </w:r>
          <w:r>
            <w:rPr>
              <w:rFonts w:hint="eastAsia" w:ascii="华文楷体" w:hAnsi="华文楷体" w:eastAsia="华文楷体" w:cs="华文楷体"/>
              <w:sz w:val="24"/>
              <w:szCs w:val="24"/>
              <w:highlight w:val="none"/>
            </w:rPr>
            <w:instrText xml:space="preserve"> HYPERLINK \l _Toc30739 </w:instrText>
          </w:r>
          <w:r>
            <w:rPr>
              <w:rFonts w:hint="eastAsia" w:ascii="华文楷体" w:hAnsi="华文楷体" w:eastAsia="华文楷体" w:cs="华文楷体"/>
              <w:sz w:val="24"/>
              <w:szCs w:val="24"/>
              <w:highlight w:val="none"/>
            </w:rPr>
            <w:fldChar w:fldCharType="separate"/>
          </w:r>
          <w:r>
            <w:rPr>
              <w:rFonts w:hint="eastAsia" w:ascii="华文楷体" w:hAnsi="华文楷体" w:eastAsia="华文楷体" w:cs="华文楷体"/>
              <w:bCs w:val="0"/>
              <w:sz w:val="24"/>
              <w:szCs w:val="24"/>
              <w:highlight w:val="none"/>
            </w:rPr>
            <w:t>十三、</w:t>
          </w:r>
          <w:r>
            <w:rPr>
              <w:rFonts w:hint="eastAsia" w:ascii="华文楷体" w:hAnsi="华文楷体" w:eastAsia="华文楷体" w:cs="华文楷体"/>
              <w:bCs w:val="0"/>
              <w:sz w:val="24"/>
              <w:szCs w:val="24"/>
              <w:highlight w:val="none"/>
              <w:lang w:eastAsia="zh-CN"/>
            </w:rPr>
            <w:t>财政拨款“三公”经费支出决算表</w:t>
          </w:r>
          <w:r>
            <w:rPr>
              <w:rFonts w:hint="eastAsia" w:ascii="华文楷体" w:hAnsi="华文楷体" w:eastAsia="华文楷体" w:cs="华文楷体"/>
              <w:sz w:val="24"/>
              <w:szCs w:val="24"/>
            </w:rPr>
            <w:tab/>
          </w:r>
          <w:r>
            <w:rPr>
              <w:rFonts w:hint="eastAsia" w:ascii="华文楷体" w:hAnsi="华文楷体" w:eastAsia="华文楷体" w:cs="华文楷体"/>
              <w:sz w:val="24"/>
              <w:szCs w:val="24"/>
            </w:rPr>
            <w:fldChar w:fldCharType="begin"/>
          </w:r>
          <w:r>
            <w:rPr>
              <w:rFonts w:hint="eastAsia" w:ascii="华文楷体" w:hAnsi="华文楷体" w:eastAsia="华文楷体" w:cs="华文楷体"/>
              <w:sz w:val="24"/>
              <w:szCs w:val="24"/>
            </w:rPr>
            <w:instrText xml:space="preserve"> PAGEREF _Toc30739 \h </w:instrText>
          </w:r>
          <w:r>
            <w:rPr>
              <w:rFonts w:hint="eastAsia" w:ascii="华文楷体" w:hAnsi="华文楷体" w:eastAsia="华文楷体" w:cs="华文楷体"/>
              <w:sz w:val="24"/>
              <w:szCs w:val="24"/>
            </w:rPr>
            <w:fldChar w:fldCharType="separate"/>
          </w:r>
          <w:r>
            <w:rPr>
              <w:rFonts w:hint="eastAsia" w:ascii="华文楷体" w:hAnsi="华文楷体" w:eastAsia="华文楷体" w:cs="华文楷体"/>
              <w:sz w:val="24"/>
              <w:szCs w:val="24"/>
            </w:rPr>
            <w:t>13</w:t>
          </w:r>
          <w:r>
            <w:rPr>
              <w:rFonts w:hint="eastAsia" w:ascii="华文楷体" w:hAnsi="华文楷体" w:eastAsia="华文楷体" w:cs="华文楷体"/>
              <w:sz w:val="24"/>
              <w:szCs w:val="24"/>
            </w:rPr>
            <w:fldChar w:fldCharType="end"/>
          </w:r>
          <w:r>
            <w:rPr>
              <w:rFonts w:hint="eastAsia" w:ascii="华文楷体" w:hAnsi="华文楷体" w:eastAsia="华文楷体" w:cs="华文楷体"/>
              <w:color w:val="auto"/>
              <w:sz w:val="24"/>
              <w:szCs w:val="24"/>
              <w:highlight w:val="none"/>
            </w:rPr>
            <w:fldChar w:fldCharType="end"/>
          </w:r>
        </w:p>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right" w:leader="dot" w:pos="8306"/>
              <w:tab w:val="clear" w:pos="8296"/>
            </w:tabs>
            <w:kinsoku/>
            <w:wordWrap/>
            <w:overflowPunct/>
            <w:topLinePunct w:val="0"/>
            <w:autoSpaceDE/>
            <w:autoSpaceDN/>
            <w:bidi w:val="0"/>
            <w:adjustRightInd/>
            <w:snapToGrid/>
            <w:spacing w:line="380" w:lineRule="exact"/>
            <w:textAlignment w:val="auto"/>
            <w:rPr>
              <w:color w:val="auto"/>
              <w:sz w:val="24"/>
              <w:szCs w:val="32"/>
              <w:highlight w:val="none"/>
            </w:rPr>
            <w:sectPr>
              <w:headerReference r:id="rId6" w:type="first"/>
              <w:footerReference r:id="rId8" w:type="first"/>
              <w:headerReference r:id="rId5" w:type="default"/>
              <w:footerReference r:id="rId7" w:type="default"/>
              <w:pgSz w:w="11906" w:h="16838"/>
              <w:pgMar w:top="1440" w:right="1800" w:bottom="1440" w:left="1800" w:header="851" w:footer="992" w:gutter="0"/>
              <w:pgNumType w:fmt="decimal" w:start="1"/>
              <w:cols w:space="425" w:num="1"/>
              <w:titlePg/>
              <w:docGrid w:type="lines" w:linePitch="312" w:charSpace="0"/>
            </w:sectPr>
          </w:pPr>
        </w:p>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right" w:leader="dot" w:pos="8306"/>
              <w:tab w:val="clear" w:pos="8296"/>
            </w:tabs>
            <w:kinsoku/>
            <w:wordWrap/>
            <w:overflowPunct/>
            <w:topLinePunct w:val="0"/>
            <w:autoSpaceDE/>
            <w:autoSpaceDN/>
            <w:bidi w:val="0"/>
            <w:adjustRightInd/>
            <w:snapToGrid/>
            <w:spacing w:line="380" w:lineRule="exact"/>
            <w:textAlignment w:val="auto"/>
          </w:pPr>
          <w:r>
            <w:rPr>
              <w:color w:val="auto"/>
              <w:sz w:val="24"/>
              <w:szCs w:val="32"/>
              <w:highlight w:val="none"/>
            </w:rPr>
            <w:fldChar w:fldCharType="end"/>
          </w:r>
          <w:bookmarkStart w:id="12" w:name="_Toc15845"/>
          <w:bookmarkStart w:id="13" w:name="_Toc15377196"/>
          <w:bookmarkStart w:id="14" w:name="_Toc15396599"/>
        </w:p>
      </w:sdtContent>
    </w:sdt>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right" w:leader="dot" w:pos="8306"/>
          <w:tab w:val="clear" w:pos="8296"/>
        </w:tabs>
        <w:kinsoku/>
        <w:wordWrap/>
        <w:overflowPunct/>
        <w:topLinePunct w:val="0"/>
        <w:autoSpaceDE/>
        <w:autoSpaceDN/>
        <w:bidi w:val="0"/>
        <w:adjustRightInd/>
        <w:snapToGrid/>
        <w:spacing w:line="380" w:lineRule="exact"/>
        <w:textAlignment w:val="auto"/>
        <w:rPr>
          <w:rStyle w:val="24"/>
          <w:rFonts w:ascii="黑体" w:hAnsi="黑体" w:eastAsia="黑体"/>
          <w:b/>
          <w:bCs w:val="0"/>
          <w:color w:val="auto"/>
          <w:highlight w:val="none"/>
        </w:rPr>
      </w:pPr>
      <w:r>
        <w:rPr>
          <w:rStyle w:val="24"/>
          <w:rFonts w:hint="eastAsia" w:ascii="黑体" w:hAnsi="黑体" w:eastAsia="黑体"/>
          <w:b w:val="0"/>
          <w:bCs w:val="0"/>
          <w:color w:val="auto"/>
          <w:highlight w:val="none"/>
        </w:rPr>
        <w:t xml:space="preserve">第一部分 </w:t>
      </w:r>
      <w:r>
        <w:rPr>
          <w:rStyle w:val="24"/>
          <w:rFonts w:hint="eastAsia" w:ascii="黑体" w:hAnsi="黑体" w:eastAsia="黑体"/>
          <w:b w:val="0"/>
          <w:bCs w:val="0"/>
          <w:color w:val="auto"/>
          <w:highlight w:val="none"/>
          <w:lang w:eastAsia="zh-CN"/>
        </w:rPr>
        <w:t>单位</w:t>
      </w:r>
      <w:r>
        <w:rPr>
          <w:rStyle w:val="24"/>
          <w:rFonts w:hint="eastAsia" w:ascii="黑体" w:hAnsi="黑体" w:eastAsia="黑体"/>
          <w:b w:val="0"/>
          <w:bCs w:val="0"/>
          <w:color w:val="auto"/>
          <w:highlight w:val="none"/>
        </w:rPr>
        <w:t>概况</w:t>
      </w:r>
      <w:bookmarkEnd w:id="12"/>
      <w:bookmarkEnd w:id="13"/>
      <w:bookmarkEnd w:id="14"/>
    </w:p>
    <w:p>
      <w:pPr>
        <w:pStyle w:val="4"/>
        <w:numPr>
          <w:ilvl w:val="0"/>
          <w:numId w:val="1"/>
        </w:numPr>
        <w:rPr>
          <w:rFonts w:hint="eastAsia" w:ascii="仿宋_GB2312" w:hAnsi="仿宋_GB2312" w:eastAsia="仿宋_GB2312" w:cs="仿宋_GB2312"/>
          <w:b w:val="0"/>
          <w:bCs w:val="0"/>
          <w:color w:val="000000"/>
          <w:sz w:val="32"/>
          <w:szCs w:val="32"/>
        </w:rPr>
      </w:pPr>
      <w:bookmarkStart w:id="15" w:name="_Toc31304"/>
      <w:bookmarkStart w:id="16" w:name="_Toc15396600"/>
      <w:bookmarkStart w:id="17" w:name="_Toc15377197"/>
      <w:r>
        <w:rPr>
          <w:rStyle w:val="25"/>
          <w:rFonts w:hint="eastAsia" w:ascii="黑体" w:hAnsi="黑体" w:eastAsia="黑体"/>
          <w:b w:val="0"/>
          <w:bCs w:val="0"/>
          <w:color w:val="auto"/>
          <w:highlight w:val="none"/>
          <w:lang w:eastAsia="zh-CN"/>
        </w:rPr>
        <w:t>主要职责</w:t>
      </w:r>
      <w:bookmarkEnd w:id="15"/>
    </w:p>
    <w:p>
      <w:pPr>
        <w:numPr>
          <w:ilvl w:val="0"/>
          <w:numId w:val="0"/>
        </w:numPr>
        <w:ind w:firstLine="640" w:firstLineChars="200"/>
        <w:outlineLvl w:val="9"/>
        <w:rPr>
          <w:rFonts w:hint="eastAsia" w:ascii="仿宋" w:hAnsi="仿宋" w:eastAsia="仿宋" w:cs="仿宋"/>
          <w:b w:val="0"/>
          <w:bCs w:val="0"/>
          <w:color w:val="000000"/>
          <w:sz w:val="32"/>
          <w:szCs w:val="32"/>
          <w:lang w:eastAsia="zh-CN"/>
        </w:rPr>
      </w:pPr>
      <w:r>
        <w:rPr>
          <w:rFonts w:hint="eastAsia" w:ascii="仿宋" w:hAnsi="仿宋" w:eastAsia="仿宋" w:cs="仿宋"/>
          <w:b w:val="0"/>
          <w:bCs/>
          <w:i w:val="0"/>
          <w:caps w:val="0"/>
          <w:color w:val="333333"/>
          <w:spacing w:val="0"/>
          <w:sz w:val="32"/>
          <w:szCs w:val="32"/>
          <w:highlight w:val="none"/>
          <w:shd w:val="clear" w:color="auto" w:fill="FFFFFF"/>
          <w:lang w:val="en-US" w:eastAsia="zh-CN"/>
        </w:rPr>
        <w:t>四川省广元中学</w:t>
      </w:r>
      <w:r>
        <w:rPr>
          <w:rFonts w:hint="eastAsia" w:ascii="仿宋" w:hAnsi="仿宋" w:eastAsia="仿宋" w:cs="仿宋"/>
          <w:b w:val="0"/>
          <w:bCs w:val="0"/>
          <w:color w:val="000000"/>
          <w:sz w:val="32"/>
          <w:szCs w:val="32"/>
        </w:rPr>
        <w:t>（简称“广中”）</w:t>
      </w:r>
      <w:r>
        <w:rPr>
          <w:rFonts w:hint="eastAsia" w:ascii="仿宋" w:hAnsi="仿宋" w:eastAsia="仿宋" w:cs="仿宋"/>
          <w:b w:val="0"/>
          <w:bCs/>
          <w:i w:val="0"/>
          <w:caps w:val="0"/>
          <w:color w:val="333333"/>
          <w:spacing w:val="0"/>
          <w:sz w:val="32"/>
          <w:szCs w:val="32"/>
          <w:highlight w:val="none"/>
          <w:shd w:val="clear" w:color="auto" w:fill="FFFFFF"/>
        </w:rPr>
        <w:t>办学性质为公办全日制高中学历教育，</w:t>
      </w:r>
      <w:r>
        <w:rPr>
          <w:rFonts w:hint="default" w:ascii="仿宋" w:hAnsi="仿宋" w:eastAsia="仿宋" w:cs="仿宋"/>
          <w:b w:val="0"/>
          <w:bCs/>
          <w:i w:val="0"/>
          <w:caps w:val="0"/>
          <w:color w:val="333333"/>
          <w:spacing w:val="0"/>
          <w:sz w:val="32"/>
          <w:szCs w:val="32"/>
          <w:highlight w:val="none"/>
          <w:shd w:val="clear" w:color="auto" w:fill="FFFFFF"/>
        </w:rPr>
        <w:t>是省一级示范高中，</w:t>
      </w:r>
      <w:r>
        <w:rPr>
          <w:rFonts w:hint="eastAsia" w:ascii="仿宋" w:hAnsi="仿宋" w:eastAsia="仿宋" w:cs="仿宋"/>
          <w:b w:val="0"/>
          <w:bCs/>
          <w:i w:val="0"/>
          <w:caps w:val="0"/>
          <w:color w:val="333333"/>
          <w:spacing w:val="0"/>
          <w:sz w:val="32"/>
          <w:szCs w:val="32"/>
          <w:highlight w:val="none"/>
          <w:shd w:val="clear" w:color="auto" w:fill="FFFFFF"/>
        </w:rPr>
        <w:t>承担高中阶段的教育教学工作。</w:t>
      </w:r>
      <w:r>
        <w:rPr>
          <w:rFonts w:hint="eastAsia" w:ascii="仿宋_GB2312" w:hAnsi="仿宋_GB2312" w:eastAsia="仿宋_GB2312" w:cs="仿宋_GB2312"/>
          <w:sz w:val="32"/>
          <w:szCs w:val="32"/>
        </w:rPr>
        <w:t>学校以党的二十大精神为指针，锚定“立德树人”的根本任务，践行“五育并举，全面育人”的教育理念。以“提振信心，内强素质，外塑形象，</w:t>
      </w:r>
      <w:r>
        <w:rPr>
          <w:rFonts w:hint="eastAsia" w:ascii="仿宋_GB2312" w:hAnsi="仿宋_GB2312" w:eastAsia="仿宋_GB2312" w:cs="仿宋_GB2312"/>
          <w:sz w:val="32"/>
          <w:szCs w:val="32"/>
          <w:lang w:val="en-US" w:eastAsia="zh-CN"/>
        </w:rPr>
        <w:t>五育并举</w:t>
      </w:r>
      <w:r>
        <w:rPr>
          <w:rFonts w:hint="eastAsia" w:ascii="仿宋_GB2312" w:hAnsi="仿宋_GB2312" w:eastAsia="仿宋_GB2312" w:cs="仿宋_GB2312"/>
          <w:sz w:val="32"/>
          <w:szCs w:val="32"/>
        </w:rPr>
        <w:t>，全面发展”为工作思路，以高考综合改革为导向，深化推进普通高中素质教育和课堂改革。面向全体学生，促进学生全面而有个性发展，着力提高学生服务国家、服务人民的社会责任感、勇于探索的创新精神和善于解决问题的实践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断推进育人模式创新、教学模式创新、管理机制创新。以“凝心聚力、转型提质、研修强校、内涵发展”为工作思路，通过双选双聘、严明赏罚强化队伍建设；通过五育并举、思想教育提升师生风貌；通过课改研修、分层教学提升教学质量；通过托管经营、提效增质改善育人环境，实现了学校各项工作的优质发展。</w:t>
      </w:r>
    </w:p>
    <w:p>
      <w:pPr>
        <w:pStyle w:val="4"/>
        <w:numPr>
          <w:ilvl w:val="0"/>
          <w:numId w:val="0"/>
        </w:numPr>
        <w:rPr>
          <w:rFonts w:hint="eastAsia" w:ascii="黑体" w:hAnsi="黑体" w:eastAsia="黑体"/>
          <w:b w:val="0"/>
          <w:color w:val="auto"/>
          <w:highlight w:val="none"/>
          <w:lang w:val="en-US" w:eastAsia="zh-CN"/>
        </w:rPr>
      </w:pPr>
      <w:bookmarkStart w:id="18" w:name="_Toc10252"/>
      <w:r>
        <w:rPr>
          <w:rFonts w:hint="eastAsia" w:ascii="黑体" w:hAnsi="黑体" w:eastAsia="黑体"/>
          <w:b w:val="0"/>
          <w:color w:val="auto"/>
          <w:highlight w:val="none"/>
          <w:lang w:val="en-US" w:eastAsia="zh-CN"/>
        </w:rPr>
        <w:t>二、机构设置</w:t>
      </w:r>
      <w:bookmarkEnd w:id="18"/>
    </w:p>
    <w:bookmarkEnd w:id="16"/>
    <w:bookmarkEnd w:id="17"/>
    <w:p>
      <w:pPr>
        <w:widowControl/>
        <w:ind w:firstLine="640" w:firstLineChars="200"/>
        <w:jc w:val="left"/>
        <w:rPr>
          <w:rFonts w:ascii="仿宋" w:hAnsi="仿宋" w:eastAsia="仿宋"/>
          <w:color w:val="auto"/>
          <w:kern w:val="0"/>
          <w:sz w:val="32"/>
          <w:szCs w:val="32"/>
          <w:highlight w:val="none"/>
        </w:rPr>
      </w:pPr>
      <w:r>
        <w:rPr>
          <w:rFonts w:hint="eastAsia" w:ascii="仿宋" w:hAnsi="仿宋" w:eastAsia="仿宋" w:cs="仿宋"/>
          <w:b w:val="0"/>
          <w:bCs w:val="0"/>
          <w:color w:val="000000"/>
          <w:sz w:val="32"/>
          <w:szCs w:val="32"/>
        </w:rPr>
        <w:t>四川省广元中学</w:t>
      </w:r>
      <w:r>
        <w:rPr>
          <w:rFonts w:hint="eastAsia" w:ascii="仿宋" w:hAnsi="仿宋" w:eastAsia="仿宋" w:cs="仿宋"/>
          <w:b w:val="0"/>
          <w:bCs w:val="0"/>
          <w:color w:val="000000"/>
          <w:sz w:val="32"/>
          <w:szCs w:val="32"/>
          <w:lang w:val="en-US" w:eastAsia="zh-CN"/>
        </w:rPr>
        <w:t>为广元市教育局直属二级预算事业单位。</w:t>
      </w:r>
      <w:r>
        <w:rPr>
          <w:rFonts w:ascii="仿宋" w:hAnsi="仿宋" w:eastAsia="仿宋"/>
          <w:color w:val="auto"/>
          <w:sz w:val="32"/>
          <w:szCs w:val="32"/>
          <w:highlight w:val="none"/>
        </w:rPr>
        <w:br w:type="page"/>
      </w:r>
    </w:p>
    <w:p>
      <w:pPr>
        <w:pStyle w:val="3"/>
        <w:ind w:right="440"/>
        <w:jc w:val="center"/>
        <w:rPr>
          <w:rStyle w:val="24"/>
          <w:rFonts w:ascii="黑体" w:hAnsi="黑体" w:eastAsia="黑体"/>
          <w:b w:val="0"/>
          <w:bCs/>
          <w:color w:val="auto"/>
          <w:highlight w:val="none"/>
        </w:rPr>
      </w:pPr>
      <w:bookmarkStart w:id="19" w:name="_Toc15396602"/>
      <w:bookmarkStart w:id="20" w:name="_Toc15377204"/>
      <w:bookmarkStart w:id="21" w:name="_Toc439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4"/>
          <w:rFonts w:hint="eastAsia" w:ascii="黑体" w:hAnsi="黑体" w:eastAsia="黑体"/>
          <w:b w:val="0"/>
          <w:bCs/>
          <w:color w:val="auto"/>
          <w:highlight w:val="none"/>
          <w:lang w:eastAsia="zh-CN"/>
        </w:rPr>
        <w:t>单位</w:t>
      </w:r>
      <w:r>
        <w:rPr>
          <w:rStyle w:val="24"/>
          <w:rFonts w:hint="eastAsia" w:ascii="黑体" w:hAnsi="黑体" w:eastAsia="黑体"/>
          <w:b w:val="0"/>
          <w:bCs/>
          <w:color w:val="auto"/>
          <w:highlight w:val="none"/>
        </w:rPr>
        <w:t>决算情况说明</w:t>
      </w:r>
      <w:bookmarkEnd w:id="19"/>
      <w:bookmarkEnd w:id="20"/>
      <w:bookmarkEnd w:id="21"/>
    </w:p>
    <w:p>
      <w:pPr>
        <w:pStyle w:val="23"/>
        <w:numPr>
          <w:ilvl w:val="0"/>
          <w:numId w:val="2"/>
        </w:numPr>
        <w:spacing w:line="600" w:lineRule="exact"/>
        <w:ind w:firstLineChars="0"/>
        <w:outlineLvl w:val="1"/>
        <w:rPr>
          <w:rStyle w:val="25"/>
          <w:rFonts w:ascii="黑体" w:hAnsi="黑体" w:eastAsia="黑体"/>
          <w:b w:val="0"/>
          <w:color w:val="auto"/>
          <w:highlight w:val="none"/>
        </w:rPr>
      </w:pPr>
      <w:bookmarkStart w:id="22" w:name="_Toc15396603"/>
      <w:bookmarkStart w:id="23" w:name="_Toc15377205"/>
      <w:bookmarkStart w:id="24" w:name="_Toc27914"/>
      <w:r>
        <w:rPr>
          <w:rFonts w:hint="eastAsia" w:ascii="黑体" w:hAnsi="黑体" w:eastAsia="黑体"/>
          <w:color w:val="auto"/>
          <w:sz w:val="32"/>
          <w:szCs w:val="32"/>
          <w:highlight w:val="none"/>
        </w:rPr>
        <w:t>收</w:t>
      </w:r>
      <w:r>
        <w:rPr>
          <w:rStyle w:val="25"/>
          <w:rFonts w:hint="eastAsia" w:ascii="黑体" w:hAnsi="黑体" w:eastAsia="黑体"/>
          <w:b w:val="0"/>
          <w:color w:val="auto"/>
          <w:highlight w:val="none"/>
        </w:rPr>
        <w:t>入支出决算总体情况说明</w:t>
      </w:r>
      <w:bookmarkEnd w:id="22"/>
      <w:bookmarkEnd w:id="23"/>
      <w:bookmarkEnd w:id="24"/>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年度收、支总计11,985.97万元。与20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2,391.16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24.92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2022年项目资金及人员经费增加</w:t>
      </w:r>
      <w:r>
        <w:rPr>
          <w:rFonts w:hint="eastAsia" w:ascii="仿宋" w:hAnsi="仿宋" w:eastAsia="仿宋"/>
          <w:color w:val="auto"/>
          <w:sz w:val="32"/>
          <w:szCs w:val="32"/>
          <w:highlight w:val="none"/>
          <w:lang w:eastAsia="zh-CN"/>
        </w:rPr>
        <w:t>。</w:t>
      </w:r>
    </w:p>
    <w:p>
      <w:pPr>
        <w:spacing w:line="240" w:lineRule="auto"/>
        <w:ind w:firstLine="0" w:firstLineChars="0"/>
        <w:jc w:val="cente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drawing>
          <wp:inline distT="0" distB="0" distL="114300" distR="114300">
            <wp:extent cx="5000625" cy="3397885"/>
            <wp:effectExtent l="4445" t="4445" r="5080" b="76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9"/>
        <w:pBdr>
          <w:top w:val="none" w:color="auto" w:sz="0" w:space="0"/>
          <w:left w:val="none" w:color="auto" w:sz="0" w:space="0"/>
          <w:bottom w:val="none" w:color="auto" w:sz="0" w:space="0"/>
          <w:right w:val="none" w:color="auto" w:sz="0" w:space="0"/>
          <w:between w:val="none" w:color="auto" w:sz="0" w:space="0"/>
        </w:pBdr>
        <w:rPr>
          <w:rFonts w:hint="eastAsia"/>
          <w:lang w:eastAsia="zh-CN"/>
        </w:rPr>
      </w:pPr>
    </w:p>
    <w:p>
      <w:pPr>
        <w:pStyle w:val="9"/>
        <w:pBdr>
          <w:top w:val="none" w:color="auto" w:sz="0" w:space="0"/>
          <w:left w:val="none" w:color="auto" w:sz="0" w:space="0"/>
          <w:bottom w:val="none" w:color="auto" w:sz="0" w:space="0"/>
          <w:right w:val="none" w:color="auto" w:sz="0" w:space="0"/>
          <w:between w:val="none" w:color="auto" w:sz="0" w:space="0"/>
        </w:pBdr>
        <w:rPr>
          <w:rFonts w:hint="eastAsia"/>
          <w:highlight w:val="none"/>
          <w:lang w:eastAsia="zh-CN"/>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柱状图</w:t>
      </w:r>
      <w:r>
        <w:rPr>
          <w:rFonts w:hint="eastAsia" w:ascii="仿宋" w:hAnsi="仿宋" w:eastAsia="仿宋"/>
          <w:color w:val="auto"/>
          <w:sz w:val="32"/>
          <w:szCs w:val="32"/>
          <w:highlight w:val="none"/>
          <w:lang w:eastAsia="zh-CN"/>
        </w:rPr>
        <w:t>）</w:t>
      </w:r>
    </w:p>
    <w:p>
      <w:pPr>
        <w:pStyle w:val="23"/>
        <w:numPr>
          <w:ilvl w:val="0"/>
          <w:numId w:val="2"/>
        </w:numPr>
        <w:pBdr>
          <w:top w:val="none" w:color="auto" w:sz="0" w:space="0"/>
          <w:left w:val="none" w:color="auto" w:sz="0" w:space="0"/>
          <w:bottom w:val="none" w:color="auto" w:sz="0" w:space="0"/>
          <w:right w:val="none" w:color="auto" w:sz="0" w:space="0"/>
          <w:between w:val="none" w:color="auto" w:sz="0" w:space="0"/>
        </w:pBdr>
        <w:spacing w:line="600" w:lineRule="exact"/>
        <w:ind w:firstLineChars="0"/>
        <w:outlineLvl w:val="1"/>
        <w:rPr>
          <w:rStyle w:val="25"/>
          <w:rFonts w:ascii="黑体" w:hAnsi="黑体" w:eastAsia="黑体"/>
          <w:b w:val="0"/>
          <w:color w:val="auto"/>
          <w:highlight w:val="none"/>
        </w:rPr>
      </w:pPr>
      <w:bookmarkStart w:id="25" w:name="_Toc15377206"/>
      <w:bookmarkStart w:id="26" w:name="_Toc15396604"/>
      <w:bookmarkStart w:id="27" w:name="_Toc2162"/>
      <w:r>
        <w:rPr>
          <w:rFonts w:hint="eastAsia" w:ascii="黑体" w:hAnsi="黑体" w:eastAsia="黑体"/>
          <w:color w:val="auto"/>
          <w:sz w:val="32"/>
          <w:szCs w:val="32"/>
          <w:highlight w:val="none"/>
        </w:rPr>
        <w:t>收</w:t>
      </w:r>
      <w:r>
        <w:rPr>
          <w:rStyle w:val="25"/>
          <w:rFonts w:hint="eastAsia" w:ascii="黑体" w:hAnsi="黑体" w:eastAsia="黑体"/>
          <w:b w:val="0"/>
          <w:color w:val="auto"/>
          <w:highlight w:val="none"/>
        </w:rPr>
        <w:t>入决算情况说明</w:t>
      </w:r>
      <w:bookmarkEnd w:id="25"/>
      <w:bookmarkEnd w:id="26"/>
      <w:bookmarkEnd w:id="27"/>
    </w:p>
    <w:p>
      <w:pPr>
        <w:spacing w:line="600" w:lineRule="exact"/>
        <w:ind w:firstLine="640" w:firstLineChars="200"/>
        <w:outlineLvl w:val="9"/>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default" w:ascii="仿宋" w:hAnsi="仿宋" w:eastAsia="仿宋"/>
          <w:color w:val="auto"/>
          <w:sz w:val="32"/>
          <w:szCs w:val="32"/>
          <w:highlight w:val="none"/>
        </w:rPr>
        <w:t>11,441.51</w:t>
      </w:r>
      <w:r>
        <w:rPr>
          <w:rFonts w:hint="eastAsia" w:ascii="仿宋" w:hAnsi="仿宋" w:eastAsia="仿宋"/>
          <w:color w:val="auto"/>
          <w:sz w:val="32"/>
          <w:szCs w:val="32"/>
          <w:highlight w:val="none"/>
        </w:rPr>
        <w:t>万元，其中：一般公共预算财政拨款收入</w:t>
      </w:r>
      <w:r>
        <w:rPr>
          <w:rFonts w:hint="default" w:ascii="仿宋" w:hAnsi="仿宋" w:eastAsia="仿宋"/>
          <w:color w:val="auto"/>
          <w:sz w:val="32"/>
          <w:szCs w:val="32"/>
          <w:highlight w:val="none"/>
        </w:rPr>
        <w:t>10,417.03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91.</w:t>
      </w:r>
      <w:r>
        <w:rPr>
          <w:rFonts w:hint="default" w:ascii="仿宋" w:hAnsi="仿宋" w:eastAsia="仿宋"/>
          <w:color w:val="auto"/>
          <w:sz w:val="32"/>
          <w:szCs w:val="32"/>
          <w:highlight w:val="none"/>
          <w:lang w:eastAsia="zh-CN"/>
        </w:rPr>
        <w:t>0</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；事业收入1,024.48万元，占</w:t>
      </w:r>
      <w:r>
        <w:rPr>
          <w:rFonts w:hint="eastAsia" w:ascii="仿宋" w:hAnsi="仿宋" w:eastAsia="仿宋"/>
          <w:color w:val="auto"/>
          <w:sz w:val="32"/>
          <w:szCs w:val="32"/>
          <w:highlight w:val="none"/>
          <w:lang w:val="en-US" w:eastAsia="zh-CN"/>
        </w:rPr>
        <w:t>8.</w:t>
      </w:r>
      <w:r>
        <w:rPr>
          <w:rFonts w:hint="default" w:ascii="仿宋" w:hAnsi="仿宋" w:eastAsia="仿宋"/>
          <w:color w:val="auto"/>
          <w:sz w:val="32"/>
          <w:szCs w:val="32"/>
          <w:highlight w:val="none"/>
          <w:lang w:eastAsia="zh-CN"/>
        </w:rPr>
        <w:t>9</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pStyle w:val="9"/>
        <w:pBdr>
          <w:top w:val="none" w:color="auto" w:sz="0" w:space="0"/>
          <w:left w:val="none" w:color="auto" w:sz="0" w:space="0"/>
          <w:bottom w:val="none" w:color="auto" w:sz="0" w:space="1"/>
          <w:right w:val="none" w:color="auto" w:sz="0" w:space="0"/>
          <w:between w:val="none" w:color="auto" w:sz="0" w:space="0"/>
        </w:pBdr>
        <w:rPr>
          <w:rFonts w:hint="default" w:ascii="仿宋" w:hAnsi="仿宋" w:eastAsia="仿宋"/>
          <w:color w:val="auto"/>
          <w:sz w:val="32"/>
          <w:szCs w:val="32"/>
          <w:highlight w:val="none"/>
          <w:lang w:eastAsia="zh-CN"/>
        </w:rPr>
      </w:pPr>
    </w:p>
    <w:p>
      <w:pPr>
        <w:pStyle w:val="9"/>
        <w:pBdr>
          <w:top w:val="none" w:color="auto" w:sz="0" w:space="0"/>
          <w:left w:val="none" w:color="auto" w:sz="0" w:space="0"/>
          <w:bottom w:val="none" w:color="auto" w:sz="0" w:space="1"/>
          <w:right w:val="none" w:color="auto" w:sz="0" w:space="0"/>
          <w:between w:val="none" w:color="auto" w:sz="0" w:space="0"/>
        </w:pBd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464185</wp:posOffset>
            </wp:positionH>
            <wp:positionV relativeFrom="page">
              <wp:posOffset>640080</wp:posOffset>
            </wp:positionV>
            <wp:extent cx="4335780" cy="2232660"/>
            <wp:effectExtent l="4445" t="5080" r="22225" b="1016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 w:hAnsi="仿宋" w:eastAsia="仿宋"/>
          <w:color w:val="auto"/>
          <w:sz w:val="32"/>
          <w:szCs w:val="32"/>
          <w:highlight w:val="none"/>
        </w:rPr>
        <w:t>图2：收入决算结构图</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饼状图</w:t>
      </w:r>
      <w:r>
        <w:rPr>
          <w:rFonts w:hint="eastAsia" w:ascii="仿宋" w:hAnsi="仿宋" w:eastAsia="仿宋"/>
          <w:color w:val="auto"/>
          <w:sz w:val="32"/>
          <w:szCs w:val="32"/>
          <w:highlight w:val="none"/>
          <w:lang w:eastAsia="zh-CN"/>
        </w:rPr>
        <w:t>）</w:t>
      </w:r>
    </w:p>
    <w:p>
      <w:pPr>
        <w:pStyle w:val="23"/>
        <w:numPr>
          <w:ilvl w:val="0"/>
          <w:numId w:val="2"/>
        </w:numPr>
        <w:spacing w:line="600" w:lineRule="exact"/>
        <w:ind w:firstLineChars="0"/>
        <w:outlineLvl w:val="1"/>
        <w:rPr>
          <w:rStyle w:val="25"/>
          <w:rFonts w:ascii="黑体" w:hAnsi="黑体" w:eastAsia="黑体"/>
          <w:b w:val="0"/>
          <w:color w:val="auto"/>
          <w:highlight w:val="none"/>
        </w:rPr>
      </w:pPr>
      <w:bookmarkStart w:id="28" w:name="_Toc15396605"/>
      <w:bookmarkStart w:id="29" w:name="_Toc15377207"/>
      <w:bookmarkStart w:id="30" w:name="_Toc2812"/>
      <w:r>
        <w:rPr>
          <w:rFonts w:hint="eastAsia" w:ascii="黑体" w:hAnsi="黑体" w:eastAsia="黑体"/>
          <w:color w:val="auto"/>
          <w:sz w:val="32"/>
          <w:szCs w:val="32"/>
          <w:highlight w:val="none"/>
        </w:rPr>
        <w:t>支</w:t>
      </w:r>
      <w:r>
        <w:rPr>
          <w:rStyle w:val="25"/>
          <w:rFonts w:hint="eastAsia" w:ascii="黑体" w:hAnsi="黑体" w:eastAsia="黑体"/>
          <w:b w:val="0"/>
          <w:color w:val="auto"/>
          <w:highlight w:val="none"/>
        </w:rPr>
        <w:t>出决算情况说明</w:t>
      </w:r>
      <w:bookmarkEnd w:id="28"/>
      <w:bookmarkEnd w:id="29"/>
      <w:bookmarkEnd w:id="30"/>
    </w:p>
    <w:p>
      <w:pPr>
        <w:spacing w:line="600" w:lineRule="exact"/>
        <w:ind w:firstLine="640" w:firstLineChars="200"/>
        <w:outlineLvl w:val="9"/>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年本年支出合计11,985.97万元，其中：基本支出9,536.34万元，占</w:t>
      </w:r>
      <w:r>
        <w:rPr>
          <w:rFonts w:hint="eastAsia" w:ascii="仿宋" w:hAnsi="仿宋" w:eastAsia="仿宋"/>
          <w:color w:val="auto"/>
          <w:sz w:val="32"/>
          <w:szCs w:val="32"/>
          <w:highlight w:val="none"/>
          <w:lang w:val="en-US" w:eastAsia="zh-CN"/>
        </w:rPr>
        <w:t>79.56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；项目支出2,449.63万元，占</w:t>
      </w:r>
      <w:r>
        <w:rPr>
          <w:rFonts w:hint="eastAsia" w:ascii="仿宋" w:hAnsi="仿宋" w:eastAsia="仿宋"/>
          <w:color w:val="auto"/>
          <w:sz w:val="32"/>
          <w:szCs w:val="32"/>
          <w:highlight w:val="none"/>
          <w:lang w:val="en-US" w:eastAsia="zh-CN"/>
        </w:rPr>
        <w:t>20.44</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pStyle w:val="9"/>
        <w:pBdr>
          <w:top w:val="none" w:color="auto" w:sz="0" w:space="0"/>
          <w:left w:val="none" w:color="auto" w:sz="0" w:space="0"/>
          <w:bottom w:val="none" w:color="auto" w:sz="0" w:space="1"/>
          <w:right w:val="none" w:color="auto" w:sz="0" w:space="0"/>
          <w:between w:val="none" w:color="auto" w:sz="0" w:space="0"/>
        </w:pBdr>
        <w:rPr>
          <w:rFonts w:hint="default" w:ascii="仿宋" w:hAnsi="仿宋" w:eastAsia="仿宋"/>
          <w:color w:val="auto"/>
          <w:sz w:val="32"/>
          <w:szCs w:val="32"/>
          <w:highlight w:val="none"/>
        </w:rPr>
      </w:pPr>
      <w:r>
        <w:rPr>
          <w:rFonts w:hint="eastAsia" w:ascii="仿宋_GB2312" w:eastAsia="仿宋_GB2312"/>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751840</wp:posOffset>
            </wp:positionH>
            <wp:positionV relativeFrom="paragraph">
              <wp:posOffset>111125</wp:posOffset>
            </wp:positionV>
            <wp:extent cx="4287520" cy="2359660"/>
            <wp:effectExtent l="4445" t="4445" r="13335" b="1714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pStyle w:val="9"/>
        <w:pBdr>
          <w:top w:val="none" w:color="auto" w:sz="0" w:space="0"/>
          <w:left w:val="none" w:color="auto" w:sz="0" w:space="0"/>
          <w:bottom w:val="none" w:color="auto" w:sz="0" w:space="1"/>
          <w:right w:val="none" w:color="auto" w:sz="0" w:space="0"/>
          <w:between w:val="none" w:color="auto" w:sz="0" w:space="0"/>
        </w:pBdr>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图3：支出决算结构图</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饼状图</w:t>
      </w:r>
      <w:r>
        <w:rPr>
          <w:rFonts w:hint="eastAsia" w:ascii="仿宋" w:hAnsi="仿宋" w:eastAsia="仿宋"/>
          <w:color w:val="auto"/>
          <w:sz w:val="32"/>
          <w:szCs w:val="32"/>
          <w:highlight w:val="none"/>
          <w:lang w:eastAsia="zh-CN"/>
        </w:rPr>
        <w:t>）</w:t>
      </w:r>
    </w:p>
    <w:p>
      <w:pPr>
        <w:spacing w:line="600" w:lineRule="exact"/>
        <w:ind w:firstLine="640" w:firstLineChars="200"/>
        <w:outlineLvl w:val="1"/>
        <w:rPr>
          <w:rStyle w:val="25"/>
          <w:rFonts w:ascii="黑体" w:hAnsi="黑体" w:eastAsia="黑体"/>
          <w:b w:val="0"/>
          <w:color w:val="auto"/>
          <w:highlight w:val="none"/>
        </w:rPr>
      </w:pPr>
      <w:bookmarkStart w:id="31" w:name="_Toc8013"/>
      <w:bookmarkStart w:id="32" w:name="_Toc15377208"/>
      <w:bookmarkStart w:id="33" w:name="_Toc15396606"/>
      <w:r>
        <w:rPr>
          <w:rFonts w:hint="eastAsia" w:ascii="黑体" w:hAnsi="黑体" w:eastAsia="黑体"/>
          <w:color w:val="auto"/>
          <w:sz w:val="32"/>
          <w:szCs w:val="32"/>
          <w:highlight w:val="none"/>
        </w:rPr>
        <w:t>四、财</w:t>
      </w:r>
      <w:r>
        <w:rPr>
          <w:rStyle w:val="25"/>
          <w:rFonts w:hint="eastAsia" w:ascii="黑体" w:hAnsi="黑体" w:eastAsia="黑体"/>
          <w:b w:val="0"/>
          <w:color w:val="auto"/>
          <w:highlight w:val="none"/>
        </w:rPr>
        <w:t>政拨款收入支出决算总体情况说明</w:t>
      </w:r>
      <w:bookmarkEnd w:id="31"/>
      <w:bookmarkEnd w:id="32"/>
      <w:bookmarkEnd w:id="33"/>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年财政拨款收、支总计10,961.49万元。与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2556.76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30.42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2022年项目资金及人员经费增加</w:t>
      </w:r>
      <w:r>
        <w:rPr>
          <w:rFonts w:hint="eastAsia" w:ascii="仿宋" w:hAnsi="仿宋" w:eastAsia="仿宋"/>
          <w:color w:val="auto"/>
          <w:sz w:val="32"/>
          <w:szCs w:val="32"/>
          <w:highlight w:val="none"/>
          <w:lang w:eastAsia="zh-CN"/>
        </w:rPr>
        <w:t>。</w:t>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3" w:firstLineChars="200"/>
        <w:rPr>
          <w:rFonts w:hint="eastAsia" w:ascii="仿宋" w:hAnsi="仿宋" w:eastAsia="仿宋"/>
          <w:color w:val="auto"/>
          <w:sz w:val="32"/>
          <w:szCs w:val="32"/>
          <w:highlight w:val="none"/>
          <w:lang w:eastAsia="zh-CN"/>
        </w:rPr>
      </w:pPr>
      <w:r>
        <w:rPr>
          <w:rFonts w:hint="eastAsia" w:ascii="仿宋" w:hAnsi="仿宋" w:eastAsia="仿宋"/>
          <w:b/>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314960</wp:posOffset>
            </wp:positionH>
            <wp:positionV relativeFrom="page">
              <wp:posOffset>996315</wp:posOffset>
            </wp:positionV>
            <wp:extent cx="4724400" cy="2613660"/>
            <wp:effectExtent l="4445" t="4445" r="14605" b="10795"/>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Pr>
          <w:rFonts w:hint="eastAsia" w:ascii="仿宋" w:hAnsi="仿宋" w:eastAsia="仿宋"/>
          <w:color w:val="auto"/>
          <w:sz w:val="32"/>
          <w:szCs w:val="32"/>
          <w:highlight w:val="none"/>
        </w:rPr>
        <w:t>图4：财政拨款收、支决算总计变动情况</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柱状图</w:t>
      </w:r>
      <w:r>
        <w:rPr>
          <w:rFonts w:hint="eastAsia" w:ascii="仿宋" w:hAnsi="仿宋" w:eastAsia="仿宋"/>
          <w:color w:val="auto"/>
          <w:sz w:val="32"/>
          <w:szCs w:val="32"/>
          <w:highlight w:val="none"/>
          <w:lang w:eastAsia="zh-CN"/>
        </w:rPr>
        <w:t>）</w:t>
      </w:r>
    </w:p>
    <w:p>
      <w:pPr>
        <w:spacing w:line="600" w:lineRule="exact"/>
        <w:ind w:firstLine="640"/>
        <w:rPr>
          <w:rStyle w:val="25"/>
          <w:rFonts w:ascii="黑体" w:hAnsi="黑体" w:eastAsia="黑体"/>
          <w:b w:val="0"/>
          <w:color w:val="auto"/>
          <w:highlight w:val="none"/>
        </w:rPr>
      </w:pPr>
      <w:bookmarkStart w:id="34" w:name="_Toc15396607"/>
      <w:bookmarkStart w:id="35"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5"/>
          <w:rFonts w:hint="eastAsia" w:ascii="黑体" w:hAnsi="黑体" w:eastAsia="黑体"/>
          <w:b w:val="0"/>
          <w:color w:val="auto"/>
          <w:highlight w:val="none"/>
        </w:rPr>
        <w:t>般公共预算财政拨款支出决算情况说明</w:t>
      </w:r>
      <w:bookmarkEnd w:id="34"/>
      <w:bookmarkEnd w:id="35"/>
    </w:p>
    <w:p>
      <w:pPr>
        <w:spacing w:line="600" w:lineRule="exact"/>
        <w:ind w:firstLine="643" w:firstLineChars="200"/>
        <w:outlineLvl w:val="2"/>
        <w:rPr>
          <w:rFonts w:ascii="仿宋" w:hAnsi="仿宋" w:eastAsia="仿宋"/>
          <w:b/>
          <w:color w:val="auto"/>
          <w:sz w:val="32"/>
          <w:szCs w:val="32"/>
          <w:highlight w:val="none"/>
        </w:rPr>
      </w:pPr>
      <w:bookmarkStart w:id="36" w:name="_Toc15377210"/>
      <w:r>
        <w:rPr>
          <w:rFonts w:hint="eastAsia" w:ascii="仿宋" w:hAnsi="仿宋" w:eastAsia="仿宋"/>
          <w:b/>
          <w:color w:val="auto"/>
          <w:sz w:val="32"/>
          <w:szCs w:val="32"/>
          <w:highlight w:val="none"/>
        </w:rPr>
        <w:t>（一）一般公共预算财政拨款支出决算总体情况</w:t>
      </w:r>
      <w:bookmarkEnd w:id="36"/>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年一般公共预算财政拨款支出10,961.49万元，占本年支出合计的</w:t>
      </w:r>
      <w:r>
        <w:rPr>
          <w:rFonts w:hint="eastAsia" w:ascii="仿宋" w:hAnsi="仿宋" w:eastAsia="仿宋"/>
          <w:color w:val="auto"/>
          <w:sz w:val="32"/>
          <w:szCs w:val="32"/>
          <w:highlight w:val="none"/>
          <w:lang w:val="en-US" w:eastAsia="zh-CN"/>
        </w:rPr>
        <w:t>91.45</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3099.37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39.42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2022年项目资金及人员经费增加</w:t>
      </w:r>
      <w:r>
        <w:rPr>
          <w:rFonts w:hint="eastAsia" w:ascii="仿宋" w:hAnsi="仿宋" w:eastAsia="仿宋"/>
          <w:color w:val="auto"/>
          <w:sz w:val="32"/>
          <w:szCs w:val="32"/>
          <w:highlight w:val="none"/>
          <w:lang w:eastAsia="zh-CN"/>
        </w:rPr>
        <w:t>。</w:t>
      </w:r>
    </w:p>
    <w:p>
      <w:pPr>
        <w:spacing w:line="600" w:lineRule="exact"/>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497205</wp:posOffset>
            </wp:positionH>
            <wp:positionV relativeFrom="page">
              <wp:posOffset>6470650</wp:posOffset>
            </wp:positionV>
            <wp:extent cx="4391660" cy="2682875"/>
            <wp:effectExtent l="4445" t="5080" r="23495" b="17145"/>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Pr>
          <w:rFonts w:hint="eastAsia" w:ascii="仿宋" w:hAnsi="仿宋" w:eastAsia="仿宋"/>
          <w:color w:val="auto"/>
          <w:sz w:val="32"/>
          <w:szCs w:val="32"/>
          <w:highlight w:val="none"/>
        </w:rPr>
        <w:t>图5：一般公共预算财政拨款支出决算变动情况</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柱状图</w:t>
      </w:r>
      <w:r>
        <w:rPr>
          <w:rFonts w:hint="eastAsia" w:ascii="仿宋" w:hAnsi="仿宋" w:eastAsia="仿宋"/>
          <w:color w:val="auto"/>
          <w:sz w:val="32"/>
          <w:szCs w:val="32"/>
          <w:highlight w:val="none"/>
          <w:lang w:eastAsia="zh-CN"/>
        </w:rPr>
        <w:t>）</w:t>
      </w:r>
    </w:p>
    <w:p>
      <w:pPr>
        <w:spacing w:line="600" w:lineRule="exact"/>
        <w:ind w:firstLine="643" w:firstLineChars="200"/>
        <w:outlineLvl w:val="2"/>
        <w:rPr>
          <w:rFonts w:ascii="仿宋" w:hAnsi="仿宋" w:eastAsia="仿宋"/>
          <w:b/>
          <w:color w:val="auto"/>
          <w:sz w:val="32"/>
          <w:szCs w:val="32"/>
          <w:highlight w:val="none"/>
        </w:rPr>
      </w:pPr>
      <w:bookmarkStart w:id="37" w:name="_Toc15377211"/>
      <w:r>
        <w:rPr>
          <w:rFonts w:hint="eastAsia" w:ascii="仿宋" w:hAnsi="仿宋" w:eastAsia="仿宋"/>
          <w:b/>
          <w:color w:val="auto"/>
          <w:sz w:val="32"/>
          <w:szCs w:val="32"/>
          <w:highlight w:val="none"/>
        </w:rPr>
        <w:t>（二）一般公共预算财政拨款支出决算结构情况</w:t>
      </w:r>
      <w:bookmarkEnd w:id="3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年一般公共预算财政拨款支出10,961.49万元，主要用于以下方面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教育支出8,141.82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74.28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支出949.19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8.66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卫生健康支出283.59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2.59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住房保障支出586.90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5.35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s="Times New Roman"/>
          <w:b/>
          <w:bCs/>
          <w:color w:val="auto"/>
          <w:sz w:val="32"/>
          <w:szCs w:val="32"/>
          <w:highlight w:val="none"/>
          <w:lang w:val="en-US" w:eastAsia="zh-CN"/>
        </w:rPr>
        <w:t>其他支出</w:t>
      </w:r>
      <w:r>
        <w:rPr>
          <w:rFonts w:hint="eastAsia" w:ascii="仿宋" w:hAnsi="仿宋" w:eastAsia="仿宋" w:cs="Times New Roman"/>
          <w:b/>
          <w:bCs/>
          <w:color w:val="auto"/>
          <w:sz w:val="32"/>
          <w:szCs w:val="32"/>
          <w:highlight w:val="none"/>
        </w:rPr>
        <w:t>1,000.00</w:t>
      </w:r>
      <w:r>
        <w:rPr>
          <w:rFonts w:hint="eastAsia" w:ascii="仿宋" w:hAnsi="仿宋" w:eastAsia="仿宋"/>
          <w:color w:val="auto"/>
          <w:sz w:val="32"/>
          <w:szCs w:val="32"/>
          <w:highlight w:val="none"/>
          <w:lang w:val="en-US" w:eastAsia="zh-CN"/>
        </w:rPr>
        <w:t>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9.12</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spacing w:line="600" w:lineRule="exact"/>
        <w:ind w:firstLine="640" w:firstLineChars="200"/>
        <w:rPr>
          <w:rFonts w:hint="default"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2336" behindDoc="1" locked="0" layoutInCell="1" allowOverlap="1">
            <wp:simplePos x="0" y="0"/>
            <wp:positionH relativeFrom="column">
              <wp:posOffset>627380</wp:posOffset>
            </wp:positionH>
            <wp:positionV relativeFrom="page">
              <wp:posOffset>3542030</wp:posOffset>
            </wp:positionV>
            <wp:extent cx="4401185" cy="2399030"/>
            <wp:effectExtent l="5080" t="4445" r="13335" b="15875"/>
            <wp:wrapNone/>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Pr>
          <w:rFonts w:hint="default" w:ascii="仿宋" w:hAnsi="仿宋" w:eastAsia="仿宋"/>
          <w:color w:val="auto"/>
          <w:sz w:val="32"/>
          <w:szCs w:val="32"/>
          <w:highlight w:val="none"/>
          <w:lang w:eastAsia="zh-CN"/>
        </w:rPr>
        <w:t xml:space="preserve">   </w:t>
      </w:r>
    </w:p>
    <w:p>
      <w:pPr>
        <w:spacing w:line="600" w:lineRule="exact"/>
        <w:ind w:firstLine="640" w:firstLineChars="200"/>
        <w:rPr>
          <w:rFonts w:hint="default" w:ascii="仿宋" w:hAnsi="仿宋" w:eastAsia="仿宋"/>
          <w:color w:val="auto"/>
          <w:sz w:val="32"/>
          <w:szCs w:val="32"/>
          <w:highlight w:val="none"/>
        </w:rPr>
      </w:pPr>
    </w:p>
    <w:p>
      <w:pPr>
        <w:pStyle w:val="9"/>
        <w:pBdr>
          <w:top w:val="none" w:color="auto" w:sz="0" w:space="0"/>
          <w:left w:val="none" w:color="auto" w:sz="0" w:space="0"/>
          <w:bottom w:val="none" w:color="auto" w:sz="0" w:space="1"/>
          <w:right w:val="none" w:color="auto" w:sz="0" w:space="0"/>
          <w:between w:val="none" w:color="auto" w:sz="0" w:space="0"/>
        </w:pBdr>
        <w:rPr>
          <w:rFonts w:hint="default" w:ascii="仿宋" w:hAnsi="仿宋" w:eastAsia="仿宋"/>
          <w:color w:val="auto"/>
          <w:sz w:val="32"/>
          <w:szCs w:val="32"/>
          <w:highlight w:val="none"/>
        </w:rPr>
      </w:pPr>
    </w:p>
    <w:p>
      <w:pPr>
        <w:pStyle w:val="9"/>
        <w:pBdr>
          <w:top w:val="none" w:color="auto" w:sz="0" w:space="0"/>
          <w:left w:val="none" w:color="auto" w:sz="0" w:space="0"/>
          <w:bottom w:val="none" w:color="auto" w:sz="0" w:space="1"/>
          <w:right w:val="none" w:color="auto" w:sz="0" w:space="0"/>
          <w:between w:val="none" w:color="auto" w:sz="0" w:space="0"/>
        </w:pBdr>
        <w:rPr>
          <w:rFonts w:hint="default" w:ascii="仿宋" w:hAnsi="仿宋" w:eastAsia="仿宋"/>
          <w:color w:val="auto"/>
          <w:sz w:val="32"/>
          <w:szCs w:val="32"/>
          <w:highlight w:val="none"/>
        </w:rPr>
      </w:pPr>
    </w:p>
    <w:p>
      <w:pPr>
        <w:pStyle w:val="9"/>
        <w:pBdr>
          <w:top w:val="none" w:color="auto" w:sz="0" w:space="0"/>
          <w:left w:val="none" w:color="auto" w:sz="0" w:space="0"/>
          <w:bottom w:val="none" w:color="auto" w:sz="0" w:space="1"/>
          <w:right w:val="none" w:color="auto" w:sz="0" w:space="0"/>
          <w:between w:val="none" w:color="auto" w:sz="0" w:space="0"/>
        </w:pBdr>
        <w:rPr>
          <w:rFonts w:hint="default" w:ascii="仿宋" w:hAnsi="仿宋" w:eastAsia="仿宋"/>
          <w:color w:val="auto"/>
          <w:sz w:val="32"/>
          <w:szCs w:val="32"/>
          <w:highlight w:val="none"/>
        </w:rPr>
      </w:pPr>
    </w:p>
    <w:p>
      <w:pPr>
        <w:pStyle w:val="9"/>
        <w:pBdr>
          <w:top w:val="none" w:color="auto" w:sz="0" w:space="0"/>
          <w:left w:val="none" w:color="auto" w:sz="0" w:space="0"/>
          <w:bottom w:val="none" w:color="auto" w:sz="0" w:space="1"/>
          <w:right w:val="none" w:color="auto" w:sz="0" w:space="0"/>
          <w:between w:val="none" w:color="auto" w:sz="0" w:space="0"/>
        </w:pBdr>
        <w:rPr>
          <w:rFonts w:hint="default" w:ascii="仿宋" w:hAnsi="仿宋" w:eastAsia="仿宋"/>
          <w:color w:val="auto"/>
          <w:sz w:val="32"/>
          <w:szCs w:val="32"/>
          <w:highlight w:val="none"/>
        </w:rPr>
      </w:pPr>
    </w:p>
    <w:p>
      <w:pPr>
        <w:pStyle w:val="9"/>
        <w:pBdr>
          <w:top w:val="none" w:color="auto" w:sz="0" w:space="0"/>
          <w:left w:val="none" w:color="auto" w:sz="0" w:space="0"/>
          <w:bottom w:val="none" w:color="auto" w:sz="0" w:space="1"/>
          <w:right w:val="none" w:color="auto" w:sz="0" w:space="0"/>
          <w:between w:val="none" w:color="auto" w:sz="0" w:space="0"/>
        </w:pBdr>
        <w:rPr>
          <w:rFonts w:hint="default" w:ascii="仿宋" w:hAnsi="仿宋" w:eastAsia="仿宋"/>
          <w:color w:val="auto"/>
          <w:sz w:val="32"/>
          <w:szCs w:val="32"/>
          <w:highlight w:val="none"/>
        </w:rPr>
      </w:pPr>
    </w:p>
    <w:p>
      <w:pPr>
        <w:pStyle w:val="9"/>
        <w:pBdr>
          <w:top w:val="none" w:color="auto" w:sz="0" w:space="0"/>
          <w:left w:val="none" w:color="auto" w:sz="0" w:space="0"/>
          <w:bottom w:val="none" w:color="auto" w:sz="0" w:space="1"/>
          <w:right w:val="none" w:color="auto" w:sz="0" w:space="0"/>
          <w:between w:val="none" w:color="auto" w:sz="0" w:space="0"/>
        </w:pBdr>
        <w:jc w:val="both"/>
        <w:rPr>
          <w:rFonts w:hint="default" w:ascii="仿宋" w:hAnsi="仿宋" w:eastAsia="仿宋"/>
          <w:color w:val="auto"/>
          <w:sz w:val="32"/>
          <w:szCs w:val="32"/>
          <w:highlight w:val="none"/>
        </w:rPr>
      </w:pPr>
    </w:p>
    <w:p>
      <w:pPr>
        <w:pBdr>
          <w:top w:val="none" w:color="auto" w:sz="0" w:space="0"/>
          <w:left w:val="none" w:color="auto" w:sz="0" w:space="0"/>
          <w:bottom w:val="none" w:color="auto" w:sz="0" w:space="0"/>
          <w:right w:val="none" w:color="auto" w:sz="0" w:space="0"/>
          <w:between w:val="none" w:color="auto" w:sz="0" w:space="0"/>
        </w:pBdr>
        <w:spacing w:line="600" w:lineRule="exact"/>
        <w:ind w:firstLine="640" w:firstLineChars="200"/>
        <w:rPr>
          <w:rFonts w:hint="default" w:ascii="仿宋" w:hAnsi="仿宋" w:eastAsia="仿宋"/>
          <w:color w:val="auto"/>
          <w:sz w:val="32"/>
          <w:szCs w:val="32"/>
          <w:highlight w:val="none"/>
        </w:rPr>
      </w:pPr>
    </w:p>
    <w:p>
      <w:pPr>
        <w:pBdr>
          <w:top w:val="none" w:color="auto" w:sz="0" w:space="0"/>
          <w:left w:val="none" w:color="auto" w:sz="0" w:space="0"/>
          <w:bottom w:val="none" w:color="auto" w:sz="0" w:space="0"/>
          <w:right w:val="none" w:color="auto" w:sz="0" w:space="0"/>
          <w:between w:val="none" w:color="auto" w:sz="0" w:space="0"/>
        </w:pBdr>
        <w:spacing w:line="600" w:lineRule="exact"/>
        <w:ind w:firstLine="640" w:firstLineChars="200"/>
        <w:rPr>
          <w:rFonts w:hint="default" w:ascii="仿宋" w:hAnsi="仿宋" w:eastAsia="仿宋"/>
          <w:color w:val="auto"/>
          <w:sz w:val="32"/>
          <w:szCs w:val="32"/>
          <w:highlight w:val="none"/>
        </w:rPr>
      </w:pPr>
      <w:r>
        <w:rPr>
          <w:rFonts w:hint="default" w:ascii="仿宋" w:hAnsi="仿宋" w:eastAsia="仿宋"/>
          <w:color w:val="auto"/>
          <w:sz w:val="32"/>
          <w:szCs w:val="32"/>
          <w:highlight w:val="none"/>
        </w:rPr>
        <w:t>(图</w:t>
      </w:r>
      <w:r>
        <w:rPr>
          <w:rFonts w:hint="default" w:ascii="仿宋" w:hAnsi="仿宋" w:eastAsia="仿宋"/>
          <w:b w:val="0"/>
          <w:bCs w:val="0"/>
          <w:color w:val="auto"/>
          <w:sz w:val="32"/>
          <w:szCs w:val="32"/>
          <w:highlight w:val="none"/>
        </w:rPr>
        <w:t>6：</w:t>
      </w:r>
      <w:r>
        <w:rPr>
          <w:rFonts w:hint="eastAsia" w:ascii="仿宋" w:hAnsi="仿宋" w:eastAsia="仿宋"/>
          <w:b w:val="0"/>
          <w:bCs w:val="0"/>
          <w:color w:val="auto"/>
          <w:sz w:val="32"/>
          <w:szCs w:val="32"/>
          <w:highlight w:val="none"/>
        </w:rPr>
        <w:t>一般公共预算财政拨款支出决算结构</w:t>
      </w:r>
      <w:r>
        <w:rPr>
          <w:rFonts w:hint="default" w:ascii="仿宋" w:hAnsi="仿宋" w:eastAsia="仿宋"/>
          <w:b w:val="0"/>
          <w:bCs w:val="0"/>
          <w:color w:val="auto"/>
          <w:sz w:val="32"/>
          <w:szCs w:val="32"/>
          <w:highlight w:val="none"/>
        </w:rPr>
        <w:t>饼状图)</w:t>
      </w:r>
    </w:p>
    <w:p>
      <w:pPr>
        <w:spacing w:line="600" w:lineRule="exact"/>
        <w:ind w:firstLine="643" w:firstLineChars="200"/>
        <w:outlineLvl w:val="2"/>
        <w:rPr>
          <w:rFonts w:ascii="仿宋" w:hAnsi="仿宋" w:eastAsia="仿宋"/>
          <w:b/>
          <w:color w:val="auto"/>
          <w:sz w:val="32"/>
          <w:szCs w:val="32"/>
          <w:highlight w:val="none"/>
        </w:rPr>
      </w:pPr>
      <w:bookmarkStart w:id="38" w:name="_Toc15377212"/>
      <w:r>
        <w:rPr>
          <w:rFonts w:hint="eastAsia" w:ascii="仿宋" w:hAnsi="仿宋" w:eastAsia="仿宋"/>
          <w:b/>
          <w:color w:val="auto"/>
          <w:sz w:val="32"/>
          <w:szCs w:val="32"/>
          <w:highlight w:val="none"/>
        </w:rPr>
        <w:t>（三）一般公共预算财政拨款支出决算具体情况</w:t>
      </w:r>
      <w:bookmarkEnd w:id="38"/>
    </w:p>
    <w:p>
      <w:pPr>
        <w:spacing w:line="600" w:lineRule="exact"/>
        <w:ind w:firstLine="643" w:firstLineChars="200"/>
        <w:outlineLvl w:val="9"/>
        <w:rPr>
          <w:rFonts w:ascii="仿宋" w:hAnsi="仿宋" w:eastAsia="仿宋"/>
          <w:color w:val="auto"/>
          <w:sz w:val="32"/>
          <w:szCs w:val="32"/>
          <w:highlight w:val="none"/>
        </w:rPr>
      </w:pPr>
      <w:bookmarkStart w:id="39" w:name="_Toc15378460"/>
      <w:bookmarkStart w:id="40" w:name="_Toc15377213"/>
      <w:bookmarkStart w:id="41"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color w:val="auto"/>
          <w:sz w:val="32"/>
          <w:szCs w:val="32"/>
          <w:highlight w:val="none"/>
        </w:rPr>
        <w:t>10,961.49万元，</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100</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39"/>
      <w:bookmarkEnd w:id="40"/>
      <w:bookmarkEnd w:id="41"/>
    </w:p>
    <w:p>
      <w:pPr>
        <w:numPr>
          <w:ilvl w:val="0"/>
          <w:numId w:val="3"/>
        </w:numPr>
        <w:spacing w:line="576" w:lineRule="exact"/>
        <w:ind w:firstLine="800" w:firstLineChars="250"/>
        <w:outlineLvl w:val="9"/>
        <w:rPr>
          <w:rFonts w:hint="eastAsia" w:ascii="仿宋_GB2312" w:eastAsia="仿宋_GB2312" w:cs="Times New Roman"/>
          <w:color w:val="auto"/>
          <w:sz w:val="32"/>
          <w:szCs w:val="32"/>
          <w:highlight w:val="none"/>
        </w:rPr>
      </w:pPr>
      <w:r>
        <w:rPr>
          <w:rFonts w:hint="eastAsia" w:ascii="仿宋_GB2312" w:eastAsia="仿宋_GB2312" w:cs="Times New Roman"/>
          <w:color w:val="auto"/>
          <w:sz w:val="32"/>
          <w:szCs w:val="32"/>
          <w:highlight w:val="none"/>
        </w:rPr>
        <w:t>教育（类）普通教育（款）高中教育（项）: 支出决算为</w:t>
      </w:r>
      <w:r>
        <w:rPr>
          <w:rFonts w:hint="eastAsia" w:ascii="仿宋_GB2312" w:eastAsia="仿宋_GB2312" w:cs="Times New Roman"/>
          <w:color w:val="auto"/>
          <w:sz w:val="32"/>
          <w:szCs w:val="32"/>
          <w:highlight w:val="none"/>
          <w:lang w:val="en-US" w:eastAsia="zh-CN"/>
        </w:rPr>
        <w:t>8141.82</w:t>
      </w:r>
      <w:r>
        <w:rPr>
          <w:rFonts w:hint="eastAsia" w:ascii="仿宋_GB2312" w:eastAsia="仿宋_GB2312" w:cs="Times New Roman"/>
          <w:color w:val="auto"/>
          <w:sz w:val="32"/>
          <w:szCs w:val="32"/>
          <w:highlight w:val="none"/>
        </w:rPr>
        <w:t>万元，完成预算</w:t>
      </w:r>
      <w:r>
        <w:rPr>
          <w:rFonts w:hint="eastAsia" w:ascii="仿宋_GB2312" w:eastAsia="仿宋_GB2312" w:cs="Times New Roman"/>
          <w:color w:val="auto"/>
          <w:sz w:val="32"/>
          <w:szCs w:val="32"/>
          <w:highlight w:val="none"/>
          <w:lang w:val="en-US" w:eastAsia="zh-CN"/>
        </w:rPr>
        <w:t>100</w:t>
      </w:r>
      <w:r>
        <w:rPr>
          <w:rFonts w:hint="eastAsia" w:ascii="仿宋_GB2312" w:eastAsia="仿宋_GB2312" w:cs="Times New Roman"/>
          <w:color w:val="auto"/>
          <w:sz w:val="32"/>
          <w:szCs w:val="32"/>
          <w:highlight w:val="none"/>
        </w:rPr>
        <w:t>%，决算数</w:t>
      </w:r>
      <w:r>
        <w:rPr>
          <w:rStyle w:val="14"/>
          <w:rFonts w:hint="eastAsia" w:ascii="仿宋" w:hAnsi="仿宋" w:eastAsia="仿宋"/>
          <w:b w:val="0"/>
          <w:bCs/>
          <w:color w:val="auto"/>
          <w:sz w:val="32"/>
          <w:szCs w:val="32"/>
          <w:highlight w:val="none"/>
        </w:rPr>
        <w:t>等于预算数</w:t>
      </w:r>
      <w:r>
        <w:rPr>
          <w:rFonts w:hint="eastAsia" w:ascii="仿宋_GB2312" w:eastAsia="仿宋_GB2312" w:cs="Times New Roman"/>
          <w:color w:val="auto"/>
          <w:sz w:val="32"/>
          <w:szCs w:val="32"/>
          <w:highlight w:val="none"/>
        </w:rPr>
        <w:t>。</w:t>
      </w:r>
    </w:p>
    <w:p>
      <w:pPr>
        <w:numPr>
          <w:ilvl w:val="0"/>
          <w:numId w:val="3"/>
        </w:numPr>
        <w:spacing w:line="576" w:lineRule="exact"/>
        <w:ind w:firstLine="800" w:firstLineChars="250"/>
        <w:outlineLvl w:val="9"/>
        <w:rPr>
          <w:rFonts w:hint="eastAsia" w:ascii="仿宋_GB2312" w:eastAsia="仿宋_GB2312" w:cs="Times New Roman"/>
          <w:color w:val="000000"/>
          <w:sz w:val="32"/>
          <w:szCs w:val="32"/>
        </w:rPr>
      </w:pPr>
      <w:r>
        <w:rPr>
          <w:rFonts w:hint="eastAsia" w:ascii="仿宋_GB2312" w:eastAsia="仿宋_GB2312" w:cs="Times New Roman"/>
          <w:color w:val="auto"/>
          <w:sz w:val="32"/>
          <w:szCs w:val="32"/>
          <w:highlight w:val="none"/>
        </w:rPr>
        <w:t>社会保障和就业（类）行政事业单位养老支出（款）</w:t>
      </w:r>
      <w:r>
        <w:rPr>
          <w:rFonts w:hint="eastAsia" w:ascii="仿宋_GB2312" w:eastAsia="仿宋_GB2312" w:cs="Times New Roman"/>
          <w:color w:val="000000"/>
          <w:sz w:val="32"/>
          <w:szCs w:val="32"/>
        </w:rPr>
        <w:t>机关事业单位基本养老保险缴费支出（项）: 支出决算为835.10万元，完成预算</w:t>
      </w:r>
      <w:r>
        <w:rPr>
          <w:rFonts w:hint="eastAsia" w:ascii="仿宋_GB2312" w:eastAsia="仿宋_GB2312" w:cs="Times New Roman"/>
          <w:color w:val="000000"/>
          <w:sz w:val="32"/>
          <w:szCs w:val="32"/>
          <w:lang w:val="en-US" w:eastAsia="zh-CN"/>
        </w:rPr>
        <w:t>100</w:t>
      </w:r>
      <w:r>
        <w:rPr>
          <w:rFonts w:hint="eastAsia" w:ascii="仿宋_GB2312" w:eastAsia="仿宋_GB2312" w:cs="Times New Roman"/>
          <w:color w:val="000000"/>
          <w:sz w:val="32"/>
          <w:szCs w:val="32"/>
        </w:rPr>
        <w:t>%，决算数</w:t>
      </w:r>
      <w:r>
        <w:rPr>
          <w:rFonts w:hint="eastAsia" w:ascii="仿宋_GB2312" w:eastAsia="仿宋_GB2312" w:cs="Times New Roman"/>
          <w:color w:val="000000"/>
          <w:sz w:val="32"/>
          <w:szCs w:val="32"/>
          <w:lang w:eastAsia="zh-CN"/>
        </w:rPr>
        <w:t>等</w:t>
      </w:r>
      <w:r>
        <w:rPr>
          <w:rFonts w:hint="eastAsia" w:ascii="仿宋_GB2312" w:eastAsia="仿宋_GB2312" w:cs="Times New Roman"/>
          <w:color w:val="000000"/>
          <w:sz w:val="32"/>
          <w:szCs w:val="32"/>
        </w:rPr>
        <w:t>于预算数</w:t>
      </w:r>
      <w:r>
        <w:rPr>
          <w:rFonts w:hint="eastAsia" w:ascii="仿宋_GB2312" w:eastAsia="仿宋_GB2312" w:cs="Times New Roman"/>
          <w:color w:val="000000"/>
          <w:sz w:val="32"/>
          <w:szCs w:val="32"/>
          <w:lang w:eastAsia="zh-CN"/>
        </w:rPr>
        <w:t>。</w:t>
      </w:r>
    </w:p>
    <w:p>
      <w:pPr>
        <w:spacing w:line="576" w:lineRule="exact"/>
        <w:ind w:firstLine="800" w:firstLineChars="250"/>
        <w:outlineLvl w:val="9"/>
        <w:rPr>
          <w:rFonts w:hint="eastAsia" w:ascii="仿宋_GB2312" w:eastAsia="仿宋_GB2312" w:cs="Times New Roman"/>
          <w:color w:val="000000"/>
          <w:sz w:val="32"/>
          <w:szCs w:val="32"/>
        </w:rPr>
      </w:pPr>
      <w:r>
        <w:rPr>
          <w:rFonts w:hint="eastAsia" w:ascii="仿宋_GB2312" w:eastAsia="仿宋_GB2312" w:cs="Times New Roman"/>
          <w:color w:val="000000"/>
          <w:sz w:val="32"/>
          <w:szCs w:val="32"/>
          <w:lang w:val="en-US" w:eastAsia="zh-CN"/>
        </w:rPr>
        <w:t>3</w:t>
      </w:r>
      <w:r>
        <w:rPr>
          <w:rFonts w:hint="eastAsia" w:ascii="仿宋_GB2312" w:eastAsia="仿宋_GB2312" w:cs="Times New Roman"/>
          <w:color w:val="000000"/>
          <w:sz w:val="32"/>
          <w:szCs w:val="32"/>
        </w:rPr>
        <w:t>.社会保障和就业（类）行政事业单位养老支出（款）机关事业单位职业年金缴费支出（项）: 支出决算为54.54万元，完成预算</w:t>
      </w:r>
      <w:r>
        <w:rPr>
          <w:rFonts w:hint="eastAsia" w:ascii="仿宋_GB2312" w:eastAsia="仿宋_GB2312" w:cs="Times New Roman"/>
          <w:color w:val="000000"/>
          <w:sz w:val="32"/>
          <w:szCs w:val="32"/>
          <w:lang w:val="en-US" w:eastAsia="zh-CN"/>
        </w:rPr>
        <w:t>100</w:t>
      </w:r>
      <w:r>
        <w:rPr>
          <w:rFonts w:hint="eastAsia" w:ascii="仿宋_GB2312" w:eastAsia="仿宋_GB2312" w:cs="Times New Roman"/>
          <w:color w:val="000000"/>
          <w:sz w:val="32"/>
          <w:szCs w:val="32"/>
        </w:rPr>
        <w:t>%，决算数</w:t>
      </w:r>
      <w:r>
        <w:rPr>
          <w:rFonts w:hint="eastAsia" w:ascii="仿宋_GB2312" w:eastAsia="仿宋_GB2312" w:cs="Times New Roman"/>
          <w:color w:val="000000"/>
          <w:sz w:val="32"/>
          <w:szCs w:val="32"/>
          <w:lang w:eastAsia="zh-CN"/>
        </w:rPr>
        <w:t>等</w:t>
      </w:r>
      <w:r>
        <w:rPr>
          <w:rFonts w:hint="eastAsia" w:ascii="仿宋_GB2312" w:eastAsia="仿宋_GB2312" w:cs="Times New Roman"/>
          <w:color w:val="000000"/>
          <w:sz w:val="32"/>
          <w:szCs w:val="32"/>
        </w:rPr>
        <w:t>于预算数。</w:t>
      </w:r>
    </w:p>
    <w:p>
      <w:pPr>
        <w:spacing w:line="576" w:lineRule="exact"/>
        <w:ind w:firstLine="800" w:firstLineChars="250"/>
        <w:outlineLvl w:val="9"/>
        <w:rPr>
          <w:rFonts w:hint="eastAsia" w:ascii="仿宋_GB2312" w:eastAsia="仿宋_GB2312" w:cs="Times New Roman"/>
          <w:color w:val="000000"/>
          <w:sz w:val="32"/>
          <w:szCs w:val="32"/>
        </w:rPr>
      </w:pPr>
      <w:r>
        <w:rPr>
          <w:rFonts w:hint="eastAsia" w:ascii="仿宋_GB2312" w:eastAsia="仿宋_GB2312" w:cs="Times New Roman"/>
          <w:color w:val="000000"/>
          <w:sz w:val="32"/>
          <w:szCs w:val="32"/>
          <w:lang w:val="en-US" w:eastAsia="zh-CN"/>
        </w:rPr>
        <w:t>4</w:t>
      </w:r>
      <w:r>
        <w:rPr>
          <w:rFonts w:hint="eastAsia" w:ascii="仿宋_GB2312" w:eastAsia="仿宋_GB2312" w:cs="Times New Roman"/>
          <w:color w:val="000000"/>
          <w:sz w:val="32"/>
          <w:szCs w:val="32"/>
        </w:rPr>
        <w:t>.社会保障和就业（类）其他社会保障和就业支出（款）其他社会保障和就业支出（项）：支出决算为</w:t>
      </w:r>
      <w:r>
        <w:rPr>
          <w:rFonts w:hint="eastAsia" w:ascii="仿宋_GB2312" w:eastAsia="仿宋_GB2312" w:cs="Times New Roman"/>
          <w:color w:val="000000"/>
          <w:sz w:val="32"/>
          <w:szCs w:val="32"/>
          <w:lang w:val="en-US" w:eastAsia="zh-CN"/>
        </w:rPr>
        <w:t>59.55</w:t>
      </w:r>
      <w:r>
        <w:rPr>
          <w:rFonts w:hint="eastAsia" w:ascii="仿宋_GB2312" w:eastAsia="仿宋_GB2312" w:cs="Times New Roman"/>
          <w:color w:val="000000"/>
          <w:sz w:val="32"/>
          <w:szCs w:val="32"/>
        </w:rPr>
        <w:t>万元，完成预算</w:t>
      </w:r>
      <w:r>
        <w:rPr>
          <w:rFonts w:hint="eastAsia" w:ascii="仿宋_GB2312" w:eastAsia="仿宋_GB2312" w:cs="Times New Roman"/>
          <w:color w:val="000000"/>
          <w:sz w:val="32"/>
          <w:szCs w:val="32"/>
          <w:lang w:val="en-US" w:eastAsia="zh-CN"/>
        </w:rPr>
        <w:t>100</w:t>
      </w:r>
      <w:r>
        <w:rPr>
          <w:rFonts w:hint="eastAsia" w:ascii="仿宋_GB2312" w:eastAsia="仿宋_GB2312" w:cs="Times New Roman"/>
          <w:color w:val="000000"/>
          <w:sz w:val="32"/>
          <w:szCs w:val="32"/>
        </w:rPr>
        <w:t>%，决算数</w:t>
      </w:r>
      <w:r>
        <w:rPr>
          <w:rFonts w:hint="eastAsia" w:ascii="仿宋_GB2312" w:eastAsia="仿宋_GB2312" w:cs="Times New Roman"/>
          <w:color w:val="000000"/>
          <w:sz w:val="32"/>
          <w:szCs w:val="32"/>
          <w:lang w:val="en-US" w:eastAsia="zh-CN"/>
        </w:rPr>
        <w:t>等于</w:t>
      </w:r>
      <w:r>
        <w:rPr>
          <w:rFonts w:hint="eastAsia" w:ascii="仿宋_GB2312" w:eastAsia="仿宋_GB2312" w:cs="Times New Roman"/>
          <w:color w:val="000000"/>
          <w:sz w:val="32"/>
          <w:szCs w:val="32"/>
        </w:rPr>
        <w:t>预算数。</w:t>
      </w:r>
    </w:p>
    <w:p>
      <w:pPr>
        <w:spacing w:line="576" w:lineRule="exact"/>
        <w:ind w:firstLine="800" w:firstLineChars="250"/>
        <w:outlineLvl w:val="9"/>
        <w:rPr>
          <w:rFonts w:hint="eastAsia" w:ascii="仿宋_GB2312" w:eastAsia="仿宋_GB2312" w:cs="Times New Roman"/>
          <w:color w:val="000000"/>
          <w:sz w:val="32"/>
          <w:szCs w:val="32"/>
        </w:rPr>
      </w:pPr>
      <w:r>
        <w:rPr>
          <w:rFonts w:hint="eastAsia" w:ascii="仿宋_GB2312" w:eastAsia="仿宋_GB2312" w:cs="Times New Roman"/>
          <w:color w:val="000000"/>
          <w:sz w:val="32"/>
          <w:szCs w:val="32"/>
          <w:lang w:val="en-US" w:eastAsia="zh-CN"/>
        </w:rPr>
        <w:t>5</w:t>
      </w:r>
      <w:r>
        <w:rPr>
          <w:rFonts w:hint="eastAsia" w:ascii="仿宋_GB2312" w:eastAsia="仿宋_GB2312" w:cs="Times New Roman"/>
          <w:color w:val="000000"/>
          <w:sz w:val="32"/>
          <w:szCs w:val="32"/>
        </w:rPr>
        <w:t>.卫生健康（类）行政事业单位医疗（款）事业单位医疗（项）:支出决算为283.59万元，完成预算100%</w:t>
      </w:r>
      <w:r>
        <w:rPr>
          <w:rFonts w:hint="eastAsia" w:ascii="仿宋_GB2312" w:eastAsia="仿宋_GB2312" w:cs="Times New Roman"/>
          <w:color w:val="000000"/>
          <w:sz w:val="32"/>
          <w:szCs w:val="32"/>
          <w:lang w:eastAsia="zh-CN"/>
        </w:rPr>
        <w:t>，</w:t>
      </w:r>
      <w:r>
        <w:rPr>
          <w:rFonts w:hint="eastAsia" w:ascii="仿宋_GB2312" w:eastAsia="仿宋_GB2312" w:cs="Times New Roman"/>
          <w:color w:val="000000"/>
          <w:sz w:val="32"/>
          <w:szCs w:val="32"/>
        </w:rPr>
        <w:t>决算数等于预算数。</w:t>
      </w:r>
    </w:p>
    <w:p>
      <w:pPr>
        <w:spacing w:line="576" w:lineRule="exact"/>
        <w:ind w:firstLine="800" w:firstLineChars="250"/>
        <w:outlineLvl w:val="9"/>
        <w:rPr>
          <w:rFonts w:hint="eastAsia" w:ascii="仿宋_GB2312" w:eastAsia="仿宋_GB2312" w:cs="Times New Roman"/>
          <w:color w:val="000000"/>
          <w:sz w:val="32"/>
          <w:szCs w:val="32"/>
        </w:rPr>
      </w:pPr>
      <w:r>
        <w:rPr>
          <w:rFonts w:hint="eastAsia" w:ascii="仿宋_GB2312" w:eastAsia="仿宋_GB2312" w:cs="Times New Roman"/>
          <w:color w:val="000000"/>
          <w:sz w:val="32"/>
          <w:szCs w:val="32"/>
          <w:lang w:val="en-US" w:eastAsia="zh-CN"/>
        </w:rPr>
        <w:t>6</w:t>
      </w:r>
      <w:r>
        <w:rPr>
          <w:rFonts w:hint="eastAsia" w:ascii="仿宋_GB2312" w:eastAsia="仿宋_GB2312" w:cs="Times New Roman"/>
          <w:color w:val="000000"/>
          <w:sz w:val="32"/>
          <w:szCs w:val="32"/>
        </w:rPr>
        <w:t>.住房保障支出（类）住房改革支出（款）住房公积金（项）：支出决算为586.90万元，完成预算100%</w:t>
      </w:r>
      <w:r>
        <w:rPr>
          <w:rFonts w:hint="eastAsia" w:ascii="仿宋_GB2312" w:eastAsia="仿宋_GB2312" w:cs="Times New Roman"/>
          <w:color w:val="000000"/>
          <w:sz w:val="32"/>
          <w:szCs w:val="32"/>
          <w:lang w:eastAsia="zh-CN"/>
        </w:rPr>
        <w:t>，</w:t>
      </w:r>
      <w:r>
        <w:rPr>
          <w:rFonts w:hint="eastAsia" w:ascii="仿宋_GB2312" w:eastAsia="仿宋_GB2312" w:cs="Times New Roman"/>
          <w:color w:val="000000"/>
          <w:sz w:val="32"/>
          <w:szCs w:val="32"/>
        </w:rPr>
        <w:t>决算数等于预算数。</w:t>
      </w:r>
    </w:p>
    <w:p>
      <w:pPr>
        <w:spacing w:line="576" w:lineRule="exact"/>
        <w:ind w:firstLine="800" w:firstLineChars="250"/>
        <w:outlineLvl w:val="9"/>
        <w:rPr>
          <w:rFonts w:hint="eastAsia" w:ascii="仿宋_GB2312" w:eastAsia="仿宋_GB2312" w:cs="Times New Roman"/>
          <w:color w:val="000000"/>
          <w:sz w:val="32"/>
          <w:szCs w:val="32"/>
        </w:rPr>
      </w:pPr>
      <w:r>
        <w:rPr>
          <w:rFonts w:hint="eastAsia" w:ascii="仿宋_GB2312" w:eastAsia="仿宋_GB2312" w:cs="Times New Roman"/>
          <w:color w:val="000000"/>
          <w:sz w:val="32"/>
          <w:szCs w:val="32"/>
          <w:lang w:val="en-US" w:eastAsia="zh-CN"/>
        </w:rPr>
        <w:t>7.其他支出</w:t>
      </w:r>
      <w:r>
        <w:rPr>
          <w:rFonts w:hint="eastAsia" w:ascii="仿宋_GB2312" w:eastAsia="仿宋_GB2312" w:cs="Times New Roman"/>
          <w:color w:val="000000"/>
          <w:sz w:val="32"/>
          <w:szCs w:val="32"/>
        </w:rPr>
        <w:t>（类）</w:t>
      </w:r>
      <w:r>
        <w:rPr>
          <w:rFonts w:hint="eastAsia" w:ascii="仿宋_GB2312" w:eastAsia="仿宋_GB2312" w:cs="Times New Roman"/>
          <w:color w:val="000000"/>
          <w:sz w:val="32"/>
          <w:szCs w:val="32"/>
          <w:lang w:val="en-US" w:eastAsia="zh-CN"/>
        </w:rPr>
        <w:t>其他支出</w:t>
      </w:r>
      <w:r>
        <w:rPr>
          <w:rFonts w:hint="eastAsia" w:ascii="仿宋_GB2312" w:eastAsia="仿宋_GB2312" w:cs="Times New Roman"/>
          <w:color w:val="000000"/>
          <w:sz w:val="32"/>
          <w:szCs w:val="32"/>
        </w:rPr>
        <w:t>（款）</w:t>
      </w:r>
      <w:r>
        <w:rPr>
          <w:rFonts w:hint="eastAsia" w:ascii="仿宋_GB2312" w:eastAsia="仿宋_GB2312" w:cs="Times New Roman"/>
          <w:color w:val="000000"/>
          <w:sz w:val="32"/>
          <w:szCs w:val="32"/>
          <w:lang w:val="en-US" w:eastAsia="zh-CN"/>
        </w:rPr>
        <w:t>其他支出</w:t>
      </w:r>
      <w:r>
        <w:rPr>
          <w:rFonts w:hint="eastAsia" w:ascii="仿宋_GB2312" w:eastAsia="仿宋_GB2312" w:cs="Times New Roman"/>
          <w:color w:val="000000"/>
          <w:sz w:val="32"/>
          <w:szCs w:val="32"/>
        </w:rPr>
        <w:t>（项）</w:t>
      </w:r>
      <w:r>
        <w:rPr>
          <w:rFonts w:hint="eastAsia" w:ascii="仿宋_GB2312" w:eastAsia="仿宋_GB2312" w:cs="Times New Roman"/>
          <w:color w:val="000000"/>
          <w:sz w:val="32"/>
          <w:szCs w:val="32"/>
          <w:lang w:eastAsia="zh-CN"/>
        </w:rPr>
        <w:t>：</w:t>
      </w:r>
      <w:r>
        <w:rPr>
          <w:rFonts w:hint="eastAsia" w:ascii="仿宋_GB2312" w:eastAsia="仿宋_GB2312" w:cs="Times New Roman"/>
          <w:color w:val="000000"/>
          <w:sz w:val="32"/>
          <w:szCs w:val="32"/>
        </w:rPr>
        <w:t>支出决算为</w:t>
      </w:r>
      <w:r>
        <w:rPr>
          <w:rFonts w:hint="eastAsia" w:ascii="仿宋_GB2312" w:eastAsia="仿宋_GB2312" w:cs="Times New Roman"/>
          <w:color w:val="000000"/>
          <w:sz w:val="32"/>
          <w:szCs w:val="32"/>
          <w:lang w:val="en-US" w:eastAsia="zh-CN"/>
        </w:rPr>
        <w:t>1000.00</w:t>
      </w:r>
      <w:r>
        <w:rPr>
          <w:rFonts w:hint="eastAsia" w:ascii="仿宋_GB2312" w:eastAsia="仿宋_GB2312" w:cs="Times New Roman"/>
          <w:color w:val="000000"/>
          <w:sz w:val="32"/>
          <w:szCs w:val="32"/>
        </w:rPr>
        <w:t>万元，完成预算100%</w:t>
      </w:r>
      <w:r>
        <w:rPr>
          <w:rFonts w:hint="eastAsia" w:ascii="仿宋_GB2312" w:eastAsia="仿宋_GB2312" w:cs="Times New Roman"/>
          <w:color w:val="000000"/>
          <w:sz w:val="32"/>
          <w:szCs w:val="32"/>
          <w:lang w:eastAsia="zh-CN"/>
        </w:rPr>
        <w:t>，</w:t>
      </w:r>
      <w:r>
        <w:rPr>
          <w:rFonts w:hint="eastAsia" w:ascii="仿宋_GB2312" w:eastAsia="仿宋_GB2312" w:cs="Times New Roman"/>
          <w:color w:val="000000"/>
          <w:sz w:val="32"/>
          <w:szCs w:val="32"/>
        </w:rPr>
        <w:t>决算数等于预算数。</w:t>
      </w:r>
    </w:p>
    <w:p>
      <w:pPr>
        <w:tabs>
          <w:tab w:val="right" w:pos="8306"/>
        </w:tabs>
        <w:spacing w:line="600" w:lineRule="exact"/>
        <w:ind w:firstLine="640"/>
        <w:outlineLvl w:val="1"/>
        <w:rPr>
          <w:rStyle w:val="25"/>
          <w:color w:val="auto"/>
          <w:highlight w:val="none"/>
        </w:rPr>
      </w:pPr>
      <w:bookmarkStart w:id="42" w:name="_Toc15377214"/>
      <w:bookmarkStart w:id="43" w:name="_Toc1"/>
      <w:bookmarkStart w:id="44"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5"/>
          <w:rFonts w:hint="eastAsia" w:ascii="黑体" w:hAnsi="黑体" w:eastAsia="黑体"/>
          <w:b w:val="0"/>
          <w:color w:val="auto"/>
          <w:highlight w:val="none"/>
        </w:rPr>
        <w:t>般公共预算财政拨款基本支出决算情况说明</w:t>
      </w:r>
      <w:bookmarkEnd w:id="42"/>
      <w:bookmarkEnd w:id="43"/>
      <w:bookmarkEnd w:id="44"/>
      <w:r>
        <w:rPr>
          <w:rStyle w:val="25"/>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年一般公共预算财政拨款基本支出8,511.86万元，其中：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人员经费7,933.12万元，主要包括：基本工资</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绩效工资</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职业年金缴费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其他工资福利支出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助学金</w:t>
      </w:r>
      <w:r>
        <w:rPr>
          <w:rFonts w:hint="default" w:ascii="仿宋" w:hAnsi="仿宋" w:eastAsia="仿宋"/>
          <w:color w:val="auto"/>
          <w:sz w:val="32"/>
          <w:szCs w:val="32"/>
          <w:highlight w:val="none"/>
        </w:rPr>
        <w:t>等</w:t>
      </w:r>
      <w:r>
        <w:rPr>
          <w:rFonts w:hint="eastAsia" w:ascii="仿宋" w:hAnsi="仿宋" w:eastAsia="仿宋"/>
          <w:color w:val="auto"/>
          <w:sz w:val="32"/>
          <w:szCs w:val="32"/>
          <w:highlight w:val="none"/>
          <w:lang w:eastAsia="zh-CN"/>
        </w:rPr>
        <w:t>。</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公用经费578.74万元，主要包括办公费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电费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邮电费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物业管理费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维修（护）费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租赁费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培训费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专用材料费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劳务费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工会经费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福利费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其他商品和服务支出</w:t>
      </w:r>
      <w:r>
        <w:rPr>
          <w:rFonts w:hint="default" w:ascii="仿宋" w:hAnsi="仿宋" w:eastAsia="仿宋"/>
          <w:color w:val="auto"/>
          <w:sz w:val="32"/>
          <w:szCs w:val="32"/>
          <w:highlight w:val="none"/>
        </w:rPr>
        <w:t>、办公设备购置等</w:t>
      </w:r>
      <w:r>
        <w:rPr>
          <w:rFonts w:hint="eastAsia" w:ascii="仿宋" w:hAnsi="仿宋" w:eastAsia="仿宋"/>
          <w:color w:val="auto"/>
          <w:sz w:val="32"/>
          <w:szCs w:val="32"/>
          <w:highlight w:val="none"/>
          <w:lang w:eastAsia="zh-CN"/>
        </w:rPr>
        <w:t>。</w:t>
      </w:r>
    </w:p>
    <w:p>
      <w:pPr>
        <w:spacing w:line="600" w:lineRule="exact"/>
        <w:ind w:firstLine="640"/>
        <w:outlineLvl w:val="1"/>
        <w:rPr>
          <w:rStyle w:val="25"/>
          <w:rFonts w:ascii="黑体" w:hAnsi="黑体" w:eastAsia="黑体"/>
          <w:b w:val="0"/>
          <w:color w:val="auto"/>
          <w:highlight w:val="none"/>
        </w:rPr>
      </w:pPr>
      <w:bookmarkStart w:id="45" w:name="_Toc15377215"/>
      <w:bookmarkStart w:id="46" w:name="_Toc15396609"/>
      <w:bookmarkStart w:id="47" w:name="_Toc28831"/>
      <w:r>
        <w:rPr>
          <w:rFonts w:hint="eastAsia" w:ascii="黑体" w:eastAsia="黑体"/>
          <w:color w:val="auto"/>
          <w:sz w:val="32"/>
          <w:szCs w:val="32"/>
          <w:highlight w:val="none"/>
        </w:rPr>
        <w:t>七、</w:t>
      </w:r>
      <w:r>
        <w:rPr>
          <w:rStyle w:val="25"/>
          <w:rFonts w:hint="eastAsia" w:ascii="黑体" w:hAnsi="黑体" w:eastAsia="黑体"/>
          <w:b w:val="0"/>
          <w:color w:val="auto"/>
          <w:highlight w:val="none"/>
        </w:rPr>
        <w:t>财政拨款</w:t>
      </w:r>
      <w:r>
        <w:rPr>
          <w:rStyle w:val="25"/>
          <w:rFonts w:hint="eastAsia" w:ascii="黑体" w:hAnsi="黑体" w:eastAsia="黑体"/>
          <w:color w:val="auto"/>
          <w:highlight w:val="none"/>
        </w:rPr>
        <w:t>“</w:t>
      </w:r>
      <w:r>
        <w:rPr>
          <w:rStyle w:val="25"/>
          <w:rFonts w:hint="eastAsia" w:ascii="黑体" w:hAnsi="黑体" w:eastAsia="黑体"/>
          <w:b w:val="0"/>
          <w:color w:val="auto"/>
          <w:highlight w:val="none"/>
        </w:rPr>
        <w:t>三公”经费支出决算情况说明</w:t>
      </w:r>
      <w:bookmarkEnd w:id="45"/>
      <w:bookmarkEnd w:id="46"/>
      <w:bookmarkEnd w:id="47"/>
    </w:p>
    <w:p>
      <w:pPr>
        <w:spacing w:line="600" w:lineRule="exact"/>
        <w:ind w:firstLine="640"/>
        <w:outlineLvl w:val="2"/>
        <w:rPr>
          <w:rFonts w:ascii="仿宋" w:hAnsi="仿宋" w:eastAsia="仿宋"/>
          <w:b/>
          <w:color w:val="auto"/>
          <w:sz w:val="32"/>
          <w:szCs w:val="32"/>
          <w:highlight w:val="none"/>
        </w:rPr>
      </w:pPr>
      <w:bookmarkStart w:id="48" w:name="_Toc15377216"/>
      <w:r>
        <w:rPr>
          <w:rFonts w:hint="eastAsia" w:ascii="仿宋" w:hAnsi="仿宋" w:eastAsia="仿宋"/>
          <w:b/>
          <w:color w:val="auto"/>
          <w:sz w:val="32"/>
          <w:szCs w:val="32"/>
          <w:highlight w:val="none"/>
        </w:rPr>
        <w:t>（一）“三公”经费财政拨款支出决算总体情况说明</w:t>
      </w:r>
      <w:bookmarkEnd w:id="48"/>
    </w:p>
    <w:p>
      <w:pPr>
        <w:spacing w:line="600" w:lineRule="exact"/>
        <w:ind w:firstLine="640"/>
        <w:rPr>
          <w:rFonts w:hint="eastAsia" w:ascii="仿宋" w:hAnsi="仿宋" w:eastAsia="仿宋"/>
          <w:color w:val="000000"/>
          <w:sz w:val="32"/>
          <w:szCs w:val="32"/>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000000"/>
          <w:sz w:val="32"/>
          <w:szCs w:val="32"/>
          <w:lang w:eastAsia="zh-CN"/>
        </w:rPr>
        <w:t>与</w:t>
      </w:r>
      <w:r>
        <w:rPr>
          <w:rFonts w:ascii="仿宋" w:hAnsi="仿宋" w:eastAsia="仿宋"/>
          <w:color w:val="000000"/>
          <w:sz w:val="32"/>
          <w:szCs w:val="32"/>
        </w:rPr>
        <w:t>20</w:t>
      </w:r>
      <w:r>
        <w:rPr>
          <w:rFonts w:hint="eastAsia" w:ascii="仿宋" w:hAnsi="仿宋" w:eastAsia="仿宋"/>
          <w:color w:val="000000"/>
          <w:sz w:val="32"/>
          <w:szCs w:val="32"/>
          <w:lang w:val="en-US" w:eastAsia="zh-CN"/>
        </w:rPr>
        <w:t>21</w:t>
      </w:r>
      <w:r>
        <w:rPr>
          <w:rFonts w:hint="eastAsia" w:ascii="仿宋" w:hAnsi="仿宋" w:eastAsia="仿宋"/>
          <w:color w:val="000000"/>
          <w:sz w:val="32"/>
          <w:szCs w:val="32"/>
        </w:rPr>
        <w:t>年决算数</w:t>
      </w:r>
      <w:r>
        <w:rPr>
          <w:rFonts w:hint="eastAsia" w:ascii="仿宋" w:hAnsi="仿宋" w:eastAsia="仿宋"/>
          <w:color w:val="000000"/>
          <w:sz w:val="32"/>
          <w:szCs w:val="32"/>
          <w:lang w:eastAsia="zh-CN"/>
        </w:rPr>
        <w:t>持平，未在财政拨款支出中安排该项预算。</w:t>
      </w:r>
    </w:p>
    <w:p>
      <w:pPr>
        <w:spacing w:line="600" w:lineRule="exact"/>
        <w:ind w:firstLine="640"/>
        <w:outlineLvl w:val="2"/>
        <w:rPr>
          <w:rFonts w:ascii="仿宋" w:hAnsi="仿宋" w:eastAsia="仿宋"/>
          <w:b/>
          <w:color w:val="auto"/>
          <w:sz w:val="32"/>
          <w:szCs w:val="32"/>
          <w:highlight w:val="none"/>
        </w:rPr>
      </w:pPr>
      <w:bookmarkStart w:id="49" w:name="_Toc15377217"/>
      <w:r>
        <w:rPr>
          <w:rFonts w:hint="eastAsia" w:ascii="仿宋" w:hAnsi="仿宋" w:eastAsia="仿宋"/>
          <w:b/>
          <w:color w:val="auto"/>
          <w:sz w:val="32"/>
          <w:szCs w:val="32"/>
          <w:highlight w:val="none"/>
        </w:rPr>
        <w:t>（二）“三公”经费财政拨款支出决算具体情况说明</w:t>
      </w:r>
      <w:bookmarkEnd w:id="49"/>
    </w:p>
    <w:p>
      <w:pPr>
        <w:spacing w:line="576" w:lineRule="exact"/>
        <w:ind w:firstLine="640"/>
        <w:rPr>
          <w:rFonts w:ascii="仿宋" w:hAnsi="仿宋" w:eastAsia="仿宋"/>
          <w:color w:val="000000"/>
          <w:sz w:val="32"/>
          <w:szCs w:val="32"/>
        </w:rPr>
      </w:pPr>
      <w:r>
        <w:rPr>
          <w:rFonts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eastAsia="zh-CN"/>
        </w:rPr>
        <w:t>为0万元，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eastAsia="zh-CN"/>
        </w:rPr>
        <w:t>为0万元，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eastAsia="zh-CN"/>
        </w:rPr>
        <w:t>为0万元，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000000"/>
          <w:sz w:val="32"/>
          <w:szCs w:val="32"/>
        </w:rPr>
        <w:t>。</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。年初未安排预算，较202</w:t>
      </w:r>
      <w:r>
        <w:rPr>
          <w:rStyle w:val="14"/>
          <w:rFonts w:hint="eastAsia" w:ascii="仿宋" w:hAnsi="仿宋" w:eastAsia="仿宋"/>
          <w:b w:val="0"/>
          <w:bCs/>
          <w:color w:val="auto"/>
          <w:sz w:val="32"/>
          <w:szCs w:val="32"/>
          <w:highlight w:val="none"/>
          <w:lang w:val="en-US" w:eastAsia="zh-CN"/>
        </w:rPr>
        <w:t>1</w:t>
      </w:r>
      <w:r>
        <w:rPr>
          <w:rStyle w:val="14"/>
          <w:rFonts w:hint="eastAsia" w:ascii="仿宋" w:hAnsi="仿宋" w:eastAsia="仿宋"/>
          <w:b w:val="0"/>
          <w:bCs/>
          <w:color w:val="auto"/>
          <w:sz w:val="32"/>
          <w:szCs w:val="32"/>
          <w:highlight w:val="none"/>
        </w:rPr>
        <w:t>年无变化。</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。年初未安排预算，较202</w:t>
      </w:r>
      <w:r>
        <w:rPr>
          <w:rStyle w:val="14"/>
          <w:rFonts w:hint="eastAsia" w:ascii="仿宋" w:hAnsi="仿宋" w:eastAsia="仿宋"/>
          <w:b w:val="0"/>
          <w:bCs/>
          <w:color w:val="auto"/>
          <w:sz w:val="32"/>
          <w:szCs w:val="32"/>
          <w:highlight w:val="none"/>
          <w:lang w:val="en-US" w:eastAsia="zh-CN"/>
        </w:rPr>
        <w:t>1</w:t>
      </w:r>
      <w:r>
        <w:rPr>
          <w:rStyle w:val="14"/>
          <w:rFonts w:hint="eastAsia" w:ascii="仿宋" w:hAnsi="仿宋" w:eastAsia="仿宋"/>
          <w:b w:val="0"/>
          <w:bCs/>
          <w:color w:val="auto"/>
          <w:sz w:val="32"/>
          <w:szCs w:val="32"/>
          <w:highlight w:val="none"/>
        </w:rPr>
        <w:t>年无变化。</w:t>
      </w:r>
    </w:p>
    <w:p>
      <w:pPr>
        <w:spacing w:line="600" w:lineRule="exact"/>
        <w:ind w:firstLine="640" w:firstLineChars="200"/>
        <w:rPr>
          <w:rFonts w:ascii="仿宋_GB2312" w:eastAsia="仿宋_GB2312"/>
          <w:b/>
          <w:strike w:val="0"/>
          <w:dstrike w:val="0"/>
          <w:color w:val="auto"/>
          <w:sz w:val="32"/>
          <w:szCs w:val="32"/>
          <w:highlight w:val="none"/>
          <w:u w:val="none" w:color="auto"/>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strike w:val="0"/>
          <w:dstrike w:val="0"/>
          <w:color w:val="auto"/>
          <w:sz w:val="32"/>
          <w:szCs w:val="32"/>
          <w:highlight w:val="none"/>
          <w:u w:val="none" w:color="auto"/>
        </w:rPr>
        <w:t>截至</w:t>
      </w:r>
      <w:r>
        <w:rPr>
          <w:rFonts w:ascii="仿宋_GB2312" w:eastAsia="仿宋_GB2312"/>
          <w:strike w:val="0"/>
          <w:dstrike w:val="0"/>
          <w:color w:val="auto"/>
          <w:sz w:val="32"/>
          <w:szCs w:val="32"/>
          <w:highlight w:val="none"/>
          <w:u w:val="none" w:color="auto"/>
        </w:rPr>
        <w:t>20</w:t>
      </w:r>
      <w:r>
        <w:rPr>
          <w:rFonts w:hint="eastAsia" w:ascii="仿宋_GB2312" w:eastAsia="仿宋_GB2312"/>
          <w:strike w:val="0"/>
          <w:dstrike w:val="0"/>
          <w:color w:val="auto"/>
          <w:sz w:val="32"/>
          <w:szCs w:val="32"/>
          <w:highlight w:val="none"/>
          <w:u w:val="none" w:color="auto"/>
          <w:lang w:val="en-US" w:eastAsia="zh-CN"/>
        </w:rPr>
        <w:t>22</w:t>
      </w:r>
      <w:r>
        <w:rPr>
          <w:rFonts w:hint="eastAsia" w:ascii="仿宋_GB2312" w:eastAsia="仿宋_GB2312"/>
          <w:strike w:val="0"/>
          <w:dstrike w:val="0"/>
          <w:color w:val="auto"/>
          <w:sz w:val="32"/>
          <w:szCs w:val="32"/>
          <w:highlight w:val="none"/>
          <w:u w:val="none" w:color="auto"/>
        </w:rPr>
        <w:t>年</w:t>
      </w:r>
      <w:r>
        <w:rPr>
          <w:rFonts w:ascii="仿宋_GB2312" w:eastAsia="仿宋_GB2312"/>
          <w:strike w:val="0"/>
          <w:dstrike w:val="0"/>
          <w:color w:val="auto"/>
          <w:sz w:val="32"/>
          <w:szCs w:val="32"/>
          <w:highlight w:val="none"/>
          <w:u w:val="none" w:color="auto"/>
        </w:rPr>
        <w:t>12</w:t>
      </w:r>
      <w:r>
        <w:rPr>
          <w:rFonts w:hint="eastAsia" w:ascii="仿宋_GB2312" w:eastAsia="仿宋_GB2312"/>
          <w:strike w:val="0"/>
          <w:dstrike w:val="0"/>
          <w:color w:val="auto"/>
          <w:sz w:val="32"/>
          <w:szCs w:val="32"/>
          <w:highlight w:val="none"/>
          <w:u w:val="none" w:color="auto"/>
        </w:rPr>
        <w:t>月底，单位共有公务用车</w:t>
      </w:r>
      <w:r>
        <w:rPr>
          <w:rFonts w:hint="eastAsia" w:ascii="仿宋_GB2312" w:eastAsia="仿宋_GB2312"/>
          <w:strike w:val="0"/>
          <w:dstrike w:val="0"/>
          <w:color w:val="auto"/>
          <w:sz w:val="32"/>
          <w:szCs w:val="32"/>
          <w:highlight w:val="none"/>
          <w:u w:val="none" w:color="auto"/>
          <w:lang w:val="en-US" w:eastAsia="zh-CN"/>
        </w:rPr>
        <w:t>1</w:t>
      </w:r>
      <w:r>
        <w:rPr>
          <w:rFonts w:hint="eastAsia" w:ascii="仿宋_GB2312" w:eastAsia="仿宋_GB2312"/>
          <w:strike w:val="0"/>
          <w:dstrike w:val="0"/>
          <w:color w:val="auto"/>
          <w:sz w:val="32"/>
          <w:szCs w:val="32"/>
          <w:highlight w:val="none"/>
          <w:u w:val="none" w:color="auto"/>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年初未安排预算，较202</w:t>
      </w:r>
      <w:r>
        <w:rPr>
          <w:rStyle w:val="14"/>
          <w:rFonts w:hint="eastAsia" w:ascii="仿宋" w:hAnsi="仿宋" w:eastAsia="仿宋"/>
          <w:b w:val="0"/>
          <w:bCs/>
          <w:color w:val="auto"/>
          <w:sz w:val="32"/>
          <w:szCs w:val="32"/>
          <w:highlight w:val="none"/>
          <w:lang w:val="en-US" w:eastAsia="zh-CN"/>
        </w:rPr>
        <w:t>1</w:t>
      </w:r>
      <w:r>
        <w:rPr>
          <w:rStyle w:val="14"/>
          <w:rFonts w:hint="eastAsia" w:ascii="仿宋" w:hAnsi="仿宋" w:eastAsia="仿宋"/>
          <w:b w:val="0"/>
          <w:bCs/>
          <w:color w:val="auto"/>
          <w:sz w:val="32"/>
          <w:szCs w:val="32"/>
          <w:highlight w:val="none"/>
        </w:rPr>
        <w:t>年无变化。</w:t>
      </w:r>
    </w:p>
    <w:p>
      <w:pPr>
        <w:numPr>
          <w:ilvl w:val="0"/>
          <w:numId w:val="3"/>
        </w:numPr>
        <w:spacing w:line="600" w:lineRule="exact"/>
        <w:ind w:left="0" w:leftChars="0" w:firstLine="803" w:firstLineChars="250"/>
        <w:rPr>
          <w:rFonts w:hint="eastAsia" w:ascii="仿宋_GB2312" w:eastAsia="仿宋_GB2312"/>
          <w:color w:val="auto"/>
          <w:sz w:val="32"/>
          <w:szCs w:val="32"/>
          <w:highlight w:val="none"/>
          <w:lang w:eastAsia="zh-CN"/>
        </w:rPr>
      </w:pP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年初未安排预算</w:t>
      </w:r>
      <w:r>
        <w:rPr>
          <w:rFonts w:hint="eastAsia" w:ascii="仿宋_GB2312" w:eastAsia="仿宋_GB2312"/>
          <w:color w:val="auto"/>
          <w:sz w:val="32"/>
          <w:szCs w:val="32"/>
          <w:highlight w:val="none"/>
          <w:lang w:eastAsia="zh-CN"/>
        </w:rPr>
        <w:t>，较202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年无变化。</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3"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outlineLvl w:val="1"/>
        <w:rPr>
          <w:rStyle w:val="25"/>
          <w:rFonts w:ascii="黑体" w:hAnsi="黑体" w:eastAsia="黑体"/>
          <w:color w:val="auto"/>
          <w:highlight w:val="none"/>
        </w:rPr>
      </w:pPr>
      <w:bookmarkStart w:id="50" w:name="_Toc15377218"/>
      <w:bookmarkStart w:id="51" w:name="_Toc25477"/>
      <w:bookmarkStart w:id="52" w:name="_Toc15396610"/>
      <w:r>
        <w:rPr>
          <w:rFonts w:hint="eastAsia" w:ascii="黑体" w:eastAsia="黑体"/>
          <w:color w:val="auto"/>
          <w:sz w:val="32"/>
          <w:szCs w:val="32"/>
          <w:highlight w:val="none"/>
        </w:rPr>
        <w:t>八、</w:t>
      </w:r>
      <w:r>
        <w:rPr>
          <w:rStyle w:val="25"/>
          <w:rFonts w:hint="eastAsia" w:ascii="黑体" w:hAnsi="黑体" w:eastAsia="黑体"/>
          <w:b w:val="0"/>
          <w:color w:val="auto"/>
          <w:highlight w:val="none"/>
        </w:rPr>
        <w:t>政府性基金预算支出决算情况说明</w:t>
      </w:r>
      <w:bookmarkEnd w:id="50"/>
      <w:bookmarkEnd w:id="51"/>
      <w:bookmarkEnd w:id="52"/>
    </w:p>
    <w:p>
      <w:pPr>
        <w:spacing w:line="600" w:lineRule="exact"/>
        <w:ind w:firstLine="640" w:firstLineChars="200"/>
        <w:rPr>
          <w:rFonts w:hint="eastAsia" w:ascii="仿宋_GB2312" w:eastAsia="仿宋_GB2312"/>
          <w:color w:val="000000"/>
          <w:sz w:val="32"/>
          <w:szCs w:val="32"/>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bookmarkStart w:id="53" w:name="_Toc15377219"/>
      <w:bookmarkStart w:id="54" w:name="_Toc15396611"/>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年无变化</w:t>
      </w:r>
      <w:r>
        <w:rPr>
          <w:rFonts w:hint="eastAsia" w:ascii="仿宋" w:hAnsi="仿宋" w:eastAsia="仿宋"/>
          <w:color w:val="000000"/>
          <w:sz w:val="32"/>
          <w:szCs w:val="32"/>
        </w:rPr>
        <w:t>，未在政府性基金预算拨款安排“三公经费”支出。</w:t>
      </w:r>
    </w:p>
    <w:p>
      <w:pPr>
        <w:numPr>
          <w:ilvl w:val="0"/>
          <w:numId w:val="4"/>
        </w:numPr>
        <w:spacing w:line="600" w:lineRule="exact"/>
        <w:ind w:firstLine="640"/>
        <w:outlineLvl w:val="1"/>
        <w:rPr>
          <w:rStyle w:val="25"/>
          <w:rFonts w:ascii="黑体" w:hAnsi="黑体" w:eastAsia="黑体"/>
          <w:b w:val="0"/>
          <w:color w:val="auto"/>
          <w:highlight w:val="none"/>
        </w:rPr>
      </w:pPr>
      <w:bookmarkStart w:id="55" w:name="_Toc1474"/>
      <w:r>
        <w:rPr>
          <w:rStyle w:val="25"/>
          <w:rFonts w:hint="eastAsia" w:ascii="黑体" w:hAnsi="黑体" w:eastAsia="黑体"/>
          <w:b w:val="0"/>
          <w:color w:val="auto"/>
          <w:highlight w:val="none"/>
        </w:rPr>
        <w:t>国有资本经营预算支出决算情况说明</w:t>
      </w:r>
      <w:bookmarkEnd w:id="53"/>
      <w:bookmarkEnd w:id="54"/>
      <w:bookmarkEnd w:id="55"/>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25"/>
          <w:rFonts w:hint="eastAsia" w:ascii="黑体" w:hAnsi="黑体" w:eastAsia="黑体"/>
          <w:b w:val="0"/>
          <w:color w:val="auto"/>
          <w:highlight w:val="none"/>
        </w:rPr>
      </w:pPr>
      <w:bookmarkStart w:id="56" w:name="_Toc15396612"/>
      <w:bookmarkStart w:id="57" w:name="_Toc4784"/>
      <w:bookmarkStart w:id="58" w:name="_Toc15377221"/>
      <w:r>
        <w:rPr>
          <w:rStyle w:val="25"/>
          <w:rFonts w:hint="eastAsia" w:ascii="黑体" w:hAnsi="黑体" w:eastAsia="黑体"/>
          <w:b w:val="0"/>
          <w:color w:val="auto"/>
          <w:highlight w:val="none"/>
        </w:rPr>
        <w:t>其他重要事项的情况说明</w:t>
      </w:r>
      <w:bookmarkEnd w:id="56"/>
      <w:bookmarkEnd w:id="57"/>
      <w:bookmarkEnd w:id="58"/>
    </w:p>
    <w:p>
      <w:pPr>
        <w:spacing w:line="600" w:lineRule="exact"/>
        <w:ind w:firstLine="643" w:firstLineChars="200"/>
        <w:outlineLvl w:val="2"/>
        <w:rPr>
          <w:rFonts w:ascii="仿宋" w:hAnsi="仿宋" w:eastAsia="仿宋"/>
          <w:color w:val="auto"/>
          <w:sz w:val="32"/>
          <w:szCs w:val="32"/>
          <w:highlight w:val="none"/>
        </w:rPr>
      </w:pPr>
      <w:bookmarkStart w:id="59" w:name="_Toc15377222"/>
      <w:r>
        <w:rPr>
          <w:rFonts w:hint="eastAsia" w:ascii="仿宋" w:hAnsi="仿宋" w:eastAsia="仿宋"/>
          <w:b/>
          <w:color w:val="auto"/>
          <w:sz w:val="32"/>
          <w:szCs w:val="32"/>
          <w:highlight w:val="none"/>
        </w:rPr>
        <w:t>（一）机关运行经费支出情况</w:t>
      </w:r>
      <w:bookmarkEnd w:id="59"/>
    </w:p>
    <w:p>
      <w:pPr>
        <w:spacing w:line="600" w:lineRule="exact"/>
        <w:ind w:firstLine="640" w:firstLineChars="200"/>
        <w:rPr>
          <w:rFonts w:hint="eastAsia" w:ascii="仿宋" w:hAnsi="仿宋" w:eastAsia="仿宋_GB2312"/>
          <w:b/>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bookmarkStart w:id="60" w:name="_Toc15377223"/>
      <w:r>
        <w:rPr>
          <w:rFonts w:hint="eastAsia" w:ascii="仿宋_GB2312" w:eastAsia="仿宋_GB2312"/>
          <w:color w:val="auto"/>
          <w:sz w:val="32"/>
          <w:szCs w:val="32"/>
          <w:highlight w:val="none"/>
        </w:rPr>
        <w:t>年未发生机关运行经费支出，与202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0"/>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年，政府采购支出总额304.58元，其中：政府采购货物支出106.86万元、政府采购工程支出197.73万元。主要用于</w:t>
      </w:r>
      <w:r>
        <w:rPr>
          <w:rFonts w:hint="eastAsia" w:ascii="仿宋_GB2312" w:eastAsia="仿宋_GB2312"/>
          <w:color w:val="auto"/>
          <w:sz w:val="32"/>
          <w:szCs w:val="32"/>
          <w:highlight w:val="none"/>
          <w:lang w:val="en-US" w:eastAsia="zh-CN"/>
        </w:rPr>
        <w:t>教学楼</w:t>
      </w:r>
      <w:r>
        <w:rPr>
          <w:rFonts w:hint="eastAsia" w:ascii="仿宋_GB2312" w:eastAsia="仿宋_GB2312"/>
          <w:sz w:val="32"/>
          <w:szCs w:val="32"/>
        </w:rPr>
        <w:t>博文楼</w:t>
      </w:r>
      <w:r>
        <w:rPr>
          <w:rFonts w:hint="eastAsia" w:ascii="仿宋_GB2312" w:eastAsia="仿宋_GB2312"/>
          <w:sz w:val="32"/>
          <w:szCs w:val="32"/>
          <w:lang w:val="en-US" w:eastAsia="zh-CN"/>
        </w:rPr>
        <w:t>及学生公寓</w:t>
      </w:r>
      <w:r>
        <w:rPr>
          <w:rFonts w:hint="eastAsia" w:ascii="仿宋_GB2312" w:eastAsia="仿宋_GB2312"/>
          <w:sz w:val="32"/>
          <w:szCs w:val="32"/>
        </w:rPr>
        <w:t>博慧楼维修项目197.73万元、课桌、公寓床、餐桌</w:t>
      </w:r>
      <w:r>
        <w:rPr>
          <w:rFonts w:hint="eastAsia" w:ascii="仿宋_GB2312" w:eastAsia="仿宋_GB2312"/>
          <w:sz w:val="32"/>
          <w:szCs w:val="32"/>
          <w:lang w:val="en-US" w:eastAsia="zh-CN"/>
        </w:rPr>
        <w:t>等</w:t>
      </w:r>
      <w:r>
        <w:rPr>
          <w:rFonts w:hint="eastAsia" w:ascii="仿宋_GB2312" w:eastAsia="仿宋_GB2312"/>
          <w:sz w:val="32"/>
          <w:szCs w:val="32"/>
        </w:rPr>
        <w:t>采购67.78万元，安防系统采购35.83万元、教学</w:t>
      </w:r>
      <w:r>
        <w:rPr>
          <w:rFonts w:hint="eastAsia" w:ascii="仿宋_GB2312" w:eastAsia="仿宋_GB2312"/>
          <w:sz w:val="32"/>
          <w:szCs w:val="32"/>
          <w:lang w:val="en-US" w:eastAsia="zh-CN"/>
        </w:rPr>
        <w:t>设</w:t>
      </w:r>
      <w:r>
        <w:rPr>
          <w:rFonts w:hint="eastAsia" w:ascii="仿宋_GB2312" w:eastAsia="仿宋_GB2312"/>
          <w:sz w:val="32"/>
          <w:szCs w:val="32"/>
        </w:rPr>
        <w:t>施设备采购3.24万元。</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304.58</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304.58</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1" w:name="_Toc15377224"/>
      <w:r>
        <w:rPr>
          <w:rFonts w:hint="eastAsia" w:ascii="仿宋" w:hAnsi="仿宋" w:eastAsia="仿宋"/>
          <w:b/>
          <w:color w:val="auto"/>
          <w:sz w:val="32"/>
          <w:szCs w:val="32"/>
          <w:highlight w:val="none"/>
        </w:rPr>
        <w:t>（三）国有资产占有使用情况</w:t>
      </w:r>
      <w:bookmarkEnd w:id="61"/>
    </w:p>
    <w:p>
      <w:pPr>
        <w:autoSpaceDE w:val="0"/>
        <w:autoSpaceDN w:val="0"/>
        <w:adjustRightInd w:val="0"/>
        <w:spacing w:line="600" w:lineRule="exact"/>
        <w:ind w:firstLine="640" w:firstLineChars="200"/>
        <w:jc w:val="left"/>
        <w:outlineLvl w:val="2"/>
        <w:rPr>
          <w:rFonts w:hint="eastAsia" w:ascii="仿宋" w:hAnsi="仿宋" w:eastAsia="仿宋"/>
          <w:color w:val="000000"/>
          <w:sz w:val="32"/>
          <w:szCs w:val="32"/>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我校</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 w:hAnsi="仿宋" w:eastAsia="仿宋"/>
          <w:color w:val="000000"/>
          <w:sz w:val="32"/>
          <w:szCs w:val="32"/>
          <w:lang w:eastAsia="zh-CN"/>
        </w:rPr>
        <w:t>学校日常工作开展等方面。</w:t>
      </w:r>
      <w:r>
        <w:rPr>
          <w:rFonts w:hint="eastAsia" w:ascii="仿宋" w:hAnsi="仿宋" w:eastAsia="仿宋"/>
          <w:color w:val="000000"/>
          <w:sz w:val="32"/>
          <w:szCs w:val="32"/>
        </w:rPr>
        <w:t>单价</w:t>
      </w:r>
      <w:r>
        <w:rPr>
          <w:rFonts w:ascii="仿宋" w:hAnsi="仿宋" w:eastAsia="仿宋"/>
          <w:color w:val="000000"/>
          <w:sz w:val="32"/>
          <w:szCs w:val="32"/>
        </w:rPr>
        <w:t>100</w:t>
      </w:r>
      <w:r>
        <w:rPr>
          <w:rFonts w:hint="eastAsia" w:ascii="仿宋" w:hAnsi="仿宋" w:eastAsia="仿宋"/>
          <w:color w:val="000000"/>
          <w:sz w:val="32"/>
          <w:szCs w:val="32"/>
        </w:rPr>
        <w:t>万元以上专用设备</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rPr>
        <w:t>号学生公寓项目建设等</w:t>
      </w:r>
      <w:r>
        <w:rPr>
          <w:rFonts w:hint="eastAsia" w:hAnsi="仿宋_GB2312" w:cs="仿宋_GB2312"/>
          <w:color w:val="auto"/>
          <w:sz w:val="32"/>
          <w:szCs w:val="32"/>
          <w:highlight w:val="none"/>
          <w:lang w:val="en-US" w:eastAsia="zh-CN"/>
        </w:rPr>
        <w:t>18</w:t>
      </w:r>
      <w:r>
        <w:rPr>
          <w:rFonts w:hint="eastAsia" w:ascii="仿宋_GB2312" w:hAnsi="仿宋_GB2312" w:eastAsia="仿宋_GB2312" w:cs="仿宋_GB2312"/>
          <w:color w:val="auto"/>
          <w:sz w:val="32"/>
          <w:szCs w:val="32"/>
          <w:highlight w:val="none"/>
        </w:rPr>
        <w:t>项目开展了预算事前绩效评估，</w:t>
      </w:r>
      <w:r>
        <w:rPr>
          <w:rFonts w:hint="eastAsia" w:hAnsi="仿宋_GB2312" w:cs="仿宋_GB2312"/>
          <w:color w:val="auto"/>
          <w:sz w:val="32"/>
          <w:szCs w:val="32"/>
          <w:highlight w:val="none"/>
          <w:lang w:val="en-US" w:eastAsia="zh-CN"/>
        </w:rPr>
        <w:t>并同步</w:t>
      </w:r>
      <w:r>
        <w:rPr>
          <w:rFonts w:hint="eastAsia" w:ascii="仿宋_GB2312" w:hAnsi="仿宋_GB2312" w:eastAsia="仿宋_GB2312" w:cs="仿宋_GB2312"/>
          <w:color w:val="auto"/>
          <w:sz w:val="32"/>
          <w:szCs w:val="32"/>
          <w:highlight w:val="none"/>
        </w:rPr>
        <w:t>编制了绩效目标，预算执行过程中，选取</w:t>
      </w:r>
      <w:r>
        <w:rPr>
          <w:rFonts w:hint="eastAsia"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18</w:t>
      </w:r>
      <w:r>
        <w:rPr>
          <w:rFonts w:hint="eastAsia" w:ascii="仿宋_GB2312" w:hAnsi="仿宋_GB2312" w:eastAsia="仿宋_GB2312" w:cs="仿宋_GB2312"/>
          <w:color w:val="auto"/>
          <w:sz w:val="32"/>
          <w:szCs w:val="32"/>
          <w:highlight w:val="none"/>
        </w:rPr>
        <w:t>个项目开展绩效自评，绩效自评表详见附件。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24"/>
          <w:rFonts w:ascii="黑体" w:hAnsi="黑体" w:eastAsia="黑体"/>
          <w:b w:val="0"/>
          <w:color w:val="auto"/>
          <w:highlight w:val="none"/>
        </w:rPr>
      </w:pPr>
      <w:bookmarkStart w:id="62" w:name="_Toc9127"/>
      <w:bookmarkStart w:id="63" w:name="_Toc15377225"/>
      <w:bookmarkStart w:id="64" w:name="_Toc15396613"/>
      <w:r>
        <w:rPr>
          <w:rFonts w:hint="eastAsia" w:ascii="黑体" w:hAnsi="黑体" w:eastAsia="黑体"/>
          <w:color w:val="auto"/>
          <w:sz w:val="44"/>
          <w:szCs w:val="44"/>
          <w:highlight w:val="none"/>
        </w:rPr>
        <w:t>名</w:t>
      </w:r>
      <w:r>
        <w:rPr>
          <w:rStyle w:val="24"/>
          <w:rFonts w:hint="eastAsia" w:ascii="黑体" w:hAnsi="黑体" w:eastAsia="黑体"/>
          <w:b w:val="0"/>
          <w:color w:val="auto"/>
          <w:highlight w:val="none"/>
        </w:rPr>
        <w:t>词解释</w:t>
      </w:r>
      <w:bookmarkEnd w:id="62"/>
      <w:bookmarkEnd w:id="63"/>
      <w:bookmarkEnd w:id="64"/>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事业收入：指单位开展专业业务活动及辅助活动取得的收入</w:t>
      </w:r>
      <w:r>
        <w:rPr>
          <w:rFonts w:hint="eastAsia" w:ascii="仿宋_GB2312" w:eastAsia="仿宋_GB2312"/>
          <w:color w:val="auto"/>
          <w:sz w:val="32"/>
          <w:szCs w:val="32"/>
          <w:highlight w:val="none"/>
          <w:lang w:eastAsia="zh-CN"/>
        </w:rPr>
        <w:t>，</w:t>
      </w:r>
      <w:r>
        <w:rPr>
          <w:rFonts w:hint="eastAsia" w:ascii="仿宋_GB2312" w:eastAsia="仿宋_GB2312"/>
          <w:color w:val="000000"/>
          <w:sz w:val="32"/>
          <w:szCs w:val="32"/>
        </w:rPr>
        <w:t>如学费、住宿费等</w:t>
      </w:r>
      <w:r>
        <w:rPr>
          <w:rFonts w:hint="eastAsia" w:ascii="仿宋_GB2312" w:eastAsia="仿宋_GB2312"/>
          <w:color w:val="auto"/>
          <w:sz w:val="32"/>
          <w:szCs w:val="32"/>
          <w:highlight w:val="none"/>
        </w:rPr>
        <w:t>。</w:t>
      </w: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2"/>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年末结转和结余：指单位按有关规定结转到下年或以后年度继续使用的资金。</w:t>
      </w:r>
    </w:p>
    <w:p>
      <w:pPr>
        <w:spacing w:line="560" w:lineRule="exact"/>
        <w:ind w:firstLine="640" w:firstLineChars="200"/>
        <w:rPr>
          <w:rFonts w:ascii="仿宋_GB2312" w:hAnsi="Calibri" w:eastAsia="仿宋_GB2312" w:cs="仿宋"/>
          <w:color w:val="000000"/>
          <w:kern w:val="0"/>
          <w:sz w:val="32"/>
          <w:szCs w:val="32"/>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教育</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val="en-US" w:eastAsia="zh-CN"/>
        </w:rPr>
        <w:t>普通教育</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高中教育</w:t>
      </w:r>
      <w:r>
        <w:rPr>
          <w:rFonts w:hint="eastAsia" w:ascii="仿宋_GB2312" w:eastAsia="仿宋_GB2312"/>
          <w:color w:val="auto"/>
          <w:sz w:val="32"/>
          <w:szCs w:val="32"/>
          <w:highlight w:val="none"/>
        </w:rPr>
        <w:t>（项）：指</w:t>
      </w:r>
      <w:r>
        <w:rPr>
          <w:rFonts w:hint="eastAsia" w:ascii="仿宋_GB2312" w:hAnsi="Calibri" w:eastAsia="仿宋_GB2312" w:cs="仿宋"/>
          <w:color w:val="000000"/>
          <w:kern w:val="0"/>
          <w:sz w:val="32"/>
          <w:szCs w:val="32"/>
        </w:rPr>
        <w:t>高中</w:t>
      </w:r>
      <w:r>
        <w:rPr>
          <w:rFonts w:ascii="仿宋_GB2312" w:hAnsi="Calibri" w:eastAsia="仿宋_GB2312" w:cs="仿宋"/>
          <w:color w:val="000000"/>
          <w:kern w:val="0"/>
          <w:sz w:val="32"/>
          <w:szCs w:val="32"/>
        </w:rPr>
        <w:t>普通教育方面的支出。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社会保障和就业（类）</w:t>
      </w:r>
      <w:r>
        <w:rPr>
          <w:rFonts w:hint="eastAsia" w:ascii="仿宋_GB2312" w:eastAsia="仿宋_GB2312"/>
          <w:color w:val="auto"/>
          <w:sz w:val="32"/>
          <w:szCs w:val="32"/>
          <w:highlight w:val="none"/>
          <w:lang w:val="en-US" w:eastAsia="zh-CN"/>
        </w:rPr>
        <w:t>行政事业单位养老支出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机关事业单位养老保险缴费支出</w:t>
      </w:r>
      <w:r>
        <w:rPr>
          <w:rFonts w:hint="eastAsia" w:ascii="仿宋_GB2312" w:eastAsia="仿宋_GB2312"/>
          <w:color w:val="auto"/>
          <w:sz w:val="32"/>
          <w:szCs w:val="32"/>
          <w:highlight w:val="none"/>
        </w:rPr>
        <w:t>（项）：指</w:t>
      </w:r>
      <w:r>
        <w:rPr>
          <w:rFonts w:hint="eastAsia" w:ascii="仿宋_GB2312" w:eastAsia="仿宋_GB2312"/>
          <w:color w:val="auto"/>
          <w:sz w:val="32"/>
          <w:szCs w:val="32"/>
          <w:highlight w:val="none"/>
          <w:lang w:val="en-US" w:eastAsia="zh-CN"/>
        </w:rPr>
        <w:t>本单位</w:t>
      </w:r>
      <w:r>
        <w:rPr>
          <w:rFonts w:ascii="仿宋_GB2312" w:hAnsi="Calibri" w:eastAsia="仿宋_GB2312" w:cs="仿宋"/>
          <w:color w:val="000000"/>
          <w:kern w:val="0"/>
          <w:sz w:val="32"/>
          <w:szCs w:val="32"/>
        </w:rPr>
        <w:t>实施养老保险制度由单位缴纳的基本养老保险费支出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社会保障和就业（类）</w:t>
      </w:r>
      <w:r>
        <w:rPr>
          <w:rFonts w:hint="eastAsia" w:ascii="仿宋_GB2312" w:eastAsia="仿宋_GB2312"/>
          <w:color w:val="auto"/>
          <w:sz w:val="32"/>
          <w:szCs w:val="32"/>
          <w:highlight w:val="none"/>
          <w:lang w:val="en-US" w:eastAsia="zh-CN"/>
        </w:rPr>
        <w:t>行政事业单位养老支出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机关事业单位职业年金</w:t>
      </w:r>
      <w:r>
        <w:rPr>
          <w:rFonts w:hint="eastAsia" w:ascii="仿宋_GB2312" w:hAnsi="Times New Roman" w:eastAsia="仿宋_GB2312" w:cs="Times New Roman"/>
          <w:color w:val="auto"/>
          <w:kern w:val="2"/>
          <w:sz w:val="32"/>
          <w:szCs w:val="32"/>
          <w:highlight w:val="none"/>
          <w:lang w:val="en-US" w:eastAsia="zh-CN" w:bidi="ar-SA"/>
        </w:rPr>
        <w:t>缴费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（项）：指</w:t>
      </w:r>
      <w:r>
        <w:rPr>
          <w:rFonts w:hint="eastAsia" w:ascii="仿宋_GB2312" w:eastAsia="仿宋_GB2312"/>
          <w:color w:val="auto"/>
          <w:sz w:val="32"/>
          <w:szCs w:val="32"/>
          <w:highlight w:val="none"/>
          <w:lang w:val="en-US" w:eastAsia="zh-CN"/>
        </w:rPr>
        <w:t>本单位</w:t>
      </w:r>
      <w:r>
        <w:rPr>
          <w:rFonts w:ascii="仿宋_GB2312" w:hAnsi="Calibri" w:eastAsia="仿宋_GB2312" w:cs="仿宋"/>
          <w:color w:val="000000"/>
          <w:kern w:val="0"/>
          <w:sz w:val="32"/>
          <w:szCs w:val="32"/>
        </w:rPr>
        <w:t>实施养老保险制度由单位缴纳的</w:t>
      </w:r>
      <w:r>
        <w:rPr>
          <w:rFonts w:hint="eastAsia" w:ascii="仿宋_GB2312" w:hAnsi="Calibri" w:eastAsia="仿宋_GB2312" w:cs="仿宋"/>
          <w:color w:val="000000"/>
          <w:kern w:val="0"/>
          <w:sz w:val="32"/>
          <w:szCs w:val="32"/>
          <w:lang w:val="en-US" w:eastAsia="zh-CN"/>
        </w:rPr>
        <w:t>职业年金</w:t>
      </w:r>
      <w:r>
        <w:rPr>
          <w:rFonts w:ascii="仿宋_GB2312" w:hAnsi="Calibri" w:eastAsia="仿宋_GB2312" w:cs="仿宋"/>
          <w:color w:val="000000"/>
          <w:kern w:val="0"/>
          <w:sz w:val="32"/>
          <w:szCs w:val="32"/>
        </w:rPr>
        <w:t>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社会保障和就业（类）</w:t>
      </w:r>
      <w:r>
        <w:rPr>
          <w:rFonts w:hint="eastAsia" w:ascii="仿宋_GB2312" w:eastAsia="仿宋_GB2312"/>
          <w:color w:val="auto"/>
          <w:sz w:val="32"/>
          <w:szCs w:val="32"/>
          <w:highlight w:val="none"/>
          <w:lang w:val="en-US" w:eastAsia="zh-CN"/>
        </w:rPr>
        <w:t>其他社会保障和就业支出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其他社会保障和就业支出</w:t>
      </w:r>
      <w:r>
        <w:rPr>
          <w:rFonts w:hint="eastAsia" w:ascii="仿宋_GB2312" w:eastAsia="仿宋_GB2312"/>
          <w:color w:val="auto"/>
          <w:sz w:val="32"/>
          <w:szCs w:val="32"/>
          <w:highlight w:val="none"/>
        </w:rPr>
        <w:t>（项）：指</w:t>
      </w:r>
      <w:r>
        <w:rPr>
          <w:rFonts w:hint="eastAsia" w:ascii="仿宋_GB2312" w:eastAsia="仿宋_GB2312"/>
          <w:color w:val="auto"/>
          <w:sz w:val="32"/>
          <w:szCs w:val="32"/>
          <w:highlight w:val="none"/>
          <w:lang w:val="en-US" w:eastAsia="zh-CN"/>
        </w:rPr>
        <w:t>本单位</w:t>
      </w:r>
      <w:r>
        <w:rPr>
          <w:rFonts w:hint="eastAsia" w:ascii="仿宋_GB2312" w:hAnsi="Calibri" w:eastAsia="仿宋_GB2312" w:cs="仿宋"/>
          <w:color w:val="000000"/>
          <w:kern w:val="0"/>
          <w:sz w:val="32"/>
          <w:szCs w:val="32"/>
          <w:lang w:val="en-US" w:eastAsia="zh-CN"/>
        </w:rPr>
        <w:t>工伤、失业保险等方面的</w:t>
      </w:r>
      <w:r>
        <w:rPr>
          <w:rFonts w:ascii="仿宋_GB2312" w:hAnsi="Calibri" w:eastAsia="仿宋_GB2312" w:cs="仿宋"/>
          <w:color w:val="000000"/>
          <w:kern w:val="0"/>
          <w:sz w:val="32"/>
          <w:szCs w:val="32"/>
        </w:rPr>
        <w:t>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卫生健康支出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val="en-US" w:eastAsia="zh-CN"/>
        </w:rPr>
        <w:t>行政事业单位医疗</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事业单位医疗</w:t>
      </w:r>
      <w:r>
        <w:rPr>
          <w:rFonts w:hint="eastAsia" w:ascii="仿宋_GB2312" w:eastAsia="仿宋_GB2312"/>
          <w:color w:val="auto"/>
          <w:sz w:val="32"/>
          <w:szCs w:val="32"/>
          <w:highlight w:val="none"/>
        </w:rPr>
        <w:t>（项）：指</w:t>
      </w:r>
      <w:r>
        <w:rPr>
          <w:rFonts w:hint="eastAsia" w:ascii="仿宋_GB2312" w:eastAsia="仿宋_GB2312"/>
          <w:color w:val="auto"/>
          <w:sz w:val="32"/>
          <w:szCs w:val="32"/>
          <w:highlight w:val="none"/>
          <w:lang w:val="en-US" w:eastAsia="zh-CN"/>
        </w:rPr>
        <w:t>我单位财政部门安排的医疗保险缴费经费</w:t>
      </w:r>
      <w:r>
        <w:rPr>
          <w:rFonts w:hint="eastAsia" w:ascii="仿宋_GB2312" w:eastAsia="仿宋_GB2312"/>
          <w:color w:val="auto"/>
          <w:sz w:val="32"/>
          <w:szCs w:val="32"/>
          <w:highlight w:val="none"/>
        </w:rPr>
        <w:t>。</w:t>
      </w:r>
    </w:p>
    <w:p>
      <w:pPr>
        <w:ind w:firstLine="640" w:firstLineChars="200"/>
        <w:rPr>
          <w:rFonts w:ascii="仿宋_GB2312" w:hAnsi="Calibri" w:eastAsia="仿宋_GB2312" w:cs="仿宋"/>
          <w:color w:val="000000"/>
          <w:kern w:val="0"/>
          <w:sz w:val="32"/>
          <w:szCs w:val="32"/>
        </w:rPr>
      </w:pPr>
      <w:r>
        <w:rPr>
          <w:rFonts w:hint="eastAsia" w:ascii="仿宋_GB2312" w:eastAsia="仿宋_GB2312"/>
          <w:color w:val="auto"/>
          <w:sz w:val="32"/>
          <w:szCs w:val="32"/>
          <w:highlight w:val="none"/>
          <w:lang w:val="en-US" w:eastAsia="zh-CN"/>
        </w:rPr>
        <w:t>10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住房保障（类）</w:t>
      </w:r>
      <w:r>
        <w:rPr>
          <w:rFonts w:hint="eastAsia" w:ascii="仿宋_GB2312" w:eastAsia="仿宋_GB2312"/>
          <w:color w:val="auto"/>
          <w:sz w:val="32"/>
          <w:szCs w:val="32"/>
          <w:highlight w:val="none"/>
          <w:lang w:val="en-US" w:eastAsia="zh-CN"/>
        </w:rPr>
        <w:t>住房改革支出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住房公积金</w:t>
      </w:r>
      <w:r>
        <w:rPr>
          <w:rFonts w:hint="eastAsia" w:ascii="仿宋_GB2312" w:eastAsia="仿宋_GB2312"/>
          <w:color w:val="auto"/>
          <w:sz w:val="32"/>
          <w:szCs w:val="32"/>
          <w:highlight w:val="none"/>
        </w:rPr>
        <w:t>（项）：指</w:t>
      </w:r>
      <w:r>
        <w:rPr>
          <w:rFonts w:hint="eastAsia" w:ascii="仿宋_GB2312" w:hAnsi="Calibri" w:eastAsia="仿宋_GB2312" w:cs="仿宋"/>
          <w:color w:val="000000"/>
          <w:kern w:val="0"/>
          <w:sz w:val="32"/>
          <w:szCs w:val="32"/>
          <w:lang w:val="en-US" w:eastAsia="zh-CN"/>
        </w:rPr>
        <w:t>本单位</w:t>
      </w:r>
      <w:r>
        <w:rPr>
          <w:rFonts w:ascii="仿宋_GB2312" w:hAnsi="Calibri" w:eastAsia="仿宋_GB2312" w:cs="仿宋"/>
          <w:color w:val="000000"/>
          <w:kern w:val="0"/>
          <w:sz w:val="32"/>
          <w:szCs w:val="32"/>
        </w:rPr>
        <w:t>按人力资源和社会保障部、财政部规定的基本工资和津贴补贴以及规定比例为职工缴纳的住房公积金。</w:t>
      </w:r>
    </w:p>
    <w:p>
      <w:pPr>
        <w:pStyle w:val="9"/>
        <w:pBdr>
          <w:top w:val="none" w:color="auto" w:sz="0" w:space="0"/>
          <w:left w:val="none" w:color="auto" w:sz="0" w:space="0"/>
          <w:bottom w:val="none" w:color="auto" w:sz="0" w:space="0"/>
          <w:right w:val="none" w:color="auto" w:sz="0" w:space="0"/>
          <w:between w:val="none" w:color="auto" w:sz="0" w:space="0"/>
        </w:pBdr>
        <w:spacing w:line="360" w:lineRule="auto"/>
        <w:jc w:val="left"/>
        <w:rPr>
          <w:rFonts w:hint="default" w:ascii="仿宋_GB2312" w:hAnsi="Calibri" w:eastAsia="仿宋_GB2312" w:cs="仿宋"/>
          <w:color w:val="000000"/>
          <w:kern w:val="0"/>
          <w:sz w:val="32"/>
          <w:szCs w:val="32"/>
          <w:lang w:val="en-US" w:eastAsia="zh-CN" w:bidi="ar-SA"/>
        </w:rPr>
      </w:pPr>
      <w:r>
        <w:rPr>
          <w:rFonts w:hint="eastAsia" w:ascii="仿宋_GB2312" w:eastAsia="仿宋_GB2312" w:cs="Times New Roman"/>
          <w:color w:val="000000"/>
          <w:sz w:val="32"/>
          <w:szCs w:val="32"/>
          <w:lang w:val="en-US" w:eastAsia="zh-CN"/>
        </w:rPr>
        <w:t xml:space="preserve">    11.</w:t>
      </w:r>
      <w:r>
        <w:rPr>
          <w:rFonts w:hint="eastAsia" w:ascii="仿宋_GB2312" w:hAnsi="Calibri" w:eastAsia="仿宋_GB2312" w:cs="仿宋"/>
          <w:color w:val="000000"/>
          <w:kern w:val="0"/>
          <w:sz w:val="32"/>
          <w:szCs w:val="32"/>
          <w:lang w:val="en-US" w:eastAsia="zh-CN" w:bidi="ar-SA"/>
        </w:rPr>
        <w:t>其他支出（类）其他支出（款）其他支出（项）：指反映除上述项目以外其他不能划分到具体功能科目中的支出项目。</w:t>
      </w:r>
    </w:p>
    <w:p>
      <w:pPr>
        <w:pBdr>
          <w:top w:val="none" w:color="auto" w:sz="0" w:space="0"/>
          <w:left w:val="none" w:color="auto" w:sz="0" w:space="0"/>
          <w:bottom w:val="none" w:color="auto" w:sz="0" w:space="0"/>
          <w:right w:val="none" w:color="auto" w:sz="0" w:space="0"/>
          <w:between w:val="none" w:color="auto" w:sz="0" w:space="0"/>
        </w:pBdr>
        <w:ind w:firstLine="640" w:firstLineChars="200"/>
        <w:rPr>
          <w:rFonts w:ascii="仿宋_GB2312" w:eastAsia="仿宋_GB2312"/>
          <w:color w:val="auto"/>
          <w:sz w:val="32"/>
          <w:szCs w:val="32"/>
          <w:highlight w:val="none"/>
        </w:rPr>
      </w:pPr>
      <w:r>
        <w:rPr>
          <w:rFonts w:hint="eastAsia" w:ascii="仿宋_GB2312" w:hAnsi="Calibri" w:eastAsia="仿宋_GB2312" w:cs="仿宋"/>
          <w:color w:val="000000"/>
          <w:kern w:val="0"/>
          <w:sz w:val="32"/>
          <w:szCs w:val="32"/>
          <w:lang w:val="en-US" w:eastAsia="zh-CN" w:bidi="ar-SA"/>
        </w:rPr>
        <w:t>12</w:t>
      </w:r>
      <w:r>
        <w:rPr>
          <w:rFonts w:ascii="仿宋_GB2312" w:hAnsi="Calibri" w:eastAsia="仿宋_GB2312" w:cs="仿宋"/>
          <w:color w:val="000000"/>
          <w:kern w:val="0"/>
          <w:sz w:val="32"/>
          <w:szCs w:val="32"/>
          <w:lang w:val="en-US" w:eastAsia="zh-CN" w:bidi="ar-SA"/>
        </w:rPr>
        <w:t>.</w:t>
      </w:r>
      <w:r>
        <w:rPr>
          <w:rFonts w:hint="eastAsia" w:ascii="仿宋_GB2312" w:hAnsi="Calibri" w:eastAsia="仿宋_GB2312" w:cs="仿宋"/>
          <w:color w:val="000000"/>
          <w:kern w:val="0"/>
          <w:sz w:val="32"/>
          <w:szCs w:val="32"/>
          <w:lang w:val="en-US" w:eastAsia="zh-CN" w:bidi="ar-SA"/>
        </w:rPr>
        <w:t>基</w:t>
      </w:r>
      <w:r>
        <w:rPr>
          <w:rFonts w:hint="eastAsia" w:ascii="仿宋_GB2312" w:eastAsia="仿宋_GB2312"/>
          <w:color w:val="auto"/>
          <w:sz w:val="32"/>
          <w:szCs w:val="32"/>
          <w:highlight w:val="none"/>
        </w:rPr>
        <w:t>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2"/>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9"/>
        <w:rPr>
          <w:rFonts w:ascii="宋体"/>
          <w:b/>
          <w:color w:val="auto"/>
          <w:sz w:val="44"/>
          <w:szCs w:val="44"/>
          <w:highlight w:val="none"/>
        </w:rPr>
      </w:pPr>
      <w:bookmarkStart w:id="65" w:name="_Toc15377226"/>
    </w:p>
    <w:p>
      <w:pPr>
        <w:pStyle w:val="9"/>
        <w:sectPr>
          <w:footerReference r:id="rId10" w:type="first"/>
          <w:footerReference r:id="rId9" w:type="default"/>
          <w:pgSz w:w="11906" w:h="16838"/>
          <w:pgMar w:top="1440" w:right="1800" w:bottom="1440" w:left="1800" w:header="851" w:footer="992" w:gutter="0"/>
          <w:pgNumType w:fmt="decimal" w:start="1"/>
          <w:cols w:space="425" w:num="1"/>
          <w:docGrid w:type="lines" w:linePitch="312" w:charSpace="0"/>
        </w:sectPr>
      </w:pPr>
    </w:p>
    <w:p>
      <w:pPr>
        <w:spacing w:beforeLines="0" w:afterLines="0" w:line="600" w:lineRule="exact"/>
        <w:jc w:val="center"/>
        <w:outlineLvl w:val="0"/>
        <w:rPr>
          <w:rFonts w:hint="default" w:ascii="黑体" w:hAnsi="黑体" w:eastAsia="黑体"/>
          <w:kern w:val="44"/>
          <w:sz w:val="44"/>
          <w:szCs w:val="24"/>
        </w:rPr>
      </w:pPr>
      <w:bookmarkStart w:id="66" w:name="_Toc20847"/>
      <w:bookmarkStart w:id="67" w:name="_Toc15396618"/>
      <w:r>
        <w:rPr>
          <w:rFonts w:hint="eastAsia" w:ascii="黑体" w:hAnsi="黑体" w:eastAsia="黑体"/>
          <w:kern w:val="2"/>
          <w:sz w:val="44"/>
          <w:szCs w:val="24"/>
        </w:rPr>
        <w:t>第</w:t>
      </w:r>
      <w:r>
        <w:rPr>
          <w:rFonts w:hint="eastAsia" w:ascii="黑体" w:hAnsi="黑体" w:eastAsia="黑体"/>
          <w:kern w:val="44"/>
          <w:sz w:val="44"/>
          <w:szCs w:val="24"/>
        </w:rPr>
        <w:t>四部分 附件</w:t>
      </w:r>
      <w:bookmarkEnd w:id="66"/>
    </w:p>
    <w:p>
      <w:pPr>
        <w:spacing w:beforeLines="0" w:afterLines="0" w:line="572" w:lineRule="exact"/>
        <w:rPr>
          <w:rFonts w:hint="default" w:ascii="??_GB2312" w:cs="??_GB2312"/>
          <w:kern w:val="2"/>
          <w:sz w:val="32"/>
          <w:szCs w:val="24"/>
        </w:rPr>
      </w:pPr>
    </w:p>
    <w:p>
      <w:pPr>
        <w:spacing w:beforeLines="0" w:afterLines="0" w:line="600" w:lineRule="exact"/>
        <w:jc w:val="center"/>
        <w:outlineLvl w:val="1"/>
        <w:rPr>
          <w:rFonts w:hint="eastAsia" w:ascii="仿宋" w:hAnsi="仿宋" w:eastAsia="仿宋" w:cs="仿宋"/>
          <w:sz w:val="32"/>
          <w:szCs w:val="24"/>
        </w:rPr>
      </w:pPr>
      <w:bookmarkStart w:id="68" w:name="_Toc20034"/>
      <w:r>
        <w:rPr>
          <w:rFonts w:hint="eastAsia" w:ascii="仿宋" w:hAnsi="仿宋" w:eastAsia="仿宋" w:cs="仿宋"/>
          <w:sz w:val="32"/>
          <w:szCs w:val="24"/>
        </w:rPr>
        <w:t>部门预算项目支出绩效自评表（2022年度）</w:t>
      </w:r>
      <w:bookmarkEnd w:id="68"/>
    </w:p>
    <w:p>
      <w:pPr>
        <w:spacing w:beforeLines="0" w:afterLines="0" w:line="600" w:lineRule="exact"/>
        <w:rPr>
          <w:rFonts w:hint="eastAsia" w:ascii="仿宋" w:hAnsi="仿宋" w:eastAsia="仿宋" w:cs="仿宋"/>
          <w:sz w:val="32"/>
          <w:szCs w:val="24"/>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br w:type="page"/>
      </w:r>
    </w:p>
    <w:p>
      <w:pPr>
        <w:spacing w:line="600" w:lineRule="exact"/>
        <w:jc w:val="center"/>
        <w:outlineLvl w:val="0"/>
        <w:rPr>
          <w:rFonts w:hint="eastAsia" w:ascii="仿宋" w:hAnsi="仿宋" w:eastAsia="仿宋"/>
          <w:b w:val="0"/>
          <w:color w:val="auto"/>
          <w:highlight w:val="none"/>
        </w:rPr>
      </w:pPr>
      <w:bookmarkStart w:id="69" w:name="_Toc3255"/>
      <w:r>
        <w:rPr>
          <w:rFonts w:hint="eastAsia" w:ascii="黑体" w:hAnsi="黑体" w:eastAsia="黑体"/>
          <w:color w:val="auto"/>
          <w:sz w:val="44"/>
          <w:szCs w:val="44"/>
          <w:highlight w:val="none"/>
        </w:rPr>
        <w:t>第</w:t>
      </w:r>
      <w:r>
        <w:rPr>
          <w:rStyle w:val="24"/>
          <w:rFonts w:hint="eastAsia" w:ascii="黑体" w:hAnsi="黑体" w:eastAsia="黑体"/>
          <w:b w:val="0"/>
          <w:color w:val="auto"/>
          <w:highlight w:val="none"/>
        </w:rPr>
        <w:t>五部分 附表</w:t>
      </w:r>
      <w:bookmarkEnd w:id="65"/>
      <w:bookmarkEnd w:id="67"/>
      <w:bookmarkEnd w:id="69"/>
      <w:bookmarkStart w:id="70" w:name="_Toc15396619"/>
    </w:p>
    <w:p>
      <w:pPr>
        <w:pStyle w:val="4"/>
        <w:rPr>
          <w:rFonts w:ascii="仿宋" w:hAnsi="仿宋" w:eastAsia="仿宋"/>
          <w:color w:val="auto"/>
          <w:highlight w:val="none"/>
        </w:rPr>
      </w:pPr>
      <w:bookmarkStart w:id="71" w:name="_Toc29391"/>
      <w:bookmarkStart w:id="72" w:name="_Toc7228"/>
      <w:r>
        <w:rPr>
          <w:rFonts w:hint="eastAsia" w:ascii="仿宋" w:hAnsi="仿宋" w:eastAsia="仿宋"/>
          <w:b w:val="0"/>
          <w:color w:val="auto"/>
          <w:highlight w:val="none"/>
        </w:rPr>
        <w:t>一、收</w:t>
      </w:r>
      <w:r>
        <w:rPr>
          <w:rStyle w:val="25"/>
          <w:rFonts w:hint="eastAsia" w:ascii="仿宋" w:hAnsi="仿宋" w:eastAsia="仿宋"/>
          <w:b w:val="0"/>
          <w:bCs w:val="0"/>
          <w:color w:val="auto"/>
          <w:highlight w:val="none"/>
        </w:rPr>
        <w:t>入支出决算总表</w:t>
      </w:r>
      <w:bookmarkEnd w:id="70"/>
      <w:bookmarkEnd w:id="71"/>
      <w:bookmarkEnd w:id="72"/>
    </w:p>
    <w:p>
      <w:pPr>
        <w:pStyle w:val="4"/>
        <w:rPr>
          <w:rFonts w:ascii="仿宋" w:hAnsi="仿宋" w:eastAsia="仿宋"/>
          <w:color w:val="auto"/>
          <w:highlight w:val="none"/>
        </w:rPr>
      </w:pPr>
      <w:bookmarkStart w:id="73" w:name="_Toc4081"/>
      <w:bookmarkStart w:id="74" w:name="_Toc15396620"/>
      <w:bookmarkStart w:id="75" w:name="_Toc21746"/>
      <w:r>
        <w:rPr>
          <w:rFonts w:hint="eastAsia" w:ascii="仿宋" w:hAnsi="仿宋" w:eastAsia="仿宋"/>
          <w:b w:val="0"/>
          <w:color w:val="auto"/>
          <w:highlight w:val="none"/>
        </w:rPr>
        <w:t>二、收</w:t>
      </w:r>
      <w:r>
        <w:rPr>
          <w:rStyle w:val="25"/>
          <w:rFonts w:hint="eastAsia" w:ascii="仿宋" w:hAnsi="仿宋" w:eastAsia="仿宋"/>
          <w:b w:val="0"/>
          <w:bCs w:val="0"/>
          <w:color w:val="auto"/>
          <w:highlight w:val="none"/>
        </w:rPr>
        <w:t>入决算表</w:t>
      </w:r>
      <w:bookmarkEnd w:id="73"/>
      <w:bookmarkEnd w:id="74"/>
      <w:bookmarkEnd w:id="75"/>
    </w:p>
    <w:p>
      <w:pPr>
        <w:pStyle w:val="4"/>
        <w:rPr>
          <w:rFonts w:ascii="仿宋" w:hAnsi="仿宋" w:eastAsia="仿宋"/>
          <w:color w:val="auto"/>
          <w:highlight w:val="none"/>
        </w:rPr>
      </w:pPr>
      <w:bookmarkStart w:id="76" w:name="_Toc15396621"/>
      <w:bookmarkStart w:id="77" w:name="_Toc1332"/>
      <w:bookmarkStart w:id="78" w:name="_Toc20072"/>
      <w:r>
        <w:rPr>
          <w:rStyle w:val="2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5"/>
          <w:rFonts w:hint="eastAsia" w:ascii="仿宋" w:hAnsi="仿宋" w:eastAsia="仿宋"/>
          <w:b w:val="0"/>
          <w:bCs w:val="0"/>
          <w:color w:val="auto"/>
          <w:highlight w:val="none"/>
        </w:rPr>
        <w:t>出决算表</w:t>
      </w:r>
      <w:bookmarkEnd w:id="76"/>
      <w:bookmarkEnd w:id="77"/>
      <w:bookmarkEnd w:id="78"/>
    </w:p>
    <w:p>
      <w:pPr>
        <w:pStyle w:val="4"/>
        <w:rPr>
          <w:rFonts w:ascii="仿宋" w:hAnsi="仿宋" w:eastAsia="仿宋"/>
          <w:b w:val="0"/>
          <w:color w:val="auto"/>
          <w:highlight w:val="none"/>
        </w:rPr>
      </w:pPr>
      <w:bookmarkStart w:id="79" w:name="_Toc21335"/>
      <w:bookmarkStart w:id="80" w:name="_Toc20144"/>
      <w:bookmarkStart w:id="81" w:name="_Toc15396622"/>
      <w:r>
        <w:rPr>
          <w:rStyle w:val="2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5"/>
          <w:rFonts w:hint="eastAsia" w:ascii="仿宋" w:hAnsi="仿宋" w:eastAsia="仿宋"/>
          <w:b w:val="0"/>
          <w:bCs w:val="0"/>
          <w:color w:val="auto"/>
          <w:highlight w:val="none"/>
        </w:rPr>
        <w:t>政拨款收入支出决算总表</w:t>
      </w:r>
      <w:bookmarkEnd w:id="79"/>
      <w:bookmarkEnd w:id="80"/>
      <w:bookmarkEnd w:id="81"/>
    </w:p>
    <w:p>
      <w:pPr>
        <w:pStyle w:val="4"/>
        <w:rPr>
          <w:rStyle w:val="25"/>
          <w:rFonts w:ascii="仿宋" w:hAnsi="仿宋" w:eastAsia="仿宋"/>
          <w:b w:val="0"/>
          <w:bCs w:val="0"/>
          <w:color w:val="auto"/>
          <w:highlight w:val="none"/>
        </w:rPr>
      </w:pPr>
      <w:bookmarkStart w:id="82" w:name="_Toc15813"/>
      <w:bookmarkStart w:id="83" w:name="_Toc15396623"/>
      <w:bookmarkStart w:id="84" w:name="_Toc26399"/>
      <w:r>
        <w:rPr>
          <w:rStyle w:val="2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5"/>
          <w:rFonts w:hint="eastAsia" w:ascii="仿宋" w:hAnsi="仿宋" w:eastAsia="仿宋"/>
          <w:b w:val="0"/>
          <w:bCs w:val="0"/>
          <w:color w:val="auto"/>
          <w:highlight w:val="none"/>
        </w:rPr>
        <w:t>政拨款支出决算明细表</w:t>
      </w:r>
      <w:bookmarkEnd w:id="82"/>
      <w:bookmarkEnd w:id="83"/>
      <w:bookmarkEnd w:id="84"/>
      <w:bookmarkStart w:id="85" w:name="_Toc15396624"/>
    </w:p>
    <w:p>
      <w:pPr>
        <w:pStyle w:val="4"/>
        <w:rPr>
          <w:rFonts w:ascii="仿宋" w:hAnsi="仿宋" w:eastAsia="仿宋"/>
          <w:color w:val="auto"/>
          <w:highlight w:val="none"/>
        </w:rPr>
      </w:pPr>
      <w:bookmarkStart w:id="86" w:name="_Toc11547"/>
      <w:bookmarkStart w:id="87" w:name="_Toc27448"/>
      <w:r>
        <w:rPr>
          <w:rStyle w:val="2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般公共预算财政拨款支出决算表</w:t>
      </w:r>
      <w:bookmarkEnd w:id="85"/>
      <w:bookmarkEnd w:id="86"/>
      <w:bookmarkEnd w:id="87"/>
    </w:p>
    <w:p>
      <w:pPr>
        <w:pStyle w:val="4"/>
        <w:rPr>
          <w:rFonts w:ascii="仿宋" w:hAnsi="仿宋" w:eastAsia="仿宋"/>
          <w:color w:val="auto"/>
          <w:highlight w:val="none"/>
        </w:rPr>
      </w:pPr>
      <w:bookmarkStart w:id="88" w:name="_Toc15396625"/>
      <w:bookmarkStart w:id="89" w:name="_Toc21334"/>
      <w:bookmarkStart w:id="90" w:name="_Toc9088"/>
      <w:r>
        <w:rPr>
          <w:rStyle w:val="2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般公共预算财政拨款支出决算明细表</w:t>
      </w:r>
      <w:bookmarkEnd w:id="88"/>
      <w:bookmarkEnd w:id="89"/>
      <w:bookmarkEnd w:id="90"/>
    </w:p>
    <w:p>
      <w:pPr>
        <w:pStyle w:val="4"/>
        <w:rPr>
          <w:rFonts w:ascii="仿宋" w:hAnsi="仿宋" w:eastAsia="仿宋"/>
          <w:color w:val="auto"/>
          <w:highlight w:val="none"/>
        </w:rPr>
      </w:pPr>
      <w:bookmarkStart w:id="91" w:name="_Toc25994"/>
      <w:bookmarkStart w:id="92" w:name="_Toc15396626"/>
      <w:bookmarkStart w:id="93" w:name="_Toc17589"/>
      <w:r>
        <w:rPr>
          <w:rStyle w:val="2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般公共预算财政拨款基本支出决算表</w:t>
      </w:r>
      <w:bookmarkEnd w:id="91"/>
      <w:bookmarkEnd w:id="92"/>
      <w:bookmarkEnd w:id="93"/>
    </w:p>
    <w:p>
      <w:pPr>
        <w:pStyle w:val="4"/>
        <w:rPr>
          <w:rFonts w:ascii="仿宋" w:hAnsi="仿宋" w:eastAsia="仿宋"/>
          <w:color w:val="auto"/>
          <w:highlight w:val="none"/>
        </w:rPr>
      </w:pPr>
      <w:bookmarkStart w:id="94" w:name="_Toc15222"/>
      <w:bookmarkStart w:id="95" w:name="_Toc31635"/>
      <w:bookmarkStart w:id="96" w:name="_Toc15396627"/>
      <w:r>
        <w:rPr>
          <w:rStyle w:val="2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般公共预算财政拨款项目支出决算表</w:t>
      </w:r>
      <w:bookmarkEnd w:id="94"/>
      <w:bookmarkEnd w:id="95"/>
      <w:bookmarkEnd w:id="96"/>
    </w:p>
    <w:p>
      <w:pPr>
        <w:pStyle w:val="4"/>
        <w:rPr>
          <w:rFonts w:ascii="仿宋" w:hAnsi="仿宋" w:eastAsia="仿宋"/>
          <w:color w:val="auto"/>
          <w:highlight w:val="none"/>
        </w:rPr>
      </w:pPr>
      <w:bookmarkStart w:id="97" w:name="_Toc15396628"/>
      <w:bookmarkStart w:id="98" w:name="_Toc20593"/>
      <w:bookmarkStart w:id="99" w:name="_Toc3977"/>
      <w:r>
        <w:rPr>
          <w:rStyle w:val="25"/>
          <w:rFonts w:hint="eastAsia" w:ascii="仿宋" w:hAnsi="仿宋" w:eastAsia="仿宋"/>
          <w:b w:val="0"/>
          <w:bCs w:val="0"/>
          <w:color w:val="auto"/>
          <w:highlight w:val="none"/>
        </w:rPr>
        <w:t>十、</w:t>
      </w:r>
      <w:bookmarkEnd w:id="97"/>
      <w:r>
        <w:rPr>
          <w:rFonts w:hint="eastAsia" w:ascii="仿宋" w:hAnsi="仿宋" w:eastAsia="仿宋"/>
          <w:b w:val="0"/>
          <w:color w:val="auto"/>
          <w:highlight w:val="none"/>
        </w:rPr>
        <w:t>政</w:t>
      </w:r>
      <w:r>
        <w:rPr>
          <w:rStyle w:val="25"/>
          <w:rFonts w:hint="eastAsia" w:ascii="仿宋" w:hAnsi="仿宋" w:eastAsia="仿宋"/>
          <w:b w:val="0"/>
          <w:bCs w:val="0"/>
          <w:color w:val="auto"/>
          <w:highlight w:val="none"/>
        </w:rPr>
        <w:t>府性基金预算财政拨款收入支出决算表</w:t>
      </w:r>
      <w:bookmarkEnd w:id="98"/>
      <w:bookmarkEnd w:id="99"/>
    </w:p>
    <w:p>
      <w:pPr>
        <w:pStyle w:val="4"/>
        <w:rPr>
          <w:rFonts w:ascii="仿宋" w:hAnsi="仿宋" w:eastAsia="仿宋"/>
          <w:color w:val="auto"/>
          <w:highlight w:val="none"/>
        </w:rPr>
      </w:pPr>
      <w:bookmarkStart w:id="100" w:name="_Toc15396629"/>
      <w:bookmarkStart w:id="101" w:name="_Toc19106"/>
      <w:bookmarkStart w:id="102" w:name="_Toc24442"/>
      <w:r>
        <w:rPr>
          <w:rStyle w:val="25"/>
          <w:rFonts w:hint="eastAsia" w:ascii="仿宋" w:hAnsi="仿宋" w:eastAsia="仿宋"/>
          <w:b w:val="0"/>
          <w:bCs w:val="0"/>
          <w:color w:val="auto"/>
          <w:highlight w:val="none"/>
        </w:rPr>
        <w:t>十一、</w:t>
      </w:r>
      <w:bookmarkEnd w:id="100"/>
      <w:r>
        <w:rPr>
          <w:rFonts w:hint="eastAsia" w:ascii="仿宋" w:hAnsi="仿宋" w:eastAsia="仿宋"/>
          <w:b w:val="0"/>
          <w:color w:val="auto"/>
          <w:highlight w:val="none"/>
        </w:rPr>
        <w:t>国</w:t>
      </w:r>
      <w:r>
        <w:rPr>
          <w:rStyle w:val="25"/>
          <w:rFonts w:hint="eastAsia" w:ascii="仿宋" w:hAnsi="仿宋" w:eastAsia="仿宋"/>
          <w:b w:val="0"/>
          <w:bCs w:val="0"/>
          <w:color w:val="auto"/>
          <w:highlight w:val="none"/>
        </w:rPr>
        <w:t>有资本经营预算</w:t>
      </w:r>
      <w:r>
        <w:rPr>
          <w:rStyle w:val="25"/>
          <w:rFonts w:hint="eastAsia" w:ascii="仿宋" w:hAnsi="仿宋" w:eastAsia="仿宋"/>
          <w:b w:val="0"/>
          <w:bCs w:val="0"/>
          <w:color w:val="auto"/>
          <w:highlight w:val="none"/>
          <w:lang w:eastAsia="zh-CN"/>
        </w:rPr>
        <w:t>财政拨款收入</w:t>
      </w:r>
      <w:r>
        <w:rPr>
          <w:rStyle w:val="25"/>
          <w:rFonts w:hint="eastAsia" w:ascii="仿宋" w:hAnsi="仿宋" w:eastAsia="仿宋"/>
          <w:b w:val="0"/>
          <w:bCs w:val="0"/>
          <w:color w:val="auto"/>
          <w:highlight w:val="none"/>
        </w:rPr>
        <w:t>支出决算表</w:t>
      </w:r>
      <w:bookmarkEnd w:id="101"/>
      <w:bookmarkEnd w:id="102"/>
    </w:p>
    <w:p>
      <w:pPr>
        <w:pStyle w:val="4"/>
        <w:rPr>
          <w:rFonts w:ascii="仿宋" w:hAnsi="仿宋" w:eastAsia="仿宋"/>
          <w:color w:val="auto"/>
          <w:highlight w:val="none"/>
        </w:rPr>
      </w:pPr>
      <w:bookmarkStart w:id="103" w:name="_Toc15396630"/>
      <w:bookmarkStart w:id="104" w:name="_Toc25116"/>
      <w:bookmarkStart w:id="105" w:name="_Toc547"/>
      <w:r>
        <w:rPr>
          <w:rStyle w:val="25"/>
          <w:rFonts w:hint="eastAsia" w:ascii="仿宋" w:hAnsi="仿宋" w:eastAsia="仿宋"/>
          <w:b w:val="0"/>
          <w:bCs w:val="0"/>
          <w:color w:val="auto"/>
          <w:highlight w:val="none"/>
        </w:rPr>
        <w:t>十二、</w:t>
      </w:r>
      <w:bookmarkEnd w:id="103"/>
      <w:r>
        <w:rPr>
          <w:rStyle w:val="25"/>
          <w:rFonts w:hint="eastAsia" w:ascii="仿宋" w:hAnsi="仿宋" w:eastAsia="仿宋"/>
          <w:b w:val="0"/>
          <w:bCs w:val="0"/>
          <w:color w:val="auto"/>
          <w:highlight w:val="none"/>
          <w:lang w:eastAsia="zh-CN"/>
        </w:rPr>
        <w:t>国有资本经营预算财政拨款支出决算表</w:t>
      </w:r>
      <w:bookmarkEnd w:id="104"/>
      <w:bookmarkEnd w:id="105"/>
    </w:p>
    <w:p>
      <w:pPr>
        <w:pStyle w:val="4"/>
        <w:rPr>
          <w:rFonts w:hint="eastAsia" w:eastAsia="仿宋"/>
          <w:color w:val="auto"/>
          <w:highlight w:val="none"/>
          <w:lang w:eastAsia="zh-CN"/>
        </w:rPr>
      </w:pPr>
      <w:bookmarkStart w:id="106" w:name="_Toc15396631"/>
      <w:bookmarkStart w:id="107" w:name="_Toc30739"/>
      <w:bookmarkStart w:id="108" w:name="_Toc15880"/>
      <w:r>
        <w:rPr>
          <w:rStyle w:val="25"/>
          <w:rFonts w:hint="eastAsia" w:ascii="仿宋" w:hAnsi="仿宋" w:eastAsia="仿宋"/>
          <w:b w:val="0"/>
          <w:bCs w:val="0"/>
          <w:color w:val="auto"/>
          <w:highlight w:val="none"/>
        </w:rPr>
        <w:t>十三、</w:t>
      </w:r>
      <w:bookmarkEnd w:id="106"/>
      <w:r>
        <w:rPr>
          <w:rStyle w:val="25"/>
          <w:rFonts w:hint="eastAsia" w:ascii="仿宋" w:hAnsi="仿宋" w:eastAsia="仿宋"/>
          <w:b w:val="0"/>
          <w:bCs w:val="0"/>
          <w:color w:val="auto"/>
          <w:highlight w:val="none"/>
          <w:lang w:eastAsia="zh-CN"/>
        </w:rPr>
        <w:t>财政拨款“三公”经费支出决算表</w:t>
      </w:r>
      <w:bookmarkEnd w:id="107"/>
      <w:bookmarkEnd w:id="108"/>
    </w:p>
    <w:sectPr>
      <w:footerReference r:id="rId12" w:type="first"/>
      <w:footerReference r:id="rId11"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_GB2312">
    <w:altName w:val="Times New Roman"/>
    <w:panose1 w:val="02010609030101010101"/>
    <w:charset w:val="00"/>
    <w:family w:val="moder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13</w:t>
                    </w:r>
                    <w:r>
                      <w:fldChar w:fldCharType="end"/>
                    </w:r>
                  </w:p>
                </w:txbxContent>
              </v:textbox>
            </v:shape>
          </w:pict>
        </mc:Fallback>
      </mc:AlternateContent>
    </w:r>
  </w:p>
  <w:p>
    <w:pPr>
      <w:pStyle w:val="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987207"/>
    <w:multiLevelType w:val="singleLevel"/>
    <w:tmpl w:val="8F987207"/>
    <w:lvl w:ilvl="0" w:tentative="0">
      <w:start w:val="1"/>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ascii="黑体" w:hAnsi="黑体" w:eastAsia="黑体" w:cs="黑体"/>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OGU4OGQzNGUyZTE1ODQ2YTc4ZjU1ZTNlODNjNTk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87F5A"/>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1130"/>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DA49FD"/>
    <w:rsid w:val="021C17D6"/>
    <w:rsid w:val="02240524"/>
    <w:rsid w:val="02C06A94"/>
    <w:rsid w:val="03716AB5"/>
    <w:rsid w:val="03E101A1"/>
    <w:rsid w:val="0411084B"/>
    <w:rsid w:val="045B0C31"/>
    <w:rsid w:val="04F1223A"/>
    <w:rsid w:val="053A62B5"/>
    <w:rsid w:val="05863534"/>
    <w:rsid w:val="06413050"/>
    <w:rsid w:val="06606FF0"/>
    <w:rsid w:val="07051E94"/>
    <w:rsid w:val="073D2960"/>
    <w:rsid w:val="093428C6"/>
    <w:rsid w:val="09EE78A7"/>
    <w:rsid w:val="0A2032A3"/>
    <w:rsid w:val="0B381DFA"/>
    <w:rsid w:val="0B8A37D8"/>
    <w:rsid w:val="0BD01982"/>
    <w:rsid w:val="0D5D0F5E"/>
    <w:rsid w:val="0E051BE3"/>
    <w:rsid w:val="0E344985"/>
    <w:rsid w:val="0EB74D33"/>
    <w:rsid w:val="0EF1387C"/>
    <w:rsid w:val="0EFF09AB"/>
    <w:rsid w:val="0FCC799D"/>
    <w:rsid w:val="103A72BB"/>
    <w:rsid w:val="10C055FF"/>
    <w:rsid w:val="10D4182A"/>
    <w:rsid w:val="11071A15"/>
    <w:rsid w:val="11614AF7"/>
    <w:rsid w:val="118107EC"/>
    <w:rsid w:val="11DD6519"/>
    <w:rsid w:val="124C2311"/>
    <w:rsid w:val="12C65A34"/>
    <w:rsid w:val="13D03791"/>
    <w:rsid w:val="13F3452B"/>
    <w:rsid w:val="14044EE5"/>
    <w:rsid w:val="14347C33"/>
    <w:rsid w:val="14370BB7"/>
    <w:rsid w:val="14BE23BC"/>
    <w:rsid w:val="16BB723D"/>
    <w:rsid w:val="16C46FE7"/>
    <w:rsid w:val="17192340"/>
    <w:rsid w:val="175C54E3"/>
    <w:rsid w:val="17811FE8"/>
    <w:rsid w:val="18015F3F"/>
    <w:rsid w:val="189B1C00"/>
    <w:rsid w:val="19794F57"/>
    <w:rsid w:val="1A4C6E5B"/>
    <w:rsid w:val="1A530D87"/>
    <w:rsid w:val="1A9223BA"/>
    <w:rsid w:val="1B0018B5"/>
    <w:rsid w:val="1B1C5EFC"/>
    <w:rsid w:val="1B232D94"/>
    <w:rsid w:val="1BA05BE1"/>
    <w:rsid w:val="1BA36B65"/>
    <w:rsid w:val="1BB003F9"/>
    <w:rsid w:val="1BE8440E"/>
    <w:rsid w:val="1C326A9D"/>
    <w:rsid w:val="1C6E7533"/>
    <w:rsid w:val="1C9D61FC"/>
    <w:rsid w:val="1CDC43DA"/>
    <w:rsid w:val="1CF52C8F"/>
    <w:rsid w:val="1D155CEE"/>
    <w:rsid w:val="1D8B3416"/>
    <w:rsid w:val="1DC63B3A"/>
    <w:rsid w:val="1DD51824"/>
    <w:rsid w:val="1DEFBAFF"/>
    <w:rsid w:val="1F7C7944"/>
    <w:rsid w:val="20E86C14"/>
    <w:rsid w:val="20F57F95"/>
    <w:rsid w:val="21795977"/>
    <w:rsid w:val="22764AF2"/>
    <w:rsid w:val="22C55999"/>
    <w:rsid w:val="22E70214"/>
    <w:rsid w:val="230F216D"/>
    <w:rsid w:val="23492A98"/>
    <w:rsid w:val="240371BF"/>
    <w:rsid w:val="248F6BEC"/>
    <w:rsid w:val="24DE730D"/>
    <w:rsid w:val="25585952"/>
    <w:rsid w:val="25711CC6"/>
    <w:rsid w:val="25C741E6"/>
    <w:rsid w:val="25DF4931"/>
    <w:rsid w:val="26AB105A"/>
    <w:rsid w:val="272828C4"/>
    <w:rsid w:val="27842671"/>
    <w:rsid w:val="27F47EB8"/>
    <w:rsid w:val="28156ACF"/>
    <w:rsid w:val="29370752"/>
    <w:rsid w:val="2947054D"/>
    <w:rsid w:val="29830D38"/>
    <w:rsid w:val="29C40D94"/>
    <w:rsid w:val="29CC0ACB"/>
    <w:rsid w:val="29FD04D3"/>
    <w:rsid w:val="2ABE6A2E"/>
    <w:rsid w:val="2ABE7A3E"/>
    <w:rsid w:val="2ACD3FAF"/>
    <w:rsid w:val="2B140F90"/>
    <w:rsid w:val="2C1B0FB3"/>
    <w:rsid w:val="2CA234A8"/>
    <w:rsid w:val="2D925252"/>
    <w:rsid w:val="2DF7EC99"/>
    <w:rsid w:val="2E612427"/>
    <w:rsid w:val="2E8950CD"/>
    <w:rsid w:val="2ECD758C"/>
    <w:rsid w:val="2ECF2A5B"/>
    <w:rsid w:val="2EFA178C"/>
    <w:rsid w:val="2F7F5BD9"/>
    <w:rsid w:val="2FAA180B"/>
    <w:rsid w:val="30B46D73"/>
    <w:rsid w:val="312B40B1"/>
    <w:rsid w:val="319D3AF3"/>
    <w:rsid w:val="319F7F4E"/>
    <w:rsid w:val="31EE6FCB"/>
    <w:rsid w:val="324A2389"/>
    <w:rsid w:val="33234BF4"/>
    <w:rsid w:val="34FE1E82"/>
    <w:rsid w:val="350B6C92"/>
    <w:rsid w:val="365059DA"/>
    <w:rsid w:val="36956799"/>
    <w:rsid w:val="36D24400"/>
    <w:rsid w:val="37032650"/>
    <w:rsid w:val="37253E8A"/>
    <w:rsid w:val="37D84609"/>
    <w:rsid w:val="37DE3C9F"/>
    <w:rsid w:val="3820536A"/>
    <w:rsid w:val="383D272C"/>
    <w:rsid w:val="38554089"/>
    <w:rsid w:val="394B0810"/>
    <w:rsid w:val="399C1699"/>
    <w:rsid w:val="39AE70AB"/>
    <w:rsid w:val="39E87B69"/>
    <w:rsid w:val="3B2A4F9E"/>
    <w:rsid w:val="3BB6486F"/>
    <w:rsid w:val="3C0C0783"/>
    <w:rsid w:val="3C0F1D99"/>
    <w:rsid w:val="3D033DBF"/>
    <w:rsid w:val="3D19224B"/>
    <w:rsid w:val="3D5D1A3B"/>
    <w:rsid w:val="3E191DEE"/>
    <w:rsid w:val="3E640BE4"/>
    <w:rsid w:val="3EA43EE6"/>
    <w:rsid w:val="3EAB715E"/>
    <w:rsid w:val="3EFE5447"/>
    <w:rsid w:val="3F055FB6"/>
    <w:rsid w:val="3F2648C7"/>
    <w:rsid w:val="3F715648"/>
    <w:rsid w:val="3F9F3A96"/>
    <w:rsid w:val="40354679"/>
    <w:rsid w:val="40A91011"/>
    <w:rsid w:val="41085755"/>
    <w:rsid w:val="42E94F55"/>
    <w:rsid w:val="437A6A42"/>
    <w:rsid w:val="443B5FD6"/>
    <w:rsid w:val="445F1CC4"/>
    <w:rsid w:val="459D1D4B"/>
    <w:rsid w:val="462D72B0"/>
    <w:rsid w:val="46D00713"/>
    <w:rsid w:val="475C073D"/>
    <w:rsid w:val="48794D37"/>
    <w:rsid w:val="48BF60AB"/>
    <w:rsid w:val="490060BB"/>
    <w:rsid w:val="493C27E9"/>
    <w:rsid w:val="496F39ED"/>
    <w:rsid w:val="49925E85"/>
    <w:rsid w:val="49FF41D3"/>
    <w:rsid w:val="4B8F7407"/>
    <w:rsid w:val="4BBE0E50"/>
    <w:rsid w:val="4BE068DB"/>
    <w:rsid w:val="4BEE0F77"/>
    <w:rsid w:val="4BF6002B"/>
    <w:rsid w:val="4C373098"/>
    <w:rsid w:val="4D185C09"/>
    <w:rsid w:val="4E140649"/>
    <w:rsid w:val="4E715C09"/>
    <w:rsid w:val="4ECE2238"/>
    <w:rsid w:val="4F042214"/>
    <w:rsid w:val="4F195165"/>
    <w:rsid w:val="4F89218B"/>
    <w:rsid w:val="4F9D33AA"/>
    <w:rsid w:val="506924E0"/>
    <w:rsid w:val="51405FD9"/>
    <w:rsid w:val="51BC24EB"/>
    <w:rsid w:val="51DB4B86"/>
    <w:rsid w:val="528F1AE6"/>
    <w:rsid w:val="5292002F"/>
    <w:rsid w:val="5335518F"/>
    <w:rsid w:val="54A11E85"/>
    <w:rsid w:val="54AE49FC"/>
    <w:rsid w:val="55333C3E"/>
    <w:rsid w:val="55B058A3"/>
    <w:rsid w:val="55B5364C"/>
    <w:rsid w:val="55B96138"/>
    <w:rsid w:val="55E524FA"/>
    <w:rsid w:val="5668487D"/>
    <w:rsid w:val="56BD475C"/>
    <w:rsid w:val="570F3211"/>
    <w:rsid w:val="5737262D"/>
    <w:rsid w:val="57BD42FE"/>
    <w:rsid w:val="57D045DE"/>
    <w:rsid w:val="58A23677"/>
    <w:rsid w:val="58E02CD6"/>
    <w:rsid w:val="58E83856"/>
    <w:rsid w:val="58FC7358"/>
    <w:rsid w:val="591517BE"/>
    <w:rsid w:val="5A145A8B"/>
    <w:rsid w:val="5AA553C6"/>
    <w:rsid w:val="5ACE4F06"/>
    <w:rsid w:val="5AE81333"/>
    <w:rsid w:val="5B1A5DBB"/>
    <w:rsid w:val="5B522F61"/>
    <w:rsid w:val="5BEA58F7"/>
    <w:rsid w:val="5BF4276A"/>
    <w:rsid w:val="5C745700"/>
    <w:rsid w:val="5C80018A"/>
    <w:rsid w:val="5CD34356"/>
    <w:rsid w:val="5CDB111B"/>
    <w:rsid w:val="5D5952AE"/>
    <w:rsid w:val="5E54757E"/>
    <w:rsid w:val="5FFE3514"/>
    <w:rsid w:val="60006A8C"/>
    <w:rsid w:val="60BE58F9"/>
    <w:rsid w:val="6100045B"/>
    <w:rsid w:val="6190115E"/>
    <w:rsid w:val="62222F3A"/>
    <w:rsid w:val="62465601"/>
    <w:rsid w:val="62BA2508"/>
    <w:rsid w:val="63584D03"/>
    <w:rsid w:val="63C244C2"/>
    <w:rsid w:val="6491688B"/>
    <w:rsid w:val="64CA39A1"/>
    <w:rsid w:val="64DD0F09"/>
    <w:rsid w:val="64E7729A"/>
    <w:rsid w:val="65046303"/>
    <w:rsid w:val="65114745"/>
    <w:rsid w:val="65A04B52"/>
    <w:rsid w:val="65B742DF"/>
    <w:rsid w:val="65E16585"/>
    <w:rsid w:val="66666E12"/>
    <w:rsid w:val="66B71A94"/>
    <w:rsid w:val="676705B3"/>
    <w:rsid w:val="68467C21"/>
    <w:rsid w:val="68751F8C"/>
    <w:rsid w:val="68CD0C63"/>
    <w:rsid w:val="69630ADE"/>
    <w:rsid w:val="69B30178"/>
    <w:rsid w:val="69DA4770"/>
    <w:rsid w:val="69F61EB6"/>
    <w:rsid w:val="6A1C5882"/>
    <w:rsid w:val="6A4C1BBF"/>
    <w:rsid w:val="6AC02783"/>
    <w:rsid w:val="6B0627F4"/>
    <w:rsid w:val="6C4A05C8"/>
    <w:rsid w:val="6C4B6468"/>
    <w:rsid w:val="6D010864"/>
    <w:rsid w:val="6D3B1A89"/>
    <w:rsid w:val="6D6764FC"/>
    <w:rsid w:val="6D9F409F"/>
    <w:rsid w:val="6DF026EB"/>
    <w:rsid w:val="6F6A1F57"/>
    <w:rsid w:val="6FCB6AF9"/>
    <w:rsid w:val="6FFA9BE6"/>
    <w:rsid w:val="70854DDA"/>
    <w:rsid w:val="708D0DB5"/>
    <w:rsid w:val="716E3926"/>
    <w:rsid w:val="71BF4EC2"/>
    <w:rsid w:val="72717CD1"/>
    <w:rsid w:val="72734D90"/>
    <w:rsid w:val="727630B1"/>
    <w:rsid w:val="72D51F74"/>
    <w:rsid w:val="73877819"/>
    <w:rsid w:val="7412278C"/>
    <w:rsid w:val="74152900"/>
    <w:rsid w:val="747F3134"/>
    <w:rsid w:val="75685428"/>
    <w:rsid w:val="75C80DE2"/>
    <w:rsid w:val="76CA6CA6"/>
    <w:rsid w:val="7859412D"/>
    <w:rsid w:val="78FE37AF"/>
    <w:rsid w:val="7904082E"/>
    <w:rsid w:val="790742C7"/>
    <w:rsid w:val="79E7B28D"/>
    <w:rsid w:val="79E81839"/>
    <w:rsid w:val="7A080AFF"/>
    <w:rsid w:val="7A3B6018"/>
    <w:rsid w:val="7A7F7A06"/>
    <w:rsid w:val="7AE451AC"/>
    <w:rsid w:val="7C142830"/>
    <w:rsid w:val="7C5D405C"/>
    <w:rsid w:val="7C777B41"/>
    <w:rsid w:val="7D040A2A"/>
    <w:rsid w:val="7D577D31"/>
    <w:rsid w:val="7D707D59"/>
    <w:rsid w:val="7DE844FD"/>
    <w:rsid w:val="7E467212"/>
    <w:rsid w:val="7E474539"/>
    <w:rsid w:val="7E98303F"/>
    <w:rsid w:val="7F3247DE"/>
    <w:rsid w:val="7F764C2B"/>
    <w:rsid w:val="7F9F20EE"/>
    <w:rsid w:val="7FBE1897"/>
    <w:rsid w:val="7FBE66A4"/>
    <w:rsid w:val="9E3A10E2"/>
    <w:rsid w:val="CF9F48AD"/>
    <w:rsid w:val="DB5F5131"/>
    <w:rsid w:val="F1EF4CC2"/>
    <w:rsid w:val="F2E1F9D4"/>
    <w:rsid w:val="F7880819"/>
    <w:rsid w:val="FE972375"/>
    <w:rsid w:val="FF6F122B"/>
    <w:rsid w:val="FF7CEE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2"/>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3"/>
    <w:qFormat/>
    <w:uiPriority w:val="9"/>
    <w:rPr>
      <w:rFonts w:ascii="Times New Roman" w:hAnsi="Times New Roman"/>
      <w:b/>
      <w:bCs/>
      <w:kern w:val="44"/>
      <w:sz w:val="44"/>
      <w:szCs w:val="44"/>
    </w:rPr>
  </w:style>
  <w:style w:type="character" w:customStyle="1" w:styleId="25">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5"/>
    <w:qFormat/>
    <w:uiPriority w:val="9"/>
    <w:rPr>
      <w:rFonts w:ascii="Times New Roman" w:hAnsi="Times New Roman"/>
      <w:b/>
      <w:bCs/>
      <w:kern w:val="2"/>
      <w:sz w:val="32"/>
      <w:szCs w:val="32"/>
    </w:rPr>
  </w:style>
  <w:style w:type="paragraph" w:customStyle="1" w:styleId="2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WPSOffice手动目录 1"/>
    <w:qFormat/>
    <w:uiPriority w:val="0"/>
    <w:pPr>
      <w:ind w:leftChars="0"/>
    </w:pPr>
    <w:rPr>
      <w:rFonts w:ascii="Times New Roman" w:hAnsi="Times New Roman" w:eastAsia="宋体" w:cs="Times New Roman"/>
      <w:sz w:val="20"/>
      <w:szCs w:val="20"/>
    </w:rPr>
  </w:style>
  <w:style w:type="paragraph" w:customStyle="1" w:styleId="3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6.xml"/><Relationship Id="rId18" Type="http://schemas.openxmlformats.org/officeDocument/2006/relationships/chart" Target="charts/chart5.xml"/><Relationship Id="rId17" Type="http://schemas.openxmlformats.org/officeDocument/2006/relationships/chart" Target="charts/chart4.xml"/><Relationship Id="rId16" Type="http://schemas.openxmlformats.org/officeDocument/2006/relationships/chart" Target="charts/chart3.xml"/><Relationship Id="rId15" Type="http://schemas.openxmlformats.org/officeDocument/2006/relationships/chart" Target="charts/chart2.xml"/><Relationship Id="rId14" Type="http://schemas.openxmlformats.org/officeDocument/2006/relationships/chart" Target="charts/chart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
        <c:rich>
          <a:bodyPr/>
          <a:lstStyle/>
          <a:p>
            <a:pPr>
              <a:defRPr/>
            </a:pPr>
          </a:p>
        </c:rich>
      </c:tx>
    </c:title>
    <c:autoTitleDeleted val="0"/>
    <c:plotArea>
      <c:layout>
        <c:manualLayout>
          <c:layoutTarget val="inner"/>
          <c:xMode val="edge"/>
          <c:yMode val="edge"/>
          <c:x val="0.044575"/>
          <c:y val="0.124833333333333"/>
          <c:w val="0.927925"/>
          <c:h val="0.716566666666667"/>
        </c:manualLayout>
      </c:layout>
      <c:barChart>
        <c:barDir val="col"/>
        <c:grouping val="clustered"/>
        <c:varyColors val="0"/>
        <c:ser>
          <c:idx val="0"/>
          <c:order val="0"/>
          <c:tx>
            <c:strRef>
              <c:f>Sheet1!$B$1</c:f>
              <c:strCache>
                <c:ptCount val="1"/>
                <c:pt idx="0">
                  <c:v>单位：万元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9594.81</c:v>
                </c:pt>
                <c:pt idx="1">
                  <c:v>11985.97</c:v>
                </c:pt>
              </c:numCache>
            </c:numRef>
          </c:val>
        </c:ser>
        <c:dLbls>
          <c:showLegendKey val="0"/>
          <c:showVal val="1"/>
          <c:showCatName val="0"/>
          <c:showSerName val="0"/>
          <c:showPercent val="0"/>
          <c:showBubbleSize val="0"/>
        </c:dLbls>
        <c:gapWidth val="355"/>
        <c:overlap val="-70"/>
        <c:axId val="280600927"/>
        <c:axId val="394350519"/>
      </c:barChart>
      <c:catAx>
        <c:axId val="280600927"/>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4350519"/>
        <c:crosses val="autoZero"/>
        <c:auto val="1"/>
        <c:lblAlgn val="ctr"/>
        <c:lblOffset val="100"/>
        <c:noMultiLvlLbl val="0"/>
      </c:catAx>
      <c:valAx>
        <c:axId val="394350519"/>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0600927"/>
        <c:crosses val="autoZero"/>
        <c:crossBetween val="between"/>
      </c:valAx>
      <c:spPr>
        <a:noFill/>
        <a:ln>
          <a:noFill/>
        </a:ln>
        <a:effectLst/>
      </c:spPr>
    </c:plotArea>
    <c:legend>
      <c:legendPos val="b"/>
      <c:layout>
        <c:manualLayout>
          <c:xMode val="edge"/>
          <c:yMode val="edge"/>
          <c:x val="0.840063492063492"/>
          <c:y val="0.037002429452438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059855521156"/>
          <c:y val="0.11301789654327"/>
          <c:w val="0.687435500515996"/>
          <c:h val="0.687423388085315"/>
        </c:manualLayout>
      </c:layout>
      <c:pieChart>
        <c:varyColors val="1"/>
        <c:ser>
          <c:idx val="0"/>
          <c:order val="0"/>
          <c:tx>
            <c:strRef>
              <c:f>Sheet1!$A$1:$B$1</c:f>
              <c:strCache>
                <c:ptCount val="1"/>
                <c:pt idx="0">
                  <c:v>  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事业收入</c:v>
                </c:pt>
              </c:strCache>
            </c:strRef>
          </c:cat>
          <c:val>
            <c:numRef>
              <c:f>Sheet1!$B$2:$B$3</c:f>
              <c:numCache>
                <c:formatCode>0.00%</c:formatCode>
                <c:ptCount val="2"/>
                <c:pt idx="0">
                  <c:v>0.9105</c:v>
                </c:pt>
                <c:pt idx="1">
                  <c:v>0.0895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618034055727554"/>
          <c:y val="0.0323608727629321"/>
          <c:w val="0.378095975232198"/>
          <c:h val="0.142436871782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31711298481813"/>
          <c:y val="0.135272406048888"/>
          <c:w val="0.680553775157031"/>
          <c:h val="0.6408206767919"/>
        </c:manualLayout>
      </c:layout>
      <c:pieChart>
        <c:varyColors val="1"/>
        <c:ser>
          <c:idx val="0"/>
          <c:order val="0"/>
          <c:tx>
            <c:strRef>
              <c:f>Sheet1!$B$1</c:f>
              <c:strCache>
                <c:ptCount val="1"/>
                <c:pt idx="0">
                  <c:v>列1</c:v>
                </c:pt>
              </c:strCache>
            </c:strRef>
          </c:tx>
          <c:spPr>
            <a:scene3d>
              <a:camera prst="orthographicFront"/>
              <a:lightRig rig="threePt" dir="t"/>
            </a:scene3d>
            <a:sp3d contourW="25400"/>
          </c:spPr>
          <c:explosion val="0"/>
          <c:dPt>
            <c:idx val="0"/>
            <c:bubble3D val="0"/>
            <c:spPr>
              <a:solidFill>
                <a:schemeClr val="accent1"/>
              </a:solidFill>
              <a:ln w="19050">
                <a:solidFill>
                  <a:schemeClr val="lt1"/>
                </a:solidFill>
              </a:ln>
              <a:effectLst/>
              <a:scene3d>
                <a:camera prst="orthographicFront"/>
                <a:lightRig rig="threePt" dir="t"/>
              </a:scene3d>
              <a:sp3d contourW="25400"/>
            </c:spPr>
          </c:dPt>
          <c:dPt>
            <c:idx val="1"/>
            <c:bubble3D val="0"/>
            <c:spPr>
              <a:solidFill>
                <a:schemeClr val="accent2"/>
              </a:solidFill>
              <a:ln w="19050">
                <a:solidFill>
                  <a:schemeClr val="lt1"/>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0.7956</c:v>
                </c:pt>
                <c:pt idx="1">
                  <c:v>0.2044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744056807656684"/>
          <c:y val="0.18856048166393"/>
          <c:w val="0.211330657610374"/>
          <c:h val="0.13875205254515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80725"/>
          <c:y val="0.0221666666666667"/>
        </c:manualLayout>
      </c:layout>
      <c:overlay val="0"/>
      <c:spPr>
        <a:noFill/>
        <a:ln>
          <a:noFill/>
        </a:ln>
        <a:effectLst/>
      </c:spPr>
      <c:tx>
        <c:rich>
          <a:bodyPr/>
          <a:lstStyle/>
          <a:p>
            <a:pPr>
              <a:defRPr/>
            </a:pPr>
          </a:p>
        </c:rich>
      </c:tx>
    </c:title>
    <c:autoTitleDeleted val="0"/>
    <c:plotArea>
      <c:layout/>
      <c:barChart>
        <c:barDir val="col"/>
        <c:grouping val="clustered"/>
        <c:varyColors val="0"/>
        <c:ser>
          <c:idx val="0"/>
          <c:order val="0"/>
          <c:tx>
            <c:strRef>
              <c:f>Sheet1!$B$1</c:f>
              <c:strCache>
                <c:ptCount val="1"/>
                <c:pt idx="0">
                  <c:v>单位：万元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8404.73</c:v>
                </c:pt>
                <c:pt idx="1" c:formatCode="#,##0.00">
                  <c:v>10961.49</c:v>
                </c:pt>
              </c:numCache>
            </c:numRef>
          </c:val>
        </c:ser>
        <c:dLbls>
          <c:showLegendKey val="0"/>
          <c:showVal val="1"/>
          <c:showCatName val="0"/>
          <c:showSerName val="0"/>
          <c:showPercent val="0"/>
          <c:showBubbleSize val="0"/>
        </c:dLbls>
        <c:gapWidth val="219"/>
        <c:overlap val="-27"/>
        <c:axId val="261616487"/>
        <c:axId val="440922541"/>
      </c:barChart>
      <c:catAx>
        <c:axId val="261616487"/>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0922541"/>
        <c:crosses val="autoZero"/>
        <c:auto val="1"/>
        <c:lblAlgn val="ctr"/>
        <c:lblOffset val="100"/>
        <c:noMultiLvlLbl val="0"/>
      </c:catAx>
      <c:valAx>
        <c:axId val="44092254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161648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13055109684323"/>
          <c:y val="0.122828282828283"/>
          <c:w val="0.87418405564473"/>
          <c:h val="0.766343434343434"/>
        </c:manualLayout>
      </c:layout>
      <c:barChart>
        <c:barDir val="col"/>
        <c:grouping val="clustered"/>
        <c:varyColors val="0"/>
        <c:ser>
          <c:idx val="0"/>
          <c:order val="0"/>
          <c:tx>
            <c:strRef>
              <c:f>Sheet1!$B$1</c:f>
              <c:strCache>
                <c:ptCount val="1"/>
                <c:pt idx="0">
                  <c:v>单位：万元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2021年</c:v>
                </c:pt>
                <c:pt idx="1">
                  <c:v>2022年</c:v>
                </c:pt>
              </c:strCache>
            </c:strRef>
          </c:cat>
          <c:val>
            <c:numRef>
              <c:f>Sheet1!$B$2:$B$3</c:f>
              <c:numCache>
                <c:formatCode>General</c:formatCode>
                <c:ptCount val="2"/>
                <c:pt idx="0">
                  <c:v>7862.12</c:v>
                </c:pt>
                <c:pt idx="1">
                  <c:v>10961.49</c:v>
                </c:pt>
              </c:numCache>
            </c:numRef>
          </c:val>
        </c:ser>
        <c:dLbls>
          <c:showLegendKey val="0"/>
          <c:showVal val="1"/>
          <c:showCatName val="0"/>
          <c:showSerName val="0"/>
          <c:showPercent val="0"/>
          <c:showBubbleSize val="0"/>
        </c:dLbls>
        <c:gapWidth val="355"/>
        <c:overlap val="-70"/>
        <c:axId val="767821232"/>
        <c:axId val="283975240"/>
      </c:barChart>
      <c:catAx>
        <c:axId val="76782123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975240"/>
        <c:crosses val="autoZero"/>
        <c:auto val="1"/>
        <c:lblAlgn val="ctr"/>
        <c:lblOffset val="100"/>
        <c:noMultiLvlLbl val="0"/>
      </c:catAx>
      <c:valAx>
        <c:axId val="283975240"/>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7821232"/>
        <c:crosses val="autoZero"/>
        <c:crossBetween val="between"/>
      </c:valAx>
      <c:spPr>
        <a:noFill/>
        <a:ln>
          <a:noFill/>
        </a:ln>
        <a:effectLst/>
      </c:spPr>
    </c:plotArea>
    <c:legend>
      <c:legendPos val="b"/>
      <c:layout>
        <c:manualLayout>
          <c:xMode val="edge"/>
          <c:yMode val="edge"/>
          <c:x val="0.831193151417871"/>
          <c:y val="0.035151515151515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97506796952179"/>
          <c:y val="0.250579983531731"/>
          <c:w val="0.8"/>
          <c:h val="0.589666666666667"/>
        </c:manualLayout>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教育支出</c:v>
                </c:pt>
                <c:pt idx="1">
                  <c:v>社会保障和就业支出</c:v>
                </c:pt>
                <c:pt idx="2">
                  <c:v>卫生健康支出</c:v>
                </c:pt>
                <c:pt idx="3">
                  <c:v>住房保障支出</c:v>
                </c:pt>
                <c:pt idx="4">
                  <c:v>其他支出</c:v>
                </c:pt>
              </c:strCache>
            </c:strRef>
          </c:cat>
          <c:val>
            <c:numRef>
              <c:f>Sheet1!$B$2:$B$6</c:f>
              <c:numCache>
                <c:formatCode>0.00%</c:formatCode>
                <c:ptCount val="5"/>
                <c:pt idx="0">
                  <c:v>0.742765132509237</c:v>
                </c:pt>
                <c:pt idx="1">
                  <c:v>0.0865930757651781</c:v>
                </c:pt>
                <c:pt idx="2">
                  <c:v>0.0258714591981024</c:v>
                </c:pt>
                <c:pt idx="3">
                  <c:v>0.053541942252429</c:v>
                </c:pt>
                <c:pt idx="4">
                  <c:v>0.0912283902750536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644351464435146"/>
          <c:y val="0.147131400370142"/>
          <c:w val="0.294762660510749"/>
          <c:h val="0.20419494139420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16</Pages>
  <Words>4037</Words>
  <Characters>4519</Characters>
  <Lines>61</Lines>
  <Paragraphs>17</Paragraphs>
  <TotalTime>19</TotalTime>
  <ScaleCrop>false</ScaleCrop>
  <LinksUpToDate>false</LinksUpToDate>
  <CharactersWithSpaces>5240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衷残祭汲悠</cp:lastModifiedBy>
  <cp:lastPrinted>2023-07-31T18:35:00Z</cp:lastPrinted>
  <dcterms:modified xsi:type="dcterms:W3CDTF">2023-10-17T06:57:01Z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6B70361D626A4593B4A9C4A901EC4F63</vt:lpwstr>
  </property>
</Properties>
</file>