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sz w:val="72"/>
          <w:szCs w:val="72"/>
        </w:rPr>
      </w:pPr>
      <w:bookmarkStart w:id="0" w:name="_Toc15377193"/>
      <w:bookmarkStart w:id="1" w:name="_Toc15396597"/>
      <w:bookmarkStart w:id="2" w:name="_Toc15396475"/>
      <w:bookmarkStart w:id="3" w:name="_Toc15377425"/>
      <w:bookmarkStart w:id="4" w:name="_Toc15378441"/>
      <w:bookmarkStart w:id="5"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bookmarkEnd w:id="0"/>
    <w:bookmarkEnd w:id="1"/>
    <w:bookmarkEnd w:id="2"/>
    <w:bookmarkEnd w:id="3"/>
    <w:bookmarkEnd w:id="4"/>
    <w:bookmarkEnd w:id="5"/>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28906"/>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20792"/>
      <w:bookmarkStart w:id="8" w:name="_Toc15377194"/>
      <w:bookmarkStart w:id="9" w:name="_Toc15396476"/>
      <w:bookmarkStart w:id="10" w:name="_Toc15396598"/>
      <w:bookmarkStart w:id="11" w:name="_Toc15377426"/>
      <w:bookmarkStart w:id="12" w:name="_Toc15378442"/>
      <w:r>
        <w:rPr>
          <w:rFonts w:hint="eastAsia" w:ascii="方正小标宋简体" w:hAnsi="方正小标宋简体" w:eastAsia="方正小标宋简体" w:cs="方正小标宋简体"/>
          <w:color w:val="auto"/>
          <w:sz w:val="72"/>
          <w:szCs w:val="72"/>
          <w:highlight w:val="none"/>
          <w:lang w:eastAsia="zh-CN"/>
        </w:rPr>
        <w:t>广元市</w:t>
      </w:r>
      <w:bookmarkStart w:id="13" w:name="_Toc15306268"/>
      <w:r>
        <w:rPr>
          <w:rFonts w:hint="eastAsia" w:ascii="方正小标宋简体" w:hAnsi="方正小标宋简体" w:eastAsia="方正小标宋简体" w:cs="方正小标宋简体"/>
          <w:color w:val="auto"/>
          <w:sz w:val="72"/>
          <w:szCs w:val="72"/>
          <w:highlight w:val="none"/>
          <w:lang w:eastAsia="zh-CN"/>
        </w:rPr>
        <w:t>光荣院单位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hint="eastAsia" w:ascii="黑体" w:hAnsi="黑体" w:eastAsia="黑体"/>
          <w:color w:val="auto"/>
          <w:sz w:val="48"/>
          <w:szCs w:val="48"/>
          <w:highlight w:val="none"/>
        </w:rPr>
        <w:sectPr>
          <w:headerReference r:id="rId4" w:type="first"/>
          <w:headerReference r:id="rId3" w:type="default"/>
          <w:footerReference r:id="rId5" w:type="default"/>
          <w:pgSz w:w="11906" w:h="16838"/>
          <w:pgMar w:top="1440" w:right="1800" w:bottom="1440" w:left="1800" w:header="851" w:footer="992" w:gutter="0"/>
          <w:pgNumType w:fmt="decimal" w:start="1"/>
          <w:cols w:space="425" w:num="1"/>
          <w:titlePg/>
          <w:docGrid w:type="lines" w:linePitch="312" w:charSpace="0"/>
        </w:sectPr>
      </w:pPr>
      <w:bookmarkStart w:id="14" w:name="_Toc15377196"/>
      <w:bookmarkStart w:id="15" w:name="_Toc15396599"/>
    </w:p>
    <w:p>
      <w:pPr>
        <w:widowControl/>
        <w:tabs>
          <w:tab w:val="center" w:pos="4213"/>
          <w:tab w:val="right" w:pos="8306"/>
        </w:tabs>
        <w:jc w:val="left"/>
        <w:rPr>
          <w:rFonts w:ascii="黑体" w:hAnsi="黑体" w:eastAsia="黑体" w:cstheme="minorBidi"/>
          <w:color w:val="auto"/>
          <w:sz w:val="28"/>
          <w:szCs w:val="28"/>
          <w:highlight w:val="none"/>
        </w:rPr>
      </w:pPr>
      <w:r>
        <w:rPr>
          <w:rFonts w:hint="eastAsia" w:ascii="黑体" w:hAnsi="黑体" w:eastAsia="黑体"/>
          <w:color w:val="auto"/>
          <w:sz w:val="48"/>
          <w:szCs w:val="48"/>
          <w:highlight w:val="none"/>
          <w:lang w:eastAsia="zh-CN"/>
        </w:rPr>
        <w:tab/>
      </w:r>
      <w:r>
        <w:rPr>
          <w:rFonts w:hint="eastAsia" w:ascii="黑体" w:hAnsi="黑体" w:eastAsia="黑体"/>
          <w:color w:val="auto"/>
          <w:sz w:val="48"/>
          <w:szCs w:val="48"/>
          <w:highlight w:val="none"/>
        </w:rPr>
        <w:t>目录</w:t>
      </w:r>
      <w:r>
        <w:rPr>
          <w:rFonts w:hint="eastAsia" w:ascii="黑体" w:hAnsi="黑体" w:eastAsia="黑体"/>
          <w:color w:val="auto"/>
          <w:sz w:val="48"/>
          <w:szCs w:val="48"/>
          <w:highlight w:val="none"/>
          <w:lang w:eastAsia="zh-CN"/>
        </w:rPr>
        <w:tab/>
      </w:r>
    </w:p>
    <w:p>
      <w:pPr>
        <w:pStyle w:val="13"/>
        <w:tabs>
          <w:tab w:val="center" w:pos="4213"/>
          <w:tab w:val="right" w:pos="8306"/>
        </w:tabs>
        <w:jc w:val="left"/>
        <w:rPr>
          <w:rFonts w:hint="eastAsia" w:eastAsia="仿宋"/>
          <w:color w:val="auto"/>
          <w:highlight w:val="none"/>
          <w:lang w:val="en-US" w:eastAsia="zh-CN"/>
        </w:rPr>
      </w:pPr>
      <w:r>
        <w:rPr>
          <w:rFonts w:hint="eastAsia"/>
          <w:color w:val="auto"/>
          <w:highlight w:val="none"/>
          <w:lang w:eastAsia="zh-CN"/>
        </w:rPr>
        <w:tab/>
      </w: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17</w:t>
      </w:r>
      <w:r>
        <w:rPr>
          <w:rFonts w:hint="eastAsia"/>
          <w:color w:val="auto"/>
          <w:highlight w:val="none"/>
        </w:rPr>
        <w:t>日</w:t>
      </w:r>
    </w:p>
    <w:sdt>
      <w:sdtPr>
        <w:rPr>
          <w:rFonts w:ascii="宋体" w:hAnsi="宋体" w:eastAsia="宋体" w:cs="Times New Roman"/>
          <w:kern w:val="2"/>
          <w:sz w:val="21"/>
          <w:szCs w:val="24"/>
          <w:lang w:val="en-US" w:eastAsia="zh-CN" w:bidi="ar-SA"/>
        </w:rPr>
        <w:id w:val="147478416"/>
        <w15:color w:val="DBDBDB"/>
        <w:docPartObj>
          <w:docPartGallery w:val="Table of Contents"/>
          <w:docPartUnique/>
        </w:docPartObj>
      </w:sdtPr>
      <w:sdtEndPr>
        <w:rPr>
          <w:rFonts w:ascii="Times New Roman" w:hAnsi="Times New Roman" w:eastAsia="宋体" w:cs="Times New Roman"/>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rPr>
          </w:pPr>
          <w:bookmarkStart w:id="102" w:name="_GoBack"/>
          <w:bookmarkEnd w:id="102"/>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36"/>
            <w:tabs>
              <w:tab w:val="right" w:leader="dot" w:pos="8306"/>
            </w:tabs>
            <w:rPr>
              <w:b/>
            </w:rPr>
          </w:pPr>
          <w:r>
            <w:rPr>
              <w:b/>
              <w:color w:val="auto"/>
              <w:highlight w:val="none"/>
            </w:rPr>
            <w:fldChar w:fldCharType="begin"/>
          </w:r>
          <w:r>
            <w:rPr>
              <w:b/>
              <w:highlight w:val="none"/>
            </w:rPr>
            <w:instrText xml:space="preserve"> HYPERLINK \l _Toc14091 </w:instrText>
          </w:r>
          <w:r>
            <w:rPr>
              <w:b/>
              <w:highlight w:val="none"/>
            </w:rPr>
            <w:fldChar w:fldCharType="separate"/>
          </w:r>
          <w:r>
            <w:rPr>
              <w:rFonts w:hint="eastAsia" w:ascii="黑体" w:hAnsi="黑体" w:eastAsia="黑体"/>
              <w:b/>
              <w:highlight w:val="none"/>
            </w:rPr>
            <w:t>第一部分</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_Toc14091 \h </w:instrText>
          </w:r>
          <w:r>
            <w:rPr>
              <w:b/>
            </w:rPr>
            <w:fldChar w:fldCharType="separate"/>
          </w:r>
          <w:r>
            <w:rPr>
              <w:b/>
            </w:rPr>
            <w:t>1</w:t>
          </w:r>
          <w:r>
            <w:rPr>
              <w:b/>
            </w:rPr>
            <w:fldChar w:fldCharType="end"/>
          </w:r>
          <w:r>
            <w:rPr>
              <w:b/>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_Toc20304 </w:instrText>
          </w:r>
          <w:r>
            <w:rPr>
              <w:highlight w:val="none"/>
            </w:rPr>
            <w:fldChar w:fldCharType="separate"/>
          </w:r>
          <w:r>
            <w:rPr>
              <w:rFonts w:hint="eastAsia" w:ascii="仿宋_GB2312" w:hAnsi="仿宋_GB2312" w:eastAsia="仿宋_GB2312" w:cs="仿宋_GB2312"/>
              <w:bCs w:val="0"/>
              <w:kern w:val="2"/>
              <w:szCs w:val="32"/>
              <w:lang w:val="en-US" w:eastAsia="zh-CN" w:bidi="ar-SA"/>
            </w:rPr>
            <w:t>一、</w:t>
          </w:r>
          <w:r>
            <w:rPr>
              <w:rFonts w:hint="eastAsia" w:ascii="黑体" w:hAnsi="黑体" w:eastAsia="黑体"/>
              <w:bCs w:val="0"/>
              <w:highlight w:val="none"/>
              <w:lang w:eastAsia="zh-CN"/>
            </w:rPr>
            <w:t>主要职责</w:t>
          </w:r>
          <w:r>
            <w:tab/>
          </w:r>
          <w:r>
            <w:fldChar w:fldCharType="begin"/>
          </w:r>
          <w:r>
            <w:instrText xml:space="preserve"> PAGEREF _Toc20304 \h </w:instrText>
          </w:r>
          <w:r>
            <w:fldChar w:fldCharType="separate"/>
          </w:r>
          <w:r>
            <w:t>1</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_Toc5900 </w:instrText>
          </w:r>
          <w:r>
            <w:rPr>
              <w:highlight w:val="none"/>
            </w:rPr>
            <w:fldChar w:fldCharType="separate"/>
          </w:r>
          <w:r>
            <w:rPr>
              <w:rFonts w:hint="eastAsia" w:ascii="仿宋" w:hAnsi="仿宋" w:eastAsia="仿宋"/>
              <w:szCs w:val="32"/>
            </w:rPr>
            <w:t>二、</w:t>
          </w:r>
          <w:r>
            <w:rPr>
              <w:rFonts w:hint="eastAsia" w:ascii="黑体" w:hAnsi="黑体" w:eastAsia="黑体"/>
              <w:highlight w:val="none"/>
              <w:lang w:val="en-US" w:eastAsia="zh-CN"/>
            </w:rPr>
            <w:t>机构设置</w:t>
          </w:r>
          <w:r>
            <w:tab/>
          </w:r>
          <w:r>
            <w:fldChar w:fldCharType="begin"/>
          </w:r>
          <w:r>
            <w:instrText xml:space="preserve"> PAGEREF _Toc5900 \h </w:instrText>
          </w:r>
          <w:r>
            <w:fldChar w:fldCharType="separate"/>
          </w:r>
          <w:r>
            <w:t>1</w:t>
          </w:r>
          <w:r>
            <w:fldChar w:fldCharType="end"/>
          </w:r>
          <w:r>
            <w:rPr>
              <w:color w:val="auto"/>
              <w:highlight w:val="none"/>
            </w:rPr>
            <w:fldChar w:fldCharType="end"/>
          </w:r>
        </w:p>
        <w:p>
          <w:pPr>
            <w:pStyle w:val="36"/>
            <w:tabs>
              <w:tab w:val="right" w:leader="dot" w:pos="8306"/>
            </w:tabs>
            <w:rPr>
              <w:b/>
            </w:rPr>
          </w:pPr>
          <w:r>
            <w:rPr>
              <w:b/>
              <w:color w:val="auto"/>
              <w:highlight w:val="none"/>
            </w:rPr>
            <w:fldChar w:fldCharType="begin"/>
          </w:r>
          <w:r>
            <w:rPr>
              <w:b/>
              <w:highlight w:val="none"/>
            </w:rPr>
            <w:instrText xml:space="preserve"> HYPERLINK \l _Toc3650 </w:instrText>
          </w:r>
          <w:r>
            <w:rPr>
              <w:b/>
              <w:highlight w:val="none"/>
            </w:rPr>
            <w:fldChar w:fldCharType="separate"/>
          </w:r>
          <w:r>
            <w:rPr>
              <w:rFonts w:hint="eastAsia" w:ascii="黑体" w:hAnsi="黑体" w:eastAsia="黑体"/>
              <w:b/>
              <w:bCs/>
              <w:highlight w:val="none"/>
            </w:rPr>
            <w:t>第二部分</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_Toc3650 \h </w:instrText>
          </w:r>
          <w:r>
            <w:rPr>
              <w:b/>
            </w:rPr>
            <w:fldChar w:fldCharType="separate"/>
          </w:r>
          <w:r>
            <w:rPr>
              <w:b/>
            </w:rPr>
            <w:t>2</w:t>
          </w:r>
          <w:r>
            <w:rPr>
              <w:b/>
            </w:rPr>
            <w:fldChar w:fldCharType="end"/>
          </w:r>
          <w:r>
            <w:rPr>
              <w:b/>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_Toc3199 </w:instrText>
          </w:r>
          <w:r>
            <w:rPr>
              <w:highlight w:val="none"/>
            </w:rP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_Toc3199 \h </w:instrText>
          </w:r>
          <w:r>
            <w:fldChar w:fldCharType="separate"/>
          </w:r>
          <w:r>
            <w:t>2</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_Toc18078 </w:instrText>
          </w:r>
          <w:r>
            <w:rPr>
              <w:highlight w:val="none"/>
            </w:rPr>
            <w:fldChar w:fldCharType="separate"/>
          </w:r>
          <w:r>
            <w:rPr>
              <w:rFonts w:hint="default" w:ascii="黑体" w:hAnsi="黑体" w:eastAsia="黑体"/>
              <w:szCs w:val="30"/>
            </w:rPr>
            <w:t>二、</w:t>
          </w:r>
          <w:r>
            <w:rPr>
              <w:rFonts w:hint="eastAsia" w:ascii="黑体" w:hAnsi="黑体" w:eastAsia="黑体"/>
              <w:szCs w:val="30"/>
              <w:highlight w:val="none"/>
            </w:rPr>
            <w:t>收入决算情况说明</w:t>
          </w:r>
          <w:r>
            <w:tab/>
          </w:r>
          <w:r>
            <w:fldChar w:fldCharType="begin"/>
          </w:r>
          <w:r>
            <w:instrText xml:space="preserve"> PAGEREF _Toc18078 \h </w:instrText>
          </w:r>
          <w:r>
            <w:fldChar w:fldCharType="separate"/>
          </w:r>
          <w:r>
            <w:t>2</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_Toc1664 </w:instrText>
          </w:r>
          <w:r>
            <w:rPr>
              <w:highlight w:val="none"/>
            </w:rP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_Toc1664 \h </w:instrText>
          </w:r>
          <w:r>
            <w:fldChar w:fldCharType="separate"/>
          </w:r>
          <w:r>
            <w:t>3</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_Toc3459 </w:instrText>
          </w:r>
          <w:r>
            <w:rPr>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_Toc3459 \h </w:instrText>
          </w:r>
          <w:r>
            <w:fldChar w:fldCharType="separate"/>
          </w:r>
          <w:r>
            <w:t>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_Toc14985 </w:instrText>
          </w:r>
          <w:r>
            <w:rPr>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_Toc14985 \h </w:instrText>
          </w:r>
          <w:r>
            <w:fldChar w:fldCharType="separate"/>
          </w:r>
          <w:r>
            <w:t>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_Toc25955 </w:instrText>
          </w:r>
          <w:r>
            <w:rPr>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_Toc25955 \h </w:instrText>
          </w:r>
          <w:r>
            <w:fldChar w:fldCharType="separate"/>
          </w:r>
          <w:r>
            <w:t>7</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_Toc12916 </w:instrText>
          </w:r>
          <w:r>
            <w:rPr>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_Toc12916 \h </w:instrText>
          </w:r>
          <w:r>
            <w:fldChar w:fldCharType="separate"/>
          </w:r>
          <w:r>
            <w:t>7</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_Toc14314 </w:instrText>
          </w:r>
          <w:r>
            <w:rPr>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_Toc14314 \h </w:instrText>
          </w:r>
          <w:r>
            <w:fldChar w:fldCharType="separate"/>
          </w:r>
          <w:r>
            <w:t>9</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_Toc11131 </w:instrText>
          </w:r>
          <w:r>
            <w:rPr>
              <w:highlight w:val="none"/>
            </w:rP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_Toc11131 \h </w:instrText>
          </w:r>
          <w:r>
            <w:fldChar w:fldCharType="separate"/>
          </w:r>
          <w:r>
            <w:t>9</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_Toc10015 </w:instrText>
          </w:r>
          <w:r>
            <w:rPr>
              <w:highlight w:val="none"/>
            </w:rP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_Toc10015 \h </w:instrText>
          </w:r>
          <w:r>
            <w:fldChar w:fldCharType="separate"/>
          </w:r>
          <w:r>
            <w:t>9</w:t>
          </w:r>
          <w:r>
            <w:fldChar w:fldCharType="end"/>
          </w:r>
          <w:r>
            <w:rPr>
              <w:color w:val="auto"/>
              <w:highlight w:val="none"/>
            </w:rPr>
            <w:fldChar w:fldCharType="end"/>
          </w:r>
        </w:p>
        <w:p>
          <w:pPr>
            <w:pStyle w:val="36"/>
            <w:tabs>
              <w:tab w:val="right" w:leader="dot" w:pos="8306"/>
            </w:tabs>
            <w:rPr>
              <w:b/>
            </w:rPr>
          </w:pPr>
          <w:r>
            <w:rPr>
              <w:b/>
              <w:color w:val="auto"/>
              <w:highlight w:val="none"/>
            </w:rPr>
            <w:fldChar w:fldCharType="begin"/>
          </w:r>
          <w:r>
            <w:rPr>
              <w:b/>
              <w:highlight w:val="none"/>
            </w:rPr>
            <w:instrText xml:space="preserve"> HYPERLINK \l _Toc19099 </w:instrText>
          </w:r>
          <w:r>
            <w:rPr>
              <w:b/>
              <w:highlight w:val="none"/>
            </w:rPr>
            <w:fldChar w:fldCharType="separate"/>
          </w:r>
          <w:r>
            <w:rPr>
              <w:rFonts w:hint="eastAsia" w:ascii="黑体" w:hAnsi="黑体" w:eastAsia="黑体"/>
              <w:b/>
            </w:rPr>
            <w:t>第三部分</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_Toc19099 \h </w:instrText>
          </w:r>
          <w:r>
            <w:rPr>
              <w:b/>
            </w:rPr>
            <w:fldChar w:fldCharType="separate"/>
          </w:r>
          <w:r>
            <w:rPr>
              <w:b/>
            </w:rPr>
            <w:t>10</w:t>
          </w:r>
          <w:r>
            <w:rPr>
              <w:b/>
            </w:rPr>
            <w:fldChar w:fldCharType="end"/>
          </w:r>
          <w:r>
            <w:rPr>
              <w:b/>
              <w:color w:val="auto"/>
              <w:highlight w:val="none"/>
            </w:rPr>
            <w:fldChar w:fldCharType="end"/>
          </w:r>
        </w:p>
        <w:p>
          <w:pPr>
            <w:pStyle w:val="36"/>
            <w:tabs>
              <w:tab w:val="right" w:leader="dot" w:pos="8306"/>
            </w:tabs>
            <w:rPr>
              <w:b/>
            </w:rPr>
          </w:pPr>
          <w:r>
            <w:rPr>
              <w:b/>
              <w:color w:val="auto"/>
              <w:highlight w:val="none"/>
            </w:rPr>
            <w:fldChar w:fldCharType="begin"/>
          </w:r>
          <w:r>
            <w:rPr>
              <w:b/>
              <w:highlight w:val="none"/>
            </w:rPr>
            <w:instrText xml:space="preserve"> HYPERLINK \l _Toc4251 </w:instrText>
          </w:r>
          <w:r>
            <w:rPr>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四部分附件</w:t>
          </w:r>
          <w:r>
            <w:rPr>
              <w:b/>
            </w:rPr>
            <w:tab/>
          </w:r>
          <w:r>
            <w:rPr>
              <w:b/>
            </w:rPr>
            <w:fldChar w:fldCharType="begin"/>
          </w:r>
          <w:r>
            <w:rPr>
              <w:b/>
            </w:rPr>
            <w:instrText xml:space="preserve"> PAGEREF _Toc4251 \h </w:instrText>
          </w:r>
          <w:r>
            <w:rPr>
              <w:b/>
            </w:rPr>
            <w:fldChar w:fldCharType="separate"/>
          </w:r>
          <w:r>
            <w:rPr>
              <w:b/>
            </w:rPr>
            <w:t>13</w:t>
          </w:r>
          <w:r>
            <w:rPr>
              <w:b/>
            </w:rPr>
            <w:fldChar w:fldCharType="end"/>
          </w:r>
          <w:r>
            <w:rPr>
              <w:b/>
              <w:color w:val="auto"/>
              <w:highlight w:val="none"/>
            </w:rPr>
            <w:fldChar w:fldCharType="end"/>
          </w:r>
        </w:p>
        <w:p>
          <w:pPr>
            <w:pStyle w:val="37"/>
            <w:tabs>
              <w:tab w:val="right" w:leader="dot" w:pos="8306"/>
            </w:tabs>
            <w:rPr>
              <w:b/>
            </w:rPr>
          </w:pPr>
          <w:r>
            <w:rPr>
              <w:color w:val="auto"/>
              <w:highlight w:val="none"/>
            </w:rPr>
            <w:fldChar w:fldCharType="begin"/>
          </w:r>
          <w:r>
            <w:rPr>
              <w:highlight w:val="none"/>
            </w:rPr>
            <w:instrText xml:space="preserve"> HYPERLINK \l _Toc4654 </w:instrText>
          </w:r>
          <w:r>
            <w:rPr>
              <w:highlight w:val="none"/>
            </w:rPr>
            <w:fldChar w:fldCharType="separate"/>
          </w:r>
          <w:r>
            <w:rPr>
              <w:rFonts w:hint="eastAsia" w:ascii="宋体" w:hAnsi="宋体" w:eastAsia="宋体" w:cs="宋体"/>
              <w:kern w:val="0"/>
              <w:szCs w:val="32"/>
              <w:highlight w:val="none"/>
              <w:lang w:val="en-US" w:eastAsia="zh-CN" w:bidi="ar-SA"/>
            </w:rPr>
            <w:t>部门预算项目支出绩效自评表（2022年度）</w:t>
          </w:r>
          <w:r>
            <w:tab/>
          </w:r>
          <w:r>
            <w:fldChar w:fldCharType="begin"/>
          </w:r>
          <w:r>
            <w:instrText xml:space="preserve"> PAGEREF _Toc4654 \h </w:instrText>
          </w:r>
          <w:r>
            <w:fldChar w:fldCharType="separate"/>
          </w:r>
          <w:r>
            <w:t>13</w:t>
          </w:r>
          <w:r>
            <w:fldChar w:fldCharType="end"/>
          </w:r>
          <w:r>
            <w:rPr>
              <w:color w:val="auto"/>
              <w:highlight w:val="none"/>
            </w:rPr>
            <w:fldChar w:fldCharType="end"/>
          </w:r>
        </w:p>
        <w:p>
          <w:pPr>
            <w:pStyle w:val="36"/>
            <w:tabs>
              <w:tab w:val="right" w:leader="dot" w:pos="8306"/>
            </w:tabs>
            <w:rPr>
              <w:b/>
            </w:rPr>
          </w:pPr>
          <w:r>
            <w:rPr>
              <w:b/>
              <w:color w:val="auto"/>
              <w:highlight w:val="none"/>
            </w:rPr>
            <w:fldChar w:fldCharType="begin"/>
          </w:r>
          <w:r>
            <w:rPr>
              <w:b/>
              <w:highlight w:val="none"/>
            </w:rPr>
            <w:instrText xml:space="preserve"> HYPERLINK \l _Toc19598 </w:instrText>
          </w:r>
          <w:r>
            <w:rPr>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五部分附表</w:t>
          </w:r>
          <w:r>
            <w:rPr>
              <w:b/>
            </w:rPr>
            <w:tab/>
          </w:r>
          <w:r>
            <w:rPr>
              <w:b/>
            </w:rPr>
            <w:fldChar w:fldCharType="begin"/>
          </w:r>
          <w:r>
            <w:rPr>
              <w:b/>
            </w:rPr>
            <w:instrText xml:space="preserve"> PAGEREF _Toc19598 \h </w:instrText>
          </w:r>
          <w:r>
            <w:rPr>
              <w:b/>
            </w:rPr>
            <w:fldChar w:fldCharType="separate"/>
          </w:r>
          <w:r>
            <w:rPr>
              <w:b/>
            </w:rPr>
            <w:t>14</w:t>
          </w:r>
          <w:r>
            <w:rPr>
              <w:b/>
            </w:rPr>
            <w:fldChar w:fldCharType="end"/>
          </w:r>
          <w:r>
            <w:rPr>
              <w:b/>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_Toc27031 </w:instrText>
          </w:r>
          <w:r>
            <w:rPr>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_Toc27031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_Toc31745 </w:instrText>
          </w:r>
          <w:r>
            <w:rPr>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_Toc31745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_Toc21603 </w:instrText>
          </w:r>
          <w:r>
            <w:rPr>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_Toc21603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_Toc30667 </w:instrText>
          </w:r>
          <w:r>
            <w:rPr>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_Toc30667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_Toc13717 </w:instrText>
          </w:r>
          <w:r>
            <w:rPr>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_Toc13717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_Toc15140 </w:instrText>
          </w:r>
          <w:r>
            <w:rPr>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_Toc15140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_Toc2271 </w:instrText>
          </w:r>
          <w:r>
            <w:rPr>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_Toc2271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_Toc29413 </w:instrText>
          </w:r>
          <w:r>
            <w:rPr>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_Toc29413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_Toc12259 </w:instrText>
          </w:r>
          <w:r>
            <w:rPr>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_Toc12259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_Toc27048 </w:instrText>
          </w:r>
          <w:r>
            <w:rPr>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_Toc27048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_Toc1096 </w:instrText>
          </w:r>
          <w:r>
            <w:rPr>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_Toc1096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_Toc19983 </w:instrText>
          </w:r>
          <w:r>
            <w:rPr>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_Toc19983 \h </w:instrText>
          </w:r>
          <w:r>
            <w:fldChar w:fldCharType="separate"/>
          </w:r>
          <w:r>
            <w:t>14</w:t>
          </w:r>
          <w:r>
            <w:fldChar w:fldCharType="end"/>
          </w:r>
          <w:r>
            <w:rPr>
              <w:color w:val="auto"/>
              <w:highlight w:val="none"/>
            </w:rPr>
            <w:fldChar w:fldCharType="end"/>
          </w:r>
        </w:p>
        <w:p>
          <w:pPr>
            <w:pStyle w:val="37"/>
            <w:tabs>
              <w:tab w:val="right" w:leader="dot" w:pos="8306"/>
            </w:tabs>
          </w:pPr>
          <w:r>
            <w:rPr>
              <w:color w:val="auto"/>
              <w:highlight w:val="none"/>
            </w:rPr>
            <w:fldChar w:fldCharType="begin"/>
          </w:r>
          <w:r>
            <w:rPr>
              <w:highlight w:val="none"/>
            </w:rPr>
            <w:instrText xml:space="preserve"> HYPERLINK \l _Toc3956 </w:instrText>
          </w:r>
          <w:r>
            <w:rPr>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_Toc3956 \h </w:instrText>
          </w:r>
          <w:r>
            <w:fldChar w:fldCharType="separate"/>
          </w:r>
          <w:r>
            <w:t>14</w:t>
          </w:r>
          <w:r>
            <w:fldChar w:fldCharType="end"/>
          </w:r>
          <w:r>
            <w:rPr>
              <w:color w:val="auto"/>
              <w:highlight w:val="none"/>
            </w:rPr>
            <w:fldChar w:fldCharType="end"/>
          </w:r>
        </w:p>
        <w:p>
          <w:pPr>
            <w:rPr>
              <w:rFonts w:ascii="仿宋" w:hAnsi="仿宋" w:eastAsia="仿宋"/>
              <w:bCs/>
              <w:kern w:val="44"/>
              <w:sz w:val="24"/>
            </w:rPr>
          </w:pPr>
          <w:r>
            <w:rPr>
              <w:b/>
              <w:color w:val="auto"/>
              <w:highlight w:val="none"/>
            </w:rPr>
            <w:fldChar w:fldCharType="end"/>
          </w:r>
        </w:p>
      </w:sdtContent>
    </w:sdt>
    <w:bookmarkEnd w:id="14"/>
    <w:bookmarkEnd w:id="15"/>
    <w:p>
      <w:pPr>
        <w:pStyle w:val="2"/>
        <w:jc w:val="center"/>
        <w:rPr>
          <w:rFonts w:hint="eastAsia" w:ascii="黑体" w:hAnsi="黑体" w:eastAsia="黑体"/>
          <w:b w:val="0"/>
          <w:color w:val="auto"/>
          <w:highlight w:val="none"/>
        </w:rPr>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pPr>
      <w:bookmarkStart w:id="16" w:name="_Toc14091"/>
    </w:p>
    <w:p>
      <w:pPr>
        <w:pStyle w:val="2"/>
        <w:jc w:val="center"/>
        <w:rPr>
          <w:rStyle w:val="20"/>
          <w:rFonts w:ascii="黑体" w:hAnsi="黑体" w:eastAsia="黑体"/>
          <w:b/>
          <w:bCs w:val="0"/>
          <w:color w:val="auto"/>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20"/>
          <w:rFonts w:hint="eastAsia" w:ascii="黑体" w:hAnsi="黑体" w:eastAsia="黑体"/>
          <w:b w:val="0"/>
          <w:bCs w:val="0"/>
          <w:color w:val="auto"/>
          <w:highlight w:val="none"/>
        </w:rPr>
        <w:t>概况</w:t>
      </w:r>
      <w:bookmarkEnd w:id="16"/>
    </w:p>
    <w:p>
      <w:pPr>
        <w:widowControl/>
        <w:jc w:val="left"/>
        <w:rPr>
          <w:rFonts w:ascii="黑体" w:eastAsia="黑体"/>
          <w:color w:val="auto"/>
          <w:sz w:val="32"/>
          <w:szCs w:val="32"/>
          <w:highlight w:val="none"/>
        </w:rPr>
      </w:pPr>
    </w:p>
    <w:p>
      <w:pPr>
        <w:pStyle w:val="3"/>
        <w:numPr>
          <w:ilvl w:val="0"/>
          <w:numId w:val="1"/>
        </w:numPr>
        <w:rPr>
          <w:rFonts w:hint="eastAsia" w:ascii="仿宋_GB2312" w:hAnsi="仿宋_GB2312" w:eastAsia="仿宋_GB2312" w:cs="仿宋_GB2312"/>
          <w:b w:val="0"/>
          <w:bCs w:val="0"/>
          <w:color w:val="auto"/>
          <w:kern w:val="2"/>
          <w:sz w:val="32"/>
          <w:szCs w:val="32"/>
          <w:highlight w:val="none"/>
          <w:lang w:val="en-US" w:eastAsia="zh-CN" w:bidi="ar-SA"/>
        </w:rPr>
      </w:pPr>
      <w:bookmarkStart w:id="17" w:name="_Toc20304"/>
      <w:bookmarkStart w:id="18" w:name="_Toc15377197"/>
      <w:bookmarkStart w:id="19" w:name="_Toc15396600"/>
      <w:r>
        <w:rPr>
          <w:rStyle w:val="21"/>
          <w:rFonts w:hint="eastAsia" w:ascii="黑体" w:hAnsi="黑体" w:eastAsia="黑体"/>
          <w:b w:val="0"/>
          <w:bCs w:val="0"/>
          <w:color w:val="auto"/>
          <w:highlight w:val="none"/>
          <w:lang w:eastAsia="zh-CN"/>
        </w:rPr>
        <w:t>主要职责</w:t>
      </w:r>
      <w:bookmarkEnd w:id="17"/>
    </w:p>
    <w:p>
      <w:pPr>
        <w:pStyle w:val="3"/>
        <w:numPr>
          <w:ilvl w:val="0"/>
          <w:numId w:val="0"/>
        </w:numPr>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20" w:name="_Toc8298"/>
      <w:r>
        <w:rPr>
          <w:rFonts w:hint="eastAsia" w:ascii="仿宋_GB2312" w:hAnsi="仿宋_GB2312" w:eastAsia="仿宋_GB2312" w:cs="仿宋_GB2312"/>
          <w:b w:val="0"/>
          <w:bCs w:val="0"/>
          <w:color w:val="auto"/>
          <w:kern w:val="2"/>
          <w:sz w:val="32"/>
          <w:szCs w:val="32"/>
          <w:highlight w:val="none"/>
          <w:lang w:val="en-US" w:eastAsia="zh-CN" w:bidi="ar-SA"/>
        </w:rPr>
        <w:t>主要承担全市重点优抚对象短（中、长）期集中供养服务和红色文化等传承教育；承担全市残疾军人、在乡老复员军人、带病回乡退伍军人、因公牺牲军人遗属和农村老义务兵等优抚对象的疾病预防、诊断、治疗、康复和巡诊建档服务及在院治疗期间的生活保障；承担全市及周边市州重点优抚对象定期与不定期的休养和疗养服务。</w:t>
      </w:r>
      <w:bookmarkEnd w:id="20"/>
    </w:p>
    <w:p>
      <w:pPr>
        <w:pStyle w:val="3"/>
        <w:numPr>
          <w:ilvl w:val="0"/>
          <w:numId w:val="1"/>
        </w:numPr>
        <w:ind w:left="0" w:leftChars="0" w:firstLine="0" w:firstLineChars="0"/>
        <w:rPr>
          <w:rFonts w:ascii="仿宋" w:hAnsi="仿宋" w:eastAsia="仿宋"/>
          <w:sz w:val="32"/>
          <w:szCs w:val="32"/>
        </w:rPr>
      </w:pPr>
      <w:bookmarkStart w:id="21" w:name="_Toc5900"/>
      <w:r>
        <w:rPr>
          <w:rFonts w:hint="eastAsia" w:ascii="黑体" w:hAnsi="黑体" w:eastAsia="黑体"/>
          <w:b w:val="0"/>
          <w:color w:val="auto"/>
          <w:highlight w:val="none"/>
          <w:lang w:val="en-US" w:eastAsia="zh-CN"/>
        </w:rPr>
        <w:t>机构设置</w:t>
      </w:r>
      <w:bookmarkEnd w:id="21"/>
    </w:p>
    <w:p>
      <w:pPr>
        <w:pStyle w:val="7"/>
        <w:adjustRightInd w:val="0"/>
        <w:snapToGrid w:val="0"/>
        <w:spacing w:before="93" w:line="600" w:lineRule="exact"/>
        <w:ind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广元市光荣院隶属市退役军人事务局，独立二级预算单位</w:t>
      </w:r>
      <w:bookmarkEnd w:id="18"/>
      <w:bookmarkEnd w:id="19"/>
      <w:r>
        <w:rPr>
          <w:rFonts w:hint="eastAsia" w:hAnsi="仿宋_GB2312" w:cs="仿宋_GB2312"/>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单位为正科级，与广元市优抚医院、广元市荣誉军人休养中心实行“三块牌子、一套人马”的管理体制。</w:t>
      </w:r>
    </w:p>
    <w:p>
      <w:pPr>
        <w:widowControl/>
        <w:jc w:val="left"/>
        <w:rPr>
          <w:rFonts w:ascii="仿宋" w:hAnsi="仿宋" w:eastAsia="仿宋"/>
          <w:kern w:val="0"/>
          <w:sz w:val="32"/>
          <w:szCs w:val="32"/>
        </w:rPr>
      </w:pPr>
      <w:r>
        <w:rPr>
          <w:rFonts w:ascii="仿宋" w:hAnsi="仿宋" w:eastAsia="仿宋"/>
          <w:sz w:val="32"/>
          <w:szCs w:val="32"/>
        </w:rPr>
        <w:br w:type="page"/>
      </w:r>
    </w:p>
    <w:p>
      <w:pPr>
        <w:pStyle w:val="2"/>
        <w:ind w:right="440"/>
        <w:jc w:val="center"/>
        <w:rPr>
          <w:rStyle w:val="20"/>
          <w:rFonts w:ascii="黑体" w:hAnsi="黑体" w:eastAsia="黑体"/>
          <w:b w:val="0"/>
          <w:bCs/>
          <w:color w:val="auto"/>
          <w:highlight w:val="none"/>
        </w:rPr>
      </w:pPr>
      <w:bookmarkStart w:id="22" w:name="_Toc15396602"/>
      <w:bookmarkStart w:id="23" w:name="_Toc15377204"/>
      <w:bookmarkStart w:id="24" w:name="_Toc3650"/>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20"/>
          <w:rFonts w:hint="eastAsia" w:ascii="黑体" w:hAnsi="黑体" w:eastAsia="黑体"/>
          <w:b w:val="0"/>
          <w:bCs/>
          <w:color w:val="auto"/>
          <w:highlight w:val="none"/>
          <w:lang w:eastAsia="zh-CN"/>
        </w:rPr>
        <w:t>单位</w:t>
      </w:r>
      <w:r>
        <w:rPr>
          <w:rStyle w:val="20"/>
          <w:rFonts w:hint="eastAsia" w:ascii="黑体" w:hAnsi="黑体" w:eastAsia="黑体"/>
          <w:b w:val="0"/>
          <w:bCs/>
          <w:color w:val="auto"/>
          <w:highlight w:val="none"/>
        </w:rPr>
        <w:t>决算情况说明</w:t>
      </w:r>
      <w:bookmarkEnd w:id="22"/>
      <w:bookmarkEnd w:id="23"/>
      <w:bookmarkEnd w:id="24"/>
    </w:p>
    <w:p>
      <w:pPr>
        <w:rPr>
          <w:color w:val="auto"/>
          <w:highlight w:val="none"/>
        </w:rPr>
      </w:pPr>
    </w:p>
    <w:p>
      <w:pPr>
        <w:pStyle w:val="31"/>
        <w:numPr>
          <w:ilvl w:val="0"/>
          <w:numId w:val="2"/>
        </w:numPr>
        <w:spacing w:line="600" w:lineRule="exact"/>
        <w:ind w:firstLineChars="0"/>
        <w:outlineLvl w:val="1"/>
        <w:rPr>
          <w:rStyle w:val="21"/>
          <w:rFonts w:ascii="黑体" w:hAnsi="黑体" w:eastAsia="黑体"/>
          <w:b w:val="0"/>
          <w:color w:val="auto"/>
          <w:highlight w:val="none"/>
        </w:rPr>
      </w:pPr>
      <w:bookmarkStart w:id="25" w:name="_Toc3199"/>
      <w:bookmarkStart w:id="26" w:name="_Toc15377205"/>
      <w:bookmarkStart w:id="27" w:name="_Toc15396603"/>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25"/>
      <w:bookmarkEnd w:id="26"/>
      <w:bookmarkEnd w:id="2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年度收、支总计623</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78万元。与20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550.98万元</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72.8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13.21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财政拨款收入增加。</w:t>
      </w:r>
    </w:p>
    <w:p>
      <w:pPr>
        <w:pStyle w:val="7"/>
        <w:spacing w:before="93"/>
        <w:jc w:val="center"/>
        <w:rPr>
          <w:rFonts w:hint="eastAsia" w:ascii="仿宋" w:hAnsi="仿宋" w:eastAsia="仿宋"/>
          <w:color w:val="auto"/>
          <w:sz w:val="32"/>
          <w:szCs w:val="32"/>
          <w:highlight w:val="none"/>
        </w:rPr>
      </w:pPr>
      <w:r>
        <w:drawing>
          <wp:inline distT="0" distB="0" distL="114300" distR="114300">
            <wp:extent cx="4826000" cy="2743200"/>
            <wp:effectExtent l="4445" t="4445" r="8255" b="14605"/>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15"/>
      </w:pPr>
    </w:p>
    <w:p>
      <w:pPr>
        <w:pStyle w:val="31"/>
        <w:numPr>
          <w:ilvl w:val="0"/>
          <w:numId w:val="2"/>
        </w:numPr>
        <w:spacing w:line="600" w:lineRule="exact"/>
        <w:ind w:firstLineChars="0"/>
        <w:outlineLvl w:val="1"/>
        <w:rPr>
          <w:rStyle w:val="21"/>
          <w:rFonts w:ascii="黑体" w:hAnsi="黑体" w:eastAsia="黑体"/>
          <w:b w:val="0"/>
          <w:color w:val="auto"/>
          <w:sz w:val="30"/>
          <w:szCs w:val="30"/>
          <w:highlight w:val="none"/>
        </w:rPr>
      </w:pPr>
      <w:bookmarkStart w:id="28" w:name="_Toc15377206"/>
      <w:bookmarkStart w:id="29" w:name="_Toc15396604"/>
      <w:bookmarkStart w:id="30" w:name="_Toc18078"/>
      <w:r>
        <w:rPr>
          <w:rFonts w:hint="eastAsia" w:ascii="黑体" w:hAnsi="黑体" w:eastAsia="黑体"/>
          <w:color w:val="auto"/>
          <w:sz w:val="30"/>
          <w:szCs w:val="30"/>
          <w:highlight w:val="none"/>
        </w:rPr>
        <w:t>收</w:t>
      </w:r>
      <w:r>
        <w:rPr>
          <w:rStyle w:val="21"/>
          <w:rFonts w:hint="eastAsia" w:ascii="黑体" w:hAnsi="黑体" w:eastAsia="黑体"/>
          <w:b w:val="0"/>
          <w:color w:val="auto"/>
          <w:sz w:val="30"/>
          <w:szCs w:val="30"/>
          <w:highlight w:val="none"/>
        </w:rPr>
        <w:t>入决算情况说明</w:t>
      </w:r>
      <w:bookmarkEnd w:id="28"/>
      <w:bookmarkEnd w:id="29"/>
      <w:bookmarkEnd w:id="30"/>
    </w:p>
    <w:p>
      <w:pPr>
        <w:spacing w:line="600" w:lineRule="exact"/>
        <w:ind w:firstLine="600" w:firstLineChars="200"/>
        <w:outlineLvl w:val="1"/>
        <w:rPr>
          <w:rFonts w:hint="eastAsia" w:ascii="仿宋" w:hAnsi="仿宋" w:eastAsia="仿宋"/>
          <w:color w:val="auto"/>
          <w:sz w:val="30"/>
          <w:szCs w:val="30"/>
          <w:highlight w:val="none"/>
          <w:lang w:val="en-US" w:eastAsia="zh-CN"/>
        </w:rPr>
      </w:pPr>
      <w:bookmarkStart w:id="31" w:name="_Toc6249"/>
      <w:r>
        <w:rPr>
          <w:rFonts w:ascii="仿宋" w:hAnsi="仿宋" w:eastAsia="仿宋"/>
          <w:color w:val="auto"/>
          <w:sz w:val="30"/>
          <w:szCs w:val="30"/>
          <w:highlight w:val="none"/>
        </w:rPr>
        <w:t>20</w:t>
      </w:r>
      <w:r>
        <w:rPr>
          <w:rFonts w:hint="eastAsia" w:ascii="仿宋" w:hAnsi="仿宋" w:eastAsia="仿宋"/>
          <w:color w:val="auto"/>
          <w:sz w:val="30"/>
          <w:szCs w:val="30"/>
          <w:highlight w:val="none"/>
          <w:lang w:val="en-US" w:eastAsia="zh-CN"/>
        </w:rPr>
        <w:t>22</w:t>
      </w:r>
      <w:r>
        <w:rPr>
          <w:rFonts w:hint="eastAsia" w:ascii="仿宋" w:hAnsi="仿宋" w:eastAsia="仿宋"/>
          <w:color w:val="auto"/>
          <w:sz w:val="30"/>
          <w:szCs w:val="30"/>
          <w:highlight w:val="none"/>
        </w:rPr>
        <w:t>年本年收入合计</w:t>
      </w:r>
      <w:r>
        <w:rPr>
          <w:rFonts w:hint="eastAsia" w:ascii="仿宋" w:hAnsi="仿宋" w:eastAsia="仿宋"/>
          <w:color w:val="auto"/>
          <w:sz w:val="30"/>
          <w:szCs w:val="30"/>
          <w:highlight w:val="none"/>
          <w:lang w:val="en-US" w:eastAsia="zh-CN"/>
        </w:rPr>
        <w:t>622.58</w:t>
      </w:r>
      <w:r>
        <w:rPr>
          <w:rFonts w:hint="eastAsia" w:ascii="仿宋" w:hAnsi="仿宋" w:eastAsia="仿宋"/>
          <w:color w:val="auto"/>
          <w:sz w:val="30"/>
          <w:szCs w:val="30"/>
          <w:highlight w:val="none"/>
        </w:rPr>
        <w:t>万元，其中：一般公共预算财政拨款收入</w:t>
      </w:r>
      <w:r>
        <w:rPr>
          <w:rFonts w:hint="eastAsia" w:ascii="仿宋" w:hAnsi="仿宋" w:eastAsia="仿宋"/>
          <w:color w:val="auto"/>
          <w:sz w:val="30"/>
          <w:szCs w:val="30"/>
          <w:highlight w:val="none"/>
          <w:lang w:val="en-US" w:eastAsia="zh-CN"/>
        </w:rPr>
        <w:t>572.58</w:t>
      </w:r>
      <w:r>
        <w:rPr>
          <w:rFonts w:hint="eastAsia" w:ascii="仿宋" w:hAnsi="仿宋" w:eastAsia="仿宋"/>
          <w:color w:val="auto"/>
          <w:sz w:val="30"/>
          <w:szCs w:val="30"/>
          <w:highlight w:val="none"/>
        </w:rPr>
        <w:t>万元，占</w:t>
      </w:r>
      <w:r>
        <w:rPr>
          <w:rFonts w:hint="eastAsia" w:ascii="仿宋" w:hAnsi="仿宋" w:eastAsia="仿宋"/>
          <w:color w:val="auto"/>
          <w:sz w:val="30"/>
          <w:szCs w:val="30"/>
          <w:highlight w:val="none"/>
          <w:lang w:val="en-US" w:eastAsia="zh-CN"/>
        </w:rPr>
        <w:t>91.97</w:t>
      </w:r>
      <w:r>
        <w:rPr>
          <w:rFonts w:ascii="仿宋" w:hAnsi="仿宋" w:eastAsia="仿宋"/>
          <w:color w:val="auto"/>
          <w:sz w:val="30"/>
          <w:szCs w:val="30"/>
          <w:highlight w:val="none"/>
        </w:rPr>
        <w:t>%</w:t>
      </w:r>
      <w:r>
        <w:rPr>
          <w:rFonts w:hint="eastAsia" w:ascii="仿宋" w:hAnsi="仿宋" w:eastAsia="仿宋"/>
          <w:color w:val="auto"/>
          <w:sz w:val="30"/>
          <w:szCs w:val="30"/>
          <w:highlight w:val="none"/>
        </w:rPr>
        <w:t>；政府性基金预算财政拨款收入</w:t>
      </w:r>
      <w:r>
        <w:rPr>
          <w:rFonts w:hint="eastAsia" w:ascii="仿宋" w:hAnsi="仿宋" w:eastAsia="仿宋"/>
          <w:color w:val="auto"/>
          <w:sz w:val="30"/>
          <w:szCs w:val="30"/>
          <w:highlight w:val="none"/>
          <w:lang w:val="en-US" w:eastAsia="zh-CN"/>
        </w:rPr>
        <w:t>50</w:t>
      </w:r>
      <w:r>
        <w:rPr>
          <w:rFonts w:hint="eastAsia" w:ascii="仿宋" w:hAnsi="仿宋" w:eastAsia="仿宋"/>
          <w:color w:val="auto"/>
          <w:sz w:val="30"/>
          <w:szCs w:val="30"/>
          <w:highlight w:val="none"/>
        </w:rPr>
        <w:t>万元，占</w:t>
      </w:r>
      <w:r>
        <w:rPr>
          <w:rFonts w:hint="eastAsia" w:ascii="仿宋" w:hAnsi="仿宋" w:eastAsia="仿宋"/>
          <w:color w:val="auto"/>
          <w:sz w:val="30"/>
          <w:szCs w:val="30"/>
          <w:highlight w:val="none"/>
          <w:lang w:val="en-US" w:eastAsia="zh-CN"/>
        </w:rPr>
        <w:t>8.03</w:t>
      </w:r>
      <w:r>
        <w:rPr>
          <w:rFonts w:ascii="仿宋" w:hAnsi="仿宋" w:eastAsia="仿宋"/>
          <w:color w:val="auto"/>
          <w:sz w:val="30"/>
          <w:szCs w:val="30"/>
          <w:highlight w:val="none"/>
        </w:rPr>
        <w:t>%</w:t>
      </w:r>
      <w:r>
        <w:rPr>
          <w:rFonts w:hint="eastAsia" w:ascii="仿宋" w:hAnsi="仿宋" w:eastAsia="仿宋"/>
          <w:color w:val="auto"/>
          <w:sz w:val="30"/>
          <w:szCs w:val="30"/>
          <w:highlight w:val="none"/>
        </w:rPr>
        <w:t>。</w:t>
      </w:r>
      <w:bookmarkEnd w:id="31"/>
    </w:p>
    <w:p>
      <w:pPr>
        <w:spacing w:line="600" w:lineRule="exact"/>
        <w:outlineLvl w:val="1"/>
        <w:rPr>
          <w:rFonts w:hint="eastAsia" w:ascii="仿宋" w:hAnsi="仿宋" w:eastAsia="仿宋"/>
          <w:color w:val="auto"/>
          <w:sz w:val="30"/>
          <w:szCs w:val="30"/>
          <w:highlight w:val="none"/>
          <w:lang w:val="en-US" w:eastAsia="zh-CN"/>
        </w:rPr>
      </w:pPr>
    </w:p>
    <w:p>
      <w:pPr>
        <w:spacing w:line="600" w:lineRule="exact"/>
        <w:outlineLvl w:val="1"/>
        <w:rPr>
          <w:rFonts w:hint="eastAsia" w:ascii="仿宋" w:hAnsi="仿宋" w:eastAsia="仿宋"/>
          <w:color w:val="auto"/>
          <w:sz w:val="30"/>
          <w:szCs w:val="30"/>
          <w:highlight w:val="none"/>
          <w:lang w:val="en-US" w:eastAsia="zh-CN"/>
        </w:rPr>
      </w:pPr>
    </w:p>
    <w:p>
      <w:pPr>
        <w:spacing w:line="600" w:lineRule="exact"/>
        <w:outlineLvl w:val="1"/>
        <w:rPr>
          <w:rFonts w:hint="eastAsia" w:ascii="仿宋" w:hAnsi="仿宋" w:eastAsia="仿宋"/>
          <w:color w:val="auto"/>
          <w:sz w:val="30"/>
          <w:szCs w:val="30"/>
          <w:highlight w:val="none"/>
          <w:lang w:val="en-US" w:eastAsia="zh-CN"/>
        </w:rPr>
      </w:pPr>
    </w:p>
    <w:p>
      <w:pPr>
        <w:spacing w:line="600" w:lineRule="exact"/>
        <w:outlineLvl w:val="1"/>
        <w:rPr>
          <w:rFonts w:hint="eastAsia" w:ascii="仿宋" w:hAnsi="仿宋" w:eastAsia="仿宋"/>
          <w:color w:val="auto"/>
          <w:sz w:val="30"/>
          <w:szCs w:val="30"/>
          <w:highlight w:val="none"/>
          <w:lang w:val="en-US" w:eastAsia="zh-CN"/>
        </w:rPr>
      </w:pPr>
      <w:r>
        <w:drawing>
          <wp:anchor distT="0" distB="0" distL="114300" distR="114300" simplePos="0" relativeHeight="251659264" behindDoc="1" locked="0" layoutInCell="1" allowOverlap="1">
            <wp:simplePos x="0" y="0"/>
            <wp:positionH relativeFrom="column">
              <wp:posOffset>233045</wp:posOffset>
            </wp:positionH>
            <wp:positionV relativeFrom="paragraph">
              <wp:posOffset>-124460</wp:posOffset>
            </wp:positionV>
            <wp:extent cx="4826000" cy="2743200"/>
            <wp:effectExtent l="4445" t="4445" r="8255" b="5080"/>
            <wp:wrapTight wrapText="bothSides">
              <wp:wrapPolygon>
                <wp:start x="-20" y="-35"/>
                <wp:lineTo x="-20" y="21565"/>
                <wp:lineTo x="21594" y="21565"/>
                <wp:lineTo x="21594" y="-35"/>
                <wp:lineTo x="-20" y="-35"/>
              </wp:wrapPolygon>
            </wp:wrapTight>
            <wp:docPr id="4" name="图表 3" descr="7b0a202020202263686172745265734964223a202232303436393939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outlineLvl w:val="1"/>
        <w:rPr>
          <w:rFonts w:hint="eastAsia" w:ascii="仿宋" w:hAnsi="仿宋" w:eastAsia="仿宋"/>
          <w:color w:val="auto"/>
          <w:sz w:val="30"/>
          <w:szCs w:val="30"/>
          <w:highlight w:val="none"/>
          <w:lang w:val="en-US" w:eastAsia="zh-CN"/>
        </w:rPr>
      </w:pPr>
    </w:p>
    <w:p>
      <w:pPr>
        <w:spacing w:line="600" w:lineRule="exact"/>
        <w:outlineLvl w:val="1"/>
        <w:rPr>
          <w:rFonts w:hint="eastAsia" w:ascii="仿宋" w:hAnsi="仿宋" w:eastAsia="仿宋"/>
          <w:color w:val="auto"/>
          <w:sz w:val="30"/>
          <w:szCs w:val="30"/>
          <w:highlight w:val="none"/>
          <w:lang w:val="en-US" w:eastAsia="zh-CN"/>
        </w:rPr>
      </w:pPr>
    </w:p>
    <w:p>
      <w:pPr>
        <w:spacing w:line="600" w:lineRule="exact"/>
        <w:outlineLvl w:val="1"/>
        <w:rPr>
          <w:rFonts w:hint="eastAsia" w:ascii="仿宋" w:hAnsi="仿宋" w:eastAsia="仿宋"/>
          <w:color w:val="auto"/>
          <w:sz w:val="30"/>
          <w:szCs w:val="30"/>
          <w:highlight w:val="none"/>
          <w:lang w:val="en-US" w:eastAsia="zh-CN"/>
        </w:rPr>
      </w:pPr>
    </w:p>
    <w:p>
      <w:pPr>
        <w:spacing w:line="600" w:lineRule="exact"/>
        <w:outlineLvl w:val="1"/>
        <w:rPr>
          <w:rFonts w:hint="eastAsia" w:ascii="仿宋" w:hAnsi="仿宋" w:eastAsia="仿宋"/>
          <w:color w:val="auto"/>
          <w:sz w:val="30"/>
          <w:szCs w:val="30"/>
          <w:highlight w:val="none"/>
          <w:lang w:val="en-US" w:eastAsia="zh-CN"/>
        </w:rPr>
      </w:pPr>
    </w:p>
    <w:p>
      <w:pPr>
        <w:spacing w:line="600" w:lineRule="exact"/>
        <w:jc w:val="center"/>
        <w:rPr>
          <w:rFonts w:hint="eastAsia" w:ascii="仿宋" w:hAnsi="仿宋" w:eastAsia="仿宋"/>
          <w:color w:val="auto"/>
          <w:sz w:val="32"/>
          <w:szCs w:val="32"/>
          <w:highlight w:val="none"/>
        </w:rPr>
      </w:pPr>
    </w:p>
    <w:p>
      <w:pPr>
        <w:spacing w:line="600" w:lineRule="exact"/>
        <w:jc w:val="center"/>
        <w:rPr>
          <w:rFonts w:hint="eastAsia" w:ascii="仿宋" w:hAnsi="仿宋" w:eastAsia="仿宋"/>
          <w:color w:val="auto"/>
          <w:sz w:val="32"/>
          <w:szCs w:val="32"/>
          <w:highlight w:val="none"/>
        </w:rPr>
      </w:pPr>
    </w:p>
    <w:p>
      <w:pPr>
        <w:spacing w:line="600" w:lineRule="exact"/>
        <w:jc w:val="center"/>
        <w:rPr>
          <w:rFonts w:hint="eastAsia"/>
        </w:rPr>
      </w:pPr>
      <w:r>
        <w:rPr>
          <w:rFonts w:hint="eastAsia" w:ascii="仿宋" w:hAnsi="仿宋" w:eastAsia="仿宋"/>
          <w:color w:val="auto"/>
          <w:sz w:val="32"/>
          <w:szCs w:val="32"/>
          <w:highlight w:val="none"/>
        </w:rPr>
        <w:t>（图2：收入决算结构图）（饼状图）</w:t>
      </w:r>
    </w:p>
    <w:p>
      <w:pPr>
        <w:pStyle w:val="31"/>
        <w:numPr>
          <w:ilvl w:val="0"/>
          <w:numId w:val="2"/>
        </w:numPr>
        <w:spacing w:line="600" w:lineRule="exact"/>
        <w:ind w:firstLineChars="0"/>
        <w:outlineLvl w:val="1"/>
        <w:rPr>
          <w:rStyle w:val="21"/>
          <w:rFonts w:ascii="黑体" w:hAnsi="黑体" w:eastAsia="黑体"/>
          <w:b w:val="0"/>
          <w:color w:val="auto"/>
          <w:highlight w:val="none"/>
        </w:rPr>
      </w:pPr>
      <w:bookmarkStart w:id="32" w:name="_Toc15377207"/>
      <w:bookmarkStart w:id="33" w:name="_Toc1664"/>
      <w:bookmarkStart w:id="34" w:name="_Toc15396605"/>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1"/>
        <w:rPr>
          <w:rFonts w:hint="eastAsia" w:ascii="仿宋" w:hAnsi="仿宋" w:eastAsia="仿宋"/>
          <w:color w:val="auto"/>
          <w:sz w:val="32"/>
          <w:szCs w:val="32"/>
          <w:highlight w:val="none"/>
          <w:lang w:eastAsia="zh-CN"/>
        </w:rPr>
      </w:pPr>
      <w:bookmarkStart w:id="35" w:name="_Toc973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623.19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335.85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53.89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287.34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46.11</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5"/>
    </w:p>
    <w:p>
      <w:pPr>
        <w:spacing w:line="600" w:lineRule="exact"/>
        <w:outlineLvl w:val="1"/>
        <w:rPr>
          <w:rFonts w:hint="eastAsia" w:ascii="仿宋" w:hAnsi="仿宋" w:eastAsia="仿宋"/>
          <w:color w:val="auto"/>
          <w:sz w:val="32"/>
          <w:szCs w:val="32"/>
          <w:highlight w:val="none"/>
          <w:lang w:eastAsia="zh-CN"/>
        </w:rPr>
      </w:pPr>
      <w:r>
        <w:drawing>
          <wp:anchor distT="0" distB="0" distL="114300" distR="114300" simplePos="0" relativeHeight="251660288" behindDoc="0" locked="0" layoutInCell="1" allowOverlap="1">
            <wp:simplePos x="0" y="0"/>
            <wp:positionH relativeFrom="column">
              <wp:posOffset>146685</wp:posOffset>
            </wp:positionH>
            <wp:positionV relativeFrom="paragraph">
              <wp:posOffset>137160</wp:posOffset>
            </wp:positionV>
            <wp:extent cx="4826000" cy="2914650"/>
            <wp:effectExtent l="4445" t="4445" r="8255" b="5080"/>
            <wp:wrapTopAndBottom/>
            <wp:docPr id="5" name="图表 4" descr="7b0a202020202263686172745265734964223a202232303437363132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pStyle w:val="7"/>
        <w:spacing w:before="93"/>
        <w:jc w:val="center"/>
        <w:rPr>
          <w:rFonts w:hint="eastAsia" w:ascii="仿宋" w:hAnsi="仿宋" w:eastAsia="仿宋"/>
          <w:sz w:val="32"/>
          <w:szCs w:val="32"/>
        </w:rPr>
      </w:pPr>
      <w:r>
        <w:rPr>
          <w:rFonts w:hint="eastAsia" w:ascii="仿宋" w:hAnsi="仿宋" w:eastAsia="仿宋"/>
          <w:sz w:val="32"/>
          <w:szCs w:val="32"/>
        </w:rPr>
        <w:t>（图3：支出决算结构图）（饼状图）</w:t>
      </w:r>
    </w:p>
    <w:p>
      <w:pPr>
        <w:pStyle w:val="7"/>
        <w:tabs>
          <w:tab w:val="left" w:pos="5816"/>
        </w:tabs>
        <w:spacing w:before="93"/>
        <w:rPr>
          <w:rFonts w:hint="eastAsia"/>
          <w:lang w:eastAsia="zh-CN"/>
        </w:rPr>
      </w:pPr>
    </w:p>
    <w:p>
      <w:pPr>
        <w:spacing w:line="600" w:lineRule="exact"/>
        <w:ind w:firstLine="640" w:firstLineChars="200"/>
        <w:outlineLvl w:val="1"/>
        <w:rPr>
          <w:rStyle w:val="21"/>
          <w:rFonts w:ascii="黑体" w:hAnsi="黑体" w:eastAsia="黑体"/>
          <w:b w:val="0"/>
          <w:color w:val="auto"/>
          <w:highlight w:val="none"/>
        </w:rPr>
      </w:pPr>
      <w:bookmarkStart w:id="36" w:name="_Toc3459"/>
      <w:bookmarkStart w:id="37" w:name="_Toc15377208"/>
      <w:bookmarkStart w:id="38" w:name="_Toc15396606"/>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firstLineChars="200"/>
        <w:rPr>
          <w:rFonts w:hint="default"/>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年度收、支总计623</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78万元。与20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550.98万元</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72.8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13.21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工资基数调整导致工资福利支出增加；二是优抚对象医疗补助等项目支出增加</w:t>
      </w:r>
      <w:r>
        <w:rPr>
          <w:rFonts w:hint="default" w:ascii="仿宋" w:hAnsi="仿宋" w:eastAsia="仿宋"/>
          <w:color w:val="auto"/>
          <w:sz w:val="32"/>
          <w:szCs w:val="32"/>
          <w:highlight w:val="none"/>
          <w:lang w:eastAsia="zh-CN"/>
        </w:rPr>
        <w:t>。</w:t>
      </w:r>
    </w:p>
    <w:p>
      <w:pPr>
        <w:pStyle w:val="15"/>
        <w:ind w:left="0" w:leftChars="0" w:firstLine="0" w:firstLineChars="0"/>
        <w:jc w:val="center"/>
        <w:rPr>
          <w:rFonts w:hint="eastAsia" w:ascii="仿宋" w:hAnsi="仿宋" w:eastAsia="仿宋"/>
          <w:sz w:val="32"/>
          <w:szCs w:val="32"/>
        </w:rPr>
      </w:pPr>
      <w:r>
        <w:drawing>
          <wp:inline distT="0" distB="0" distL="114300" distR="114300">
            <wp:extent cx="4826000" cy="2830195"/>
            <wp:effectExtent l="4445" t="4445" r="8255" b="22860"/>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jc w:val="center"/>
        <w:rPr>
          <w:rFonts w:ascii="仿宋" w:hAnsi="仿宋" w:eastAsia="仿宋"/>
          <w:b/>
          <w:sz w:val="32"/>
          <w:szCs w:val="32"/>
        </w:rPr>
      </w:pPr>
      <w:r>
        <w:rPr>
          <w:rFonts w:hint="eastAsia" w:ascii="仿宋" w:hAnsi="仿宋" w:eastAsia="仿宋"/>
          <w:sz w:val="32"/>
          <w:szCs w:val="32"/>
          <w:lang w:eastAsia="zh-CN"/>
        </w:rPr>
        <w:t>（图</w:t>
      </w:r>
      <w:r>
        <w:rPr>
          <w:rFonts w:hint="eastAsia" w:ascii="仿宋" w:hAnsi="仿宋" w:eastAsia="仿宋"/>
          <w:sz w:val="32"/>
          <w:szCs w:val="32"/>
        </w:rPr>
        <w:t>4：财政拨款收、支决算总计变动情况）（柱状图）</w:t>
      </w:r>
    </w:p>
    <w:p>
      <w:pPr>
        <w:spacing w:line="600" w:lineRule="exact"/>
        <w:ind w:firstLine="640" w:firstLineChars="200"/>
        <w:outlineLvl w:val="1"/>
        <w:rPr>
          <w:rStyle w:val="21"/>
          <w:rFonts w:ascii="黑体" w:hAnsi="黑体" w:eastAsia="黑体"/>
          <w:b w:val="0"/>
          <w:color w:val="auto"/>
          <w:highlight w:val="none"/>
        </w:rPr>
      </w:pPr>
      <w:bookmarkStart w:id="39" w:name="_Toc15377209"/>
      <w:bookmarkStart w:id="40" w:name="_Toc15396607"/>
      <w:bookmarkStart w:id="41" w:name="_Toc1498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2"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573.08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91.87</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399.88万元</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173.2</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43.31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工资基数调整导致工资福利支出增加；二是优抚对象医疗补助等项目支出增加。</w:t>
      </w:r>
    </w:p>
    <w:p>
      <w:pPr>
        <w:pStyle w:val="7"/>
        <w:spacing w:before="93"/>
        <w:jc w:val="center"/>
      </w:pPr>
      <w:r>
        <w:drawing>
          <wp:inline distT="0" distB="0" distL="114300" distR="114300">
            <wp:extent cx="4826000" cy="2743200"/>
            <wp:effectExtent l="4445" t="4445" r="8255" b="14605"/>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rPr>
          <w:rFonts w:ascii="仿宋" w:hAnsi="仿宋" w:eastAsia="仿宋"/>
          <w:sz w:val="32"/>
          <w:szCs w:val="32"/>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2" w:firstLineChars="200"/>
        <w:outlineLvl w:val="2"/>
        <w:rPr>
          <w:rFonts w:ascii="仿宋" w:hAnsi="仿宋" w:eastAsia="仿宋"/>
          <w:b/>
          <w:color w:val="auto"/>
          <w:sz w:val="32"/>
          <w:szCs w:val="32"/>
          <w:highlight w:val="none"/>
        </w:rPr>
      </w:pPr>
      <w:bookmarkStart w:id="43" w:name="_Toc15377211"/>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573.08</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_GB2312" w:hAnsi="仿宋_GB2312" w:eastAsia="仿宋_GB2312" w:cs="仿宋_GB2312"/>
          <w:color w:val="auto"/>
          <w:sz w:val="32"/>
          <w:szCs w:val="32"/>
          <w:highlight w:val="none"/>
        </w:rPr>
        <w:t>主要用于以下方面:</w:t>
      </w:r>
      <w:r>
        <w:rPr>
          <w:rFonts w:hint="eastAsia" w:ascii="仿宋_GB2312" w:hAnsi="仿宋_GB2312" w:eastAsia="仿宋_GB2312" w:cs="仿宋_GB2312"/>
          <w:b w:val="0"/>
          <w:bCs/>
          <w:color w:val="auto"/>
          <w:sz w:val="32"/>
          <w:szCs w:val="32"/>
          <w:highlight w:val="none"/>
        </w:rPr>
        <w:t>社会保障和就业（类）支出</w:t>
      </w:r>
      <w:r>
        <w:rPr>
          <w:rFonts w:hint="eastAsia" w:ascii="仿宋_GB2312" w:hAnsi="仿宋_GB2312" w:eastAsia="仿宋_GB2312" w:cs="仿宋_GB2312"/>
          <w:b w:val="0"/>
          <w:bCs/>
          <w:color w:val="auto"/>
          <w:sz w:val="32"/>
          <w:szCs w:val="32"/>
          <w:highlight w:val="none"/>
          <w:lang w:val="en-US" w:eastAsia="zh-CN"/>
        </w:rPr>
        <w:t>407.63</w:t>
      </w:r>
      <w:r>
        <w:rPr>
          <w:rFonts w:hint="eastAsia" w:ascii="仿宋_GB2312" w:hAnsi="仿宋_GB2312" w:eastAsia="仿宋_GB2312" w:cs="仿宋_GB2312"/>
          <w:b w:val="0"/>
          <w:bCs/>
          <w:color w:val="auto"/>
          <w:sz w:val="32"/>
          <w:szCs w:val="32"/>
          <w:highlight w:val="none"/>
        </w:rPr>
        <w:t>万元，占</w:t>
      </w:r>
      <w:r>
        <w:rPr>
          <w:rFonts w:hint="eastAsia" w:ascii="仿宋_GB2312" w:hAnsi="仿宋_GB2312" w:eastAsia="仿宋_GB2312" w:cs="仿宋_GB2312"/>
          <w:b w:val="0"/>
          <w:bCs/>
          <w:color w:val="auto"/>
          <w:sz w:val="32"/>
          <w:szCs w:val="32"/>
          <w:highlight w:val="none"/>
          <w:lang w:val="en-US" w:eastAsia="zh-CN"/>
        </w:rPr>
        <w:t>71.13</w:t>
      </w:r>
      <w:r>
        <w:rPr>
          <w:rFonts w:hint="eastAsia" w:ascii="仿宋_GB2312" w:hAnsi="仿宋_GB2312" w:eastAsia="仿宋_GB2312" w:cs="仿宋_GB2312"/>
          <w:b w:val="0"/>
          <w:bCs/>
          <w:color w:val="auto"/>
          <w:sz w:val="32"/>
          <w:szCs w:val="32"/>
          <w:highlight w:val="none"/>
        </w:rPr>
        <w:t>%；卫生健康支出</w:t>
      </w:r>
      <w:r>
        <w:rPr>
          <w:rFonts w:hint="eastAsia" w:ascii="仿宋_GB2312" w:hAnsi="仿宋_GB2312" w:eastAsia="仿宋_GB2312" w:cs="仿宋_GB2312"/>
          <w:b w:val="0"/>
          <w:bCs/>
          <w:color w:val="auto"/>
          <w:sz w:val="32"/>
          <w:szCs w:val="32"/>
          <w:highlight w:val="none"/>
          <w:lang w:val="en-US" w:eastAsia="zh-CN"/>
        </w:rPr>
        <w:t>141.89</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val="en-US" w:eastAsia="zh-CN"/>
        </w:rPr>
        <w:t>24.76</w:t>
      </w:r>
      <w:r>
        <w:rPr>
          <w:rFonts w:hint="eastAsia" w:ascii="仿宋_GB2312" w:hAnsi="仿宋_GB2312" w:eastAsia="仿宋_GB2312" w:cs="仿宋_GB2312"/>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23.56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4.11</w:t>
      </w:r>
      <w:r>
        <w:rPr>
          <w:rFonts w:hint="eastAsia" w:ascii="仿宋_GB2312" w:hAnsi="仿宋_GB2312" w:eastAsia="仿宋_GB2312" w:cs="仿宋_GB2312"/>
          <w:color w:val="auto"/>
          <w:sz w:val="32"/>
          <w:szCs w:val="32"/>
          <w:highlight w:val="none"/>
        </w:rPr>
        <w:t>%。</w:t>
      </w:r>
    </w:p>
    <w:p>
      <w:pPr>
        <w:pStyle w:val="15"/>
        <w:ind w:left="0" w:leftChars="0" w:firstLine="0" w:firstLineChars="0"/>
        <w:jc w:val="center"/>
        <w:rPr>
          <w:rFonts w:hint="eastAsia" w:ascii="仿宋" w:hAnsi="仿宋" w:eastAsia="仿宋"/>
          <w:sz w:val="32"/>
          <w:szCs w:val="32"/>
        </w:rPr>
      </w:pPr>
      <w:r>
        <w:drawing>
          <wp:inline distT="0" distB="0" distL="114300" distR="114300">
            <wp:extent cx="5040630" cy="2732405"/>
            <wp:effectExtent l="4445" t="4445" r="22225" b="635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2"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2" w:firstLineChars="200"/>
        <w:outlineLvl w:val="1"/>
        <w:rPr>
          <w:rFonts w:ascii="仿宋" w:hAnsi="仿宋" w:eastAsia="仿宋"/>
          <w:color w:val="auto"/>
          <w:sz w:val="32"/>
          <w:szCs w:val="32"/>
          <w:highlight w:val="none"/>
        </w:rPr>
      </w:pPr>
      <w:bookmarkStart w:id="45" w:name="_Toc15377444"/>
      <w:bookmarkStart w:id="46" w:name="_Toc15378460"/>
      <w:bookmarkStart w:id="47" w:name="_Toc10230"/>
      <w:bookmarkStart w:id="48"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573.08万元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91.87</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45"/>
      <w:bookmarkEnd w:id="46"/>
      <w:bookmarkEnd w:id="47"/>
      <w:bookmarkEnd w:id="48"/>
    </w:p>
    <w:p>
      <w:pPr>
        <w:numPr>
          <w:ilvl w:val="0"/>
          <w:numId w:val="0"/>
        </w:numPr>
        <w:spacing w:line="600" w:lineRule="exact"/>
        <w:ind w:firstLine="640" w:firstLineChars="200"/>
        <w:outlineLvl w:val="2"/>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kern w:val="2"/>
          <w:sz w:val="32"/>
          <w:szCs w:val="32"/>
          <w:lang w:val="en-US" w:eastAsia="zh-CN" w:bidi="ar-SA"/>
        </w:rPr>
        <w:t>1.</w:t>
      </w:r>
      <w:r>
        <w:rPr>
          <w:rFonts w:hint="eastAsia" w:ascii="仿宋_GB2312" w:hAnsi="仿宋_GB2312" w:eastAsia="仿宋_GB2312" w:cs="仿宋_GB2312"/>
          <w:b w:val="0"/>
          <w:bCs/>
          <w:color w:val="auto"/>
          <w:sz w:val="32"/>
          <w:szCs w:val="32"/>
          <w:highlight w:val="none"/>
          <w:lang w:val="en-US" w:eastAsia="zh-CN"/>
        </w:rPr>
        <w:t>社会保障和就业（类）行政事业单位养老支出（款）机关事业单位基本养老保险缴费支出（项）:支出决算为19.54万元，完成预算100%,决算与预算持平。</w:t>
      </w:r>
    </w:p>
    <w:p>
      <w:pPr>
        <w:spacing w:line="600" w:lineRule="exact"/>
        <w:ind w:firstLine="640" w:firstLineChars="200"/>
        <w:outlineLvl w:val="2"/>
        <w:rPr>
          <w:rFonts w:hint="default"/>
          <w:lang w:val="en-US" w:eastAsia="zh-CN"/>
        </w:rPr>
      </w:pPr>
      <w:r>
        <w:rPr>
          <w:rFonts w:hint="eastAsia" w:ascii="仿宋_GB2312" w:hAnsi="仿宋_GB2312" w:eastAsia="仿宋_GB2312" w:cs="仿宋_GB2312"/>
          <w:b w:val="0"/>
          <w:bCs/>
          <w:color w:val="auto"/>
          <w:sz w:val="32"/>
          <w:szCs w:val="32"/>
          <w:highlight w:val="none"/>
          <w:lang w:val="en-US" w:eastAsia="zh-CN"/>
        </w:rPr>
        <w:t>2.社会保障和就业（类）行政事业单位养老支出（款）机关事业单位职业年金缴费支出（项）:支出决算为5.15万元，完成预算100%,决算与预算持平。</w:t>
      </w:r>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3.社会保障和就业（类）抚恤（款）光荣院支出（项）：支出决算为377.69万元，完成预算99.87%,主要原因是部分资金待支付。</w:t>
      </w:r>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4.社会保障和就业（类）抚恤（款）其他优抚支出（项）：支出决算为5.25万元，完成预算100%,决算与预算持平。</w:t>
      </w:r>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5.卫生健康（类）行政事业单位医疗（款）事业单位医疗（项）：支出决算为11.89万元，完成预算100%,决算与预算持平。</w:t>
      </w:r>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6.卫生健康（类）优抚对象医疗（款）优抚对象医疗补助（项）：支出决算为130万元，完成预算100%,决算与预算持平。</w:t>
      </w:r>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val="en-US" w:eastAsia="zh-CN"/>
        </w:rPr>
        <w:t>7.</w:t>
      </w:r>
      <w:r>
        <w:rPr>
          <w:rFonts w:hint="eastAsia" w:ascii="仿宋_GB2312" w:hAnsi="仿宋_GB2312" w:eastAsia="仿宋_GB2312" w:cs="仿宋_GB2312"/>
          <w:b w:val="0"/>
          <w:bCs/>
          <w:color w:val="auto"/>
          <w:sz w:val="32"/>
          <w:szCs w:val="32"/>
          <w:highlight w:val="none"/>
        </w:rPr>
        <w:t>住房保障支出（类）住房改革支出（款）</w:t>
      </w:r>
      <w:r>
        <w:rPr>
          <w:rFonts w:hint="eastAsia" w:ascii="仿宋_GB2312" w:hAnsi="仿宋_GB2312" w:eastAsia="仿宋_GB2312" w:cs="仿宋_GB2312"/>
          <w:b w:val="0"/>
          <w:bCs/>
          <w:color w:val="auto"/>
          <w:sz w:val="32"/>
          <w:szCs w:val="32"/>
          <w:highlight w:val="none"/>
          <w:lang w:eastAsia="zh-CN"/>
        </w:rPr>
        <w:t>住房公积金</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支出决算为</w:t>
      </w:r>
      <w:r>
        <w:rPr>
          <w:rFonts w:hint="eastAsia" w:ascii="仿宋_GB2312" w:hAnsi="仿宋_GB2312" w:eastAsia="仿宋_GB2312" w:cs="仿宋_GB2312"/>
          <w:b w:val="0"/>
          <w:bCs/>
          <w:color w:val="auto"/>
          <w:sz w:val="32"/>
          <w:szCs w:val="32"/>
          <w:highlight w:val="none"/>
          <w:lang w:val="en-US" w:eastAsia="zh-CN"/>
        </w:rPr>
        <w:t>23.56</w:t>
      </w:r>
      <w:r>
        <w:rPr>
          <w:rFonts w:hint="eastAsia" w:ascii="仿宋_GB2312" w:hAnsi="仿宋_GB2312" w:eastAsia="仿宋_GB2312" w:cs="仿宋_GB2312"/>
          <w:b w:val="0"/>
          <w:bCs/>
          <w:color w:val="auto"/>
          <w:sz w:val="32"/>
          <w:szCs w:val="32"/>
          <w:highlight w:val="none"/>
        </w:rPr>
        <w:t>万元，完成预算</w:t>
      </w:r>
      <w:r>
        <w:rPr>
          <w:rFonts w:hint="eastAsia" w:ascii="仿宋_GB2312" w:hAnsi="仿宋_GB2312" w:eastAsia="仿宋_GB2312" w:cs="仿宋_GB2312"/>
          <w:b w:val="0"/>
          <w:bCs/>
          <w:color w:val="auto"/>
          <w:sz w:val="32"/>
          <w:szCs w:val="32"/>
          <w:highlight w:val="none"/>
          <w:lang w:val="en-US" w:eastAsia="zh-CN"/>
        </w:rPr>
        <w:t>100</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,决算与预算持平</w:t>
      </w:r>
      <w:r>
        <w:rPr>
          <w:rFonts w:hint="eastAsia" w:ascii="仿宋_GB2312" w:hAnsi="仿宋_GB2312" w:eastAsia="仿宋_GB2312" w:cs="仿宋_GB2312"/>
          <w:b w:val="0"/>
          <w:bCs/>
          <w:color w:val="auto"/>
          <w:sz w:val="32"/>
          <w:szCs w:val="32"/>
          <w:highlight w:val="none"/>
          <w:lang w:eastAsia="zh-CN"/>
        </w:rPr>
        <w:t>。</w:t>
      </w:r>
    </w:p>
    <w:p>
      <w:pPr>
        <w:tabs>
          <w:tab w:val="right" w:pos="8306"/>
        </w:tabs>
        <w:spacing w:line="600" w:lineRule="exact"/>
        <w:ind w:firstLine="640"/>
        <w:outlineLvl w:val="1"/>
        <w:rPr>
          <w:rStyle w:val="21"/>
          <w:color w:val="auto"/>
          <w:highlight w:val="none"/>
        </w:rPr>
      </w:pPr>
      <w:bookmarkStart w:id="49" w:name="_Toc2595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49"/>
      <w:r>
        <w:rPr>
          <w:rStyle w:val="2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335.84</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sz w:val="32"/>
          <w:szCs w:val="32"/>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307.27</w:t>
      </w:r>
      <w:r>
        <w:rPr>
          <w:rFonts w:hint="eastAsia" w:ascii="仿宋" w:hAnsi="仿宋" w:eastAsia="仿宋"/>
          <w:color w:val="auto"/>
          <w:sz w:val="32"/>
          <w:szCs w:val="32"/>
          <w:highlight w:val="none"/>
        </w:rPr>
        <w:t>万元，主要包括：</w:t>
      </w:r>
      <w:r>
        <w:rPr>
          <w:rFonts w:hint="eastAsia" w:ascii="仿宋_GB2312" w:hAnsi="仿宋_GB2312" w:eastAsia="仿宋_GB2312" w:cs="仿宋_GB2312"/>
          <w:color w:val="auto"/>
          <w:sz w:val="32"/>
          <w:szCs w:val="32"/>
          <w:highlight w:val="none"/>
        </w:rPr>
        <w:t>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其他社会保障缴费、其他工资福利支出、住房公积金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生活补助、奖励金。</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28.57</w:t>
      </w:r>
      <w:r>
        <w:rPr>
          <w:rFonts w:hint="eastAsia" w:ascii="仿宋" w:hAnsi="仿宋" w:eastAsia="仿宋"/>
          <w:color w:val="auto"/>
          <w:sz w:val="32"/>
          <w:szCs w:val="32"/>
          <w:highlight w:val="none"/>
        </w:rPr>
        <w:t>万元，主要包括：</w:t>
      </w:r>
      <w:r>
        <w:rPr>
          <w:rFonts w:hint="eastAsia" w:ascii="仿宋_GB2312" w:hAnsi="仿宋_GB2312" w:eastAsia="仿宋_GB2312" w:cs="仿宋_GB2312"/>
          <w:color w:val="auto"/>
          <w:sz w:val="32"/>
          <w:szCs w:val="32"/>
          <w:highlight w:val="none"/>
        </w:rPr>
        <w:t>办公费、水费</w:t>
      </w:r>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eastAsia="zh-CN"/>
        </w:rPr>
        <w:t>电</w:t>
      </w:r>
      <w:r>
        <w:rPr>
          <w:rFonts w:hint="eastAsia" w:ascii="仿宋_GB2312" w:hAnsi="仿宋_GB2312" w:eastAsia="仿宋_GB2312" w:cs="仿宋_GB2312"/>
          <w:color w:val="auto"/>
          <w:sz w:val="32"/>
          <w:szCs w:val="32"/>
          <w:highlight w:val="none"/>
          <w:lang w:eastAsia="zh-CN"/>
        </w:rPr>
        <w:t>费、</w:t>
      </w:r>
      <w:r>
        <w:rPr>
          <w:rFonts w:hint="eastAsia" w:ascii="仿宋_GB2312" w:hAnsi="仿宋_GB2312" w:eastAsia="仿宋_GB2312" w:cs="仿宋_GB2312"/>
          <w:color w:val="auto"/>
          <w:sz w:val="32"/>
          <w:szCs w:val="32"/>
          <w:highlight w:val="none"/>
        </w:rPr>
        <w:t>邮电费、物业管理费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差旅费、维修（护）费、公务接待费、劳务费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工会经费、福利费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公务用车运行维护费、其他交通费用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其他商品和服务支出。</w:t>
      </w:r>
    </w:p>
    <w:p>
      <w:pPr>
        <w:spacing w:line="600" w:lineRule="exact"/>
        <w:ind w:firstLine="640"/>
        <w:outlineLvl w:val="1"/>
        <w:rPr>
          <w:rStyle w:val="21"/>
          <w:rFonts w:ascii="黑体" w:hAnsi="黑体" w:eastAsia="黑体"/>
          <w:b w:val="0"/>
          <w:color w:val="auto"/>
          <w:highlight w:val="none"/>
        </w:rPr>
      </w:pPr>
      <w:bookmarkStart w:id="50" w:name="_Toc12916"/>
      <w:bookmarkStart w:id="51" w:name="_Toc15377215"/>
      <w:bookmarkStart w:id="52" w:name="_Toc15396609"/>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50"/>
      <w:bookmarkEnd w:id="51"/>
      <w:bookmarkEnd w:id="52"/>
    </w:p>
    <w:p>
      <w:pPr>
        <w:spacing w:line="600" w:lineRule="exact"/>
        <w:ind w:firstLine="640"/>
        <w:outlineLvl w:val="2"/>
        <w:rPr>
          <w:rFonts w:ascii="仿宋" w:hAnsi="仿宋" w:eastAsia="仿宋"/>
          <w:b/>
          <w:color w:val="auto"/>
          <w:sz w:val="32"/>
          <w:szCs w:val="32"/>
          <w:highlight w:val="none"/>
        </w:rPr>
      </w:pPr>
      <w:bookmarkStart w:id="53" w:name="_Toc15377216"/>
      <w:r>
        <w:rPr>
          <w:rFonts w:hint="eastAsia" w:ascii="仿宋" w:hAnsi="仿宋" w:eastAsia="仿宋"/>
          <w:b/>
          <w:color w:val="auto"/>
          <w:sz w:val="32"/>
          <w:szCs w:val="32"/>
          <w:highlight w:val="none"/>
        </w:rPr>
        <w:t>（一）“三公”经费财政拨款支出决算总体情况说明</w:t>
      </w:r>
      <w:bookmarkEnd w:id="53"/>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3.67</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1.2万元，增长48.58%。</w:t>
      </w:r>
      <w:r>
        <w:rPr>
          <w:rFonts w:hint="eastAsia" w:ascii="仿宋" w:hAnsi="仿宋" w:eastAsia="仿宋"/>
          <w:color w:val="auto"/>
          <w:sz w:val="32"/>
          <w:szCs w:val="32"/>
          <w:highlight w:val="none"/>
        </w:rPr>
        <w:t>决算数</w:t>
      </w:r>
      <w:r>
        <w:rPr>
          <w:rFonts w:hint="eastAsia" w:ascii="仿宋" w:hAnsi="仿宋" w:eastAsia="仿宋"/>
          <w:color w:val="auto"/>
          <w:sz w:val="32"/>
          <w:szCs w:val="32"/>
          <w:highlight w:val="none"/>
          <w:lang w:eastAsia="zh-CN"/>
        </w:rPr>
        <w:t>与</w:t>
      </w:r>
      <w:r>
        <w:rPr>
          <w:rFonts w:hint="eastAsia" w:ascii="仿宋" w:hAnsi="仿宋" w:eastAsia="仿宋"/>
          <w:color w:val="auto"/>
          <w:sz w:val="32"/>
          <w:szCs w:val="32"/>
          <w:highlight w:val="none"/>
        </w:rPr>
        <w:t>预算数</w:t>
      </w:r>
      <w:r>
        <w:rPr>
          <w:rFonts w:hint="eastAsia" w:ascii="仿宋" w:hAnsi="仿宋" w:eastAsia="仿宋"/>
          <w:color w:val="auto"/>
          <w:sz w:val="32"/>
          <w:szCs w:val="32"/>
          <w:highlight w:val="none"/>
          <w:lang w:eastAsia="zh-CN"/>
        </w:rPr>
        <w:t>持平</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其主要原因是严格按照财政规定使用“三公”经费。</w:t>
      </w:r>
    </w:p>
    <w:p>
      <w:pPr>
        <w:spacing w:line="600" w:lineRule="exact"/>
        <w:ind w:firstLine="640"/>
        <w:outlineLvl w:val="2"/>
        <w:rPr>
          <w:rFonts w:ascii="仿宋" w:hAnsi="仿宋" w:eastAsia="仿宋"/>
          <w:b/>
          <w:color w:val="auto"/>
          <w:sz w:val="32"/>
          <w:szCs w:val="32"/>
          <w:highlight w:val="none"/>
        </w:rPr>
      </w:pPr>
      <w:bookmarkStart w:id="54" w:name="_Toc15377217"/>
      <w:r>
        <w:rPr>
          <w:rFonts w:hint="eastAsia" w:ascii="仿宋" w:hAnsi="仿宋" w:eastAsia="仿宋"/>
          <w:b/>
          <w:color w:val="auto"/>
          <w:sz w:val="32"/>
          <w:szCs w:val="32"/>
          <w:highlight w:val="none"/>
        </w:rPr>
        <w:t>（二）“三公”经费财政拨款支出决算具体情况说明</w:t>
      </w:r>
      <w:bookmarkEnd w:id="54"/>
    </w:p>
    <w:p>
      <w:pPr>
        <w:spacing w:line="600" w:lineRule="exact"/>
        <w:ind w:firstLine="640"/>
        <w:rPr>
          <w:rFonts w:hint="eastAsia" w:ascii="仿宋" w:hAnsi="仿宋" w:eastAsia="仿宋"/>
          <w:sz w:val="32"/>
          <w:szCs w:val="32"/>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年初未安排预算</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3.53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96.19</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3.81</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jc w:val="center"/>
        <w:rPr>
          <w:rFonts w:hint="eastAsia" w:ascii="仿宋" w:hAnsi="仿宋" w:eastAsia="仿宋"/>
          <w:sz w:val="32"/>
          <w:szCs w:val="32"/>
        </w:rPr>
      </w:pPr>
      <w:r>
        <w:drawing>
          <wp:inline distT="0" distB="0" distL="114300" distR="114300">
            <wp:extent cx="4826000" cy="2743200"/>
            <wp:effectExtent l="4445" t="4445" r="8255" b="14605"/>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spacing w:line="600" w:lineRule="exact"/>
        <w:ind w:firstLine="320" w:firstLineChars="100"/>
        <w:jc w:val="both"/>
        <w:rPr>
          <w:rFonts w:hint="eastAsia"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5"/>
      </w:pPr>
      <w:r>
        <w:rPr>
          <w:rFonts w:ascii="仿宋_GB2312" w:eastAsia="仿宋_GB2312"/>
          <w:b/>
          <w:color w:val="auto"/>
          <w:sz w:val="32"/>
          <w:szCs w:val="32"/>
          <w:highlight w:val="none"/>
        </w:rPr>
        <w:t>1.</w:t>
      </w:r>
      <w:r>
        <w:rPr>
          <w:rFonts w:hint="eastAsia" w:ascii="仿宋_GB2312" w:hAnsi="仿宋_GB2312" w:eastAsia="仿宋_GB2312" w:cs="仿宋_GB2312"/>
          <w:b/>
          <w:bCs/>
          <w:color w:val="auto"/>
          <w:sz w:val="32"/>
          <w:szCs w:val="32"/>
          <w:highlight w:val="none"/>
          <w:lang w:val="en-US" w:eastAsia="zh-CN"/>
        </w:rPr>
        <w:t>因公出国（境）经费支出</w:t>
      </w:r>
      <w:r>
        <w:rPr>
          <w:rFonts w:hint="eastAsia" w:ascii="仿宋_GB2312" w:hAnsi="仿宋_GB2312" w:eastAsia="仿宋_GB2312" w:cs="仿宋_GB2312"/>
          <w:color w:val="auto"/>
          <w:sz w:val="32"/>
          <w:szCs w:val="32"/>
          <w:highlight w:val="none"/>
          <w:lang w:val="en-US" w:eastAsia="zh-CN"/>
        </w:rPr>
        <w:t>0万元，年初未安排预算。因公出国出境支出决算数较2021年无变化。</w:t>
      </w:r>
    </w:p>
    <w:p>
      <w:pPr>
        <w:spacing w:line="600" w:lineRule="exact"/>
        <w:ind w:firstLine="642" w:firstLineChars="20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3.53</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2.35万元，</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1.18</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50.21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其他公务用车服役时间较长，运行维护成本增加</w:t>
      </w:r>
      <w:r>
        <w:rPr>
          <w:rFonts w:hint="eastAsia" w:ascii="仿宋_GB2312" w:eastAsia="仿宋_GB2312"/>
          <w:color w:val="auto"/>
          <w:sz w:val="32"/>
          <w:szCs w:val="32"/>
          <w:highlight w:val="none"/>
        </w:rPr>
        <w:t>。</w:t>
      </w:r>
    </w:p>
    <w:p>
      <w:pPr>
        <w:spacing w:line="576" w:lineRule="exact"/>
        <w:ind w:firstLine="640"/>
        <w:rPr>
          <w:rFonts w:hint="default"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其中：公务用车购置支出0万元。截至2022年12月底，广元市光荣院共有车辆2辆，其中：应急保障用车1辆、其他用车1辆。</w:t>
      </w:r>
    </w:p>
    <w:p>
      <w:pPr>
        <w:spacing w:line="576" w:lineRule="exact"/>
        <w:ind w:firstLine="640"/>
        <w:rPr>
          <w:rFonts w:ascii="仿宋_GB2312" w:eastAsia="仿宋_GB2312"/>
          <w:b/>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公务用车运行维护费支出</w:t>
      </w:r>
      <w:r>
        <w:rPr>
          <w:rFonts w:hint="eastAsia" w:ascii="仿宋_GB2312" w:hAnsi="仿宋_GB2312" w:eastAsia="仿宋_GB2312" w:cs="仿宋_GB2312"/>
          <w:color w:val="auto"/>
          <w:sz w:val="32"/>
          <w:szCs w:val="32"/>
          <w:highlight w:val="none"/>
          <w:lang w:val="en-US" w:eastAsia="zh-CN"/>
        </w:rPr>
        <w:t>3.53万元。主要用于供养服务工作开展等所需的公务用车燃料费、维修费、过路过桥费、保险费等支出。</w:t>
      </w:r>
    </w:p>
    <w:p>
      <w:pPr>
        <w:numPr>
          <w:ilvl w:val="0"/>
          <w:numId w:val="0"/>
        </w:numPr>
        <w:spacing w:line="600" w:lineRule="exact"/>
        <w:ind w:left="0" w:leftChars="0" w:firstLine="640" w:firstLineChars="200"/>
        <w:rPr>
          <w:rFonts w:hint="eastAsia" w:ascii="仿宋_GB2312" w:eastAsia="仿宋_GB2312"/>
          <w:color w:val="auto"/>
          <w:sz w:val="32"/>
          <w:szCs w:val="32"/>
          <w:highlight w:val="none"/>
          <w:lang w:eastAsia="zh-CN"/>
        </w:rPr>
      </w:pPr>
      <w:r>
        <w:rPr>
          <w:rFonts w:hint="eastAsia" w:ascii="仿宋_GB2312" w:eastAsia="仿宋_GB2312" w:cs="Times New Roman"/>
          <w:color w:val="auto"/>
          <w:kern w:val="2"/>
          <w:sz w:val="32"/>
          <w:szCs w:val="32"/>
          <w:lang w:val="en-US" w:eastAsia="zh-CN" w:bidi="ar-SA"/>
        </w:rPr>
        <w:t>3</w:t>
      </w:r>
      <w:r>
        <w:rPr>
          <w:rFonts w:hint="eastAsia" w:ascii="仿宋_GB2312" w:hAnsi="Times New Roman" w:eastAsia="仿宋_GB2312" w:cs="Times New Roman"/>
          <w:color w:val="auto"/>
          <w:kern w:val="2"/>
          <w:sz w:val="32"/>
          <w:szCs w:val="32"/>
          <w:lang w:val="en-US" w:eastAsia="zh-CN" w:bidi="ar-SA"/>
        </w:rPr>
        <w:t>.</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0.14</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0.12万元，</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0.02</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16.67</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其他市州退役军人系统来我院交流学习。其中：</w:t>
      </w:r>
    </w:p>
    <w:p>
      <w:pPr>
        <w:adjustRightInd w:val="0"/>
        <w:snapToGrid w:val="0"/>
        <w:spacing w:line="550" w:lineRule="exact"/>
        <w:ind w:firstLine="642"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国内公务接待支出0.12万元，</w:t>
      </w:r>
      <w:r>
        <w:rPr>
          <w:rFonts w:hint="eastAsia" w:ascii="仿宋_GB2312" w:eastAsia="仿宋_GB2312" w:cs="仿宋_GB2312"/>
          <w:color w:val="000000"/>
          <w:sz w:val="30"/>
          <w:szCs w:val="30"/>
          <w:highlight w:val="none"/>
        </w:rPr>
        <w:t>主要用</w:t>
      </w:r>
      <w:r>
        <w:rPr>
          <w:rFonts w:hint="eastAsia" w:ascii="仿宋_GB2312" w:hAnsi="仿宋_GB2312" w:eastAsia="仿宋_GB2312" w:cs="仿宋_GB2312"/>
          <w:color w:val="auto"/>
          <w:sz w:val="32"/>
          <w:szCs w:val="32"/>
          <w:highlight w:val="none"/>
          <w:lang w:val="en-US" w:eastAsia="zh-CN"/>
        </w:rPr>
        <w:t>于执行公务、开展业务活动开支的餐费。国内公务接待1批次，12人次,共计支出0.14万元。具体内容包括</w:t>
      </w:r>
      <w:r>
        <w:rPr>
          <w:rFonts w:hint="eastAsia" w:ascii="仿宋_GB2312" w:eastAsia="仿宋_GB2312" w:cs="仿宋_GB2312"/>
          <w:color w:val="000000"/>
          <w:sz w:val="30"/>
          <w:szCs w:val="30"/>
          <w:highlight w:val="none"/>
        </w:rPr>
        <w:t>：</w:t>
      </w:r>
      <w:r>
        <w:rPr>
          <w:rFonts w:hint="eastAsia" w:ascii="仿宋_GB2312" w:eastAsia="仿宋_GB2312"/>
          <w:sz w:val="32"/>
          <w:szCs w:val="32"/>
        </w:rPr>
        <w:t>其他市州</w:t>
      </w:r>
      <w:r>
        <w:rPr>
          <w:rFonts w:hint="eastAsia" w:ascii="仿宋_GB2312" w:eastAsia="仿宋_GB2312"/>
          <w:sz w:val="32"/>
          <w:szCs w:val="32"/>
          <w:lang w:eastAsia="zh-CN"/>
        </w:rPr>
        <w:t>退役军人事务系统</w:t>
      </w:r>
      <w:r>
        <w:rPr>
          <w:rFonts w:hint="eastAsia" w:ascii="仿宋_GB2312" w:eastAsia="仿宋_GB2312"/>
          <w:sz w:val="32"/>
          <w:szCs w:val="32"/>
        </w:rPr>
        <w:t>来我</w:t>
      </w:r>
      <w:r>
        <w:rPr>
          <w:rFonts w:hint="eastAsia" w:ascii="仿宋_GB2312" w:eastAsia="仿宋_GB2312"/>
          <w:sz w:val="32"/>
          <w:szCs w:val="32"/>
          <w:lang w:eastAsia="zh-CN"/>
        </w:rPr>
        <w:t>院</w:t>
      </w:r>
      <w:r>
        <w:rPr>
          <w:rFonts w:hint="eastAsia" w:ascii="仿宋_GB2312" w:eastAsia="仿宋_GB2312"/>
          <w:sz w:val="32"/>
          <w:szCs w:val="32"/>
        </w:rPr>
        <w:t>交流学习。</w:t>
      </w:r>
    </w:p>
    <w:p>
      <w:pPr>
        <w:spacing w:line="600" w:lineRule="exact"/>
        <w:ind w:firstLine="642"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21"/>
          <w:rFonts w:ascii="黑体" w:hAnsi="黑体" w:eastAsia="黑体"/>
          <w:color w:val="auto"/>
          <w:highlight w:val="none"/>
        </w:rPr>
      </w:pPr>
      <w:bookmarkStart w:id="55" w:name="_Toc15396610"/>
      <w:bookmarkStart w:id="56" w:name="_Toc15377218"/>
      <w:bookmarkStart w:id="57" w:name="_Toc14314"/>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55"/>
      <w:bookmarkEnd w:id="56"/>
      <w:bookmarkEnd w:id="57"/>
    </w:p>
    <w:p>
      <w:pPr>
        <w:spacing w:line="600" w:lineRule="exact"/>
        <w:ind w:firstLine="640"/>
        <w:rPr>
          <w:rFonts w:ascii="仿宋_GB2312" w:eastAsia="仿宋_GB2312"/>
          <w:color w:val="auto"/>
          <w:sz w:val="32"/>
          <w:szCs w:val="32"/>
          <w:highlight w:val="darkGree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50.11</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1"/>
          <w:rFonts w:ascii="黑体" w:hAnsi="黑体" w:eastAsia="黑体"/>
          <w:b w:val="0"/>
          <w:color w:val="auto"/>
          <w:highlight w:val="none"/>
        </w:rPr>
      </w:pPr>
      <w:bookmarkStart w:id="58" w:name="_Toc15377219"/>
      <w:bookmarkStart w:id="59" w:name="_Toc11131"/>
      <w:bookmarkStart w:id="60" w:name="_Toc15396611"/>
      <w:r>
        <w:rPr>
          <w:rStyle w:val="21"/>
          <w:rFonts w:hint="eastAsia" w:ascii="黑体" w:hAnsi="黑体" w:eastAsia="黑体"/>
          <w:b w:val="0"/>
          <w:color w:val="auto"/>
          <w:highlight w:val="none"/>
        </w:rPr>
        <w:t>国有资本经营预算支出决算情况说明</w:t>
      </w:r>
      <w:bookmarkEnd w:id="58"/>
      <w:bookmarkEnd w:id="59"/>
      <w:bookmarkEnd w:id="60"/>
    </w:p>
    <w:p>
      <w:pPr>
        <w:spacing w:line="600" w:lineRule="exact"/>
        <w:ind w:firstLine="640"/>
        <w:rPr>
          <w:rFonts w:ascii="方正小标宋简体" w:hAnsi="方正小标宋简体" w:eastAsia="方正小标宋简体" w:cs="方正小标宋简体"/>
          <w:color w:val="auto"/>
          <w:sz w:val="44"/>
          <w:szCs w:val="44"/>
          <w:highlight w:val="darkGreen"/>
        </w:rPr>
      </w:pPr>
      <w:r>
        <w:rPr>
          <w:rFonts w:hint="eastAsia" w:ascii="仿宋_GB2312" w:hAnsi="仿宋_GB2312" w:eastAsia="仿宋_GB2312" w:cs="仿宋_GB2312"/>
          <w:color w:val="auto"/>
          <w:sz w:val="32"/>
          <w:szCs w:val="32"/>
          <w:highlight w:val="none"/>
          <w:lang w:val="en-US" w:eastAsia="zh-CN"/>
        </w:rPr>
        <w:t>2022年国有资本经营预算财政拨款支出0万元。</w:t>
      </w:r>
    </w:p>
    <w:p>
      <w:pPr>
        <w:numPr>
          <w:ilvl w:val="0"/>
          <w:numId w:val="3"/>
        </w:numPr>
        <w:spacing w:line="600" w:lineRule="exact"/>
        <w:ind w:firstLine="640"/>
        <w:outlineLvl w:val="1"/>
        <w:rPr>
          <w:rStyle w:val="21"/>
          <w:rFonts w:hint="eastAsia" w:ascii="黑体" w:hAnsi="黑体" w:eastAsia="黑体"/>
          <w:b w:val="0"/>
          <w:color w:val="auto"/>
          <w:highlight w:val="none"/>
        </w:rPr>
      </w:pPr>
      <w:bookmarkStart w:id="61" w:name="_Toc15377221"/>
      <w:bookmarkStart w:id="62" w:name="_Toc10015"/>
      <w:bookmarkStart w:id="63" w:name="_Toc15396612"/>
      <w:r>
        <w:rPr>
          <w:rStyle w:val="21"/>
          <w:rFonts w:hint="eastAsia" w:ascii="黑体" w:hAnsi="黑体" w:eastAsia="黑体"/>
          <w:b w:val="0"/>
          <w:color w:val="auto"/>
          <w:highlight w:val="none"/>
        </w:rPr>
        <w:t>其他重要事项的情况说明</w:t>
      </w:r>
      <w:bookmarkEnd w:id="61"/>
      <w:bookmarkEnd w:id="62"/>
      <w:bookmarkEnd w:id="63"/>
    </w:p>
    <w:p>
      <w:pPr>
        <w:spacing w:line="600" w:lineRule="exact"/>
        <w:ind w:firstLine="642" w:firstLineChars="200"/>
        <w:outlineLvl w:val="2"/>
        <w:rPr>
          <w:rFonts w:ascii="仿宋" w:hAnsi="仿宋" w:eastAsia="仿宋"/>
          <w:color w:val="auto"/>
          <w:sz w:val="32"/>
          <w:szCs w:val="32"/>
          <w:highlight w:val="none"/>
        </w:rPr>
      </w:pPr>
      <w:bookmarkStart w:id="64" w:name="_Toc15377222"/>
      <w:r>
        <w:rPr>
          <w:rFonts w:hint="eastAsia" w:ascii="仿宋" w:hAnsi="仿宋" w:eastAsia="仿宋"/>
          <w:b/>
          <w:color w:val="auto"/>
          <w:sz w:val="32"/>
          <w:szCs w:val="32"/>
          <w:highlight w:val="none"/>
        </w:rPr>
        <w:t>（一）机关运行经费支出情况</w:t>
      </w:r>
      <w:bookmarkEnd w:id="64"/>
    </w:p>
    <w:p>
      <w:pPr>
        <w:spacing w:line="600" w:lineRule="exact"/>
        <w:ind w:firstLine="640"/>
        <w:rPr>
          <w:rFonts w:hint="eastAsia" w:ascii="仿宋_GB2312" w:hAnsi="仿宋_GB2312" w:eastAsia="仿宋_GB2312" w:cs="仿宋_GB2312"/>
          <w:color w:val="auto"/>
          <w:sz w:val="32"/>
          <w:szCs w:val="32"/>
          <w:highlight w:val="none"/>
          <w:lang w:val="en-US" w:eastAsia="zh-CN"/>
        </w:rPr>
      </w:pPr>
      <w:bookmarkStart w:id="65" w:name="_Toc15377223"/>
      <w:r>
        <w:rPr>
          <w:rFonts w:hint="eastAsia" w:ascii="仿宋_GB2312" w:hAnsi="仿宋_GB2312" w:eastAsia="仿宋_GB2312" w:cs="仿宋_GB2312"/>
          <w:color w:val="auto"/>
          <w:sz w:val="32"/>
          <w:szCs w:val="32"/>
          <w:highlight w:val="none"/>
          <w:lang w:val="en-US" w:eastAsia="zh-CN"/>
        </w:rPr>
        <w:t>本单位属事业单位，未发生机关运行经费支出。</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5"/>
    </w:p>
    <w:p>
      <w:pPr>
        <w:spacing w:line="600" w:lineRule="exact"/>
        <w:ind w:firstLine="640"/>
        <w:rPr>
          <w:rFonts w:hint="eastAsia" w:ascii="仿宋_GB2312" w:hAnsi="仿宋_GB2312" w:eastAsia="仿宋_GB2312" w:cs="仿宋_GB2312"/>
          <w:color w:val="auto"/>
          <w:sz w:val="32"/>
          <w:szCs w:val="32"/>
          <w:highlight w:val="none"/>
          <w:lang w:val="en-US" w:eastAsia="zh-CN"/>
        </w:rPr>
      </w:pPr>
      <w:bookmarkStart w:id="66" w:name="_Toc15377224"/>
      <w:r>
        <w:rPr>
          <w:rFonts w:hint="eastAsia" w:ascii="仿宋_GB2312" w:hAnsi="仿宋_GB2312" w:eastAsia="仿宋_GB2312" w:cs="仿宋_GB2312"/>
          <w:color w:val="auto"/>
          <w:sz w:val="32"/>
          <w:szCs w:val="32"/>
          <w:highlight w:val="none"/>
          <w:lang w:val="en-US" w:eastAsia="zh-CN"/>
        </w:rPr>
        <w:t>本单位2022年未发生政府采购支出。</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bookmarkEnd w:id="66"/>
    </w:p>
    <w:p>
      <w:pPr>
        <w:autoSpaceDE w:val="0"/>
        <w:autoSpaceDN w:val="0"/>
        <w:adjustRightInd w:val="0"/>
        <w:spacing w:line="600" w:lineRule="exact"/>
        <w:ind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截至2022年12月31日，市光荣院共有车辆2辆，其中：应急保障用车1辆、其他用车1辆。其他用车主要用于优抚医院开展医疗巡诊工作。单价50万元以上通用设备1台（套）；单价100万元以上专用设备0台（套）。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7"/>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年初预算编制阶段，按政策要求组织对供养老人经费项目开展了预算事前绩效评估，组织对“</w:t>
      </w:r>
      <w:r>
        <w:rPr>
          <w:rFonts w:hint="eastAsia" w:hAnsi="仿宋_GB2312" w:cs="仿宋_GB2312"/>
          <w:color w:val="auto"/>
          <w:sz w:val="32"/>
          <w:szCs w:val="32"/>
          <w:highlight w:val="none"/>
          <w:lang w:val="en-US" w:eastAsia="zh-CN"/>
        </w:rPr>
        <w:t>乡村振兴”“</w:t>
      </w:r>
      <w:r>
        <w:rPr>
          <w:rFonts w:hint="eastAsia" w:ascii="仿宋_GB2312" w:hAnsi="仿宋_GB2312" w:eastAsia="仿宋_GB2312" w:cs="仿宋_GB2312"/>
          <w:color w:val="auto"/>
          <w:sz w:val="32"/>
          <w:szCs w:val="32"/>
          <w:highlight w:val="none"/>
          <w:lang w:val="en-US" w:eastAsia="zh-CN"/>
        </w:rPr>
        <w:t>医疗巡诊从运行维护费</w:t>
      </w:r>
      <w:r>
        <w:rPr>
          <w:rFonts w:hint="eastAsia"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供养楼电梯运行维护费</w:t>
      </w:r>
      <w:r>
        <w:rPr>
          <w:rFonts w:hint="eastAsia"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荣誉军人休养中心补助经费”</w:t>
      </w:r>
      <w:r>
        <w:rPr>
          <w:rFonts w:hint="eastAsia" w:hAnsi="仿宋_GB2312" w:cs="仿宋_GB2312"/>
          <w:color w:val="auto"/>
          <w:sz w:val="32"/>
          <w:szCs w:val="32"/>
          <w:highlight w:val="none"/>
          <w:lang w:val="en-US" w:eastAsia="zh-CN"/>
        </w:rPr>
        <w:t>等17</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numPr>
          <w:ilvl w:val="0"/>
          <w:numId w:val="4"/>
        </w:numPr>
        <w:spacing w:line="600" w:lineRule="exact"/>
        <w:ind w:firstLine="660" w:firstLineChars="150"/>
        <w:jc w:val="center"/>
        <w:outlineLvl w:val="0"/>
        <w:rPr>
          <w:rStyle w:val="20"/>
          <w:rFonts w:ascii="黑体" w:hAnsi="黑体" w:eastAsia="黑体"/>
          <w:b w:val="0"/>
          <w:color w:val="auto"/>
          <w:highlight w:val="none"/>
        </w:rPr>
      </w:pPr>
      <w:bookmarkStart w:id="67" w:name="_Toc19099"/>
      <w:bookmarkStart w:id="68" w:name="_Toc15396613"/>
      <w:bookmarkStart w:id="69" w:name="_Toc15377225"/>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67"/>
      <w:bookmarkEnd w:id="68"/>
      <w:bookmarkEnd w:id="69"/>
    </w:p>
    <w:p>
      <w:pPr>
        <w:pStyle w:val="30"/>
        <w:numPr>
          <w:ilvl w:val="0"/>
          <w:numId w:val="5"/>
        </w:numPr>
        <w:spacing w:line="56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财政拨款收入：指单位从同级财政部门取得的财政预算资金。</w:t>
      </w:r>
    </w:p>
    <w:p>
      <w:pPr>
        <w:pStyle w:val="30"/>
        <w:numPr>
          <w:ilvl w:val="0"/>
          <w:numId w:val="5"/>
        </w:numPr>
        <w:spacing w:line="56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年初结转和结余：指以前年度尚未完成、结转到本年按有关规定继续使用的资金。</w:t>
      </w:r>
    </w:p>
    <w:p>
      <w:pPr>
        <w:pStyle w:val="30"/>
        <w:numPr>
          <w:ilvl w:val="0"/>
          <w:numId w:val="5"/>
        </w:numPr>
        <w:spacing w:line="56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年末结转和结余：指单位按有关规定结转到下年或以后年度继续使用的资金。</w:t>
      </w:r>
    </w:p>
    <w:p>
      <w:pPr>
        <w:pStyle w:val="30"/>
        <w:numPr>
          <w:ilvl w:val="0"/>
          <w:numId w:val="5"/>
        </w:numPr>
        <w:spacing w:line="56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社会保障和就业（类）行政事业单位养老支出（款）机关事业单位基本养老保险缴费支出（项），主要反映机关事业单位实施养老制度由单位缴纳的基本养老保险费支出。</w:t>
      </w:r>
    </w:p>
    <w:p>
      <w:pPr>
        <w:pStyle w:val="30"/>
        <w:numPr>
          <w:ilvl w:val="0"/>
          <w:numId w:val="5"/>
        </w:numPr>
        <w:spacing w:line="56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社会保障和就业（类）行政事业单位养老支出（款）机关事业单位职业年金缴费支出（项），主要反映机关事业单位实施养老制度由单位实际缴纳的职业年金支出。</w:t>
      </w:r>
    </w:p>
    <w:p>
      <w:pPr>
        <w:numPr>
          <w:ilvl w:val="0"/>
          <w:numId w:val="5"/>
        </w:numPr>
        <w:spacing w:line="60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color w:val="auto"/>
          <w:sz w:val="32"/>
          <w:szCs w:val="32"/>
          <w:highlight w:val="none"/>
          <w:lang w:val="en-US" w:eastAsia="zh-CN"/>
        </w:rPr>
        <w:t>社会保障和就业（类）抚恤（款）光荣院支出（项）</w:t>
      </w:r>
      <w:r>
        <w:rPr>
          <w:rFonts w:hint="eastAsia" w:ascii="仿宋_GB2312" w:hAnsi="仿宋_GB2312" w:eastAsia="仿宋_GB2312" w:cs="仿宋_GB2312"/>
          <w:color w:val="auto"/>
          <w:kern w:val="2"/>
          <w:sz w:val="32"/>
          <w:szCs w:val="32"/>
          <w:highlight w:val="none"/>
          <w:lang w:val="en-US" w:eastAsia="zh-CN" w:bidi="ar-SA"/>
        </w:rPr>
        <w:t>，主要反映光荣院运行及管理维护服务支出。</w:t>
      </w:r>
    </w:p>
    <w:p>
      <w:pPr>
        <w:numPr>
          <w:ilvl w:val="0"/>
          <w:numId w:val="5"/>
        </w:numPr>
        <w:spacing w:line="60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社会保障和就业（类）抚恤（款）其他优抚支出（项）：指除上述项目以外其他用于优抚方面的支出，包括向优抚对象发放的价格临时补贴等支出。</w:t>
      </w:r>
    </w:p>
    <w:p>
      <w:pPr>
        <w:numPr>
          <w:ilvl w:val="0"/>
          <w:numId w:val="5"/>
        </w:numPr>
        <w:spacing w:line="60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color w:val="auto"/>
          <w:sz w:val="32"/>
          <w:szCs w:val="32"/>
          <w:highlight w:val="none"/>
          <w:lang w:val="en-US" w:eastAsia="zh-CN"/>
        </w:rPr>
        <w:t>卫生健康（类）行政事业单位医疗（款）事业单位医疗（项）</w:t>
      </w:r>
      <w:r>
        <w:rPr>
          <w:rFonts w:hint="eastAsia" w:ascii="仿宋_GB2312" w:hAnsi="仿宋_GB2312" w:eastAsia="仿宋_GB2312" w:cs="仿宋_GB2312"/>
          <w:color w:val="auto"/>
          <w:kern w:val="2"/>
          <w:sz w:val="32"/>
          <w:szCs w:val="32"/>
          <w:highlight w:val="none"/>
          <w:lang w:val="en-US" w:eastAsia="zh-CN" w:bidi="ar-SA"/>
        </w:rPr>
        <w:t>，主要反映财政部门安排的事业单位基本医疗保险缴费支出。</w:t>
      </w:r>
    </w:p>
    <w:p>
      <w:pPr>
        <w:numPr>
          <w:ilvl w:val="0"/>
          <w:numId w:val="5"/>
        </w:numPr>
        <w:spacing w:line="60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color w:val="auto"/>
          <w:sz w:val="32"/>
          <w:szCs w:val="32"/>
          <w:highlight w:val="none"/>
          <w:lang w:val="en-US" w:eastAsia="zh-CN"/>
        </w:rPr>
        <w:t>卫生健康（类）优抚对象医疗（款）优抚对象医疗补助（项）</w:t>
      </w:r>
      <w:r>
        <w:rPr>
          <w:rFonts w:hint="eastAsia" w:ascii="仿宋_GB2312" w:hAnsi="仿宋_GB2312" w:eastAsia="仿宋_GB2312" w:cs="仿宋_GB2312"/>
          <w:color w:val="auto"/>
          <w:kern w:val="2"/>
          <w:sz w:val="32"/>
          <w:szCs w:val="32"/>
          <w:highlight w:val="none"/>
          <w:lang w:val="en-US" w:eastAsia="zh-CN" w:bidi="ar-SA"/>
        </w:rPr>
        <w:t>，主要反映优抚对象医疗费支出。</w:t>
      </w:r>
    </w:p>
    <w:p>
      <w:pPr>
        <w:pStyle w:val="30"/>
        <w:numPr>
          <w:ilvl w:val="0"/>
          <w:numId w:val="5"/>
        </w:numPr>
        <w:spacing w:line="56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color w:val="auto"/>
          <w:sz w:val="32"/>
          <w:szCs w:val="32"/>
          <w:highlight w:val="none"/>
        </w:rPr>
        <w:t>住房保障支出（类）住房改革支出（款）</w:t>
      </w:r>
      <w:r>
        <w:rPr>
          <w:rFonts w:hint="eastAsia" w:ascii="仿宋_GB2312" w:hAnsi="仿宋_GB2312" w:eastAsia="仿宋_GB2312" w:cs="仿宋_GB2312"/>
          <w:b w:val="0"/>
          <w:bCs/>
          <w:color w:val="auto"/>
          <w:sz w:val="32"/>
          <w:szCs w:val="32"/>
          <w:highlight w:val="none"/>
          <w:lang w:eastAsia="zh-CN"/>
        </w:rPr>
        <w:t>住房公积金</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color w:val="auto"/>
          <w:kern w:val="2"/>
          <w:sz w:val="32"/>
          <w:szCs w:val="32"/>
          <w:highlight w:val="none"/>
          <w:lang w:val="en-US" w:eastAsia="zh-CN" w:bidi="ar-SA"/>
        </w:rPr>
        <w:t>，主要反映行政事业单位按人力资源和社会保障部、财政部规定的基本工资和津贴补贴以及规定比例为职工缴纳的住房公积金。 </w:t>
      </w:r>
      <w:r>
        <w:rPr>
          <w:rFonts w:hint="eastAsia" w:ascii="仿宋_GB2312" w:hAnsi="仿宋_GB2312" w:eastAsia="仿宋_GB2312" w:cs="仿宋_GB2312"/>
          <w:i w:val="0"/>
          <w:caps w:val="0"/>
          <w:smallCaps w:val="0"/>
          <w:color w:val="000000"/>
          <w:spacing w:val="0"/>
          <w:sz w:val="32"/>
          <w:szCs w:val="32"/>
          <w:shd w:val="clear" w:color="auto" w:fill="FFFFFF"/>
        </w:rPr>
        <w:t> </w:t>
      </w:r>
    </w:p>
    <w:p>
      <w:pPr>
        <w:numPr>
          <w:ilvl w:val="0"/>
          <w:numId w:val="5"/>
        </w:numPr>
        <w:spacing w:line="600" w:lineRule="exact"/>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color w:val="auto"/>
          <w:sz w:val="32"/>
          <w:szCs w:val="32"/>
          <w:highlight w:val="none"/>
          <w:lang w:val="en-US" w:eastAsia="zh-CN"/>
        </w:rPr>
        <w:t>其他支出（类）彩票公益金安排的支出（款）  用于社会福利的彩票公益金支出（项）</w:t>
      </w:r>
      <w:r>
        <w:rPr>
          <w:rFonts w:hint="eastAsia" w:ascii="仿宋_GB2312" w:hAnsi="仿宋_GB2312" w:eastAsia="仿宋_GB2312" w:cs="仿宋_GB2312"/>
          <w:color w:val="auto"/>
          <w:kern w:val="2"/>
          <w:sz w:val="32"/>
          <w:szCs w:val="32"/>
          <w:highlight w:val="none"/>
          <w:lang w:val="en-US" w:eastAsia="zh-CN" w:bidi="ar-SA"/>
        </w:rPr>
        <w:t>，主要反映供养对象生活等社会福利方面支出。</w:t>
      </w:r>
    </w:p>
    <w:p>
      <w:pPr>
        <w:numPr>
          <w:ilvl w:val="0"/>
          <w:numId w:val="5"/>
        </w:numPr>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基本支出：指为保障机构正常运转、完成日常工作任务而发生的人员支出和公用支出。</w:t>
      </w:r>
    </w:p>
    <w:p>
      <w:pPr>
        <w:numPr>
          <w:ilvl w:val="0"/>
          <w:numId w:val="5"/>
        </w:numPr>
        <w:ind w:left="0" w:leftChars="0" w:firstLine="40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项目支出：指在基本支出之外为完成特定事业发展目标所发生的支出。</w:t>
      </w:r>
    </w:p>
    <w:p>
      <w:pPr>
        <w:pStyle w:val="35"/>
        <w:numPr>
          <w:ilvl w:val="0"/>
          <w:numId w:val="5"/>
        </w:numPr>
        <w:bidi w:val="0"/>
        <w:spacing w:line="240" w:lineRule="auto"/>
        <w:ind w:left="0" w:leftChars="0" w:firstLine="400" w:firstLineChars="0"/>
        <w:jc w:val="left"/>
        <w:rPr>
          <w:rStyle w:val="20"/>
          <w:rFonts w:ascii="黑体" w:hAnsi="黑体" w:eastAsia="黑体"/>
          <w:b w:val="0"/>
          <w:color w:val="auto"/>
          <w:highlight w:val="none"/>
        </w:rPr>
      </w:pPr>
      <w:r>
        <w:rPr>
          <w:rFonts w:hint="eastAsia" w:ascii="仿宋_GB2312" w:hAnsi="仿宋_GB2312" w:eastAsia="仿宋_GB2312" w:cs="仿宋_GB2312"/>
          <w:color w:val="auto"/>
          <w:kern w:val="2"/>
          <w:sz w:val="32"/>
          <w:szCs w:val="32"/>
          <w:highlight w:val="none"/>
          <w:lang w:val="en-US" w:eastAsia="zh-CN" w:bidi="ar-SA"/>
        </w:rPr>
        <w:t>“三公”经费：指本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0" w:name="_Toc15377226"/>
      <w:r>
        <w:rPr>
          <w:rFonts w:ascii="宋体"/>
          <w:b/>
          <w:color w:val="auto"/>
          <w:sz w:val="44"/>
          <w:szCs w:val="44"/>
          <w:highlight w:val="none"/>
        </w:rPr>
        <w:br w:type="page"/>
      </w:r>
    </w:p>
    <w:p>
      <w:pPr>
        <w:spacing w:line="600" w:lineRule="exact"/>
        <w:jc w:val="center"/>
        <w:outlineLvl w:val="9"/>
        <w:rPr>
          <w:rFonts w:hint="eastAsia" w:ascii="黑体" w:hAnsi="黑体" w:eastAsia="黑体"/>
          <w:color w:val="auto"/>
          <w:sz w:val="44"/>
          <w:szCs w:val="44"/>
          <w:highlight w:val="none"/>
        </w:rPr>
        <w:sectPr>
          <w:footerReference r:id="rId9" w:type="first"/>
          <w:footerReference r:id="rId8" w:type="default"/>
          <w:pgSz w:w="11906" w:h="16838"/>
          <w:pgMar w:top="1440" w:right="1800" w:bottom="1440" w:left="1800" w:header="851" w:footer="992" w:gutter="0"/>
          <w:pgNumType w:fmt="decimal" w:start="1"/>
          <w:cols w:space="425" w:num="1"/>
          <w:titlePg/>
          <w:docGrid w:type="lines" w:linePitch="312" w:charSpace="0"/>
        </w:sectPr>
      </w:pPr>
      <w:bookmarkStart w:id="71" w:name="_Toc15396614"/>
      <w:bookmarkStart w:id="72" w:name="_Toc15396618"/>
    </w:p>
    <w:p>
      <w:pPr>
        <w:spacing w:line="600" w:lineRule="exact"/>
        <w:jc w:val="center"/>
        <w:outlineLvl w:val="0"/>
        <w:rPr>
          <w:rFonts w:hint="eastAsia" w:ascii="黑体" w:hAnsi="黑体" w:eastAsia="黑体"/>
          <w:color w:val="auto"/>
          <w:sz w:val="44"/>
          <w:szCs w:val="44"/>
          <w:highlight w:val="none"/>
        </w:rPr>
      </w:pPr>
      <w:bookmarkStart w:id="73" w:name="_Toc4251"/>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四部分附件</w:t>
      </w:r>
      <w:bookmarkEnd w:id="71"/>
      <w:bookmarkEnd w:id="73"/>
    </w:p>
    <w:p>
      <w:pPr>
        <w:spacing w:line="600" w:lineRule="exact"/>
        <w:jc w:val="center"/>
        <w:outlineLvl w:val="1"/>
        <w:rPr>
          <w:rFonts w:hint="eastAsia" w:ascii="宋体" w:hAnsi="宋体" w:cs="宋体"/>
          <w:color w:val="auto"/>
          <w:kern w:val="0"/>
          <w:sz w:val="32"/>
          <w:szCs w:val="32"/>
          <w:highlight w:val="none"/>
          <w:lang w:val="en-US" w:eastAsia="zh-CN" w:bidi="ar-SA"/>
        </w:rPr>
      </w:pPr>
      <w:bookmarkStart w:id="74" w:name="_Toc4654"/>
    </w:p>
    <w:p>
      <w:pPr>
        <w:spacing w:line="600" w:lineRule="exact"/>
        <w:jc w:val="center"/>
        <w:outlineLvl w:val="1"/>
        <w:rPr>
          <w:rFonts w:hint="eastAsia" w:ascii="宋体" w:hAnsi="宋体" w:eastAsia="宋体" w:cs="宋体"/>
          <w:color w:val="auto"/>
          <w:kern w:val="0"/>
          <w:sz w:val="32"/>
          <w:szCs w:val="32"/>
          <w:highlight w:val="none"/>
          <w:lang w:val="en-US" w:eastAsia="zh-CN" w:bidi="ar-SA"/>
        </w:rPr>
      </w:pPr>
      <w:r>
        <w:rPr>
          <w:rFonts w:hint="eastAsia" w:ascii="宋体" w:hAnsi="宋体" w:cs="宋体"/>
          <w:color w:val="auto"/>
          <w:kern w:val="0"/>
          <w:sz w:val="32"/>
          <w:szCs w:val="32"/>
          <w:highlight w:val="none"/>
          <w:lang w:val="en-US" w:eastAsia="zh-CN" w:bidi="ar-SA"/>
        </w:rPr>
        <w:t>单位</w:t>
      </w:r>
      <w:r>
        <w:rPr>
          <w:rFonts w:hint="eastAsia" w:ascii="宋体" w:hAnsi="宋体" w:eastAsia="宋体" w:cs="宋体"/>
          <w:color w:val="auto"/>
          <w:kern w:val="0"/>
          <w:sz w:val="32"/>
          <w:szCs w:val="32"/>
          <w:highlight w:val="none"/>
          <w:lang w:val="en-US" w:eastAsia="zh-CN" w:bidi="ar-SA"/>
        </w:rPr>
        <w:t>预算项目支出绩效自评表（2022年度）</w:t>
      </w:r>
      <w:bookmarkEnd w:id="74"/>
    </w:p>
    <w:p>
      <w:pPr>
        <w:spacing w:line="600" w:lineRule="exact"/>
        <w:jc w:val="center"/>
        <w:outlineLvl w:val="1"/>
        <w:rPr>
          <w:rFonts w:hint="eastAsia" w:ascii="宋体" w:hAnsi="宋体" w:eastAsia="宋体" w:cs="宋体"/>
          <w:color w:val="auto"/>
          <w:kern w:val="0"/>
          <w:sz w:val="32"/>
          <w:szCs w:val="32"/>
          <w:highlight w:val="none"/>
          <w:lang w:val="en-US" w:eastAsia="zh-CN" w:bidi="ar-SA"/>
        </w:rPr>
        <w:sectPr>
          <w:footerReference r:id="rId11" w:type="first"/>
          <w:footerReference r:id="rId10" w:type="default"/>
          <w:pgSz w:w="12240" w:h="15839"/>
          <w:pgMar w:top="1080" w:right="1440" w:bottom="1080" w:left="1440" w:header="851" w:footer="992" w:gutter="0"/>
          <w:pgNumType w:fmt="decimal"/>
          <w:cols w:space="425" w:num="1"/>
          <w:titlePg/>
          <w:docGrid w:type="lines" w:linePitch="312" w:charSpace="0"/>
        </w:sectPr>
      </w:pPr>
      <w:r>
        <w:rPr>
          <w:rFonts w:hint="eastAsia" w:ascii="宋体" w:hAnsi="宋体" w:cs="宋体"/>
          <w:color w:val="auto"/>
          <w:kern w:val="0"/>
          <w:sz w:val="32"/>
          <w:szCs w:val="32"/>
          <w:highlight w:val="none"/>
          <w:lang w:val="en-US" w:eastAsia="zh-CN" w:bidi="ar-SA"/>
        </w:rPr>
        <w:t>（详见附表2）</w:t>
      </w:r>
    </w:p>
    <w:p>
      <w:pPr>
        <w:spacing w:line="600" w:lineRule="exact"/>
        <w:jc w:val="both"/>
        <w:outlineLvl w:val="0"/>
        <w:rPr>
          <w:rFonts w:hint="eastAsia" w:ascii="黑体" w:hAnsi="黑体" w:eastAsia="黑体"/>
          <w:color w:val="auto"/>
          <w:sz w:val="44"/>
          <w:szCs w:val="44"/>
          <w:highlight w:val="none"/>
        </w:rPr>
      </w:pPr>
      <w:bookmarkStart w:id="75" w:name="_Toc19598"/>
    </w:p>
    <w:p>
      <w:pPr>
        <w:spacing w:line="600" w:lineRule="exact"/>
        <w:jc w:val="center"/>
        <w:outlineLvl w:val="0"/>
        <w:rPr>
          <w:rFonts w:hint="eastAsia" w:ascii="仿宋" w:hAnsi="仿宋" w:eastAsia="黑体"/>
          <w:b w:val="0"/>
          <w:color w:val="auto"/>
          <w:highlight w:val="none"/>
          <w:lang w:val="en-US" w:eastAsia="zh-CN"/>
        </w:rPr>
      </w:pPr>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五部分附表</w:t>
      </w:r>
      <w:bookmarkEnd w:id="70"/>
      <w:bookmarkEnd w:id="72"/>
      <w:bookmarkEnd w:id="75"/>
      <w:bookmarkStart w:id="76" w:name="_Toc15396619"/>
    </w:p>
    <w:p>
      <w:pPr>
        <w:pStyle w:val="3"/>
        <w:rPr>
          <w:rFonts w:ascii="仿宋" w:hAnsi="仿宋" w:eastAsia="仿宋"/>
          <w:color w:val="auto"/>
          <w:highlight w:val="none"/>
        </w:rPr>
      </w:pPr>
      <w:bookmarkStart w:id="77" w:name="_Toc27031"/>
      <w:r>
        <w:rPr>
          <w:rFonts w:hint="eastAsia" w:ascii="仿宋" w:hAnsi="仿宋" w:eastAsia="仿宋"/>
          <w:b w:val="0"/>
          <w:color w:val="auto"/>
          <w:highlight w:val="none"/>
        </w:rPr>
        <w:t>一、收</w:t>
      </w:r>
      <w:r>
        <w:rPr>
          <w:rStyle w:val="21"/>
          <w:rFonts w:hint="eastAsia" w:ascii="仿宋" w:hAnsi="仿宋" w:eastAsia="仿宋"/>
          <w:b w:val="0"/>
          <w:bCs w:val="0"/>
          <w:color w:val="auto"/>
          <w:highlight w:val="none"/>
        </w:rPr>
        <w:t>入支出决算总表</w:t>
      </w:r>
      <w:bookmarkEnd w:id="76"/>
      <w:bookmarkEnd w:id="77"/>
    </w:p>
    <w:p>
      <w:pPr>
        <w:pStyle w:val="3"/>
        <w:rPr>
          <w:rFonts w:ascii="仿宋" w:hAnsi="仿宋" w:eastAsia="仿宋"/>
          <w:color w:val="auto"/>
          <w:highlight w:val="none"/>
        </w:rPr>
      </w:pPr>
      <w:bookmarkStart w:id="78" w:name="_Toc31745"/>
      <w:bookmarkStart w:id="79" w:name="_Toc15396620"/>
      <w:r>
        <w:rPr>
          <w:rFonts w:hint="eastAsia" w:ascii="仿宋" w:hAnsi="仿宋" w:eastAsia="仿宋"/>
          <w:b w:val="0"/>
          <w:color w:val="auto"/>
          <w:highlight w:val="none"/>
        </w:rPr>
        <w:t>二、收</w:t>
      </w:r>
      <w:r>
        <w:rPr>
          <w:rStyle w:val="21"/>
          <w:rFonts w:hint="eastAsia" w:ascii="仿宋" w:hAnsi="仿宋" w:eastAsia="仿宋"/>
          <w:b w:val="0"/>
          <w:bCs w:val="0"/>
          <w:color w:val="auto"/>
          <w:highlight w:val="none"/>
        </w:rPr>
        <w:t>入决算表</w:t>
      </w:r>
      <w:bookmarkEnd w:id="78"/>
      <w:bookmarkEnd w:id="79"/>
    </w:p>
    <w:p>
      <w:pPr>
        <w:pStyle w:val="3"/>
        <w:rPr>
          <w:rFonts w:ascii="仿宋" w:hAnsi="仿宋" w:eastAsia="仿宋"/>
          <w:color w:val="auto"/>
          <w:highlight w:val="none"/>
        </w:rPr>
      </w:pPr>
      <w:bookmarkStart w:id="80" w:name="_Toc15396621"/>
      <w:bookmarkStart w:id="81" w:name="_Toc21603"/>
      <w:r>
        <w:rPr>
          <w:rStyle w:val="2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1"/>
          <w:rFonts w:hint="eastAsia" w:ascii="仿宋" w:hAnsi="仿宋" w:eastAsia="仿宋"/>
          <w:b w:val="0"/>
          <w:bCs w:val="0"/>
          <w:color w:val="auto"/>
          <w:highlight w:val="none"/>
        </w:rPr>
        <w:t>出决算表</w:t>
      </w:r>
      <w:bookmarkEnd w:id="80"/>
      <w:bookmarkEnd w:id="81"/>
    </w:p>
    <w:p>
      <w:pPr>
        <w:pStyle w:val="3"/>
        <w:rPr>
          <w:rFonts w:ascii="仿宋" w:hAnsi="仿宋" w:eastAsia="仿宋"/>
          <w:b w:val="0"/>
          <w:color w:val="auto"/>
          <w:highlight w:val="none"/>
        </w:rPr>
      </w:pPr>
      <w:bookmarkStart w:id="82" w:name="_Toc30667"/>
      <w:bookmarkStart w:id="83" w:name="_Toc15396622"/>
      <w:r>
        <w:rPr>
          <w:rStyle w:val="2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政拨款收入支出决算总表</w:t>
      </w:r>
      <w:bookmarkEnd w:id="82"/>
      <w:bookmarkEnd w:id="83"/>
    </w:p>
    <w:p>
      <w:pPr>
        <w:pStyle w:val="3"/>
        <w:rPr>
          <w:rStyle w:val="21"/>
          <w:rFonts w:ascii="仿宋" w:hAnsi="仿宋" w:eastAsia="仿宋"/>
          <w:b w:val="0"/>
          <w:bCs w:val="0"/>
          <w:color w:val="auto"/>
          <w:highlight w:val="none"/>
        </w:rPr>
      </w:pPr>
      <w:bookmarkStart w:id="84" w:name="_Toc13717"/>
      <w:bookmarkStart w:id="85" w:name="_Toc15396623"/>
      <w:r>
        <w:rPr>
          <w:rStyle w:val="2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政拨款支出决算明细表</w:t>
      </w:r>
      <w:bookmarkEnd w:id="84"/>
      <w:bookmarkEnd w:id="85"/>
      <w:bookmarkStart w:id="86" w:name="_Toc15396624"/>
    </w:p>
    <w:p>
      <w:pPr>
        <w:pStyle w:val="3"/>
        <w:rPr>
          <w:rFonts w:ascii="仿宋" w:hAnsi="仿宋" w:eastAsia="仿宋"/>
          <w:color w:val="auto"/>
          <w:highlight w:val="none"/>
        </w:rPr>
      </w:pPr>
      <w:bookmarkStart w:id="87" w:name="_Toc15140"/>
      <w:r>
        <w:rPr>
          <w:rStyle w:val="2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般公共预算财政拨款支出决算表</w:t>
      </w:r>
      <w:bookmarkEnd w:id="86"/>
      <w:bookmarkEnd w:id="87"/>
    </w:p>
    <w:p>
      <w:pPr>
        <w:pStyle w:val="3"/>
        <w:rPr>
          <w:rFonts w:ascii="仿宋" w:hAnsi="仿宋" w:eastAsia="仿宋"/>
          <w:color w:val="auto"/>
          <w:highlight w:val="none"/>
        </w:rPr>
      </w:pPr>
      <w:bookmarkStart w:id="88" w:name="_Toc2271"/>
      <w:bookmarkStart w:id="89" w:name="_Toc15396625"/>
      <w:r>
        <w:rPr>
          <w:rStyle w:val="2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般公共预算财政拨款支出决算明细表</w:t>
      </w:r>
      <w:bookmarkEnd w:id="88"/>
      <w:bookmarkEnd w:id="89"/>
    </w:p>
    <w:p>
      <w:pPr>
        <w:pStyle w:val="3"/>
        <w:rPr>
          <w:rFonts w:ascii="仿宋" w:hAnsi="仿宋" w:eastAsia="仿宋"/>
          <w:color w:val="auto"/>
          <w:highlight w:val="none"/>
        </w:rPr>
      </w:pPr>
      <w:bookmarkStart w:id="90" w:name="_Toc29413"/>
      <w:bookmarkStart w:id="91" w:name="_Toc15396626"/>
      <w:r>
        <w:rPr>
          <w:rStyle w:val="2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般公共预算财政拨款基本支出决算表</w:t>
      </w:r>
      <w:bookmarkEnd w:id="90"/>
      <w:bookmarkEnd w:id="91"/>
    </w:p>
    <w:p>
      <w:pPr>
        <w:pStyle w:val="3"/>
        <w:rPr>
          <w:rFonts w:ascii="仿宋" w:hAnsi="仿宋" w:eastAsia="仿宋"/>
          <w:color w:val="auto"/>
          <w:highlight w:val="none"/>
        </w:rPr>
      </w:pPr>
      <w:bookmarkStart w:id="92" w:name="_Toc15396627"/>
      <w:bookmarkStart w:id="93" w:name="_Toc12259"/>
      <w:r>
        <w:rPr>
          <w:rStyle w:val="2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般公共预算财政拨款项目支出决算表</w:t>
      </w:r>
      <w:bookmarkEnd w:id="92"/>
      <w:bookmarkEnd w:id="93"/>
    </w:p>
    <w:p>
      <w:pPr>
        <w:pStyle w:val="3"/>
        <w:rPr>
          <w:rFonts w:ascii="仿宋" w:hAnsi="仿宋" w:eastAsia="仿宋"/>
          <w:color w:val="auto"/>
          <w:highlight w:val="none"/>
        </w:rPr>
      </w:pPr>
      <w:bookmarkStart w:id="94" w:name="_Toc15396628"/>
      <w:bookmarkStart w:id="95" w:name="_Toc27048"/>
      <w:r>
        <w:rPr>
          <w:rStyle w:val="21"/>
          <w:rFonts w:hint="eastAsia" w:ascii="仿宋" w:hAnsi="仿宋" w:eastAsia="仿宋"/>
          <w:b w:val="0"/>
          <w:bCs w:val="0"/>
          <w:color w:val="auto"/>
          <w:highlight w:val="none"/>
        </w:rPr>
        <w:t>十、</w:t>
      </w:r>
      <w:bookmarkEnd w:id="94"/>
      <w:r>
        <w:rPr>
          <w:rFonts w:hint="eastAsia" w:ascii="仿宋" w:hAnsi="仿宋" w:eastAsia="仿宋"/>
          <w:b w:val="0"/>
          <w:color w:val="auto"/>
          <w:highlight w:val="none"/>
        </w:rPr>
        <w:t>政</w:t>
      </w:r>
      <w:r>
        <w:rPr>
          <w:rStyle w:val="21"/>
          <w:rFonts w:hint="eastAsia" w:ascii="仿宋" w:hAnsi="仿宋" w:eastAsia="仿宋"/>
          <w:b w:val="0"/>
          <w:bCs w:val="0"/>
          <w:color w:val="auto"/>
          <w:highlight w:val="none"/>
        </w:rPr>
        <w:t>府性基金预算财政拨款收入支出决算表</w:t>
      </w:r>
      <w:bookmarkEnd w:id="95"/>
    </w:p>
    <w:p>
      <w:pPr>
        <w:pStyle w:val="3"/>
        <w:rPr>
          <w:rFonts w:ascii="仿宋" w:hAnsi="仿宋" w:eastAsia="仿宋"/>
          <w:color w:val="auto"/>
          <w:highlight w:val="none"/>
        </w:rPr>
      </w:pPr>
      <w:bookmarkStart w:id="96" w:name="_Toc15396629"/>
      <w:bookmarkStart w:id="97" w:name="_Toc1096"/>
      <w:r>
        <w:rPr>
          <w:rStyle w:val="21"/>
          <w:rFonts w:hint="eastAsia" w:ascii="仿宋" w:hAnsi="仿宋" w:eastAsia="仿宋"/>
          <w:b w:val="0"/>
          <w:bCs w:val="0"/>
          <w:color w:val="auto"/>
          <w:highlight w:val="none"/>
        </w:rPr>
        <w:t>十一、</w:t>
      </w:r>
      <w:bookmarkEnd w:id="96"/>
      <w:r>
        <w:rPr>
          <w:rFonts w:hint="eastAsia" w:ascii="仿宋" w:hAnsi="仿宋" w:eastAsia="仿宋"/>
          <w:b w:val="0"/>
          <w:color w:val="auto"/>
          <w:highlight w:val="none"/>
        </w:rPr>
        <w:t>国</w:t>
      </w:r>
      <w:r>
        <w:rPr>
          <w:rStyle w:val="21"/>
          <w:rFonts w:hint="eastAsia" w:ascii="仿宋" w:hAnsi="仿宋" w:eastAsia="仿宋"/>
          <w:b w:val="0"/>
          <w:bCs w:val="0"/>
          <w:color w:val="auto"/>
          <w:highlight w:val="none"/>
        </w:rPr>
        <w:t>有资本经营预算</w:t>
      </w:r>
      <w:r>
        <w:rPr>
          <w:rStyle w:val="21"/>
          <w:rFonts w:hint="eastAsia" w:ascii="仿宋" w:hAnsi="仿宋" w:eastAsia="仿宋"/>
          <w:b w:val="0"/>
          <w:bCs w:val="0"/>
          <w:color w:val="auto"/>
          <w:highlight w:val="none"/>
          <w:lang w:eastAsia="zh-CN"/>
        </w:rPr>
        <w:t>财政拨款收入</w:t>
      </w:r>
      <w:r>
        <w:rPr>
          <w:rStyle w:val="21"/>
          <w:rFonts w:hint="eastAsia" w:ascii="仿宋" w:hAnsi="仿宋" w:eastAsia="仿宋"/>
          <w:b w:val="0"/>
          <w:bCs w:val="0"/>
          <w:color w:val="auto"/>
          <w:highlight w:val="none"/>
        </w:rPr>
        <w:t>支出决算表</w:t>
      </w:r>
      <w:bookmarkEnd w:id="97"/>
    </w:p>
    <w:p>
      <w:pPr>
        <w:pStyle w:val="3"/>
        <w:rPr>
          <w:rFonts w:ascii="仿宋" w:hAnsi="仿宋" w:eastAsia="仿宋"/>
          <w:color w:val="auto"/>
          <w:highlight w:val="none"/>
        </w:rPr>
      </w:pPr>
      <w:bookmarkStart w:id="98" w:name="_Toc15396630"/>
      <w:bookmarkStart w:id="99" w:name="_Toc19983"/>
      <w:r>
        <w:rPr>
          <w:rStyle w:val="21"/>
          <w:rFonts w:hint="eastAsia" w:ascii="仿宋" w:hAnsi="仿宋" w:eastAsia="仿宋"/>
          <w:b w:val="0"/>
          <w:bCs w:val="0"/>
          <w:color w:val="auto"/>
          <w:highlight w:val="none"/>
        </w:rPr>
        <w:t>十二、</w:t>
      </w:r>
      <w:bookmarkEnd w:id="98"/>
      <w:r>
        <w:rPr>
          <w:rStyle w:val="21"/>
          <w:rFonts w:hint="eastAsia" w:ascii="仿宋" w:hAnsi="仿宋" w:eastAsia="仿宋"/>
          <w:b w:val="0"/>
          <w:bCs w:val="0"/>
          <w:color w:val="auto"/>
          <w:highlight w:val="none"/>
          <w:lang w:eastAsia="zh-CN"/>
        </w:rPr>
        <w:t>国有资本经营预算财政拨款支出决算表</w:t>
      </w:r>
      <w:bookmarkEnd w:id="99"/>
    </w:p>
    <w:p>
      <w:pPr>
        <w:pStyle w:val="3"/>
        <w:rPr>
          <w:rFonts w:hint="eastAsia" w:eastAsia="仿宋"/>
          <w:color w:val="auto"/>
          <w:highlight w:val="none"/>
          <w:lang w:eastAsia="zh-CN"/>
        </w:rPr>
      </w:pPr>
      <w:bookmarkStart w:id="100" w:name="_Toc15396631"/>
      <w:bookmarkStart w:id="101" w:name="_Toc3956"/>
      <w:r>
        <w:rPr>
          <w:rStyle w:val="21"/>
          <w:rFonts w:hint="eastAsia" w:ascii="仿宋" w:hAnsi="仿宋" w:eastAsia="仿宋"/>
          <w:b w:val="0"/>
          <w:bCs w:val="0"/>
          <w:color w:val="auto"/>
          <w:highlight w:val="none"/>
        </w:rPr>
        <w:t>十三、</w:t>
      </w:r>
      <w:bookmarkEnd w:id="100"/>
      <w:r>
        <w:rPr>
          <w:rStyle w:val="21"/>
          <w:rFonts w:hint="eastAsia" w:ascii="仿宋" w:hAnsi="仿宋" w:eastAsia="仿宋"/>
          <w:b w:val="0"/>
          <w:bCs w:val="0"/>
          <w:color w:val="auto"/>
          <w:highlight w:val="none"/>
          <w:lang w:eastAsia="zh-CN"/>
        </w:rPr>
        <w:t>财政拨款“三公”经费支出决算表</w:t>
      </w:r>
      <w:bookmarkEnd w:id="101"/>
    </w:p>
    <w:p>
      <w:pPr>
        <w:pStyle w:val="3"/>
        <w:outlineLvl w:val="9"/>
        <w:rPr>
          <w:rFonts w:eastAsia="仿宋"/>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w:pict>
        <v:shape id="_x0000_s2054" o:spid="_x0000_s2054"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p>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53" o:spid="_x0000_s2053"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BA53F1C"/>
    <w:multiLevelType w:val="singleLevel"/>
    <w:tmpl w:val="DBA53F1C"/>
    <w:lvl w:ilvl="0" w:tentative="0">
      <w:start w:val="1"/>
      <w:numFmt w:val="decimal"/>
      <w:suff w:val="nothing"/>
      <w:lvlText w:val="%1．"/>
      <w:lvlJc w:val="left"/>
      <w:pPr>
        <w:ind w:left="0" w:firstLine="400"/>
      </w:pPr>
      <w:rPr>
        <w:rFonts w:hint="default" w:ascii="Times New Roman" w:hAnsi="Times New Roman" w:cs="Times New Roman"/>
        <w:sz w:val="32"/>
        <w:szCs w:val="32"/>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17"/>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ZjMGRmZTcyZDM2ZWM3MjliZDYyMjU5OWU5ZTc5MjQ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64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7797E"/>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92EC4"/>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0CA2"/>
    <w:rsid w:val="00DA634F"/>
    <w:rsid w:val="00DA65AC"/>
    <w:rsid w:val="00DB1913"/>
    <w:rsid w:val="00DB7066"/>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C0390"/>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23B0573"/>
    <w:rsid w:val="03EE2141"/>
    <w:rsid w:val="066E0107"/>
    <w:rsid w:val="07996F6E"/>
    <w:rsid w:val="083B736A"/>
    <w:rsid w:val="09356257"/>
    <w:rsid w:val="0A2032A3"/>
    <w:rsid w:val="0BFE56AD"/>
    <w:rsid w:val="0F98263C"/>
    <w:rsid w:val="101860EC"/>
    <w:rsid w:val="107F79DF"/>
    <w:rsid w:val="10C055FF"/>
    <w:rsid w:val="112A26A3"/>
    <w:rsid w:val="11453526"/>
    <w:rsid w:val="118107EC"/>
    <w:rsid w:val="12BA2803"/>
    <w:rsid w:val="13D50BC4"/>
    <w:rsid w:val="143764CC"/>
    <w:rsid w:val="148F190E"/>
    <w:rsid w:val="14A579FE"/>
    <w:rsid w:val="16BB723D"/>
    <w:rsid w:val="1B5F527B"/>
    <w:rsid w:val="1BE8440E"/>
    <w:rsid w:val="1C4108A9"/>
    <w:rsid w:val="1C913C17"/>
    <w:rsid w:val="1D155CEE"/>
    <w:rsid w:val="1D780496"/>
    <w:rsid w:val="1EAC6936"/>
    <w:rsid w:val="1F234F3D"/>
    <w:rsid w:val="1FF35744"/>
    <w:rsid w:val="21FF3564"/>
    <w:rsid w:val="22731684"/>
    <w:rsid w:val="23860B96"/>
    <w:rsid w:val="240371BF"/>
    <w:rsid w:val="240476D5"/>
    <w:rsid w:val="2885171C"/>
    <w:rsid w:val="29FD04D3"/>
    <w:rsid w:val="2C013B28"/>
    <w:rsid w:val="2C8A61B5"/>
    <w:rsid w:val="2DF04E50"/>
    <w:rsid w:val="2EC31F58"/>
    <w:rsid w:val="2F040D46"/>
    <w:rsid w:val="319F7F4E"/>
    <w:rsid w:val="31AE7CEF"/>
    <w:rsid w:val="32A05710"/>
    <w:rsid w:val="3304709D"/>
    <w:rsid w:val="334B0167"/>
    <w:rsid w:val="33A53035"/>
    <w:rsid w:val="36AA5135"/>
    <w:rsid w:val="376D39B2"/>
    <w:rsid w:val="37E16F03"/>
    <w:rsid w:val="38D469F0"/>
    <w:rsid w:val="39E94A8C"/>
    <w:rsid w:val="3AF64E5C"/>
    <w:rsid w:val="3B9D2E00"/>
    <w:rsid w:val="3CA52FDE"/>
    <w:rsid w:val="3D98207C"/>
    <w:rsid w:val="3E78745D"/>
    <w:rsid w:val="3EF6564C"/>
    <w:rsid w:val="3F9158B0"/>
    <w:rsid w:val="40DA1C9A"/>
    <w:rsid w:val="412115AE"/>
    <w:rsid w:val="42AA17B2"/>
    <w:rsid w:val="44E268DA"/>
    <w:rsid w:val="48721130"/>
    <w:rsid w:val="490C1CEF"/>
    <w:rsid w:val="49EC224C"/>
    <w:rsid w:val="4A627F82"/>
    <w:rsid w:val="4AF5003F"/>
    <w:rsid w:val="4B0E749A"/>
    <w:rsid w:val="4B4F25DA"/>
    <w:rsid w:val="4B4F659D"/>
    <w:rsid w:val="4BBD3296"/>
    <w:rsid w:val="4BE068DB"/>
    <w:rsid w:val="4D577224"/>
    <w:rsid w:val="4EAB630A"/>
    <w:rsid w:val="4ECE2238"/>
    <w:rsid w:val="537E6D0A"/>
    <w:rsid w:val="53954816"/>
    <w:rsid w:val="54F73B2D"/>
    <w:rsid w:val="55867ED6"/>
    <w:rsid w:val="55D2387C"/>
    <w:rsid w:val="579431BD"/>
    <w:rsid w:val="581D1822"/>
    <w:rsid w:val="58B17DAF"/>
    <w:rsid w:val="5A340E50"/>
    <w:rsid w:val="5A372CD5"/>
    <w:rsid w:val="5ABB3BA2"/>
    <w:rsid w:val="5AF92295"/>
    <w:rsid w:val="5C31528B"/>
    <w:rsid w:val="5C7A58E4"/>
    <w:rsid w:val="5CD71FC4"/>
    <w:rsid w:val="62415D97"/>
    <w:rsid w:val="65C52B48"/>
    <w:rsid w:val="662D3365"/>
    <w:rsid w:val="6967649C"/>
    <w:rsid w:val="69905675"/>
    <w:rsid w:val="6C4A05C8"/>
    <w:rsid w:val="6DC957DF"/>
    <w:rsid w:val="6E737167"/>
    <w:rsid w:val="6E7E3605"/>
    <w:rsid w:val="6FF5CC65"/>
    <w:rsid w:val="715C0E4B"/>
    <w:rsid w:val="72500CAD"/>
    <w:rsid w:val="72734D90"/>
    <w:rsid w:val="73AD73D5"/>
    <w:rsid w:val="73B6EB34"/>
    <w:rsid w:val="744731E5"/>
    <w:rsid w:val="74542618"/>
    <w:rsid w:val="752C3FA2"/>
    <w:rsid w:val="76B330B9"/>
    <w:rsid w:val="76E3355F"/>
    <w:rsid w:val="76EE065D"/>
    <w:rsid w:val="778769C8"/>
    <w:rsid w:val="78547686"/>
    <w:rsid w:val="788A485A"/>
    <w:rsid w:val="79EE5BA4"/>
    <w:rsid w:val="7A894339"/>
    <w:rsid w:val="7AB80CAD"/>
    <w:rsid w:val="7D40614E"/>
    <w:rsid w:val="7DFAA65A"/>
    <w:rsid w:val="7EEF11D3"/>
    <w:rsid w:val="7FA30C79"/>
    <w:rsid w:val="7FB7269E"/>
    <w:rsid w:val="7FC96657"/>
    <w:rsid w:val="BC7B48E9"/>
    <w:rsid w:val="D8D6DB89"/>
    <w:rsid w:val="DB6F4CAB"/>
    <w:rsid w:val="DF6F978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29"/>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next w:val="1"/>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rPr>
  </w:style>
  <w:style w:type="character" w:customStyle="1" w:styleId="20">
    <w:name w:val="标题 1 Char"/>
    <w:basedOn w:val="17"/>
    <w:link w:val="2"/>
    <w:qFormat/>
    <w:uiPriority w:val="9"/>
    <w:rPr>
      <w:rFonts w:ascii="Times New Roman" w:hAnsi="Times New Roman"/>
      <w:b/>
      <w:bCs/>
      <w:kern w:val="44"/>
      <w:sz w:val="44"/>
      <w:szCs w:val="44"/>
    </w:rPr>
  </w:style>
  <w:style w:type="character" w:customStyle="1" w:styleId="21">
    <w:name w:val="标题 2 Char"/>
    <w:basedOn w:val="17"/>
    <w:link w:val="3"/>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4"/>
    <w:qFormat/>
    <w:uiPriority w:val="9"/>
    <w:rPr>
      <w:rFonts w:ascii="Times New Roman" w:hAnsi="Times New Roman"/>
      <w:b/>
      <w:bCs/>
      <w:kern w:val="2"/>
      <w:sz w:val="32"/>
      <w:szCs w:val="32"/>
    </w:rPr>
  </w:style>
  <w:style w:type="paragraph" w:customStyle="1" w:styleId="2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4">
    <w:name w:val="Header Char"/>
    <w:basedOn w:val="17"/>
    <w:semiHidden/>
    <w:qFormat/>
    <w:uiPriority w:val="99"/>
    <w:rPr>
      <w:rFonts w:ascii="Times New Roman" w:hAnsi="Times New Roman"/>
      <w:sz w:val="18"/>
      <w:szCs w:val="18"/>
    </w:rPr>
  </w:style>
  <w:style w:type="character" w:customStyle="1" w:styleId="25">
    <w:name w:val="页眉 Char"/>
    <w:link w:val="12"/>
    <w:semiHidden/>
    <w:qFormat/>
    <w:locked/>
    <w:uiPriority w:val="99"/>
    <w:rPr>
      <w:sz w:val="18"/>
    </w:rPr>
  </w:style>
  <w:style w:type="character" w:customStyle="1" w:styleId="26">
    <w:name w:val="Footer Char"/>
    <w:basedOn w:val="17"/>
    <w:semiHidden/>
    <w:qFormat/>
    <w:uiPriority w:val="99"/>
    <w:rPr>
      <w:rFonts w:ascii="Times New Roman" w:hAnsi="Times New Roman"/>
      <w:sz w:val="18"/>
      <w:szCs w:val="18"/>
    </w:rPr>
  </w:style>
  <w:style w:type="character" w:customStyle="1" w:styleId="27">
    <w:name w:val="页脚 Char"/>
    <w:link w:val="11"/>
    <w:qFormat/>
    <w:locked/>
    <w:uiPriority w:val="99"/>
    <w:rPr>
      <w:sz w:val="18"/>
    </w:rPr>
  </w:style>
  <w:style w:type="character" w:customStyle="1" w:styleId="28">
    <w:name w:val="Body Text Char"/>
    <w:basedOn w:val="17"/>
    <w:semiHidden/>
    <w:qFormat/>
    <w:uiPriority w:val="99"/>
    <w:rPr>
      <w:rFonts w:ascii="Times New Roman" w:hAnsi="Times New Roman"/>
      <w:szCs w:val="24"/>
    </w:rPr>
  </w:style>
  <w:style w:type="character" w:customStyle="1" w:styleId="29">
    <w:name w:val="正文文本 Char"/>
    <w:link w:val="7"/>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3">
    <w:name w:val="批注框文本 Char"/>
    <w:basedOn w:val="17"/>
    <w:link w:val="10"/>
    <w:semiHidden/>
    <w:qFormat/>
    <w:uiPriority w:val="99"/>
    <w:rPr>
      <w:rFonts w:ascii="Times New Roman" w:hAnsi="Times New Roman"/>
      <w:kern w:val="2"/>
      <w:sz w:val="18"/>
      <w:szCs w:val="18"/>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6032;&#24314;%20XLSX%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9971;&#22812;\Desktop\2022&#24180;&#20915;&#31639;&#23457;&#26680;&#22270;&#3103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9971;&#22812;\Desktop\2022&#24180;&#20915;&#31639;&#23457;&#26680;&#22270;&#3103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6032;&#24314;%20XLSX%20&#24037;&#20316;&#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6032;&#24314;%20XLSX%20&#24037;&#20316;&#34920;%20(2).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chartUserShapes" Target="../drawings/drawing1.xml"/><Relationship Id="rId1" Type="http://schemas.openxmlformats.org/officeDocument/2006/relationships/oleObject" Target="file:///C:\Users\Administrator\Desktop\&#26032;&#24314;%20XLSX%20&#24037;&#20316;&#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Administrator\Desktop\&#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收、支决算总计变动情况图</a:t>
            </a:r>
            <a:endParaRPr lang="en-US" altLang="zh-CN"/>
          </a:p>
        </c:rich>
      </c:tx>
      <c:layout/>
      <c:overlay val="false"/>
      <c:spPr>
        <a:noFill/>
        <a:ln>
          <a:noFill/>
        </a:ln>
        <a:effectLst/>
      </c:spPr>
    </c:title>
    <c:autoTitleDeleted val="false"/>
    <c:plotArea>
      <c:layout/>
      <c:barChart>
        <c:barDir val="col"/>
        <c:grouping val="clustered"/>
        <c:varyColors val="false"/>
        <c:ser>
          <c:idx val="0"/>
          <c:order val="0"/>
          <c:tx>
            <c:strRef>
              <c:f>'[新建 XLSX 工作表.xlsx]Sheet2'!$A$7</c:f>
              <c:strCache>
                <c:ptCount val="1"/>
                <c:pt idx="0">
                  <c:v>2021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工作表.xlsx]Sheet2'!$B$6:$C$6</c:f>
              <c:strCache>
                <c:ptCount val="2"/>
                <c:pt idx="0">
                  <c:v>收入</c:v>
                </c:pt>
                <c:pt idx="1">
                  <c:v>支出</c:v>
                </c:pt>
              </c:strCache>
            </c:strRef>
          </c:cat>
          <c:val>
            <c:numRef>
              <c:f>'[新建 XLSX 工作表.xlsx]Sheet2'!$B$7:$C$7</c:f>
              <c:numCache>
                <c:formatCode>General</c:formatCode>
                <c:ptCount val="2"/>
                <c:pt idx="0">
                  <c:v>550.98</c:v>
                </c:pt>
                <c:pt idx="1">
                  <c:v>550.98</c:v>
                </c:pt>
              </c:numCache>
            </c:numRef>
          </c:val>
        </c:ser>
        <c:ser>
          <c:idx val="1"/>
          <c:order val="1"/>
          <c:tx>
            <c:strRef>
              <c:f>'[新建 XLSX 工作表.xlsx]Sheet2'!$A$8</c:f>
              <c:strCache>
                <c:ptCount val="1"/>
                <c:pt idx="0">
                  <c:v>2022</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工作表.xlsx]Sheet2'!$B$6:$C$6</c:f>
              <c:strCache>
                <c:ptCount val="2"/>
                <c:pt idx="0">
                  <c:v>收入</c:v>
                </c:pt>
                <c:pt idx="1">
                  <c:v>支出</c:v>
                </c:pt>
              </c:strCache>
            </c:strRef>
          </c:cat>
          <c:val>
            <c:numRef>
              <c:f>'[新建 XLSX 工作表.xlsx]Sheet2'!$B$8:$C$8</c:f>
              <c:numCache>
                <c:formatCode>General</c:formatCode>
                <c:ptCount val="2"/>
                <c:pt idx="0">
                  <c:v>623.78</c:v>
                </c:pt>
                <c:pt idx="1">
                  <c:v>623.78</c:v>
                </c:pt>
              </c:numCache>
            </c:numRef>
          </c:val>
        </c:ser>
        <c:dLbls>
          <c:showLegendKey val="false"/>
          <c:showVal val="true"/>
          <c:showCatName val="false"/>
          <c:showSerName val="false"/>
          <c:showPercent val="false"/>
          <c:showBubbleSize val="false"/>
        </c:dLbls>
        <c:gapWidth val="246"/>
        <c:overlap val="-28"/>
        <c:axId val="981287894"/>
        <c:axId val="990795439"/>
      </c:barChart>
      <c:catAx>
        <c:axId val="98128789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90795439"/>
        <c:crosses val="autoZero"/>
        <c:auto val="true"/>
        <c:lblAlgn val="ctr"/>
        <c:lblOffset val="100"/>
        <c:noMultiLvlLbl val="false"/>
      </c:catAx>
      <c:valAx>
        <c:axId val="990795439"/>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128789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r>
              <a:t>收入决算结构图</a:t>
            </a:r>
          </a:p>
        </c:rich>
      </c:tx>
      <c:layout>
        <c:manualLayout>
          <c:xMode val="edge"/>
          <c:yMode val="edge"/>
          <c:x val="0.39"/>
          <c:y val="0.0451388888888889"/>
        </c:manualLayout>
      </c:layout>
      <c:overlay val="false"/>
      <c:spPr>
        <a:noFill/>
        <a:ln>
          <a:noFill/>
        </a:ln>
        <a:effectLst/>
      </c:spPr>
    </c:title>
    <c:autoTitleDeleted val="false"/>
    <c:plotArea>
      <c:layout/>
      <c:pieChart>
        <c:varyColors val="true"/>
        <c:ser>
          <c:idx val="0"/>
          <c:order val="0"/>
          <c:tx>
            <c:strRef>
              <c:f>[2022年决算审核图示.xlsx]Sheet1!$B$39</c:f>
              <c:strCache>
                <c:ptCount val="1"/>
                <c:pt idx="0">
                  <c:v>金额（万元）</c:v>
                </c:pt>
              </c:strCache>
            </c:strRef>
          </c:tx>
          <c:spPr/>
          <c:explosion val="3"/>
          <c:dPt>
            <c:idx val="0"/>
            <c:bubble3D val="false"/>
            <c:spPr>
              <a:gradFill>
                <a:gsLst>
                  <a:gs pos="100000">
                    <a:schemeClr val="accent1"/>
                  </a:gs>
                  <a:gs pos="0">
                    <a:schemeClr val="accent1">
                      <a:hueOff val="-1670000"/>
                    </a:schemeClr>
                  </a:gs>
                </a:gsLst>
                <a:lin ang="5400000" scaled="false"/>
              </a:gradFill>
              <a:ln>
                <a:gradFill>
                  <a:gsLst>
                    <a:gs pos="100000">
                      <a:schemeClr val="accent1">
                        <a:lumMod val="75000"/>
                      </a:schemeClr>
                    </a:gs>
                    <a:gs pos="0">
                      <a:schemeClr val="accent1">
                        <a:lumMod val="75000"/>
                        <a:hueOff val="-1670000"/>
                      </a:schemeClr>
                    </a:gs>
                  </a:gsLst>
                  <a:lin ang="4620000" scaled="false"/>
                </a:gradFill>
              </a:ln>
              <a:effectLst/>
            </c:spPr>
          </c:dPt>
          <c:dPt>
            <c:idx val="1"/>
            <c:bubble3D val="false"/>
            <c:spPr>
              <a:gradFill>
                <a:gsLst>
                  <a:gs pos="100000">
                    <a:schemeClr val="accent2"/>
                  </a:gs>
                  <a:gs pos="0">
                    <a:schemeClr val="accent2">
                      <a:hueOff val="-1670000"/>
                    </a:schemeClr>
                  </a:gs>
                </a:gsLst>
                <a:lin ang="5400000" scaled="false"/>
              </a:gradFill>
              <a:ln>
                <a:gradFill>
                  <a:gsLst>
                    <a:gs pos="100000">
                      <a:schemeClr val="accent2">
                        <a:lumMod val="75000"/>
                      </a:schemeClr>
                    </a:gs>
                    <a:gs pos="0">
                      <a:schemeClr val="accent2">
                        <a:lumMod val="75000"/>
                        <a:hueOff val="-1670000"/>
                      </a:schemeClr>
                    </a:gs>
                  </a:gsLst>
                  <a:lin ang="4620000" scaled="false"/>
                </a:gradFill>
              </a:ln>
              <a:effectLst/>
            </c:spPr>
          </c:dPt>
          <c:dLbls>
            <c:dLbl>
              <c:idx val="0"/>
              <c:layout>
                <c:manualLayout>
                  <c:x val="0.278157894736842"/>
                  <c:y val="-2.10531180965956e-16"/>
                </c:manualLayout>
              </c:layout>
              <c:dLblPos val="bestFit"/>
              <c:showLegendKey val="true"/>
              <c:showVal val="true"/>
              <c:showCatName val="true"/>
              <c:showSerName val="false"/>
              <c:showPercent val="true"/>
              <c:showBubbleSize val="false"/>
              <c:extLst>
                <c:ext xmlns:c15="http://schemas.microsoft.com/office/drawing/2012/chart" uri="{CE6537A1-D6FC-4f65-9D91-7224C49458BB}">
                  <c15:layout>
                    <c:manualLayout>
                      <c:w val="0.271573684210526"/>
                      <c:h val="0.236111111111111"/>
                    </c:manualLayout>
                  </c15:layout>
                </c:ext>
              </c:extLst>
            </c:dLbl>
            <c:dLbl>
              <c:idx val="1"/>
              <c:layout>
                <c:manualLayout>
                  <c:x val="-0.118768981285373"/>
                  <c:y val="0.00967477349279117"/>
                </c:manualLayout>
              </c:layout>
              <c:dLblPos val="bestFit"/>
              <c:showLegendKey val="true"/>
              <c:showVal val="true"/>
              <c:showCatName val="tru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true"/>
            <c:showVal val="tru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[2022年决算审核图示.xlsx]Sheet1!$A$40:$A$41</c:f>
              <c:strCache>
                <c:ptCount val="2"/>
                <c:pt idx="0">
                  <c:v>一般公共预算财政拨款收入</c:v>
                </c:pt>
                <c:pt idx="1">
                  <c:v>政府性基金预算财政拨款收入</c:v>
                </c:pt>
              </c:strCache>
            </c:strRef>
          </c:cat>
          <c:val>
            <c:numRef>
              <c:f>[2022年决算审核图示.xlsx]Sheet1!$B$40:$B$41</c:f>
              <c:numCache>
                <c:formatCode>#,##0.00</c:formatCode>
                <c:ptCount val="2"/>
                <c:pt idx="0">
                  <c:v>572.58</c:v>
                </c:pt>
                <c:pt idx="1" c:formatCode="General">
                  <c:v>50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lt1">
        <a:lumMod val="96000"/>
      </a:schemeClr>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manualLayout>
          <c:xMode val="edge"/>
          <c:yMode val="edge"/>
          <c:x val="0.328041290996995"/>
          <c:y val="0.0297684674751929"/>
        </c:manualLayout>
      </c:layout>
      <c:overlay val="false"/>
      <c:spPr>
        <a:noFill/>
        <a:ln>
          <a:noFill/>
        </a:ln>
        <a:effectLst/>
      </c:spPr>
    </c:title>
    <c:autoTitleDeleted val="false"/>
    <c:plotArea>
      <c:layout/>
      <c:pieChart>
        <c:varyColors val="true"/>
        <c:ser>
          <c:idx val="0"/>
          <c:order val="0"/>
          <c:tx>
            <c:strRef>
              <c:f>[2022年决算审核图示.xlsx]Sheet1!$B$50</c:f>
              <c:strCache>
                <c:ptCount val="1"/>
                <c:pt idx="0">
                  <c:v>金额（万元）</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[2022年决算审核图示.xlsx]Sheet1!$A$51:$A$52</c:f>
              <c:strCache>
                <c:ptCount val="2"/>
                <c:pt idx="0">
                  <c:v>基本支出</c:v>
                </c:pt>
                <c:pt idx="1">
                  <c:v>项目支出</c:v>
                </c:pt>
              </c:strCache>
            </c:strRef>
          </c:cat>
          <c:val>
            <c:numRef>
              <c:f>[2022年决算审核图示.xlsx]Sheet1!$B$51:$B$52</c:f>
              <c:numCache>
                <c:formatCode>General</c:formatCode>
                <c:ptCount val="2"/>
                <c:pt idx="0">
                  <c:v>335.85</c:v>
                </c:pt>
                <c:pt idx="1">
                  <c:v>287.34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财政拨款收、支决算总计变动情况图</a:t>
            </a:r>
            <a:endParaRPr lang="en-US" altLang="zh-CN"/>
          </a:p>
        </c:rich>
      </c:tx>
      <c:layout/>
      <c:overlay val="false"/>
      <c:spPr>
        <a:noFill/>
        <a:ln>
          <a:noFill/>
        </a:ln>
        <a:effectLst/>
      </c:spPr>
    </c:title>
    <c:autoTitleDeleted val="false"/>
    <c:plotArea>
      <c:layout/>
      <c:barChart>
        <c:barDir val="col"/>
        <c:grouping val="clustered"/>
        <c:varyColors val="false"/>
        <c:ser>
          <c:idx val="0"/>
          <c:order val="0"/>
          <c:tx>
            <c:strRef>
              <c:f>'[新建 XLSX 工作表.xlsx]Sheet2'!$A$7</c:f>
              <c:strCache>
                <c:ptCount val="1"/>
                <c:pt idx="0">
                  <c:v>2021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工作表.xlsx]Sheet2'!$B$6:$C$6</c:f>
              <c:strCache>
                <c:ptCount val="2"/>
                <c:pt idx="0">
                  <c:v>收入</c:v>
                </c:pt>
                <c:pt idx="1">
                  <c:v>支出</c:v>
                </c:pt>
              </c:strCache>
            </c:strRef>
          </c:cat>
          <c:val>
            <c:numRef>
              <c:f>'[新建 XLSX 工作表.xlsx]Sheet2'!$B$7:$C$7</c:f>
              <c:numCache>
                <c:formatCode>General</c:formatCode>
                <c:ptCount val="2"/>
                <c:pt idx="0">
                  <c:v>550.98</c:v>
                </c:pt>
                <c:pt idx="1">
                  <c:v>550.98</c:v>
                </c:pt>
              </c:numCache>
            </c:numRef>
          </c:val>
        </c:ser>
        <c:ser>
          <c:idx val="1"/>
          <c:order val="1"/>
          <c:tx>
            <c:strRef>
              <c:f>'[新建 XLSX 工作表.xlsx]Sheet2'!$A$8</c:f>
              <c:strCache>
                <c:ptCount val="1"/>
                <c:pt idx="0">
                  <c:v>2022</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工作表.xlsx]Sheet2'!$B$6:$C$6</c:f>
              <c:strCache>
                <c:ptCount val="2"/>
                <c:pt idx="0">
                  <c:v>收入</c:v>
                </c:pt>
                <c:pt idx="1">
                  <c:v>支出</c:v>
                </c:pt>
              </c:strCache>
            </c:strRef>
          </c:cat>
          <c:val>
            <c:numRef>
              <c:f>'[新建 XLSX 工作表.xlsx]Sheet2'!$B$8:$C$8</c:f>
              <c:numCache>
                <c:formatCode>General</c:formatCode>
                <c:ptCount val="2"/>
                <c:pt idx="0">
                  <c:v>623.78</c:v>
                </c:pt>
                <c:pt idx="1">
                  <c:v>623.78</c:v>
                </c:pt>
              </c:numCache>
            </c:numRef>
          </c:val>
        </c:ser>
        <c:dLbls>
          <c:showLegendKey val="false"/>
          <c:showVal val="true"/>
          <c:showCatName val="false"/>
          <c:showSerName val="false"/>
          <c:showPercent val="false"/>
          <c:showBubbleSize val="false"/>
        </c:dLbls>
        <c:gapWidth val="246"/>
        <c:overlap val="-28"/>
        <c:axId val="981287894"/>
        <c:axId val="990795439"/>
      </c:barChart>
      <c:catAx>
        <c:axId val="98128789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90795439"/>
        <c:crosses val="autoZero"/>
        <c:auto val="true"/>
        <c:lblAlgn val="ctr"/>
        <c:lblOffset val="100"/>
        <c:noMultiLvlLbl val="false"/>
      </c:catAx>
      <c:valAx>
        <c:axId val="990795439"/>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128789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Pt>
            <c:idx val="1"/>
            <c:invertIfNegative val="false"/>
            <c:bubble3D val="false"/>
            <c:spPr>
              <a:solidFill>
                <a:schemeClr val="accent2"/>
              </a:solidFill>
              <a:ln>
                <a:noFill/>
              </a:ln>
              <a:effectLst/>
            </c:spPr>
          </c:dPt>
          <c:dLbls>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57</a:t>
                    </a:r>
                    <a:r>
                      <a:rPr lang="en-US" altLang="zh-CN"/>
                      <a:t>3.08</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 (2).xlsx]Sheet1'!$A$1:$B$1</c:f>
              <c:strCache>
                <c:ptCount val="2"/>
                <c:pt idx="0">
                  <c:v>2021年</c:v>
                </c:pt>
                <c:pt idx="1">
                  <c:v>2022年</c:v>
                </c:pt>
              </c:strCache>
            </c:strRef>
          </c:cat>
          <c:val>
            <c:numRef>
              <c:f>'[新建 XLSX 工作表 (2).xlsx]Sheet1'!$A$2:$B$2</c:f>
              <c:numCache>
                <c:formatCode>General</c:formatCode>
                <c:ptCount val="2"/>
                <c:pt idx="0">
                  <c:v>399.88</c:v>
                </c:pt>
                <c:pt idx="1">
                  <c:v>572.58</c:v>
                </c:pt>
              </c:numCache>
            </c:numRef>
          </c:val>
        </c:ser>
        <c:dLbls>
          <c:showLegendKey val="false"/>
          <c:showVal val="true"/>
          <c:showCatName val="false"/>
          <c:showSerName val="false"/>
          <c:showPercent val="false"/>
          <c:showBubbleSize val="false"/>
        </c:dLbls>
        <c:gapWidth val="246"/>
        <c:overlap val="-28"/>
        <c:axId val="133465221"/>
        <c:axId val="101792220"/>
      </c:barChart>
      <c:catAx>
        <c:axId val="13346522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1792220"/>
        <c:crosses val="autoZero"/>
        <c:auto val="true"/>
        <c:lblAlgn val="ctr"/>
        <c:lblOffset val="100"/>
        <c:noMultiLvlLbl val="false"/>
      </c:catAx>
      <c:valAx>
        <c:axId val="101792220"/>
        <c:scaling>
          <c:orientation val="minMax"/>
        </c:scaling>
        <c:delete val="false"/>
        <c:axPos val="l"/>
        <c:majorGridlines>
          <c:spPr>
            <a:ln w="9525" cap="flat" cmpd="sng" algn="ctr">
              <a:solidFill>
                <a:schemeClr val="bg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346522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工作表.xlsx]Sheet1'!$A$1:$C$1</c:f>
              <c:strCache>
                <c:ptCount val="3"/>
                <c:pt idx="0">
                  <c:v>社会保障和就业支出</c:v>
                </c:pt>
                <c:pt idx="1">
                  <c:v>卫生健康支出</c:v>
                </c:pt>
                <c:pt idx="2">
                  <c:v>住房保障支出</c:v>
                </c:pt>
              </c:strCache>
            </c:strRef>
          </c:cat>
          <c:val>
            <c:numRef>
              <c:f>'[新建 XLSX 工作表.xlsx]Sheet1'!$A$2:$C$2</c:f>
              <c:numCache>
                <c:formatCode>General</c:formatCode>
                <c:ptCount val="3"/>
                <c:pt idx="0">
                  <c:v>407.63</c:v>
                </c:pt>
                <c:pt idx="1">
                  <c:v>141.89</c:v>
                </c:pt>
                <c:pt idx="2">
                  <c:v>23.56</c:v>
                </c:pt>
              </c:numCache>
            </c:numRef>
          </c:val>
        </c:ser>
        <c:dLbls>
          <c:showLegendKey val="false"/>
          <c:showVal val="true"/>
          <c:showCatName val="false"/>
          <c:showSerName val="false"/>
          <c:showPercent val="false"/>
          <c:showBubbleSize val="false"/>
          <c:showLeaderLines val="true"/>
        </c:dLbls>
        <c:firstSliceAng val="0"/>
        <c:extLst>
          <c:ext xmlns:c15="http://schemas.microsoft.com/office/drawing/2012/chart" uri="{02D57815-91ED-43cb-92C2-25804820EDAC}">
            <c15:filteredPieSeries>
              <c15:ser>
                <c:idx val="1"/>
                <c:order val="1"/>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'[新建 XLSX 工作表.xlsx]Sheet1'!$A$1:$C$1</c15:sqref>
                        </c15:formulaRef>
                      </c:ext>
                    </c:extLst>
                    <c:strCache>
                      <c:ptCount val="3"/>
                      <c:pt idx="0">
                        <c:v>社会保障和就业支出</c:v>
                      </c:pt>
                      <c:pt idx="1">
                        <c:v>卫生健康支出</c:v>
                      </c:pt>
                      <c:pt idx="2">
                        <c:v>住房保障支出</c:v>
                      </c:pt>
                    </c:strCache>
                  </c:strRef>
                </c:cat>
                <c:val>
                  <c:numRef>
                    <c:extLst>
                      <c:ext uri="{02D57815-91ED-43cb-92C2-25804820EDAC}">
                        <c15:formulaRef>
                          <c15:sqref>{1}</c15:sqref>
                        </c15:formulaRef>
                      </c:ext>
                    </c:extLst>
                    <c:numCache>
                      <c:formatCode>General</c:formatCode>
                      <c:ptCount val="1"/>
                      <c:pt idx="0">
                        <c:v>1</c:v>
                      </c:pt>
                    </c:numCache>
                  </c:numRef>
                </c:val>
              </c15:ser>
            </c15:filteredPieSeries>
            <c15:filteredPieSeries>
              <c15:ser>
                <c:idx val="2"/>
                <c:order val="2"/>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'[新建 XLSX 工作表.xlsx]Sheet1'!$A$1:$C$1</c15:sqref>
                        </c15:formulaRef>
                      </c:ext>
                    </c:extLst>
                    <c:strCache>
                      <c:ptCount val="3"/>
                      <c:pt idx="0">
                        <c:v>社会保障和就业支出</c:v>
                      </c:pt>
                      <c:pt idx="1">
                        <c:v>卫生健康支出</c:v>
                      </c:pt>
                      <c:pt idx="2">
                        <c:v>住房保障支出</c:v>
                      </c:pt>
                    </c:strCache>
                  </c:strRef>
                </c:cat>
                <c:val>
                  <c:numRef>
                    <c:extLst>
                      <c:ext uri="{02D57815-91ED-43cb-92C2-25804820EDAC}">
                        <c15:formulaRef>
                          <c15:sqref>{1}</c15:sqref>
                        </c15:formulaRef>
                      </c:ext>
                    </c:extLst>
                    <c:numCache>
                      <c:formatCode>General</c:formatCode>
                      <c:ptCount val="1"/>
                      <c:pt idx="0">
                        <c:v>1</c:v>
                      </c:pt>
                    </c:numCache>
                  </c:numRef>
                </c:val>
              </c15:ser>
            </c15:filteredPieSeries>
          </c:ext>
        </c:extLst>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a:t>
            </a:r>
            <a:r>
              <a:rPr altLang="en-US"/>
              <a:t>三公</a:t>
            </a:r>
            <a:r>
              <a:rPr lang="en-US" altLang="zh-CN"/>
              <a:t>”</a:t>
            </a:r>
            <a:r>
              <a:rPr altLang="en-US"/>
              <a:t>经费财政拨款支出结构图</a:t>
            </a:r>
            <a:endParaRPr altLang="en-US"/>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00963407197837561"/>
                  <c:y val="-0.25351187841333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156922727406174"/>
                  <c:y val="0.10978242961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工作表.xlsx]Sheet1'!$A$22:$B$22</c:f>
              <c:strCache>
                <c:ptCount val="2"/>
                <c:pt idx="0">
                  <c:v>公务用车购置及运行维护费</c:v>
                </c:pt>
                <c:pt idx="1">
                  <c:v>公务接待费支出</c:v>
                </c:pt>
              </c:strCache>
            </c:strRef>
          </c:cat>
          <c:val>
            <c:numRef>
              <c:f>'[新建 XLSX 工作表.xlsx]Sheet1'!$A$23:$B$23</c:f>
              <c:numCache>
                <c:formatCode>General</c:formatCode>
                <c:ptCount val="2"/>
                <c:pt idx="0">
                  <c:v>3.53</c:v>
                </c:pt>
                <c:pt idx="1">
                  <c:v>0.14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5400000" scaled="false"/>
      </a:gradFill>
      <a:ln>
        <a:gradFill>
          <a:gsLst>
            <a:gs pos="100000">
              <a:schemeClr val="phClr">
                <a:lumMod val="75000"/>
              </a:schemeClr>
            </a:gs>
            <a:gs pos="0">
              <a:schemeClr val="phClr">
                <a:lumMod val="75000"/>
                <a:hueOff val="-1670000"/>
              </a:schemeClr>
            </a:gs>
          </a:gsLst>
          <a:lin ang="4620000" scaled="false"/>
        </a:gra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0.491384735249168</cdr:x>
      <cdr:y>0.1706857573474</cdr:y>
    </cdr:from>
    <cdr:to>
      <cdr:x>0.512840490246022</cdr:x>
      <cdr:y>0.212132629992464</cdr:y>
    </cdr:to>
    <cdr:sp>
      <cdr:nvSpPr>
        <cdr:cNvPr id="2" name="矩形 1"/>
        <cdr:cNvSpPr/>
      </cdr:nvSpPr>
      <cdr:spPr xmlns:a="http://schemas.openxmlformats.org/drawingml/2006/main">
        <a:xfrm xmlns:a="http://schemas.openxmlformats.org/drawingml/2006/main">
          <a:off x="10412730" y="862965"/>
          <a:ext cx="454660"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false">
          <a:normAutofit/>
        </a:bodyPr>
        <a:p>
          <a:endParaRPr lang="zh-CN" altLang="en-US"/>
        </a:p>
      </cdr:txBody>
    </cdr:sp>
  </cdr:relSizeAnchor>
  <cdr:relSizeAnchor xmlns:cdr="http://schemas.openxmlformats.org/drawingml/2006/chartDrawing">
    <cdr:from>
      <cdr:x>0.485091846213778</cdr:x>
      <cdr:y>0.170308967596081</cdr:y>
    </cdr:from>
    <cdr:to>
      <cdr:x>0.512061370651164</cdr:x>
      <cdr:y>0.211755840241145</cdr:y>
    </cdr:to>
    <cdr:sp>
      <cdr:nvSpPr>
        <cdr:cNvPr id="3" name="矩形 2"/>
        <cdr:cNvSpPr/>
      </cdr:nvSpPr>
      <cdr:spPr xmlns:a="http://schemas.openxmlformats.org/drawingml/2006/main">
        <a:xfrm xmlns:a="http://schemas.openxmlformats.org/drawingml/2006/main">
          <a:off x="10279380" y="861060"/>
          <a:ext cx="571500"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false">
          <a:normAutofit/>
        </a:bodyPr>
        <a:p>
          <a:endParaRPr lang="zh-CN" alt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textRotate="1"/>
    <customShpInfo spid="_x0000_s2049" textRotate="1"/>
    <customShpInfo spid="_x0000_s2054" textRotate="1"/>
    <customShpInfo spid="_x0000_s205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26</Pages>
  <Words>1228</Words>
  <Characters>7001</Characters>
  <Lines>58</Lines>
  <Paragraphs>16</Paragraphs>
  <TotalTime>176</TotalTime>
  <ScaleCrop>false</ScaleCrop>
  <LinksUpToDate>false</LinksUpToDate>
  <CharactersWithSpaces>8213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2023-10-09T18:00:00Z</cp:lastPrinted>
  <dcterms:modified xsi:type="dcterms:W3CDTF">2023-10-24T17:12:13Z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E4B5C91C1BD3431EBBCE3A8D3E7EBD26_12</vt:lpwstr>
  </property>
</Properties>
</file>