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spacing w:line="600" w:lineRule="exact"/>
        <w:jc w:val="center"/>
        <w:outlineLvl w:val="9"/>
        <w:rPr>
          <w:rFonts w:ascii="方正小标宋简体" w:hAnsi="宋体" w:eastAsia="方正小标宋简体"/>
          <w:color w:val="auto"/>
          <w:sz w:val="72"/>
          <w:szCs w:val="72"/>
        </w:rPr>
      </w:pPr>
    </w:p>
    <w:p>
      <w:pPr>
        <w:shd w:val="clear"/>
        <w:spacing w:line="600" w:lineRule="exact"/>
        <w:jc w:val="center"/>
        <w:outlineLvl w:val="9"/>
        <w:rPr>
          <w:rFonts w:ascii="方正小标宋简体" w:hAnsi="宋体" w:eastAsia="方正小标宋简体"/>
          <w:color w:val="auto"/>
          <w:sz w:val="72"/>
          <w:szCs w:val="72"/>
        </w:rPr>
      </w:pPr>
    </w:p>
    <w:p>
      <w:pPr>
        <w:shd w:val="clear"/>
        <w:spacing w:line="600" w:lineRule="exact"/>
        <w:jc w:val="center"/>
        <w:outlineLvl w:val="9"/>
        <w:rPr>
          <w:rFonts w:ascii="方正小标宋简体" w:hAnsi="宋体" w:eastAsia="方正小标宋简体"/>
          <w:color w:val="auto"/>
          <w:sz w:val="72"/>
          <w:szCs w:val="72"/>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720" w:lineRule="atLeast"/>
        <w:ind w:left="0" w:right="0"/>
        <w:jc w:val="center"/>
        <w:outlineLvl w:val="0"/>
        <w:rPr>
          <w:color w:val="auto"/>
          <w:sz w:val="48"/>
          <w:szCs w:val="48"/>
        </w:rPr>
      </w:pPr>
      <w:r>
        <w:rPr>
          <w:i w:val="0"/>
          <w:iCs w:val="0"/>
          <w:color w:val="auto"/>
          <w:spacing w:val="0"/>
          <w:sz w:val="48"/>
          <w:szCs w:val="48"/>
        </w:rPr>
        <w:t>中国农工民主党广元市委员会202</w:t>
      </w:r>
      <w:r>
        <w:rPr>
          <w:rFonts w:hint="eastAsia"/>
          <w:i w:val="0"/>
          <w:iCs w:val="0"/>
          <w:color w:val="auto"/>
          <w:spacing w:val="0"/>
          <w:sz w:val="48"/>
          <w:szCs w:val="48"/>
          <w:lang w:val="en-US" w:eastAsia="zh-CN"/>
        </w:rPr>
        <w:t>2</w:t>
      </w:r>
      <w:r>
        <w:rPr>
          <w:i w:val="0"/>
          <w:iCs w:val="0"/>
          <w:color w:val="auto"/>
          <w:spacing w:val="0"/>
          <w:sz w:val="48"/>
          <w:szCs w:val="48"/>
        </w:rPr>
        <w:t>年单位决算公开编制说明</w:t>
      </w:r>
    </w:p>
    <w:p>
      <w:pPr>
        <w:widowControl/>
        <w:shd w:val="clear"/>
        <w:jc w:val="center"/>
        <w:rPr>
          <w:rFonts w:ascii="黑体" w:hAnsi="黑体" w:eastAsia="黑体" w:cstheme="minorBidi"/>
          <w:color w:val="auto"/>
          <w:sz w:val="28"/>
          <w:szCs w:val="28"/>
        </w:rPr>
      </w:pPr>
      <w:r>
        <w:rPr>
          <w:rFonts w:ascii="方正小标宋简体" w:hAnsi="宋体" w:eastAsia="方正小标宋简体"/>
          <w:color w:val="auto"/>
          <w:sz w:val="36"/>
          <w:szCs w:val="36"/>
        </w:rPr>
        <w:br w:type="page"/>
      </w:r>
      <w:r>
        <w:rPr>
          <w:rFonts w:hint="eastAsia" w:ascii="黑体" w:hAnsi="黑体" w:eastAsia="黑体"/>
          <w:color w:val="auto"/>
          <w:sz w:val="48"/>
          <w:szCs w:val="48"/>
        </w:rPr>
        <w:t>目录</w:t>
      </w:r>
    </w:p>
    <w:p>
      <w:pPr>
        <w:pStyle w:val="12"/>
        <w:shd w:val="clear"/>
        <w:rPr>
          <w:color w:val="auto"/>
        </w:rPr>
      </w:pPr>
      <w:r>
        <w:rPr>
          <w:rFonts w:hint="eastAsia"/>
          <w:color w:val="auto"/>
        </w:rPr>
        <w:t>公开时间：20</w:t>
      </w:r>
      <w:r>
        <w:rPr>
          <w:rFonts w:hint="eastAsia"/>
          <w:color w:val="auto"/>
          <w:lang w:val="en-US" w:eastAsia="zh-CN"/>
        </w:rPr>
        <w:t>23</w:t>
      </w:r>
      <w:r>
        <w:rPr>
          <w:rFonts w:hint="eastAsia"/>
          <w:color w:val="auto"/>
        </w:rPr>
        <w:t>年</w:t>
      </w:r>
      <w:r>
        <w:rPr>
          <w:rFonts w:hint="eastAsia"/>
          <w:color w:val="auto"/>
          <w:lang w:val="en-US" w:eastAsia="zh-CN"/>
        </w:rPr>
        <w:t>10</w:t>
      </w:r>
      <w:r>
        <w:rPr>
          <w:rFonts w:hint="eastAsia"/>
          <w:color w:val="auto"/>
        </w:rPr>
        <w:t>月</w:t>
      </w:r>
      <w:r>
        <w:rPr>
          <w:rFonts w:hint="eastAsia"/>
          <w:color w:val="auto"/>
          <w:lang w:val="en-US" w:eastAsia="zh-CN"/>
        </w:rPr>
        <w:t>7</w:t>
      </w:r>
      <w:bookmarkStart w:id="86" w:name="_GoBack"/>
      <w:bookmarkEnd w:id="86"/>
      <w:r>
        <w:rPr>
          <w:rFonts w:hint="eastAsia"/>
          <w:color w:val="auto"/>
        </w:rPr>
        <w:t>日</w:t>
      </w:r>
    </w:p>
    <w:sdt>
      <w:sdtPr>
        <w:rPr>
          <w:rFonts w:ascii="宋体" w:hAnsi="宋体" w:eastAsia="宋体" w:cs="Times New Roman"/>
          <w:color w:val="auto"/>
          <w:kern w:val="2"/>
          <w:sz w:val="21"/>
          <w:szCs w:val="24"/>
          <w:lang w:val="en-US" w:eastAsia="zh-CN" w:bidi="ar-SA"/>
        </w:rPr>
        <w:id w:val="147452413"/>
        <w:docPartObj>
          <w:docPartGallery w:val="Table of Contents"/>
          <w:docPartUnique/>
        </w:docPartObj>
      </w:sdtPr>
      <w:sdtEndPr>
        <w:rPr>
          <w:rFonts w:ascii="Times New Roman" w:hAnsi="Times New Roman" w:eastAsia="宋体" w:cs="Times New Roman"/>
          <w:b/>
          <w:color w:val="auto"/>
          <w:kern w:val="2"/>
          <w:sz w:val="21"/>
          <w:szCs w:val="24"/>
          <w:lang w:val="en-US" w:eastAsia="zh-CN" w:bidi="ar-SA"/>
        </w:rPr>
      </w:sdtEndPr>
      <w:sdtContent>
        <w:p>
          <w:pPr>
            <w:shd w:val="clear"/>
            <w:spacing w:before="0" w:beforeLines="0" w:after="0" w:afterLines="0" w:line="240" w:lineRule="auto"/>
            <w:ind w:left="0" w:leftChars="0" w:right="0" w:rightChars="0" w:firstLine="0" w:firstLineChars="0"/>
            <w:jc w:val="center"/>
            <w:rPr>
              <w:color w:val="auto"/>
            </w:rPr>
          </w:pPr>
        </w:p>
        <w:p>
          <w:pPr>
            <w:pStyle w:val="39"/>
            <w:shd w:val="clear"/>
            <w:tabs>
              <w:tab w:val="right" w:leader="dot" w:pos="8306"/>
            </w:tabs>
            <w:rPr>
              <w:b/>
              <w:color w:val="auto"/>
            </w:rPr>
          </w:pPr>
          <w:r>
            <w:rPr>
              <w:color w:val="auto"/>
            </w:rPr>
            <w:fldChar w:fldCharType="begin"/>
          </w:r>
          <w:r>
            <w:rPr>
              <w:color w:val="auto"/>
            </w:rPr>
            <w:instrText xml:space="preserve">TOC \o "1-2" \h \u </w:instrText>
          </w:r>
          <w:r>
            <w:rPr>
              <w:color w:val="auto"/>
            </w:rPr>
            <w:fldChar w:fldCharType="separate"/>
          </w:r>
          <w:r>
            <w:rPr>
              <w:b/>
              <w:color w:val="auto"/>
            </w:rPr>
            <w:fldChar w:fldCharType="begin"/>
          </w:r>
          <w:r>
            <w:rPr>
              <w:b/>
              <w:color w:val="auto"/>
            </w:rPr>
            <w:instrText xml:space="preserve"> HYPERLINK \l _Toc27982 </w:instrText>
          </w:r>
          <w:r>
            <w:rPr>
              <w:b/>
              <w:color w:val="auto"/>
            </w:rPr>
            <w:fldChar w:fldCharType="separate"/>
          </w:r>
          <w:r>
            <w:rPr>
              <w:rFonts w:hint="eastAsia" w:ascii="黑体" w:hAnsi="黑体" w:eastAsia="黑体"/>
              <w:b/>
              <w:bCs/>
              <w:color w:val="auto"/>
            </w:rPr>
            <w:t>第一部分部门概况</w:t>
          </w:r>
          <w:r>
            <w:rPr>
              <w:b/>
              <w:color w:val="auto"/>
            </w:rPr>
            <w:tab/>
          </w:r>
          <w:r>
            <w:rPr>
              <w:b/>
              <w:color w:val="auto"/>
            </w:rPr>
            <w:fldChar w:fldCharType="begin"/>
          </w:r>
          <w:r>
            <w:rPr>
              <w:b/>
              <w:color w:val="auto"/>
            </w:rPr>
            <w:instrText xml:space="preserve"> PAGEREF _Toc27982 \h </w:instrText>
          </w:r>
          <w:r>
            <w:rPr>
              <w:b/>
              <w:color w:val="auto"/>
            </w:rPr>
            <w:fldChar w:fldCharType="separate"/>
          </w:r>
          <w:r>
            <w:rPr>
              <w:b/>
              <w:color w:val="auto"/>
            </w:rPr>
            <w:t>1</w:t>
          </w:r>
          <w:r>
            <w:rPr>
              <w:b/>
              <w:color w:val="auto"/>
            </w:rPr>
            <w:fldChar w:fldCharType="end"/>
          </w:r>
          <w:r>
            <w:rPr>
              <w:b/>
              <w:color w:val="auto"/>
            </w:rPr>
            <w:fldChar w:fldCharType="end"/>
          </w:r>
        </w:p>
        <w:p>
          <w:pPr>
            <w:pStyle w:val="40"/>
            <w:shd w:val="clear"/>
            <w:tabs>
              <w:tab w:val="right" w:leader="dot" w:pos="8306"/>
            </w:tabs>
            <w:rPr>
              <w:color w:val="auto"/>
            </w:rPr>
          </w:pPr>
          <w:r>
            <w:rPr>
              <w:color w:val="auto"/>
            </w:rPr>
            <w:fldChar w:fldCharType="begin"/>
          </w:r>
          <w:r>
            <w:rPr>
              <w:color w:val="auto"/>
            </w:rPr>
            <w:instrText xml:space="preserve"> HYPERLINK \l _Toc2840 </w:instrText>
          </w:r>
          <w:r>
            <w:rPr>
              <w:color w:val="auto"/>
            </w:rPr>
            <w:fldChar w:fldCharType="separate"/>
          </w:r>
          <w:r>
            <w:rPr>
              <w:rFonts w:hint="eastAsia" w:ascii="黑体" w:hAnsi="黑体" w:eastAsia="黑体" w:cs="Times New Roman"/>
              <w:bCs w:val="0"/>
              <w:color w:val="auto"/>
              <w:kern w:val="2"/>
              <w:szCs w:val="32"/>
              <w:lang w:val="en-US" w:eastAsia="zh-CN" w:bidi="ar-SA"/>
            </w:rPr>
            <w:t>一、部门职责</w:t>
          </w:r>
          <w:r>
            <w:rPr>
              <w:color w:val="auto"/>
            </w:rPr>
            <w:tab/>
          </w:r>
          <w:r>
            <w:rPr>
              <w:color w:val="auto"/>
            </w:rPr>
            <w:fldChar w:fldCharType="begin"/>
          </w:r>
          <w:r>
            <w:rPr>
              <w:color w:val="auto"/>
            </w:rPr>
            <w:instrText xml:space="preserve"> PAGEREF _Toc2840 \h </w:instrText>
          </w:r>
          <w:r>
            <w:rPr>
              <w:color w:val="auto"/>
            </w:rPr>
            <w:fldChar w:fldCharType="separate"/>
          </w:r>
          <w:r>
            <w:rPr>
              <w:color w:val="auto"/>
            </w:rPr>
            <w:t>1</w:t>
          </w:r>
          <w:r>
            <w:rPr>
              <w:color w:val="auto"/>
            </w:rPr>
            <w:fldChar w:fldCharType="end"/>
          </w:r>
          <w:r>
            <w:rPr>
              <w:color w:val="auto"/>
            </w:rPr>
            <w:fldChar w:fldCharType="end"/>
          </w:r>
        </w:p>
        <w:p>
          <w:pPr>
            <w:pStyle w:val="40"/>
            <w:shd w:val="clear"/>
            <w:tabs>
              <w:tab w:val="right" w:leader="dot" w:pos="8306"/>
            </w:tabs>
            <w:rPr>
              <w:color w:val="auto"/>
            </w:rPr>
          </w:pPr>
          <w:r>
            <w:rPr>
              <w:color w:val="auto"/>
            </w:rPr>
            <w:fldChar w:fldCharType="begin"/>
          </w:r>
          <w:r>
            <w:rPr>
              <w:color w:val="auto"/>
            </w:rPr>
            <w:instrText xml:space="preserve"> HYPERLINK \l _Toc21224 </w:instrText>
          </w:r>
          <w:r>
            <w:rPr>
              <w:color w:val="auto"/>
            </w:rPr>
            <w:fldChar w:fldCharType="separate"/>
          </w:r>
          <w:r>
            <w:rPr>
              <w:rFonts w:hint="eastAsia" w:ascii="黑体" w:hAnsi="黑体" w:eastAsia="黑体"/>
              <w:bCs/>
              <w:color w:val="auto"/>
              <w:lang w:val="en-US" w:eastAsia="zh-CN" w:bidi="ar-SA"/>
            </w:rPr>
            <w:t>二、机构设置</w:t>
          </w:r>
          <w:r>
            <w:rPr>
              <w:color w:val="auto"/>
            </w:rPr>
            <w:tab/>
          </w:r>
          <w:r>
            <w:rPr>
              <w:color w:val="auto"/>
            </w:rPr>
            <w:fldChar w:fldCharType="begin"/>
          </w:r>
          <w:r>
            <w:rPr>
              <w:color w:val="auto"/>
            </w:rPr>
            <w:instrText xml:space="preserve"> PAGEREF _Toc21224 \h </w:instrText>
          </w:r>
          <w:r>
            <w:rPr>
              <w:color w:val="auto"/>
            </w:rPr>
            <w:fldChar w:fldCharType="separate"/>
          </w:r>
          <w:r>
            <w:rPr>
              <w:color w:val="auto"/>
            </w:rPr>
            <w:t>2</w:t>
          </w:r>
          <w:r>
            <w:rPr>
              <w:color w:val="auto"/>
            </w:rPr>
            <w:fldChar w:fldCharType="end"/>
          </w:r>
          <w:r>
            <w:rPr>
              <w:color w:val="auto"/>
            </w:rPr>
            <w:fldChar w:fldCharType="end"/>
          </w:r>
        </w:p>
        <w:p>
          <w:pPr>
            <w:pStyle w:val="39"/>
            <w:shd w:val="clear"/>
            <w:tabs>
              <w:tab w:val="right" w:leader="dot" w:pos="8306"/>
            </w:tabs>
            <w:rPr>
              <w:b/>
              <w:color w:val="auto"/>
            </w:rPr>
          </w:pPr>
          <w:r>
            <w:rPr>
              <w:b/>
              <w:color w:val="auto"/>
            </w:rPr>
            <w:fldChar w:fldCharType="begin"/>
          </w:r>
          <w:r>
            <w:rPr>
              <w:b/>
              <w:color w:val="auto"/>
            </w:rPr>
            <w:instrText xml:space="preserve"> HYPERLINK \l _Toc2399 </w:instrText>
          </w:r>
          <w:r>
            <w:rPr>
              <w:b/>
              <w:color w:val="auto"/>
            </w:rPr>
            <w:fldChar w:fldCharType="separate"/>
          </w:r>
          <w:r>
            <w:rPr>
              <w:rFonts w:hint="eastAsia" w:ascii="黑体" w:hAnsi="黑体" w:eastAsia="黑体"/>
              <w:b/>
              <w:bCs/>
              <w:color w:val="auto"/>
            </w:rPr>
            <w:t>第二部分</w:t>
          </w:r>
          <w:r>
            <w:rPr>
              <w:rFonts w:hint="eastAsia" w:ascii="黑体" w:hAnsi="黑体" w:eastAsia="黑体"/>
              <w:b/>
              <w:bCs/>
              <w:color w:val="auto"/>
              <w:lang w:val="en-US" w:eastAsia="zh-CN"/>
            </w:rPr>
            <w:t>2022年度</w:t>
          </w:r>
          <w:r>
            <w:rPr>
              <w:rFonts w:hint="eastAsia" w:ascii="黑体" w:hAnsi="黑体" w:eastAsia="黑体"/>
              <w:b/>
              <w:bCs/>
              <w:color w:val="auto"/>
            </w:rPr>
            <w:t>部门决算情况说明</w:t>
          </w:r>
          <w:r>
            <w:rPr>
              <w:b/>
              <w:color w:val="auto"/>
            </w:rPr>
            <w:tab/>
          </w:r>
          <w:r>
            <w:rPr>
              <w:b/>
              <w:color w:val="auto"/>
            </w:rPr>
            <w:fldChar w:fldCharType="begin"/>
          </w:r>
          <w:r>
            <w:rPr>
              <w:b/>
              <w:color w:val="auto"/>
            </w:rPr>
            <w:instrText xml:space="preserve"> PAGEREF _Toc2399 \h </w:instrText>
          </w:r>
          <w:r>
            <w:rPr>
              <w:b/>
              <w:color w:val="auto"/>
            </w:rPr>
            <w:fldChar w:fldCharType="separate"/>
          </w:r>
          <w:r>
            <w:rPr>
              <w:b/>
              <w:color w:val="auto"/>
            </w:rPr>
            <w:t>2</w:t>
          </w:r>
          <w:r>
            <w:rPr>
              <w:b/>
              <w:color w:val="auto"/>
            </w:rPr>
            <w:fldChar w:fldCharType="end"/>
          </w:r>
          <w:r>
            <w:rPr>
              <w:b/>
              <w:color w:val="auto"/>
            </w:rPr>
            <w:fldChar w:fldCharType="end"/>
          </w:r>
        </w:p>
        <w:p>
          <w:pPr>
            <w:pStyle w:val="40"/>
            <w:shd w:val="clear"/>
            <w:tabs>
              <w:tab w:val="right" w:leader="dot" w:pos="8306"/>
            </w:tabs>
            <w:rPr>
              <w:color w:val="auto"/>
            </w:rPr>
          </w:pPr>
          <w:r>
            <w:rPr>
              <w:color w:val="auto"/>
            </w:rPr>
            <w:fldChar w:fldCharType="begin"/>
          </w:r>
          <w:r>
            <w:rPr>
              <w:color w:val="auto"/>
            </w:rPr>
            <w:instrText xml:space="preserve"> HYPERLINK \l _Toc10229 </w:instrText>
          </w:r>
          <w:r>
            <w:rPr>
              <w:color w:val="auto"/>
            </w:rPr>
            <w:fldChar w:fldCharType="separate"/>
          </w:r>
          <w:r>
            <w:rPr>
              <w:rFonts w:hint="default" w:ascii="黑体" w:hAnsi="黑体" w:eastAsia="黑体"/>
              <w:color w:val="auto"/>
            </w:rPr>
            <w:t>一、</w:t>
          </w:r>
          <w:r>
            <w:rPr>
              <w:rFonts w:hint="eastAsia" w:ascii="黑体" w:hAnsi="黑体" w:eastAsia="黑体"/>
              <w:color w:val="auto"/>
              <w:szCs w:val="32"/>
            </w:rPr>
            <w:t>收</w:t>
          </w:r>
          <w:r>
            <w:rPr>
              <w:rFonts w:hint="eastAsia" w:ascii="黑体" w:hAnsi="黑体" w:eastAsia="黑体"/>
              <w:color w:val="auto"/>
            </w:rPr>
            <w:t>入支出决算总体情况说明</w:t>
          </w:r>
          <w:r>
            <w:rPr>
              <w:color w:val="auto"/>
            </w:rPr>
            <w:tab/>
          </w:r>
          <w:r>
            <w:rPr>
              <w:color w:val="auto"/>
            </w:rPr>
            <w:fldChar w:fldCharType="begin"/>
          </w:r>
          <w:r>
            <w:rPr>
              <w:color w:val="auto"/>
            </w:rPr>
            <w:instrText xml:space="preserve"> PAGEREF _Toc10229 \h </w:instrText>
          </w:r>
          <w:r>
            <w:rPr>
              <w:color w:val="auto"/>
            </w:rPr>
            <w:fldChar w:fldCharType="separate"/>
          </w:r>
          <w:r>
            <w:rPr>
              <w:color w:val="auto"/>
            </w:rPr>
            <w:t>2</w:t>
          </w:r>
          <w:r>
            <w:rPr>
              <w:color w:val="auto"/>
            </w:rPr>
            <w:fldChar w:fldCharType="end"/>
          </w:r>
          <w:r>
            <w:rPr>
              <w:color w:val="auto"/>
            </w:rPr>
            <w:fldChar w:fldCharType="end"/>
          </w:r>
        </w:p>
        <w:p>
          <w:pPr>
            <w:pStyle w:val="40"/>
            <w:shd w:val="clear"/>
            <w:tabs>
              <w:tab w:val="right" w:leader="dot" w:pos="8306"/>
            </w:tabs>
            <w:rPr>
              <w:color w:val="auto"/>
            </w:rPr>
          </w:pPr>
          <w:r>
            <w:rPr>
              <w:color w:val="auto"/>
            </w:rPr>
            <w:fldChar w:fldCharType="begin"/>
          </w:r>
          <w:r>
            <w:rPr>
              <w:color w:val="auto"/>
            </w:rPr>
            <w:instrText xml:space="preserve"> HYPERLINK \l _Toc820 </w:instrText>
          </w:r>
          <w:r>
            <w:rPr>
              <w:color w:val="auto"/>
            </w:rPr>
            <w:fldChar w:fldCharType="separate"/>
          </w:r>
          <w:r>
            <w:rPr>
              <w:rFonts w:hint="default" w:ascii="黑体" w:hAnsi="黑体" w:eastAsia="黑体"/>
              <w:color w:val="auto"/>
            </w:rPr>
            <w:t>二、</w:t>
          </w:r>
          <w:r>
            <w:rPr>
              <w:rFonts w:hint="eastAsia" w:ascii="黑体" w:hAnsi="黑体" w:eastAsia="黑体"/>
              <w:color w:val="auto"/>
              <w:szCs w:val="32"/>
            </w:rPr>
            <w:t>收</w:t>
          </w:r>
          <w:r>
            <w:rPr>
              <w:rFonts w:hint="eastAsia" w:ascii="黑体" w:hAnsi="黑体" w:eastAsia="黑体"/>
              <w:color w:val="auto"/>
            </w:rPr>
            <w:t>入决算情况说明</w:t>
          </w:r>
          <w:r>
            <w:rPr>
              <w:color w:val="auto"/>
            </w:rPr>
            <w:tab/>
          </w:r>
          <w:r>
            <w:rPr>
              <w:color w:val="auto"/>
            </w:rPr>
            <w:fldChar w:fldCharType="begin"/>
          </w:r>
          <w:r>
            <w:rPr>
              <w:color w:val="auto"/>
            </w:rPr>
            <w:instrText xml:space="preserve"> PAGEREF _Toc820 \h </w:instrText>
          </w:r>
          <w:r>
            <w:rPr>
              <w:color w:val="auto"/>
            </w:rPr>
            <w:fldChar w:fldCharType="separate"/>
          </w:r>
          <w:r>
            <w:rPr>
              <w:color w:val="auto"/>
            </w:rPr>
            <w:t>3</w:t>
          </w:r>
          <w:r>
            <w:rPr>
              <w:color w:val="auto"/>
            </w:rPr>
            <w:fldChar w:fldCharType="end"/>
          </w:r>
          <w:r>
            <w:rPr>
              <w:color w:val="auto"/>
            </w:rPr>
            <w:fldChar w:fldCharType="end"/>
          </w:r>
        </w:p>
        <w:p>
          <w:pPr>
            <w:pStyle w:val="40"/>
            <w:shd w:val="clear"/>
            <w:tabs>
              <w:tab w:val="right" w:leader="dot" w:pos="8306"/>
            </w:tabs>
            <w:rPr>
              <w:color w:val="auto"/>
            </w:rPr>
          </w:pPr>
          <w:r>
            <w:rPr>
              <w:color w:val="auto"/>
            </w:rPr>
            <w:fldChar w:fldCharType="begin"/>
          </w:r>
          <w:r>
            <w:rPr>
              <w:color w:val="auto"/>
            </w:rPr>
            <w:instrText xml:space="preserve"> HYPERLINK \l _Toc22071 </w:instrText>
          </w:r>
          <w:r>
            <w:rPr>
              <w:color w:val="auto"/>
            </w:rPr>
            <w:fldChar w:fldCharType="separate"/>
          </w:r>
          <w:r>
            <w:rPr>
              <w:rFonts w:hint="default" w:ascii="黑体" w:hAnsi="黑体" w:eastAsia="黑体"/>
              <w:color w:val="auto"/>
            </w:rPr>
            <w:t>三、</w:t>
          </w:r>
          <w:r>
            <w:rPr>
              <w:rFonts w:hint="eastAsia" w:ascii="黑体" w:hAnsi="黑体" w:eastAsia="黑体"/>
              <w:color w:val="auto"/>
              <w:szCs w:val="32"/>
            </w:rPr>
            <w:t>支</w:t>
          </w:r>
          <w:r>
            <w:rPr>
              <w:rFonts w:hint="eastAsia" w:ascii="黑体" w:hAnsi="黑体" w:eastAsia="黑体"/>
              <w:color w:val="auto"/>
            </w:rPr>
            <w:t>出决算情况说明</w:t>
          </w:r>
          <w:r>
            <w:rPr>
              <w:color w:val="auto"/>
            </w:rPr>
            <w:tab/>
          </w:r>
          <w:r>
            <w:rPr>
              <w:color w:val="auto"/>
            </w:rPr>
            <w:fldChar w:fldCharType="begin"/>
          </w:r>
          <w:r>
            <w:rPr>
              <w:color w:val="auto"/>
            </w:rPr>
            <w:instrText xml:space="preserve"> PAGEREF _Toc22071 \h </w:instrText>
          </w:r>
          <w:r>
            <w:rPr>
              <w:color w:val="auto"/>
            </w:rPr>
            <w:fldChar w:fldCharType="separate"/>
          </w:r>
          <w:r>
            <w:rPr>
              <w:color w:val="auto"/>
            </w:rPr>
            <w:t>3</w:t>
          </w:r>
          <w:r>
            <w:rPr>
              <w:color w:val="auto"/>
            </w:rPr>
            <w:fldChar w:fldCharType="end"/>
          </w:r>
          <w:r>
            <w:rPr>
              <w:color w:val="auto"/>
            </w:rPr>
            <w:fldChar w:fldCharType="end"/>
          </w:r>
        </w:p>
        <w:p>
          <w:pPr>
            <w:pStyle w:val="40"/>
            <w:shd w:val="clear"/>
            <w:tabs>
              <w:tab w:val="right" w:leader="dot" w:pos="8306"/>
            </w:tabs>
            <w:rPr>
              <w:color w:val="auto"/>
            </w:rPr>
          </w:pPr>
          <w:r>
            <w:rPr>
              <w:color w:val="auto"/>
            </w:rPr>
            <w:fldChar w:fldCharType="begin"/>
          </w:r>
          <w:r>
            <w:rPr>
              <w:color w:val="auto"/>
            </w:rPr>
            <w:instrText xml:space="preserve"> HYPERLINK \l _Toc2700 </w:instrText>
          </w:r>
          <w:r>
            <w:rPr>
              <w:color w:val="auto"/>
            </w:rPr>
            <w:fldChar w:fldCharType="separate"/>
          </w:r>
          <w:r>
            <w:rPr>
              <w:rFonts w:hint="eastAsia" w:ascii="黑体" w:hAnsi="黑体" w:eastAsia="黑体"/>
              <w:color w:val="auto"/>
              <w:szCs w:val="32"/>
            </w:rPr>
            <w:t>四、财</w:t>
          </w:r>
          <w:r>
            <w:rPr>
              <w:rFonts w:hint="eastAsia" w:ascii="黑体" w:hAnsi="黑体" w:eastAsia="黑体"/>
              <w:color w:val="auto"/>
            </w:rPr>
            <w:t>政拨款收入支出决算总体情况说明</w:t>
          </w:r>
          <w:r>
            <w:rPr>
              <w:color w:val="auto"/>
            </w:rPr>
            <w:tab/>
          </w:r>
          <w:r>
            <w:rPr>
              <w:color w:val="auto"/>
            </w:rPr>
            <w:fldChar w:fldCharType="begin"/>
          </w:r>
          <w:r>
            <w:rPr>
              <w:color w:val="auto"/>
            </w:rPr>
            <w:instrText xml:space="preserve"> PAGEREF _Toc2700 \h </w:instrText>
          </w:r>
          <w:r>
            <w:rPr>
              <w:color w:val="auto"/>
            </w:rPr>
            <w:fldChar w:fldCharType="separate"/>
          </w:r>
          <w:r>
            <w:rPr>
              <w:color w:val="auto"/>
            </w:rPr>
            <w:t>4</w:t>
          </w:r>
          <w:r>
            <w:rPr>
              <w:color w:val="auto"/>
            </w:rPr>
            <w:fldChar w:fldCharType="end"/>
          </w:r>
          <w:r>
            <w:rPr>
              <w:color w:val="auto"/>
            </w:rPr>
            <w:fldChar w:fldCharType="end"/>
          </w:r>
        </w:p>
        <w:p>
          <w:pPr>
            <w:pStyle w:val="40"/>
            <w:shd w:val="clear"/>
            <w:tabs>
              <w:tab w:val="right" w:leader="dot" w:pos="8306"/>
            </w:tabs>
            <w:rPr>
              <w:color w:val="auto"/>
            </w:rPr>
          </w:pPr>
          <w:r>
            <w:rPr>
              <w:color w:val="auto"/>
            </w:rPr>
            <w:fldChar w:fldCharType="begin"/>
          </w:r>
          <w:r>
            <w:rPr>
              <w:color w:val="auto"/>
            </w:rPr>
            <w:instrText xml:space="preserve"> HYPERLINK \l _Toc15577 </w:instrText>
          </w:r>
          <w:r>
            <w:rPr>
              <w:color w:val="auto"/>
            </w:rPr>
            <w:fldChar w:fldCharType="separate"/>
          </w:r>
          <w:r>
            <w:rPr>
              <w:rFonts w:hint="eastAsia" w:ascii="黑体" w:hAnsi="黑体" w:eastAsia="黑体"/>
              <w:color w:val="auto"/>
              <w:szCs w:val="32"/>
            </w:rPr>
            <w:t>五、一</w:t>
          </w:r>
          <w:r>
            <w:rPr>
              <w:rFonts w:hint="eastAsia" w:ascii="黑体" w:hAnsi="黑体" w:eastAsia="黑体"/>
              <w:color w:val="auto"/>
            </w:rPr>
            <w:t>般公共预算财政拨款支出决算情况说明</w:t>
          </w:r>
          <w:r>
            <w:rPr>
              <w:color w:val="auto"/>
            </w:rPr>
            <w:tab/>
          </w:r>
          <w:r>
            <w:rPr>
              <w:color w:val="auto"/>
            </w:rPr>
            <w:fldChar w:fldCharType="begin"/>
          </w:r>
          <w:r>
            <w:rPr>
              <w:color w:val="auto"/>
            </w:rPr>
            <w:instrText xml:space="preserve"> PAGEREF _Toc15577 \h </w:instrText>
          </w:r>
          <w:r>
            <w:rPr>
              <w:color w:val="auto"/>
            </w:rPr>
            <w:fldChar w:fldCharType="separate"/>
          </w:r>
          <w:r>
            <w:rPr>
              <w:color w:val="auto"/>
            </w:rPr>
            <w:t>5</w:t>
          </w:r>
          <w:r>
            <w:rPr>
              <w:color w:val="auto"/>
            </w:rPr>
            <w:fldChar w:fldCharType="end"/>
          </w:r>
          <w:r>
            <w:rPr>
              <w:color w:val="auto"/>
            </w:rPr>
            <w:fldChar w:fldCharType="end"/>
          </w:r>
        </w:p>
        <w:p>
          <w:pPr>
            <w:pStyle w:val="40"/>
            <w:shd w:val="clear"/>
            <w:tabs>
              <w:tab w:val="right" w:leader="dot" w:pos="8306"/>
            </w:tabs>
            <w:rPr>
              <w:color w:val="auto"/>
            </w:rPr>
          </w:pPr>
          <w:r>
            <w:rPr>
              <w:color w:val="auto"/>
            </w:rPr>
            <w:fldChar w:fldCharType="begin"/>
          </w:r>
          <w:r>
            <w:rPr>
              <w:color w:val="auto"/>
            </w:rPr>
            <w:instrText xml:space="preserve"> HYPERLINK \l _Toc4713 </w:instrText>
          </w:r>
          <w:r>
            <w:rPr>
              <w:color w:val="auto"/>
            </w:rPr>
            <w:fldChar w:fldCharType="separate"/>
          </w:r>
          <w:r>
            <w:rPr>
              <w:rFonts w:hint="eastAsia" w:ascii="黑体" w:eastAsia="黑体"/>
              <w:color w:val="auto"/>
              <w:szCs w:val="32"/>
            </w:rPr>
            <w:t>六、</w:t>
          </w:r>
          <w:r>
            <w:rPr>
              <w:rFonts w:hint="eastAsia" w:ascii="黑体" w:hAnsi="黑体" w:eastAsia="黑体"/>
              <w:color w:val="auto"/>
              <w:szCs w:val="32"/>
            </w:rPr>
            <w:t>一</w:t>
          </w:r>
          <w:r>
            <w:rPr>
              <w:rFonts w:hint="eastAsia" w:ascii="黑体" w:hAnsi="黑体" w:eastAsia="黑体"/>
              <w:color w:val="auto"/>
            </w:rPr>
            <w:t>般公共预算财政拨款基本支出决算情况说明</w:t>
          </w:r>
          <w:r>
            <w:rPr>
              <w:color w:val="auto"/>
            </w:rPr>
            <w:tab/>
          </w:r>
          <w:r>
            <w:rPr>
              <w:color w:val="auto"/>
            </w:rPr>
            <w:fldChar w:fldCharType="begin"/>
          </w:r>
          <w:r>
            <w:rPr>
              <w:color w:val="auto"/>
            </w:rPr>
            <w:instrText xml:space="preserve"> PAGEREF _Toc4713 \h </w:instrText>
          </w:r>
          <w:r>
            <w:rPr>
              <w:color w:val="auto"/>
            </w:rPr>
            <w:fldChar w:fldCharType="separate"/>
          </w:r>
          <w:r>
            <w:rPr>
              <w:color w:val="auto"/>
            </w:rPr>
            <w:t>7</w:t>
          </w:r>
          <w:r>
            <w:rPr>
              <w:color w:val="auto"/>
            </w:rPr>
            <w:fldChar w:fldCharType="end"/>
          </w:r>
          <w:r>
            <w:rPr>
              <w:color w:val="auto"/>
            </w:rPr>
            <w:fldChar w:fldCharType="end"/>
          </w:r>
        </w:p>
        <w:p>
          <w:pPr>
            <w:pStyle w:val="40"/>
            <w:shd w:val="clear"/>
            <w:tabs>
              <w:tab w:val="right" w:leader="dot" w:pos="8306"/>
            </w:tabs>
            <w:rPr>
              <w:color w:val="auto"/>
            </w:rPr>
          </w:pPr>
          <w:r>
            <w:rPr>
              <w:color w:val="auto"/>
            </w:rPr>
            <w:fldChar w:fldCharType="begin"/>
          </w:r>
          <w:r>
            <w:rPr>
              <w:color w:val="auto"/>
            </w:rPr>
            <w:instrText xml:space="preserve"> HYPERLINK \l _Toc12570 </w:instrText>
          </w:r>
          <w:r>
            <w:rPr>
              <w:color w:val="auto"/>
            </w:rPr>
            <w:fldChar w:fldCharType="separate"/>
          </w:r>
          <w:r>
            <w:rPr>
              <w:rFonts w:hint="eastAsia" w:ascii="黑体" w:eastAsia="黑体"/>
              <w:color w:val="auto"/>
              <w:szCs w:val="32"/>
            </w:rPr>
            <w:t>七、</w:t>
          </w:r>
          <w:r>
            <w:rPr>
              <w:rFonts w:hint="eastAsia" w:ascii="黑体" w:hAnsi="黑体" w:eastAsia="黑体"/>
              <w:color w:val="auto"/>
            </w:rPr>
            <w:t>财政拨款“三公”经费支出决算情况说明</w:t>
          </w:r>
          <w:r>
            <w:rPr>
              <w:color w:val="auto"/>
            </w:rPr>
            <w:tab/>
          </w:r>
          <w:r>
            <w:rPr>
              <w:color w:val="auto"/>
            </w:rPr>
            <w:fldChar w:fldCharType="begin"/>
          </w:r>
          <w:r>
            <w:rPr>
              <w:color w:val="auto"/>
            </w:rPr>
            <w:instrText xml:space="preserve"> PAGEREF _Toc12570 \h </w:instrText>
          </w:r>
          <w:r>
            <w:rPr>
              <w:color w:val="auto"/>
            </w:rPr>
            <w:fldChar w:fldCharType="separate"/>
          </w:r>
          <w:r>
            <w:rPr>
              <w:color w:val="auto"/>
            </w:rPr>
            <w:t>7</w:t>
          </w:r>
          <w:r>
            <w:rPr>
              <w:color w:val="auto"/>
            </w:rPr>
            <w:fldChar w:fldCharType="end"/>
          </w:r>
          <w:r>
            <w:rPr>
              <w:color w:val="auto"/>
            </w:rPr>
            <w:fldChar w:fldCharType="end"/>
          </w:r>
        </w:p>
        <w:p>
          <w:pPr>
            <w:pStyle w:val="40"/>
            <w:shd w:val="clear"/>
            <w:tabs>
              <w:tab w:val="right" w:leader="dot" w:pos="8306"/>
            </w:tabs>
            <w:rPr>
              <w:color w:val="auto"/>
            </w:rPr>
          </w:pPr>
          <w:r>
            <w:rPr>
              <w:color w:val="auto"/>
            </w:rPr>
            <w:fldChar w:fldCharType="begin"/>
          </w:r>
          <w:r>
            <w:rPr>
              <w:color w:val="auto"/>
            </w:rPr>
            <w:instrText xml:space="preserve"> HYPERLINK \l _Toc22187 </w:instrText>
          </w:r>
          <w:r>
            <w:rPr>
              <w:color w:val="auto"/>
            </w:rPr>
            <w:fldChar w:fldCharType="separate"/>
          </w:r>
          <w:r>
            <w:rPr>
              <w:rFonts w:hint="eastAsia" w:ascii="黑体" w:eastAsia="黑体"/>
              <w:color w:val="auto"/>
              <w:szCs w:val="32"/>
            </w:rPr>
            <w:t>八、</w:t>
          </w:r>
          <w:r>
            <w:rPr>
              <w:rFonts w:hint="eastAsia" w:ascii="黑体" w:hAnsi="黑体" w:eastAsia="黑体"/>
              <w:color w:val="auto"/>
            </w:rPr>
            <w:t>政府性基金预算支出决算情况说明</w:t>
          </w:r>
          <w:r>
            <w:rPr>
              <w:color w:val="auto"/>
            </w:rPr>
            <w:tab/>
          </w:r>
          <w:r>
            <w:rPr>
              <w:color w:val="auto"/>
            </w:rPr>
            <w:fldChar w:fldCharType="begin"/>
          </w:r>
          <w:r>
            <w:rPr>
              <w:color w:val="auto"/>
            </w:rPr>
            <w:instrText xml:space="preserve"> PAGEREF _Toc22187 \h </w:instrText>
          </w:r>
          <w:r>
            <w:rPr>
              <w:color w:val="auto"/>
            </w:rPr>
            <w:fldChar w:fldCharType="separate"/>
          </w:r>
          <w:r>
            <w:rPr>
              <w:color w:val="auto"/>
            </w:rPr>
            <w:t>8</w:t>
          </w:r>
          <w:r>
            <w:rPr>
              <w:color w:val="auto"/>
            </w:rPr>
            <w:fldChar w:fldCharType="end"/>
          </w:r>
          <w:r>
            <w:rPr>
              <w:color w:val="auto"/>
            </w:rPr>
            <w:fldChar w:fldCharType="end"/>
          </w:r>
        </w:p>
        <w:p>
          <w:pPr>
            <w:pStyle w:val="40"/>
            <w:shd w:val="clear"/>
            <w:tabs>
              <w:tab w:val="right" w:leader="dot" w:pos="8306"/>
            </w:tabs>
            <w:rPr>
              <w:color w:val="auto"/>
            </w:rPr>
          </w:pPr>
          <w:r>
            <w:rPr>
              <w:color w:val="auto"/>
            </w:rPr>
            <w:fldChar w:fldCharType="begin"/>
          </w:r>
          <w:r>
            <w:rPr>
              <w:color w:val="auto"/>
            </w:rPr>
            <w:instrText xml:space="preserve"> HYPERLINK \l _Toc31613 </w:instrText>
          </w:r>
          <w:r>
            <w:rPr>
              <w:color w:val="auto"/>
            </w:rPr>
            <w:fldChar w:fldCharType="separate"/>
          </w:r>
          <w:r>
            <w:rPr>
              <w:rFonts w:hint="eastAsia" w:ascii="黑体" w:hAnsi="黑体" w:eastAsia="黑体"/>
              <w:color w:val="auto"/>
            </w:rPr>
            <w:t>九、国有资本经营预算支出决算情况说明</w:t>
          </w:r>
          <w:r>
            <w:rPr>
              <w:color w:val="auto"/>
            </w:rPr>
            <w:tab/>
          </w:r>
          <w:r>
            <w:rPr>
              <w:color w:val="auto"/>
            </w:rPr>
            <w:fldChar w:fldCharType="begin"/>
          </w:r>
          <w:r>
            <w:rPr>
              <w:color w:val="auto"/>
            </w:rPr>
            <w:instrText xml:space="preserve"> PAGEREF _Toc31613 \h </w:instrText>
          </w:r>
          <w:r>
            <w:rPr>
              <w:color w:val="auto"/>
            </w:rPr>
            <w:fldChar w:fldCharType="separate"/>
          </w:r>
          <w:r>
            <w:rPr>
              <w:color w:val="auto"/>
            </w:rPr>
            <w:t>8</w:t>
          </w:r>
          <w:r>
            <w:rPr>
              <w:color w:val="auto"/>
            </w:rPr>
            <w:fldChar w:fldCharType="end"/>
          </w:r>
          <w:r>
            <w:rPr>
              <w:color w:val="auto"/>
            </w:rPr>
            <w:fldChar w:fldCharType="end"/>
          </w:r>
        </w:p>
        <w:p>
          <w:pPr>
            <w:pStyle w:val="40"/>
            <w:shd w:val="clear"/>
            <w:tabs>
              <w:tab w:val="right" w:leader="dot" w:pos="8306"/>
            </w:tabs>
            <w:rPr>
              <w:color w:val="auto"/>
            </w:rPr>
          </w:pPr>
          <w:r>
            <w:rPr>
              <w:color w:val="auto"/>
            </w:rPr>
            <w:fldChar w:fldCharType="begin"/>
          </w:r>
          <w:r>
            <w:rPr>
              <w:color w:val="auto"/>
            </w:rPr>
            <w:instrText xml:space="preserve"> HYPERLINK \l _Toc15658 </w:instrText>
          </w:r>
          <w:r>
            <w:rPr>
              <w:color w:val="auto"/>
            </w:rPr>
            <w:fldChar w:fldCharType="separate"/>
          </w:r>
          <w:r>
            <w:rPr>
              <w:rFonts w:hint="eastAsia" w:ascii="黑体" w:hAnsi="黑体" w:eastAsia="黑体"/>
              <w:color w:val="auto"/>
            </w:rPr>
            <w:t>十、其他重要事项的情况说明</w:t>
          </w:r>
          <w:r>
            <w:rPr>
              <w:color w:val="auto"/>
            </w:rPr>
            <w:tab/>
          </w:r>
          <w:r>
            <w:rPr>
              <w:color w:val="auto"/>
            </w:rPr>
            <w:fldChar w:fldCharType="begin"/>
          </w:r>
          <w:r>
            <w:rPr>
              <w:color w:val="auto"/>
            </w:rPr>
            <w:instrText xml:space="preserve"> PAGEREF _Toc15658 \h </w:instrText>
          </w:r>
          <w:r>
            <w:rPr>
              <w:color w:val="auto"/>
            </w:rPr>
            <w:fldChar w:fldCharType="separate"/>
          </w:r>
          <w:r>
            <w:rPr>
              <w:color w:val="auto"/>
            </w:rPr>
            <w:t>8</w:t>
          </w:r>
          <w:r>
            <w:rPr>
              <w:color w:val="auto"/>
            </w:rPr>
            <w:fldChar w:fldCharType="end"/>
          </w:r>
          <w:r>
            <w:rPr>
              <w:color w:val="auto"/>
            </w:rPr>
            <w:fldChar w:fldCharType="end"/>
          </w:r>
        </w:p>
        <w:p>
          <w:pPr>
            <w:pStyle w:val="39"/>
            <w:shd w:val="clear"/>
            <w:tabs>
              <w:tab w:val="right" w:leader="dot" w:pos="8306"/>
            </w:tabs>
            <w:rPr>
              <w:b/>
              <w:color w:val="auto"/>
            </w:rPr>
          </w:pPr>
          <w:r>
            <w:rPr>
              <w:b/>
              <w:color w:val="auto"/>
            </w:rPr>
            <w:fldChar w:fldCharType="begin"/>
          </w:r>
          <w:r>
            <w:rPr>
              <w:b/>
              <w:color w:val="auto"/>
            </w:rPr>
            <w:instrText xml:space="preserve"> HYPERLINK \l _Toc21930 </w:instrText>
          </w:r>
          <w:r>
            <w:rPr>
              <w:b/>
              <w:color w:val="auto"/>
            </w:rPr>
            <w:fldChar w:fldCharType="separate"/>
          </w:r>
          <w:r>
            <w:rPr>
              <w:rFonts w:hint="eastAsia" w:ascii="黑体" w:hAnsi="黑体" w:eastAsia="黑体"/>
              <w:b/>
              <w:color w:val="auto"/>
            </w:rPr>
            <w:t>第三部分</w:t>
          </w:r>
          <w:r>
            <w:rPr>
              <w:rFonts w:hint="eastAsia" w:ascii="黑体" w:hAnsi="黑体" w:eastAsia="黑体"/>
              <w:b/>
              <w:color w:val="auto"/>
              <w:szCs w:val="44"/>
            </w:rPr>
            <w:t>名</w:t>
          </w:r>
          <w:r>
            <w:rPr>
              <w:rFonts w:hint="eastAsia" w:ascii="黑体" w:hAnsi="黑体" w:eastAsia="黑体"/>
              <w:b/>
              <w:color w:val="auto"/>
            </w:rPr>
            <w:t>词解释</w:t>
          </w:r>
          <w:r>
            <w:rPr>
              <w:b/>
              <w:color w:val="auto"/>
            </w:rPr>
            <w:tab/>
          </w:r>
          <w:r>
            <w:rPr>
              <w:b/>
              <w:color w:val="auto"/>
            </w:rPr>
            <w:fldChar w:fldCharType="begin"/>
          </w:r>
          <w:r>
            <w:rPr>
              <w:b/>
              <w:color w:val="auto"/>
            </w:rPr>
            <w:instrText xml:space="preserve"> PAGEREF _Toc21930 \h </w:instrText>
          </w:r>
          <w:r>
            <w:rPr>
              <w:b/>
              <w:color w:val="auto"/>
            </w:rPr>
            <w:fldChar w:fldCharType="separate"/>
          </w:r>
          <w:r>
            <w:rPr>
              <w:b/>
              <w:color w:val="auto"/>
            </w:rPr>
            <w:t>10</w:t>
          </w:r>
          <w:r>
            <w:rPr>
              <w:b/>
              <w:color w:val="auto"/>
            </w:rPr>
            <w:fldChar w:fldCharType="end"/>
          </w:r>
          <w:r>
            <w:rPr>
              <w:b/>
              <w:color w:val="auto"/>
            </w:rPr>
            <w:fldChar w:fldCharType="end"/>
          </w:r>
        </w:p>
        <w:p>
          <w:pPr>
            <w:pStyle w:val="39"/>
            <w:shd w:val="clear"/>
            <w:tabs>
              <w:tab w:val="right" w:leader="dot" w:pos="8306"/>
            </w:tabs>
            <w:rPr>
              <w:b/>
              <w:color w:val="auto"/>
            </w:rPr>
          </w:pPr>
          <w:r>
            <w:rPr>
              <w:b/>
              <w:color w:val="auto"/>
            </w:rPr>
            <w:fldChar w:fldCharType="begin"/>
          </w:r>
          <w:r>
            <w:rPr>
              <w:b/>
              <w:color w:val="auto"/>
            </w:rPr>
            <w:instrText xml:space="preserve"> HYPERLINK \l _Toc27075 </w:instrText>
          </w:r>
          <w:r>
            <w:rPr>
              <w:b/>
              <w:color w:val="auto"/>
            </w:rPr>
            <w:fldChar w:fldCharType="separate"/>
          </w:r>
          <w:r>
            <w:rPr>
              <w:rFonts w:hint="eastAsia" w:ascii="黑体" w:hAnsi="黑体" w:eastAsia="黑体"/>
              <w:b/>
              <w:color w:val="auto"/>
              <w:szCs w:val="44"/>
            </w:rPr>
            <w:t>第</w:t>
          </w:r>
          <w:r>
            <w:rPr>
              <w:rFonts w:hint="eastAsia" w:ascii="黑体" w:hAnsi="黑体" w:eastAsia="黑体"/>
              <w:b/>
              <w:color w:val="auto"/>
            </w:rPr>
            <w:t>四部分附件</w:t>
          </w:r>
          <w:r>
            <w:rPr>
              <w:b/>
              <w:color w:val="auto"/>
            </w:rPr>
            <w:tab/>
          </w:r>
          <w:r>
            <w:rPr>
              <w:b/>
              <w:color w:val="auto"/>
            </w:rPr>
            <w:fldChar w:fldCharType="begin"/>
          </w:r>
          <w:r>
            <w:rPr>
              <w:b/>
              <w:color w:val="auto"/>
            </w:rPr>
            <w:instrText xml:space="preserve"> PAGEREF _Toc27075 \h </w:instrText>
          </w:r>
          <w:r>
            <w:rPr>
              <w:b/>
              <w:color w:val="auto"/>
            </w:rPr>
            <w:fldChar w:fldCharType="separate"/>
          </w:r>
          <w:r>
            <w:rPr>
              <w:b/>
              <w:color w:val="auto"/>
            </w:rPr>
            <w:t>13</w:t>
          </w:r>
          <w:r>
            <w:rPr>
              <w:b/>
              <w:color w:val="auto"/>
            </w:rPr>
            <w:fldChar w:fldCharType="end"/>
          </w:r>
          <w:r>
            <w:rPr>
              <w:b/>
              <w:color w:val="auto"/>
            </w:rPr>
            <w:fldChar w:fldCharType="end"/>
          </w:r>
        </w:p>
        <w:p>
          <w:pPr>
            <w:pStyle w:val="39"/>
            <w:shd w:val="clear"/>
            <w:tabs>
              <w:tab w:val="right" w:leader="dot" w:pos="8306"/>
            </w:tabs>
            <w:rPr>
              <w:b/>
              <w:color w:val="auto"/>
            </w:rPr>
          </w:pPr>
          <w:r>
            <w:rPr>
              <w:b/>
              <w:color w:val="auto"/>
            </w:rPr>
            <w:fldChar w:fldCharType="begin"/>
          </w:r>
          <w:r>
            <w:rPr>
              <w:b/>
              <w:color w:val="auto"/>
            </w:rPr>
            <w:instrText xml:space="preserve"> HYPERLINK \l _Toc15639 </w:instrText>
          </w:r>
          <w:r>
            <w:rPr>
              <w:b/>
              <w:color w:val="auto"/>
            </w:rPr>
            <w:fldChar w:fldCharType="separate"/>
          </w:r>
          <w:r>
            <w:rPr>
              <w:rFonts w:hint="eastAsia" w:ascii="黑体" w:hAnsi="黑体" w:eastAsia="黑体"/>
              <w:b/>
              <w:color w:val="auto"/>
              <w:szCs w:val="44"/>
            </w:rPr>
            <w:t>第</w:t>
          </w:r>
          <w:r>
            <w:rPr>
              <w:rFonts w:hint="eastAsia" w:ascii="黑体" w:hAnsi="黑体" w:eastAsia="黑体"/>
              <w:b/>
              <w:color w:val="auto"/>
            </w:rPr>
            <w:t>五部分附表</w:t>
          </w:r>
          <w:r>
            <w:rPr>
              <w:b/>
              <w:color w:val="auto"/>
            </w:rPr>
            <w:tab/>
          </w:r>
          <w:r>
            <w:rPr>
              <w:b/>
              <w:color w:val="auto"/>
            </w:rPr>
            <w:fldChar w:fldCharType="begin"/>
          </w:r>
          <w:r>
            <w:rPr>
              <w:b/>
              <w:color w:val="auto"/>
            </w:rPr>
            <w:instrText xml:space="preserve"> PAGEREF _Toc15639 \h </w:instrText>
          </w:r>
          <w:r>
            <w:rPr>
              <w:b/>
              <w:color w:val="auto"/>
            </w:rPr>
            <w:fldChar w:fldCharType="separate"/>
          </w:r>
          <w:r>
            <w:rPr>
              <w:b/>
              <w:color w:val="auto"/>
            </w:rPr>
            <w:t>25</w:t>
          </w:r>
          <w:r>
            <w:rPr>
              <w:b/>
              <w:color w:val="auto"/>
            </w:rPr>
            <w:fldChar w:fldCharType="end"/>
          </w:r>
          <w:r>
            <w:rPr>
              <w:b/>
              <w:color w:val="auto"/>
            </w:rPr>
            <w:fldChar w:fldCharType="end"/>
          </w:r>
        </w:p>
        <w:p>
          <w:pPr>
            <w:pStyle w:val="40"/>
            <w:shd w:val="clear"/>
            <w:tabs>
              <w:tab w:val="right" w:leader="dot" w:pos="8306"/>
            </w:tabs>
            <w:rPr>
              <w:color w:val="auto"/>
            </w:rPr>
          </w:pPr>
          <w:r>
            <w:rPr>
              <w:color w:val="auto"/>
            </w:rPr>
            <w:fldChar w:fldCharType="begin"/>
          </w:r>
          <w:r>
            <w:rPr>
              <w:color w:val="auto"/>
            </w:rPr>
            <w:instrText xml:space="preserve"> HYPERLINK \l _Toc29208 </w:instrText>
          </w:r>
          <w:r>
            <w:rPr>
              <w:color w:val="auto"/>
            </w:rPr>
            <w:fldChar w:fldCharType="separate"/>
          </w:r>
          <w:r>
            <w:rPr>
              <w:rFonts w:hint="eastAsia" w:ascii="仿宋" w:hAnsi="仿宋" w:eastAsia="仿宋"/>
              <w:color w:val="auto"/>
            </w:rPr>
            <w:t>一、收</w:t>
          </w:r>
          <w:r>
            <w:rPr>
              <w:rFonts w:hint="eastAsia" w:ascii="仿宋" w:hAnsi="仿宋" w:eastAsia="仿宋"/>
              <w:bCs w:val="0"/>
              <w:color w:val="auto"/>
            </w:rPr>
            <w:t>入支出决算总表</w:t>
          </w:r>
          <w:r>
            <w:rPr>
              <w:color w:val="auto"/>
            </w:rPr>
            <w:tab/>
          </w:r>
          <w:r>
            <w:rPr>
              <w:color w:val="auto"/>
            </w:rPr>
            <w:fldChar w:fldCharType="begin"/>
          </w:r>
          <w:r>
            <w:rPr>
              <w:color w:val="auto"/>
            </w:rPr>
            <w:instrText xml:space="preserve"> PAGEREF _Toc29208 \h </w:instrText>
          </w:r>
          <w:r>
            <w:rPr>
              <w:color w:val="auto"/>
            </w:rPr>
            <w:fldChar w:fldCharType="separate"/>
          </w:r>
          <w:r>
            <w:rPr>
              <w:color w:val="auto"/>
            </w:rPr>
            <w:t>26</w:t>
          </w:r>
          <w:r>
            <w:rPr>
              <w:color w:val="auto"/>
            </w:rPr>
            <w:fldChar w:fldCharType="end"/>
          </w:r>
          <w:r>
            <w:rPr>
              <w:color w:val="auto"/>
            </w:rPr>
            <w:fldChar w:fldCharType="end"/>
          </w:r>
        </w:p>
        <w:p>
          <w:pPr>
            <w:pStyle w:val="40"/>
            <w:shd w:val="clear"/>
            <w:tabs>
              <w:tab w:val="right" w:leader="dot" w:pos="8306"/>
            </w:tabs>
            <w:rPr>
              <w:color w:val="auto"/>
            </w:rPr>
          </w:pPr>
          <w:r>
            <w:rPr>
              <w:color w:val="auto"/>
            </w:rPr>
            <w:fldChar w:fldCharType="begin"/>
          </w:r>
          <w:r>
            <w:rPr>
              <w:color w:val="auto"/>
            </w:rPr>
            <w:instrText xml:space="preserve"> HYPERLINK \l _Toc9433 </w:instrText>
          </w:r>
          <w:r>
            <w:rPr>
              <w:color w:val="auto"/>
            </w:rPr>
            <w:fldChar w:fldCharType="separate"/>
          </w:r>
          <w:r>
            <w:rPr>
              <w:rFonts w:hint="eastAsia" w:ascii="仿宋" w:hAnsi="仿宋" w:eastAsia="仿宋"/>
              <w:color w:val="auto"/>
            </w:rPr>
            <w:t>二、收</w:t>
          </w:r>
          <w:r>
            <w:rPr>
              <w:rFonts w:hint="eastAsia" w:ascii="仿宋" w:hAnsi="仿宋" w:eastAsia="仿宋"/>
              <w:bCs w:val="0"/>
              <w:color w:val="auto"/>
            </w:rPr>
            <w:t>入决算表</w:t>
          </w:r>
          <w:r>
            <w:rPr>
              <w:color w:val="auto"/>
            </w:rPr>
            <w:tab/>
          </w:r>
          <w:r>
            <w:rPr>
              <w:color w:val="auto"/>
            </w:rPr>
            <w:fldChar w:fldCharType="begin"/>
          </w:r>
          <w:r>
            <w:rPr>
              <w:color w:val="auto"/>
            </w:rPr>
            <w:instrText xml:space="preserve"> PAGEREF _Toc9433 \h </w:instrText>
          </w:r>
          <w:r>
            <w:rPr>
              <w:color w:val="auto"/>
            </w:rPr>
            <w:fldChar w:fldCharType="separate"/>
          </w:r>
          <w:r>
            <w:rPr>
              <w:color w:val="auto"/>
            </w:rPr>
            <w:t>26</w:t>
          </w:r>
          <w:r>
            <w:rPr>
              <w:color w:val="auto"/>
            </w:rPr>
            <w:fldChar w:fldCharType="end"/>
          </w:r>
          <w:r>
            <w:rPr>
              <w:color w:val="auto"/>
            </w:rPr>
            <w:fldChar w:fldCharType="end"/>
          </w:r>
        </w:p>
        <w:p>
          <w:pPr>
            <w:pStyle w:val="40"/>
            <w:shd w:val="clear"/>
            <w:tabs>
              <w:tab w:val="right" w:leader="dot" w:pos="8306"/>
            </w:tabs>
            <w:rPr>
              <w:color w:val="auto"/>
            </w:rPr>
          </w:pPr>
          <w:r>
            <w:rPr>
              <w:color w:val="auto"/>
            </w:rPr>
            <w:fldChar w:fldCharType="begin"/>
          </w:r>
          <w:r>
            <w:rPr>
              <w:color w:val="auto"/>
            </w:rPr>
            <w:instrText xml:space="preserve"> HYPERLINK \l _Toc24764 </w:instrText>
          </w:r>
          <w:r>
            <w:rPr>
              <w:color w:val="auto"/>
            </w:rPr>
            <w:fldChar w:fldCharType="separate"/>
          </w:r>
          <w:r>
            <w:rPr>
              <w:rFonts w:hint="eastAsia" w:ascii="仿宋" w:hAnsi="仿宋" w:eastAsia="仿宋"/>
              <w:bCs w:val="0"/>
              <w:color w:val="auto"/>
            </w:rPr>
            <w:t>三、</w:t>
          </w:r>
          <w:r>
            <w:rPr>
              <w:rFonts w:hint="eastAsia" w:ascii="仿宋" w:hAnsi="仿宋" w:eastAsia="仿宋"/>
              <w:color w:val="auto"/>
            </w:rPr>
            <w:t>支</w:t>
          </w:r>
          <w:r>
            <w:rPr>
              <w:rFonts w:hint="eastAsia" w:ascii="仿宋" w:hAnsi="仿宋" w:eastAsia="仿宋"/>
              <w:bCs w:val="0"/>
              <w:color w:val="auto"/>
            </w:rPr>
            <w:t>出决算表</w:t>
          </w:r>
          <w:r>
            <w:rPr>
              <w:color w:val="auto"/>
            </w:rPr>
            <w:tab/>
          </w:r>
          <w:r>
            <w:rPr>
              <w:color w:val="auto"/>
            </w:rPr>
            <w:fldChar w:fldCharType="begin"/>
          </w:r>
          <w:r>
            <w:rPr>
              <w:color w:val="auto"/>
            </w:rPr>
            <w:instrText xml:space="preserve"> PAGEREF _Toc24764 \h </w:instrText>
          </w:r>
          <w:r>
            <w:rPr>
              <w:color w:val="auto"/>
            </w:rPr>
            <w:fldChar w:fldCharType="separate"/>
          </w:r>
          <w:r>
            <w:rPr>
              <w:color w:val="auto"/>
            </w:rPr>
            <w:t>26</w:t>
          </w:r>
          <w:r>
            <w:rPr>
              <w:color w:val="auto"/>
            </w:rPr>
            <w:fldChar w:fldCharType="end"/>
          </w:r>
          <w:r>
            <w:rPr>
              <w:color w:val="auto"/>
            </w:rPr>
            <w:fldChar w:fldCharType="end"/>
          </w:r>
        </w:p>
        <w:p>
          <w:pPr>
            <w:pStyle w:val="40"/>
            <w:shd w:val="clear"/>
            <w:tabs>
              <w:tab w:val="right" w:leader="dot" w:pos="8306"/>
            </w:tabs>
            <w:rPr>
              <w:color w:val="auto"/>
            </w:rPr>
          </w:pPr>
          <w:r>
            <w:rPr>
              <w:color w:val="auto"/>
            </w:rPr>
            <w:fldChar w:fldCharType="begin"/>
          </w:r>
          <w:r>
            <w:rPr>
              <w:color w:val="auto"/>
            </w:rPr>
            <w:instrText xml:space="preserve"> HYPERLINK \l _Toc5202 </w:instrText>
          </w:r>
          <w:r>
            <w:rPr>
              <w:color w:val="auto"/>
            </w:rPr>
            <w:fldChar w:fldCharType="separate"/>
          </w:r>
          <w:r>
            <w:rPr>
              <w:rFonts w:hint="eastAsia" w:ascii="仿宋" w:hAnsi="仿宋" w:eastAsia="仿宋"/>
              <w:bCs w:val="0"/>
              <w:color w:val="auto"/>
            </w:rPr>
            <w:t>四、</w:t>
          </w:r>
          <w:r>
            <w:rPr>
              <w:rFonts w:hint="eastAsia" w:ascii="仿宋" w:hAnsi="仿宋" w:eastAsia="仿宋"/>
              <w:color w:val="auto"/>
            </w:rPr>
            <w:t>财</w:t>
          </w:r>
          <w:r>
            <w:rPr>
              <w:rFonts w:hint="eastAsia" w:ascii="仿宋" w:hAnsi="仿宋" w:eastAsia="仿宋"/>
              <w:bCs w:val="0"/>
              <w:color w:val="auto"/>
            </w:rPr>
            <w:t>政拨款收入支出决算总表</w:t>
          </w:r>
          <w:r>
            <w:rPr>
              <w:color w:val="auto"/>
            </w:rPr>
            <w:tab/>
          </w:r>
          <w:r>
            <w:rPr>
              <w:color w:val="auto"/>
            </w:rPr>
            <w:fldChar w:fldCharType="begin"/>
          </w:r>
          <w:r>
            <w:rPr>
              <w:color w:val="auto"/>
            </w:rPr>
            <w:instrText xml:space="preserve"> PAGEREF _Toc5202 \h </w:instrText>
          </w:r>
          <w:r>
            <w:rPr>
              <w:color w:val="auto"/>
            </w:rPr>
            <w:fldChar w:fldCharType="separate"/>
          </w:r>
          <w:r>
            <w:rPr>
              <w:color w:val="auto"/>
            </w:rPr>
            <w:t>26</w:t>
          </w:r>
          <w:r>
            <w:rPr>
              <w:color w:val="auto"/>
            </w:rPr>
            <w:fldChar w:fldCharType="end"/>
          </w:r>
          <w:r>
            <w:rPr>
              <w:color w:val="auto"/>
            </w:rPr>
            <w:fldChar w:fldCharType="end"/>
          </w:r>
        </w:p>
        <w:p>
          <w:pPr>
            <w:pStyle w:val="40"/>
            <w:shd w:val="clear"/>
            <w:tabs>
              <w:tab w:val="right" w:leader="dot" w:pos="8306"/>
            </w:tabs>
            <w:rPr>
              <w:color w:val="auto"/>
            </w:rPr>
          </w:pPr>
          <w:r>
            <w:rPr>
              <w:color w:val="auto"/>
            </w:rPr>
            <w:fldChar w:fldCharType="begin"/>
          </w:r>
          <w:r>
            <w:rPr>
              <w:color w:val="auto"/>
            </w:rPr>
            <w:instrText xml:space="preserve"> HYPERLINK \l _Toc22719 </w:instrText>
          </w:r>
          <w:r>
            <w:rPr>
              <w:color w:val="auto"/>
            </w:rPr>
            <w:fldChar w:fldCharType="separate"/>
          </w:r>
          <w:r>
            <w:rPr>
              <w:rFonts w:hint="eastAsia" w:ascii="仿宋" w:hAnsi="仿宋" w:eastAsia="仿宋"/>
              <w:bCs w:val="0"/>
              <w:color w:val="auto"/>
            </w:rPr>
            <w:t>五、</w:t>
          </w:r>
          <w:r>
            <w:rPr>
              <w:rFonts w:hint="eastAsia" w:ascii="仿宋" w:hAnsi="仿宋" w:eastAsia="仿宋"/>
              <w:color w:val="auto"/>
            </w:rPr>
            <w:t>财</w:t>
          </w:r>
          <w:r>
            <w:rPr>
              <w:rFonts w:hint="eastAsia" w:ascii="仿宋" w:hAnsi="仿宋" w:eastAsia="仿宋"/>
              <w:bCs w:val="0"/>
              <w:color w:val="auto"/>
            </w:rPr>
            <w:t>政拨款支出决算明细表</w:t>
          </w:r>
          <w:r>
            <w:rPr>
              <w:color w:val="auto"/>
            </w:rPr>
            <w:tab/>
          </w:r>
          <w:r>
            <w:rPr>
              <w:color w:val="auto"/>
            </w:rPr>
            <w:fldChar w:fldCharType="begin"/>
          </w:r>
          <w:r>
            <w:rPr>
              <w:color w:val="auto"/>
            </w:rPr>
            <w:instrText xml:space="preserve"> PAGEREF _Toc22719 \h </w:instrText>
          </w:r>
          <w:r>
            <w:rPr>
              <w:color w:val="auto"/>
            </w:rPr>
            <w:fldChar w:fldCharType="separate"/>
          </w:r>
          <w:r>
            <w:rPr>
              <w:color w:val="auto"/>
            </w:rPr>
            <w:t>26</w:t>
          </w:r>
          <w:r>
            <w:rPr>
              <w:color w:val="auto"/>
            </w:rPr>
            <w:fldChar w:fldCharType="end"/>
          </w:r>
          <w:r>
            <w:rPr>
              <w:color w:val="auto"/>
            </w:rPr>
            <w:fldChar w:fldCharType="end"/>
          </w:r>
        </w:p>
        <w:p>
          <w:pPr>
            <w:pStyle w:val="40"/>
            <w:shd w:val="clear"/>
            <w:tabs>
              <w:tab w:val="right" w:leader="dot" w:pos="8306"/>
            </w:tabs>
            <w:rPr>
              <w:color w:val="auto"/>
            </w:rPr>
          </w:pPr>
          <w:r>
            <w:rPr>
              <w:color w:val="auto"/>
            </w:rPr>
            <w:fldChar w:fldCharType="begin"/>
          </w:r>
          <w:r>
            <w:rPr>
              <w:color w:val="auto"/>
            </w:rPr>
            <w:instrText xml:space="preserve"> HYPERLINK \l _Toc28445 </w:instrText>
          </w:r>
          <w:r>
            <w:rPr>
              <w:color w:val="auto"/>
            </w:rPr>
            <w:fldChar w:fldCharType="separate"/>
          </w:r>
          <w:r>
            <w:rPr>
              <w:rFonts w:hint="eastAsia" w:ascii="仿宋" w:hAnsi="仿宋" w:eastAsia="仿宋"/>
              <w:bCs w:val="0"/>
              <w:color w:val="auto"/>
            </w:rPr>
            <w:t>六、</w:t>
          </w:r>
          <w:r>
            <w:rPr>
              <w:rFonts w:hint="eastAsia" w:ascii="仿宋" w:hAnsi="仿宋" w:eastAsia="仿宋"/>
              <w:color w:val="auto"/>
            </w:rPr>
            <w:t>一</w:t>
          </w:r>
          <w:r>
            <w:rPr>
              <w:rFonts w:hint="eastAsia" w:ascii="仿宋" w:hAnsi="仿宋" w:eastAsia="仿宋"/>
              <w:bCs w:val="0"/>
              <w:color w:val="auto"/>
            </w:rPr>
            <w:t>般公共预算财政拨款支出决算表</w:t>
          </w:r>
          <w:r>
            <w:rPr>
              <w:color w:val="auto"/>
            </w:rPr>
            <w:tab/>
          </w:r>
          <w:r>
            <w:rPr>
              <w:color w:val="auto"/>
            </w:rPr>
            <w:fldChar w:fldCharType="begin"/>
          </w:r>
          <w:r>
            <w:rPr>
              <w:color w:val="auto"/>
            </w:rPr>
            <w:instrText xml:space="preserve"> PAGEREF _Toc28445 \h </w:instrText>
          </w:r>
          <w:r>
            <w:rPr>
              <w:color w:val="auto"/>
            </w:rPr>
            <w:fldChar w:fldCharType="separate"/>
          </w:r>
          <w:r>
            <w:rPr>
              <w:color w:val="auto"/>
            </w:rPr>
            <w:t>26</w:t>
          </w:r>
          <w:r>
            <w:rPr>
              <w:color w:val="auto"/>
            </w:rPr>
            <w:fldChar w:fldCharType="end"/>
          </w:r>
          <w:r>
            <w:rPr>
              <w:color w:val="auto"/>
            </w:rPr>
            <w:fldChar w:fldCharType="end"/>
          </w:r>
        </w:p>
        <w:p>
          <w:pPr>
            <w:pStyle w:val="40"/>
            <w:shd w:val="clear"/>
            <w:tabs>
              <w:tab w:val="right" w:leader="dot" w:pos="8306"/>
            </w:tabs>
            <w:rPr>
              <w:color w:val="auto"/>
            </w:rPr>
          </w:pPr>
          <w:r>
            <w:rPr>
              <w:color w:val="auto"/>
            </w:rPr>
            <w:fldChar w:fldCharType="begin"/>
          </w:r>
          <w:r>
            <w:rPr>
              <w:color w:val="auto"/>
            </w:rPr>
            <w:instrText xml:space="preserve"> HYPERLINK \l _Toc15748 </w:instrText>
          </w:r>
          <w:r>
            <w:rPr>
              <w:color w:val="auto"/>
            </w:rPr>
            <w:fldChar w:fldCharType="separate"/>
          </w:r>
          <w:r>
            <w:rPr>
              <w:rFonts w:hint="eastAsia" w:ascii="仿宋" w:hAnsi="仿宋" w:eastAsia="仿宋"/>
              <w:bCs w:val="0"/>
              <w:color w:val="auto"/>
            </w:rPr>
            <w:t>七、</w:t>
          </w:r>
          <w:r>
            <w:rPr>
              <w:rFonts w:hint="eastAsia" w:ascii="仿宋" w:hAnsi="仿宋" w:eastAsia="仿宋"/>
              <w:color w:val="auto"/>
            </w:rPr>
            <w:t>一</w:t>
          </w:r>
          <w:r>
            <w:rPr>
              <w:rFonts w:hint="eastAsia" w:ascii="仿宋" w:hAnsi="仿宋" w:eastAsia="仿宋"/>
              <w:bCs w:val="0"/>
              <w:color w:val="auto"/>
            </w:rPr>
            <w:t>般公共预算财政拨款支出决算明细表</w:t>
          </w:r>
          <w:r>
            <w:rPr>
              <w:color w:val="auto"/>
            </w:rPr>
            <w:tab/>
          </w:r>
          <w:r>
            <w:rPr>
              <w:color w:val="auto"/>
            </w:rPr>
            <w:fldChar w:fldCharType="begin"/>
          </w:r>
          <w:r>
            <w:rPr>
              <w:color w:val="auto"/>
            </w:rPr>
            <w:instrText xml:space="preserve"> PAGEREF _Toc15748 \h </w:instrText>
          </w:r>
          <w:r>
            <w:rPr>
              <w:color w:val="auto"/>
            </w:rPr>
            <w:fldChar w:fldCharType="separate"/>
          </w:r>
          <w:r>
            <w:rPr>
              <w:color w:val="auto"/>
            </w:rPr>
            <w:t>26</w:t>
          </w:r>
          <w:r>
            <w:rPr>
              <w:color w:val="auto"/>
            </w:rPr>
            <w:fldChar w:fldCharType="end"/>
          </w:r>
          <w:r>
            <w:rPr>
              <w:color w:val="auto"/>
            </w:rPr>
            <w:fldChar w:fldCharType="end"/>
          </w:r>
        </w:p>
        <w:p>
          <w:pPr>
            <w:pStyle w:val="40"/>
            <w:shd w:val="clear"/>
            <w:tabs>
              <w:tab w:val="right" w:leader="dot" w:pos="8306"/>
            </w:tabs>
            <w:rPr>
              <w:color w:val="auto"/>
            </w:rPr>
          </w:pPr>
          <w:r>
            <w:rPr>
              <w:color w:val="auto"/>
            </w:rPr>
            <w:fldChar w:fldCharType="begin"/>
          </w:r>
          <w:r>
            <w:rPr>
              <w:color w:val="auto"/>
            </w:rPr>
            <w:instrText xml:space="preserve"> HYPERLINK \l _Toc10360 </w:instrText>
          </w:r>
          <w:r>
            <w:rPr>
              <w:color w:val="auto"/>
            </w:rPr>
            <w:fldChar w:fldCharType="separate"/>
          </w:r>
          <w:r>
            <w:rPr>
              <w:rFonts w:hint="eastAsia" w:ascii="仿宋" w:hAnsi="仿宋" w:eastAsia="仿宋"/>
              <w:bCs w:val="0"/>
              <w:color w:val="auto"/>
            </w:rPr>
            <w:t>八、</w:t>
          </w:r>
          <w:r>
            <w:rPr>
              <w:rFonts w:hint="eastAsia" w:ascii="仿宋" w:hAnsi="仿宋" w:eastAsia="仿宋"/>
              <w:color w:val="auto"/>
            </w:rPr>
            <w:t>一</w:t>
          </w:r>
          <w:r>
            <w:rPr>
              <w:rFonts w:hint="eastAsia" w:ascii="仿宋" w:hAnsi="仿宋" w:eastAsia="仿宋"/>
              <w:bCs w:val="0"/>
              <w:color w:val="auto"/>
            </w:rPr>
            <w:t>般公共预算财政拨款基本支出决算表</w:t>
          </w:r>
          <w:r>
            <w:rPr>
              <w:color w:val="auto"/>
            </w:rPr>
            <w:tab/>
          </w:r>
          <w:r>
            <w:rPr>
              <w:color w:val="auto"/>
            </w:rPr>
            <w:fldChar w:fldCharType="begin"/>
          </w:r>
          <w:r>
            <w:rPr>
              <w:color w:val="auto"/>
            </w:rPr>
            <w:instrText xml:space="preserve"> PAGEREF _Toc10360 \h </w:instrText>
          </w:r>
          <w:r>
            <w:rPr>
              <w:color w:val="auto"/>
            </w:rPr>
            <w:fldChar w:fldCharType="separate"/>
          </w:r>
          <w:r>
            <w:rPr>
              <w:color w:val="auto"/>
            </w:rPr>
            <w:t>26</w:t>
          </w:r>
          <w:r>
            <w:rPr>
              <w:color w:val="auto"/>
            </w:rPr>
            <w:fldChar w:fldCharType="end"/>
          </w:r>
          <w:r>
            <w:rPr>
              <w:color w:val="auto"/>
            </w:rPr>
            <w:fldChar w:fldCharType="end"/>
          </w:r>
        </w:p>
        <w:p>
          <w:pPr>
            <w:pStyle w:val="40"/>
            <w:shd w:val="clear"/>
            <w:tabs>
              <w:tab w:val="right" w:leader="dot" w:pos="8306"/>
            </w:tabs>
            <w:rPr>
              <w:color w:val="auto"/>
            </w:rPr>
          </w:pPr>
          <w:r>
            <w:rPr>
              <w:color w:val="auto"/>
            </w:rPr>
            <w:fldChar w:fldCharType="begin"/>
          </w:r>
          <w:r>
            <w:rPr>
              <w:color w:val="auto"/>
            </w:rPr>
            <w:instrText xml:space="preserve"> HYPERLINK \l _Toc1303 </w:instrText>
          </w:r>
          <w:r>
            <w:rPr>
              <w:color w:val="auto"/>
            </w:rPr>
            <w:fldChar w:fldCharType="separate"/>
          </w:r>
          <w:r>
            <w:rPr>
              <w:rFonts w:hint="eastAsia" w:ascii="仿宋" w:hAnsi="仿宋" w:eastAsia="仿宋"/>
              <w:bCs w:val="0"/>
              <w:color w:val="auto"/>
            </w:rPr>
            <w:t>九、</w:t>
          </w:r>
          <w:r>
            <w:rPr>
              <w:rFonts w:hint="eastAsia" w:ascii="仿宋" w:hAnsi="仿宋" w:eastAsia="仿宋"/>
              <w:color w:val="auto"/>
            </w:rPr>
            <w:t>一</w:t>
          </w:r>
          <w:r>
            <w:rPr>
              <w:rFonts w:hint="eastAsia" w:ascii="仿宋" w:hAnsi="仿宋" w:eastAsia="仿宋"/>
              <w:bCs w:val="0"/>
              <w:color w:val="auto"/>
            </w:rPr>
            <w:t>般公共预算财政拨款项目支出决算表</w:t>
          </w:r>
          <w:r>
            <w:rPr>
              <w:color w:val="auto"/>
            </w:rPr>
            <w:tab/>
          </w:r>
          <w:r>
            <w:rPr>
              <w:color w:val="auto"/>
            </w:rPr>
            <w:fldChar w:fldCharType="begin"/>
          </w:r>
          <w:r>
            <w:rPr>
              <w:color w:val="auto"/>
            </w:rPr>
            <w:instrText xml:space="preserve"> PAGEREF _Toc1303 \h </w:instrText>
          </w:r>
          <w:r>
            <w:rPr>
              <w:color w:val="auto"/>
            </w:rPr>
            <w:fldChar w:fldCharType="separate"/>
          </w:r>
          <w:r>
            <w:rPr>
              <w:color w:val="auto"/>
            </w:rPr>
            <w:t>26</w:t>
          </w:r>
          <w:r>
            <w:rPr>
              <w:color w:val="auto"/>
            </w:rPr>
            <w:fldChar w:fldCharType="end"/>
          </w:r>
          <w:r>
            <w:rPr>
              <w:color w:val="auto"/>
            </w:rPr>
            <w:fldChar w:fldCharType="end"/>
          </w:r>
        </w:p>
        <w:p>
          <w:pPr>
            <w:pStyle w:val="40"/>
            <w:shd w:val="clear"/>
            <w:tabs>
              <w:tab w:val="right" w:leader="dot" w:pos="8306"/>
            </w:tabs>
            <w:rPr>
              <w:color w:val="auto"/>
            </w:rPr>
          </w:pPr>
          <w:r>
            <w:rPr>
              <w:color w:val="auto"/>
            </w:rPr>
            <w:fldChar w:fldCharType="begin"/>
          </w:r>
          <w:r>
            <w:rPr>
              <w:color w:val="auto"/>
            </w:rPr>
            <w:instrText xml:space="preserve"> HYPERLINK \l _Toc30458 </w:instrText>
          </w:r>
          <w:r>
            <w:rPr>
              <w:color w:val="auto"/>
            </w:rPr>
            <w:fldChar w:fldCharType="separate"/>
          </w:r>
          <w:r>
            <w:rPr>
              <w:rFonts w:hint="eastAsia" w:ascii="仿宋" w:hAnsi="仿宋" w:eastAsia="仿宋"/>
              <w:bCs w:val="0"/>
              <w:color w:val="auto"/>
            </w:rPr>
            <w:t>十、</w:t>
          </w:r>
          <w:r>
            <w:rPr>
              <w:rFonts w:hint="eastAsia" w:ascii="仿宋" w:hAnsi="仿宋" w:eastAsia="仿宋"/>
              <w:color w:val="auto"/>
            </w:rPr>
            <w:t>政</w:t>
          </w:r>
          <w:r>
            <w:rPr>
              <w:rFonts w:hint="eastAsia" w:ascii="仿宋" w:hAnsi="仿宋" w:eastAsia="仿宋"/>
              <w:bCs w:val="0"/>
              <w:color w:val="auto"/>
            </w:rPr>
            <w:t>府性基金预算财政拨款收入支出决算表</w:t>
          </w:r>
          <w:r>
            <w:rPr>
              <w:color w:val="auto"/>
            </w:rPr>
            <w:tab/>
          </w:r>
          <w:r>
            <w:rPr>
              <w:color w:val="auto"/>
            </w:rPr>
            <w:fldChar w:fldCharType="begin"/>
          </w:r>
          <w:r>
            <w:rPr>
              <w:color w:val="auto"/>
            </w:rPr>
            <w:instrText xml:space="preserve"> PAGEREF _Toc30458 \h </w:instrText>
          </w:r>
          <w:r>
            <w:rPr>
              <w:color w:val="auto"/>
            </w:rPr>
            <w:fldChar w:fldCharType="separate"/>
          </w:r>
          <w:r>
            <w:rPr>
              <w:color w:val="auto"/>
            </w:rPr>
            <w:t>26</w:t>
          </w:r>
          <w:r>
            <w:rPr>
              <w:color w:val="auto"/>
            </w:rPr>
            <w:fldChar w:fldCharType="end"/>
          </w:r>
          <w:r>
            <w:rPr>
              <w:color w:val="auto"/>
            </w:rPr>
            <w:fldChar w:fldCharType="end"/>
          </w:r>
        </w:p>
        <w:p>
          <w:pPr>
            <w:pStyle w:val="40"/>
            <w:shd w:val="clear"/>
            <w:tabs>
              <w:tab w:val="right" w:leader="dot" w:pos="8306"/>
            </w:tabs>
            <w:rPr>
              <w:color w:val="auto"/>
            </w:rPr>
          </w:pPr>
          <w:r>
            <w:rPr>
              <w:color w:val="auto"/>
            </w:rPr>
            <w:fldChar w:fldCharType="begin"/>
          </w:r>
          <w:r>
            <w:rPr>
              <w:color w:val="auto"/>
            </w:rPr>
            <w:instrText xml:space="preserve"> HYPERLINK \l _Toc10622 </w:instrText>
          </w:r>
          <w:r>
            <w:rPr>
              <w:color w:val="auto"/>
            </w:rPr>
            <w:fldChar w:fldCharType="separate"/>
          </w:r>
          <w:r>
            <w:rPr>
              <w:rFonts w:hint="eastAsia" w:ascii="仿宋" w:hAnsi="仿宋" w:eastAsia="仿宋"/>
              <w:bCs w:val="0"/>
              <w:color w:val="auto"/>
            </w:rPr>
            <w:t>十一、</w:t>
          </w:r>
          <w:r>
            <w:rPr>
              <w:rFonts w:hint="eastAsia" w:ascii="仿宋" w:hAnsi="仿宋" w:eastAsia="仿宋"/>
              <w:color w:val="auto"/>
            </w:rPr>
            <w:t>国</w:t>
          </w:r>
          <w:r>
            <w:rPr>
              <w:rFonts w:hint="eastAsia" w:ascii="仿宋" w:hAnsi="仿宋" w:eastAsia="仿宋"/>
              <w:bCs w:val="0"/>
              <w:color w:val="auto"/>
            </w:rPr>
            <w:t>有资本经营预算</w:t>
          </w:r>
          <w:r>
            <w:rPr>
              <w:rFonts w:hint="eastAsia" w:ascii="仿宋" w:hAnsi="仿宋" w:eastAsia="仿宋"/>
              <w:bCs w:val="0"/>
              <w:color w:val="auto"/>
              <w:lang w:eastAsia="zh-CN"/>
            </w:rPr>
            <w:t>财政拨款收入</w:t>
          </w:r>
          <w:r>
            <w:rPr>
              <w:rFonts w:hint="eastAsia" w:ascii="仿宋" w:hAnsi="仿宋" w:eastAsia="仿宋"/>
              <w:bCs w:val="0"/>
              <w:color w:val="auto"/>
            </w:rPr>
            <w:t>支出决算表</w:t>
          </w:r>
          <w:r>
            <w:rPr>
              <w:color w:val="auto"/>
            </w:rPr>
            <w:tab/>
          </w:r>
          <w:r>
            <w:rPr>
              <w:color w:val="auto"/>
            </w:rPr>
            <w:fldChar w:fldCharType="begin"/>
          </w:r>
          <w:r>
            <w:rPr>
              <w:color w:val="auto"/>
            </w:rPr>
            <w:instrText xml:space="preserve"> PAGEREF _Toc10622 \h </w:instrText>
          </w:r>
          <w:r>
            <w:rPr>
              <w:color w:val="auto"/>
            </w:rPr>
            <w:fldChar w:fldCharType="separate"/>
          </w:r>
          <w:r>
            <w:rPr>
              <w:color w:val="auto"/>
            </w:rPr>
            <w:t>26</w:t>
          </w:r>
          <w:r>
            <w:rPr>
              <w:color w:val="auto"/>
            </w:rPr>
            <w:fldChar w:fldCharType="end"/>
          </w:r>
          <w:r>
            <w:rPr>
              <w:color w:val="auto"/>
            </w:rPr>
            <w:fldChar w:fldCharType="end"/>
          </w:r>
        </w:p>
        <w:p>
          <w:pPr>
            <w:pStyle w:val="40"/>
            <w:shd w:val="clear"/>
            <w:tabs>
              <w:tab w:val="right" w:leader="dot" w:pos="8306"/>
            </w:tabs>
            <w:rPr>
              <w:color w:val="auto"/>
            </w:rPr>
          </w:pPr>
          <w:r>
            <w:rPr>
              <w:color w:val="auto"/>
            </w:rPr>
            <w:fldChar w:fldCharType="begin"/>
          </w:r>
          <w:r>
            <w:rPr>
              <w:color w:val="auto"/>
            </w:rPr>
            <w:instrText xml:space="preserve"> HYPERLINK \l _Toc23324 </w:instrText>
          </w:r>
          <w:r>
            <w:rPr>
              <w:color w:val="auto"/>
            </w:rPr>
            <w:fldChar w:fldCharType="separate"/>
          </w:r>
          <w:r>
            <w:rPr>
              <w:rFonts w:hint="eastAsia" w:ascii="仿宋" w:hAnsi="仿宋" w:eastAsia="仿宋"/>
              <w:bCs w:val="0"/>
              <w:color w:val="auto"/>
            </w:rPr>
            <w:t>十二、</w:t>
          </w:r>
          <w:r>
            <w:rPr>
              <w:rFonts w:hint="eastAsia" w:ascii="仿宋" w:hAnsi="仿宋" w:eastAsia="仿宋"/>
              <w:bCs w:val="0"/>
              <w:color w:val="auto"/>
              <w:lang w:eastAsia="zh-CN"/>
            </w:rPr>
            <w:t>国有资本经营预算财政拨款支出决算表</w:t>
          </w:r>
          <w:r>
            <w:rPr>
              <w:color w:val="auto"/>
            </w:rPr>
            <w:tab/>
          </w:r>
          <w:r>
            <w:rPr>
              <w:color w:val="auto"/>
            </w:rPr>
            <w:fldChar w:fldCharType="begin"/>
          </w:r>
          <w:r>
            <w:rPr>
              <w:color w:val="auto"/>
            </w:rPr>
            <w:instrText xml:space="preserve"> PAGEREF _Toc23324 \h </w:instrText>
          </w:r>
          <w:r>
            <w:rPr>
              <w:color w:val="auto"/>
            </w:rPr>
            <w:fldChar w:fldCharType="separate"/>
          </w:r>
          <w:r>
            <w:rPr>
              <w:color w:val="auto"/>
            </w:rPr>
            <w:t>26</w:t>
          </w:r>
          <w:r>
            <w:rPr>
              <w:color w:val="auto"/>
            </w:rPr>
            <w:fldChar w:fldCharType="end"/>
          </w:r>
          <w:r>
            <w:rPr>
              <w:color w:val="auto"/>
            </w:rPr>
            <w:fldChar w:fldCharType="end"/>
          </w:r>
        </w:p>
        <w:p>
          <w:pPr>
            <w:pStyle w:val="40"/>
            <w:shd w:val="clear"/>
            <w:tabs>
              <w:tab w:val="right" w:leader="dot" w:pos="8306"/>
            </w:tabs>
            <w:rPr>
              <w:color w:val="auto"/>
            </w:rPr>
          </w:pPr>
          <w:r>
            <w:rPr>
              <w:color w:val="auto"/>
            </w:rPr>
            <w:fldChar w:fldCharType="begin"/>
          </w:r>
          <w:r>
            <w:rPr>
              <w:color w:val="auto"/>
            </w:rPr>
            <w:instrText xml:space="preserve"> HYPERLINK \l _Toc1459 </w:instrText>
          </w:r>
          <w:r>
            <w:rPr>
              <w:color w:val="auto"/>
            </w:rPr>
            <w:fldChar w:fldCharType="separate"/>
          </w:r>
          <w:r>
            <w:rPr>
              <w:rFonts w:hint="eastAsia" w:ascii="仿宋" w:hAnsi="仿宋" w:eastAsia="仿宋"/>
              <w:bCs w:val="0"/>
              <w:color w:val="auto"/>
            </w:rPr>
            <w:t>十三、</w:t>
          </w:r>
          <w:r>
            <w:rPr>
              <w:rFonts w:hint="eastAsia" w:ascii="仿宋" w:hAnsi="仿宋" w:eastAsia="仿宋"/>
              <w:bCs w:val="0"/>
              <w:color w:val="auto"/>
              <w:lang w:eastAsia="zh-CN"/>
            </w:rPr>
            <w:t>财政拨款“三公”经费支出决算表</w:t>
          </w:r>
          <w:r>
            <w:rPr>
              <w:color w:val="auto"/>
            </w:rPr>
            <w:tab/>
          </w:r>
          <w:r>
            <w:rPr>
              <w:color w:val="auto"/>
            </w:rPr>
            <w:fldChar w:fldCharType="begin"/>
          </w:r>
          <w:r>
            <w:rPr>
              <w:color w:val="auto"/>
            </w:rPr>
            <w:instrText xml:space="preserve"> PAGEREF _Toc1459 \h </w:instrText>
          </w:r>
          <w:r>
            <w:rPr>
              <w:color w:val="auto"/>
            </w:rPr>
            <w:fldChar w:fldCharType="separate"/>
          </w:r>
          <w:r>
            <w:rPr>
              <w:color w:val="auto"/>
            </w:rPr>
            <w:t>26</w:t>
          </w:r>
          <w:r>
            <w:rPr>
              <w:color w:val="auto"/>
            </w:rPr>
            <w:fldChar w:fldCharType="end"/>
          </w:r>
          <w:r>
            <w:rPr>
              <w:color w:val="auto"/>
            </w:rPr>
            <w:fldChar w:fldCharType="end"/>
          </w:r>
        </w:p>
        <w:p>
          <w:pPr>
            <w:shd w:val="clear"/>
            <w:rPr>
              <w:color w:val="auto"/>
            </w:rPr>
          </w:pPr>
          <w:r>
            <w:rPr>
              <w:b/>
              <w:color w:val="auto"/>
            </w:rPr>
            <w:fldChar w:fldCharType="end"/>
          </w:r>
        </w:p>
      </w:sdtContent>
    </w:sdt>
    <w:p>
      <w:pPr>
        <w:pStyle w:val="2"/>
        <w:shd w:val="clear"/>
        <w:ind w:right="440"/>
        <w:jc w:val="center"/>
        <w:rPr>
          <w:rFonts w:hint="eastAsia" w:ascii="黑体" w:hAnsi="黑体" w:eastAsia="黑体"/>
          <w:b w:val="0"/>
          <w:bCs/>
          <w:color w:val="auto"/>
        </w:rPr>
        <w:sectPr>
          <w:footerReference r:id="rId5" w:type="first"/>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pPr>
      <w:bookmarkStart w:id="0" w:name="_Toc15377196"/>
      <w:bookmarkStart w:id="1" w:name="_Toc27982"/>
      <w:bookmarkStart w:id="2" w:name="_Toc15396599"/>
    </w:p>
    <w:bookmarkEnd w:id="0"/>
    <w:bookmarkEnd w:id="1"/>
    <w:bookmarkEnd w:id="2"/>
    <w:p>
      <w:pPr>
        <w:pStyle w:val="2"/>
        <w:shd w:val="clear"/>
        <w:ind w:right="440"/>
        <w:jc w:val="center"/>
        <w:rPr>
          <w:rFonts w:hint="eastAsia" w:ascii="黑体" w:hAnsi="黑体" w:eastAsia="黑体"/>
          <w:b w:val="0"/>
          <w:bCs/>
          <w:color w:val="auto"/>
        </w:rPr>
      </w:pPr>
      <w:r>
        <w:rPr>
          <w:rFonts w:hint="eastAsia" w:ascii="黑体" w:hAnsi="黑体" w:eastAsia="黑体"/>
          <w:b w:val="0"/>
          <w:bCs/>
          <w:color w:val="auto"/>
        </w:rPr>
        <w:t>第一部分部门概况</w:t>
      </w:r>
    </w:p>
    <w:p>
      <w:pPr>
        <w:widowControl/>
        <w:shd w:val="clear"/>
        <w:jc w:val="left"/>
        <w:rPr>
          <w:rFonts w:ascii="黑体" w:eastAsia="黑体"/>
          <w:color w:val="auto"/>
          <w:sz w:val="32"/>
          <w:szCs w:val="32"/>
        </w:rPr>
      </w:pPr>
    </w:p>
    <w:p>
      <w:pPr>
        <w:pStyle w:val="3"/>
        <w:numPr>
          <w:ilvl w:val="0"/>
          <w:numId w:val="1"/>
        </w:numPr>
        <w:shd w:val="clear"/>
        <w:rPr>
          <w:rFonts w:hint="eastAsia" w:ascii="黑体" w:hAnsi="黑体" w:eastAsia="黑体" w:cs="Times New Roman"/>
          <w:b w:val="0"/>
          <w:bCs w:val="0"/>
          <w:color w:val="auto"/>
          <w:kern w:val="2"/>
          <w:sz w:val="32"/>
          <w:szCs w:val="32"/>
          <w:lang w:val="en-US" w:eastAsia="zh-CN" w:bidi="ar-SA"/>
        </w:rPr>
      </w:pPr>
      <w:bookmarkStart w:id="3" w:name="_Toc2840"/>
      <w:bookmarkEnd w:id="3"/>
      <w:r>
        <w:rPr>
          <w:rFonts w:hint="eastAsia" w:ascii="黑体" w:hAnsi="黑体" w:eastAsia="黑体" w:cs="Times New Roman"/>
          <w:b w:val="0"/>
          <w:bCs w:val="0"/>
          <w:color w:val="auto"/>
          <w:kern w:val="2"/>
          <w:sz w:val="32"/>
          <w:szCs w:val="32"/>
          <w:lang w:val="en-US" w:eastAsia="zh-CN" w:bidi="ar-SA"/>
        </w:rPr>
        <w:t>部门职责</w:t>
      </w:r>
    </w:p>
    <w:p>
      <w:pPr>
        <w:pStyle w:val="14"/>
        <w:keepNext w:val="0"/>
        <w:keepLines w:val="0"/>
        <w:widowControl/>
        <w:suppressLineNumbers w:val="0"/>
        <w:shd w:val="clear"/>
        <w:spacing w:before="0" w:beforeAutospacing="0" w:after="0" w:afterAutospacing="0" w:line="570" w:lineRule="atLeast"/>
        <w:ind w:left="0" w:right="0" w:firstLine="645"/>
        <w:jc w:val="left"/>
        <w:rPr>
          <w:color w:val="auto"/>
        </w:rPr>
      </w:pPr>
      <w:r>
        <w:rPr>
          <w:rFonts w:hint="eastAsia" w:ascii="宋体" w:hAnsi="宋体" w:eastAsia="宋体" w:cs="宋体"/>
          <w:i w:val="0"/>
          <w:iCs w:val="0"/>
          <w:color w:val="auto"/>
          <w:spacing w:val="0"/>
          <w:sz w:val="31"/>
          <w:szCs w:val="31"/>
        </w:rPr>
        <w:t>1</w:t>
      </w:r>
      <w:r>
        <w:rPr>
          <w:rFonts w:hint="default" w:ascii="仿宋_GB2312" w:hAnsi="Times New Roman" w:eastAsia="仿宋_GB2312" w:cs="仿宋_GB2312"/>
          <w:i w:val="0"/>
          <w:iCs w:val="0"/>
          <w:color w:val="auto"/>
          <w:spacing w:val="0"/>
          <w:sz w:val="31"/>
          <w:szCs w:val="31"/>
        </w:rPr>
        <w:t>.高举爱国主义和社会主义旗帜，坚持走中国特色社会主义政治发展道路，坚持中国共产党领导的多党合作和政治协商制度，坚持“长期共存、互相监督、肝胆相照、荣辱与共”的方针，认真贯彻落实农工党中央、省委和中共广元市委的方针、政策、指示、决议等。</w:t>
      </w:r>
    </w:p>
    <w:p>
      <w:pPr>
        <w:pStyle w:val="14"/>
        <w:keepNext w:val="0"/>
        <w:keepLines w:val="0"/>
        <w:widowControl/>
        <w:suppressLineNumbers w:val="0"/>
        <w:shd w:val="clear"/>
        <w:spacing w:before="0" w:beforeAutospacing="0" w:after="0" w:afterAutospacing="0" w:line="570" w:lineRule="atLeast"/>
        <w:ind w:left="0" w:right="0" w:firstLine="645"/>
        <w:jc w:val="left"/>
        <w:rPr>
          <w:color w:val="auto"/>
        </w:rPr>
      </w:pPr>
      <w:r>
        <w:rPr>
          <w:rFonts w:hint="eastAsia" w:ascii="宋体" w:hAnsi="宋体" w:eastAsia="宋体" w:cs="宋体"/>
          <w:i w:val="0"/>
          <w:iCs w:val="0"/>
          <w:color w:val="auto"/>
          <w:spacing w:val="0"/>
          <w:sz w:val="31"/>
          <w:szCs w:val="31"/>
        </w:rPr>
        <w:t>2</w:t>
      </w:r>
      <w:r>
        <w:rPr>
          <w:rFonts w:hint="default" w:ascii="仿宋_GB2312" w:hAnsi="Times New Roman" w:eastAsia="仿宋_GB2312" w:cs="仿宋_GB2312"/>
          <w:i w:val="0"/>
          <w:iCs w:val="0"/>
          <w:color w:val="auto"/>
          <w:spacing w:val="0"/>
          <w:sz w:val="31"/>
          <w:szCs w:val="31"/>
        </w:rPr>
        <w:t>.加强全市农工党组织的思想建设和组织建设，教育和引导全市农工党员自觉接受中国共产党的领导，树立中国特色社会主义共同理想，践行社会主义核心价值体系，在本职工作中建功立业。按照积极稳妥的原则，做好组织发展工作，保证党员质量。</w:t>
      </w:r>
    </w:p>
    <w:p>
      <w:pPr>
        <w:pStyle w:val="14"/>
        <w:keepNext w:val="0"/>
        <w:keepLines w:val="0"/>
        <w:widowControl/>
        <w:suppressLineNumbers w:val="0"/>
        <w:shd w:val="clear"/>
        <w:spacing w:before="0" w:beforeAutospacing="0" w:after="0" w:afterAutospacing="0" w:line="570" w:lineRule="atLeast"/>
        <w:ind w:left="0" w:right="0" w:firstLine="645"/>
        <w:jc w:val="left"/>
        <w:rPr>
          <w:color w:val="auto"/>
        </w:rPr>
      </w:pPr>
      <w:r>
        <w:rPr>
          <w:rFonts w:hint="eastAsia" w:ascii="宋体" w:hAnsi="宋体" w:eastAsia="宋体" w:cs="宋体"/>
          <w:i w:val="0"/>
          <w:iCs w:val="0"/>
          <w:color w:val="auto"/>
          <w:spacing w:val="0"/>
          <w:sz w:val="31"/>
          <w:szCs w:val="31"/>
        </w:rPr>
        <w:t>3</w:t>
      </w:r>
      <w:r>
        <w:rPr>
          <w:rFonts w:hint="default" w:ascii="仿宋_GB2312" w:hAnsi="Times New Roman" w:eastAsia="仿宋_GB2312" w:cs="仿宋_GB2312"/>
          <w:i w:val="0"/>
          <w:iCs w:val="0"/>
          <w:color w:val="auto"/>
          <w:spacing w:val="0"/>
          <w:sz w:val="31"/>
          <w:szCs w:val="31"/>
        </w:rPr>
        <w:t>.着力搞好政治交接，全面加强自身建设，特别是抓好领导班子建设、人才队伍建设和基层组织建设。贯彻民主集中制原则，建立民主、高效的领导体制，分工负责、团结协作，切实履行好参政党的各项职能。</w:t>
      </w:r>
    </w:p>
    <w:p>
      <w:pPr>
        <w:pStyle w:val="14"/>
        <w:keepNext w:val="0"/>
        <w:keepLines w:val="0"/>
        <w:widowControl/>
        <w:suppressLineNumbers w:val="0"/>
        <w:shd w:val="clear"/>
        <w:spacing w:before="0" w:beforeAutospacing="0" w:after="0" w:afterAutospacing="0" w:line="570" w:lineRule="atLeast"/>
        <w:ind w:left="0" w:right="0" w:firstLine="645"/>
        <w:jc w:val="left"/>
        <w:rPr>
          <w:rFonts w:hint="default" w:ascii="仿宋_GB2312" w:hAnsi="Times New Roman" w:eastAsia="仿宋_GB2312" w:cs="仿宋_GB2312"/>
          <w:i w:val="0"/>
          <w:iCs w:val="0"/>
          <w:color w:val="auto"/>
          <w:spacing w:val="0"/>
          <w:sz w:val="31"/>
          <w:szCs w:val="31"/>
        </w:rPr>
      </w:pPr>
      <w:r>
        <w:rPr>
          <w:rFonts w:hint="eastAsia" w:ascii="宋体" w:hAnsi="宋体" w:eastAsia="宋体" w:cs="宋体"/>
          <w:i w:val="0"/>
          <w:iCs w:val="0"/>
          <w:color w:val="auto"/>
          <w:spacing w:val="0"/>
          <w:sz w:val="31"/>
          <w:szCs w:val="31"/>
        </w:rPr>
        <w:t>4</w:t>
      </w:r>
      <w:r>
        <w:rPr>
          <w:rFonts w:hint="default" w:ascii="仿宋_GB2312" w:hAnsi="Times New Roman" w:eastAsia="仿宋_GB2312" w:cs="仿宋_GB2312"/>
          <w:i w:val="0"/>
          <w:iCs w:val="0"/>
          <w:color w:val="auto"/>
          <w:spacing w:val="0"/>
          <w:sz w:val="31"/>
          <w:szCs w:val="31"/>
        </w:rPr>
        <w:t>.围绕中共广元市委、市政府中心工作，服务广元改革和发展的大局，以加快经济建设、推动民生改善等作为市委会参政议政的重点，完善机制，加强调查研究，注重发挥界别特色积极建言献策。</w:t>
      </w:r>
    </w:p>
    <w:p>
      <w:pPr>
        <w:pStyle w:val="14"/>
        <w:keepNext w:val="0"/>
        <w:keepLines w:val="0"/>
        <w:widowControl/>
        <w:suppressLineNumbers w:val="0"/>
        <w:shd w:val="clear"/>
        <w:spacing w:before="0" w:beforeAutospacing="0" w:after="0" w:afterAutospacing="0" w:line="570" w:lineRule="atLeast"/>
        <w:ind w:left="0" w:right="0" w:firstLine="645"/>
        <w:jc w:val="left"/>
        <w:rPr>
          <w:rFonts w:hint="eastAsia"/>
          <w:color w:val="auto"/>
          <w:lang w:eastAsia="zh-CN"/>
        </w:rPr>
      </w:pPr>
      <w:r>
        <w:rPr>
          <w:rFonts w:hint="eastAsia" w:ascii="宋体" w:hAnsi="宋体" w:eastAsia="宋体" w:cs="宋体"/>
          <w:i w:val="0"/>
          <w:iCs w:val="0"/>
          <w:color w:val="auto"/>
          <w:spacing w:val="0"/>
          <w:sz w:val="31"/>
          <w:szCs w:val="31"/>
        </w:rPr>
        <w:t>5</w:t>
      </w:r>
      <w:r>
        <w:rPr>
          <w:rFonts w:hint="default" w:ascii="仿宋_GB2312" w:hAnsi="Times New Roman" w:eastAsia="仿宋_GB2312" w:cs="仿宋_GB2312"/>
          <w:i w:val="0"/>
          <w:iCs w:val="0"/>
          <w:color w:val="auto"/>
          <w:spacing w:val="0"/>
          <w:sz w:val="31"/>
          <w:szCs w:val="31"/>
        </w:rPr>
        <w:t>.充分发挥农工党医卫、人资环界别的人才和智力优势，强化品牌和平台的建设，进一步整合资源，创新服务内容，探索有效路径，建立长效机制，开展及时、长期、有效的社会服务。</w:t>
      </w:r>
    </w:p>
    <w:p>
      <w:pPr>
        <w:pStyle w:val="3"/>
        <w:shd w:val="clear"/>
        <w:rPr>
          <w:rStyle w:val="23"/>
          <w:rFonts w:hint="eastAsia" w:ascii="黑体" w:hAnsi="黑体" w:eastAsia="黑体"/>
          <w:b w:val="0"/>
          <w:bCs/>
          <w:color w:val="auto"/>
          <w:lang w:val="en-US" w:eastAsia="zh-CN" w:bidi="ar-SA"/>
        </w:rPr>
      </w:pPr>
      <w:bookmarkStart w:id="4" w:name="_Toc15396601"/>
      <w:bookmarkEnd w:id="4"/>
      <w:bookmarkStart w:id="5" w:name="_Toc21224"/>
      <w:bookmarkEnd w:id="5"/>
      <w:bookmarkStart w:id="6" w:name="_Toc15377200"/>
      <w:bookmarkEnd w:id="6"/>
      <w:r>
        <w:rPr>
          <w:rStyle w:val="23"/>
          <w:rFonts w:hint="eastAsia" w:ascii="黑体" w:hAnsi="黑体" w:eastAsia="黑体"/>
          <w:b w:val="0"/>
          <w:bCs/>
          <w:color w:val="auto"/>
          <w:lang w:val="en-US" w:eastAsia="zh-CN" w:bidi="ar-SA"/>
        </w:rPr>
        <w:t>二、机构设置</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left="0" w:right="0" w:firstLine="668"/>
        <w:jc w:val="both"/>
        <w:rPr>
          <w:rFonts w:hint="eastAsia" w:ascii="黑体" w:hAnsi="黑体" w:eastAsia="黑体"/>
          <w:b w:val="0"/>
          <w:bCs/>
          <w:color w:val="auto"/>
        </w:rPr>
      </w:pPr>
      <w:bookmarkStart w:id="7" w:name="_Toc15377204"/>
      <w:bookmarkStart w:id="8" w:name="_Toc15396602"/>
      <w:r>
        <w:rPr>
          <w:rFonts w:hint="eastAsia" w:ascii="仿宋_GB2312" w:hAnsi="Times New Roman" w:eastAsia="仿宋_GB2312" w:cs="仿宋_GB2312"/>
          <w:i w:val="0"/>
          <w:color w:val="auto"/>
          <w:spacing w:val="0"/>
          <w:kern w:val="0"/>
          <w:sz w:val="32"/>
          <w:szCs w:val="32"/>
          <w:shd w:val="clear" w:color="auto" w:fill="FFFFFF"/>
          <w:lang w:val="en-US" w:eastAsia="zh-CN" w:bidi="ar"/>
        </w:rPr>
        <w:t>农工党广元市委属二级预算单位，行政单位。上级主管部门是中共广元市委统战部。</w:t>
      </w:r>
    </w:p>
    <w:bookmarkEnd w:id="7"/>
    <w:bookmarkEnd w:id="8"/>
    <w:p>
      <w:pPr>
        <w:pStyle w:val="2"/>
        <w:shd w:val="clear"/>
        <w:ind w:right="440"/>
        <w:jc w:val="both"/>
        <w:rPr>
          <w:rStyle w:val="22"/>
          <w:rFonts w:ascii="黑体" w:hAnsi="黑体" w:eastAsia="黑体"/>
          <w:b w:val="0"/>
          <w:bCs/>
          <w:color w:val="auto"/>
        </w:rPr>
      </w:pPr>
      <w:bookmarkStart w:id="9" w:name="_Toc2399"/>
      <w:bookmarkEnd w:id="9"/>
      <w:r>
        <w:rPr>
          <w:rFonts w:hint="eastAsia" w:ascii="黑体" w:hAnsi="黑体" w:eastAsia="黑体"/>
          <w:b w:val="0"/>
          <w:bCs/>
          <w:color w:val="auto"/>
        </w:rPr>
        <w:t>第二部分</w:t>
      </w:r>
      <w:r>
        <w:rPr>
          <w:rFonts w:hint="eastAsia" w:ascii="黑体" w:hAnsi="黑体" w:eastAsia="黑体"/>
          <w:b w:val="0"/>
          <w:bCs/>
          <w:color w:val="auto"/>
          <w:lang w:val="en-US" w:eastAsia="zh-CN"/>
        </w:rPr>
        <w:t>2022年度</w:t>
      </w:r>
      <w:r>
        <w:rPr>
          <w:rStyle w:val="22"/>
          <w:rFonts w:hint="eastAsia" w:ascii="黑体" w:hAnsi="黑体" w:eastAsia="黑体"/>
          <w:b w:val="0"/>
          <w:bCs/>
          <w:color w:val="auto"/>
        </w:rPr>
        <w:t>部门决算情况说明</w:t>
      </w:r>
    </w:p>
    <w:p>
      <w:pPr>
        <w:shd w:val="clear"/>
        <w:rPr>
          <w:color w:val="auto"/>
        </w:rPr>
      </w:pPr>
    </w:p>
    <w:p>
      <w:pPr>
        <w:pStyle w:val="34"/>
        <w:numPr>
          <w:ilvl w:val="0"/>
          <w:numId w:val="2"/>
        </w:numPr>
        <w:shd w:val="clear"/>
        <w:spacing w:line="600" w:lineRule="exact"/>
        <w:ind w:firstLineChars="0"/>
        <w:outlineLvl w:val="1"/>
        <w:rPr>
          <w:rStyle w:val="23"/>
          <w:rFonts w:ascii="黑体" w:hAnsi="黑体" w:eastAsia="黑体"/>
          <w:b w:val="0"/>
          <w:color w:val="auto"/>
        </w:rPr>
      </w:pPr>
      <w:bookmarkStart w:id="10" w:name="_Toc10229"/>
      <w:bookmarkEnd w:id="10"/>
      <w:bookmarkStart w:id="11" w:name="_Toc15396603"/>
      <w:bookmarkEnd w:id="11"/>
      <w:bookmarkStart w:id="12" w:name="_Toc15377205"/>
      <w:bookmarkEnd w:id="12"/>
      <w:r>
        <w:rPr>
          <w:rFonts w:hint="eastAsia" w:ascii="黑体" w:hAnsi="黑体" w:eastAsia="黑体"/>
          <w:color w:val="auto"/>
          <w:sz w:val="32"/>
          <w:szCs w:val="32"/>
        </w:rPr>
        <w:t>收</w:t>
      </w:r>
      <w:r>
        <w:rPr>
          <w:rStyle w:val="23"/>
          <w:rFonts w:hint="eastAsia" w:ascii="黑体" w:hAnsi="黑体" w:eastAsia="黑体"/>
          <w:b w:val="0"/>
          <w:color w:val="auto"/>
        </w:rPr>
        <w:t>入支出决算总体情况说明</w:t>
      </w:r>
    </w:p>
    <w:p>
      <w:pPr>
        <w:shd w:val="clear"/>
        <w:spacing w:line="600" w:lineRule="exact"/>
        <w:ind w:firstLine="640" w:firstLineChars="200"/>
        <w:rPr>
          <w:rFonts w:hint="eastAsia" w:ascii="仿宋" w:hAnsi="仿宋" w:eastAsia="仿宋"/>
          <w:color w:val="auto"/>
          <w:sz w:val="32"/>
          <w:szCs w:val="32"/>
          <w:lang w:eastAsia="zh-CN"/>
        </w:rPr>
      </w:pPr>
      <w:r>
        <w:rPr>
          <w:rFonts w:hint="eastAsia" w:ascii="仿宋" w:hAnsi="仿宋" w:eastAsia="仿宋"/>
          <w:color w:val="auto"/>
          <w:sz w:val="32"/>
          <w:szCs w:val="32"/>
        </w:rPr>
        <w:t>20</w:t>
      </w:r>
      <w:r>
        <w:rPr>
          <w:rFonts w:hint="eastAsia" w:ascii="仿宋" w:hAnsi="仿宋" w:eastAsia="仿宋"/>
          <w:color w:val="auto"/>
          <w:sz w:val="32"/>
          <w:szCs w:val="32"/>
          <w:lang w:val="en-US" w:eastAsia="zh-CN"/>
        </w:rPr>
        <w:t>22</w:t>
      </w:r>
      <w:r>
        <w:rPr>
          <w:rFonts w:hint="eastAsia" w:ascii="仿宋" w:hAnsi="仿宋" w:eastAsia="仿宋"/>
          <w:color w:val="auto"/>
          <w:sz w:val="32"/>
          <w:szCs w:val="32"/>
        </w:rPr>
        <w:t>年度收、支总计86.07万元。与20</w:t>
      </w:r>
      <w:r>
        <w:rPr>
          <w:rFonts w:hint="eastAsia" w:ascii="仿宋" w:hAnsi="仿宋" w:eastAsia="仿宋"/>
          <w:color w:val="auto"/>
          <w:sz w:val="32"/>
          <w:szCs w:val="32"/>
          <w:lang w:val="en-US" w:eastAsia="zh-CN"/>
        </w:rPr>
        <w:t>21</w:t>
      </w:r>
      <w:r>
        <w:rPr>
          <w:rFonts w:hint="eastAsia" w:ascii="仿宋" w:hAnsi="仿宋" w:eastAsia="仿宋"/>
          <w:color w:val="auto"/>
          <w:sz w:val="32"/>
          <w:szCs w:val="32"/>
        </w:rPr>
        <w:t>年相比，收、支总计各增加</w:t>
      </w:r>
      <w:r>
        <w:rPr>
          <w:rFonts w:hint="eastAsia" w:ascii="仿宋" w:hAnsi="仿宋" w:eastAsia="仿宋"/>
          <w:color w:val="auto"/>
          <w:sz w:val="32"/>
          <w:szCs w:val="32"/>
          <w:lang w:val="en-US" w:eastAsia="zh-CN"/>
        </w:rPr>
        <w:t>25.18</w:t>
      </w:r>
      <w:r>
        <w:rPr>
          <w:rFonts w:hint="eastAsia" w:ascii="仿宋" w:hAnsi="仿宋" w:eastAsia="仿宋"/>
          <w:color w:val="auto"/>
          <w:sz w:val="32"/>
          <w:szCs w:val="32"/>
        </w:rPr>
        <w:t>万元，增长</w:t>
      </w:r>
      <w:r>
        <w:rPr>
          <w:rFonts w:hint="eastAsia" w:ascii="仿宋" w:hAnsi="仿宋" w:eastAsia="仿宋"/>
          <w:color w:val="auto"/>
          <w:sz w:val="32"/>
          <w:szCs w:val="32"/>
          <w:lang w:val="en-US" w:eastAsia="zh-CN"/>
        </w:rPr>
        <w:t>41.35</w:t>
      </w:r>
      <w:r>
        <w:rPr>
          <w:rFonts w:ascii="仿宋" w:hAnsi="仿宋" w:eastAsia="仿宋"/>
          <w:color w:val="auto"/>
          <w:sz w:val="32"/>
          <w:szCs w:val="32"/>
        </w:rPr>
        <w:t>%</w:t>
      </w:r>
      <w:r>
        <w:rPr>
          <w:rFonts w:hint="eastAsia" w:ascii="仿宋" w:hAnsi="仿宋" w:eastAsia="仿宋"/>
          <w:color w:val="auto"/>
          <w:sz w:val="32"/>
          <w:szCs w:val="32"/>
        </w:rPr>
        <w:t>。主要变动原因是</w:t>
      </w:r>
      <w:r>
        <w:rPr>
          <w:rFonts w:hint="eastAsia" w:ascii="仿宋" w:hAnsi="仿宋" w:eastAsia="仿宋"/>
          <w:color w:val="auto"/>
          <w:sz w:val="32"/>
          <w:szCs w:val="32"/>
          <w:lang w:eastAsia="zh-CN"/>
        </w:rPr>
        <w:t>人员工资正常晋升变动。</w:t>
      </w:r>
    </w:p>
    <w:p>
      <w:pPr>
        <w:pStyle w:val="6"/>
        <w:shd w:val="clear"/>
        <w:rPr>
          <w:rFonts w:hint="eastAsia" w:ascii="仿宋" w:hAnsi="仿宋" w:eastAsia="仿宋"/>
          <w:color w:val="auto"/>
          <w:sz w:val="32"/>
          <w:szCs w:val="32"/>
          <w:lang w:eastAsia="zh-CN"/>
        </w:rPr>
      </w:pPr>
      <w:r>
        <w:rPr>
          <w:rFonts w:hint="eastAsia" w:ascii="仿宋" w:hAnsi="仿宋" w:eastAsia="仿宋"/>
          <w:color w:val="auto"/>
          <w:sz w:val="32"/>
          <w:szCs w:val="32"/>
          <w:lang w:eastAsia="zh-CN"/>
        </w:rPr>
        <w:drawing>
          <wp:inline distT="0" distB="0" distL="114300" distR="114300">
            <wp:extent cx="5256530" cy="2988310"/>
            <wp:effectExtent l="5080" t="4445" r="15240" b="1714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hd w:val="clear"/>
        <w:spacing w:line="600" w:lineRule="exact"/>
        <w:ind w:firstLine="1600" w:firstLineChars="500"/>
        <w:rPr>
          <w:rFonts w:ascii="仿宋_GB2312" w:eastAsia="仿宋_GB2312"/>
          <w:color w:val="auto"/>
          <w:sz w:val="32"/>
          <w:szCs w:val="32"/>
        </w:rPr>
      </w:pPr>
      <w:r>
        <w:rPr>
          <w:rFonts w:hint="eastAsia" w:ascii="仿宋" w:hAnsi="仿宋" w:eastAsia="仿宋"/>
          <w:color w:val="auto"/>
          <w:sz w:val="32"/>
          <w:szCs w:val="32"/>
        </w:rPr>
        <w:t>（图</w:t>
      </w:r>
      <w:r>
        <w:rPr>
          <w:rFonts w:ascii="仿宋" w:hAnsi="仿宋" w:eastAsia="仿宋"/>
          <w:color w:val="auto"/>
          <w:sz w:val="32"/>
          <w:szCs w:val="32"/>
        </w:rPr>
        <w:t>1</w:t>
      </w:r>
      <w:r>
        <w:rPr>
          <w:rFonts w:hint="eastAsia" w:ascii="仿宋" w:hAnsi="仿宋" w:eastAsia="仿宋"/>
          <w:color w:val="auto"/>
          <w:sz w:val="32"/>
          <w:szCs w:val="32"/>
        </w:rPr>
        <w:t>：收、支决算总计变动情况图）</w:t>
      </w:r>
    </w:p>
    <w:p>
      <w:pPr>
        <w:pStyle w:val="34"/>
        <w:numPr>
          <w:ilvl w:val="0"/>
          <w:numId w:val="2"/>
        </w:numPr>
        <w:shd w:val="clear"/>
        <w:spacing w:line="600" w:lineRule="exact"/>
        <w:ind w:firstLineChars="0"/>
        <w:outlineLvl w:val="1"/>
        <w:rPr>
          <w:rStyle w:val="23"/>
          <w:rFonts w:ascii="黑体" w:hAnsi="黑体" w:eastAsia="黑体"/>
          <w:b w:val="0"/>
          <w:color w:val="auto"/>
        </w:rPr>
      </w:pPr>
      <w:bookmarkStart w:id="13" w:name="_Toc15396604"/>
      <w:bookmarkEnd w:id="13"/>
      <w:bookmarkStart w:id="14" w:name="_Toc820"/>
      <w:bookmarkEnd w:id="14"/>
      <w:bookmarkStart w:id="15" w:name="_Toc15377206"/>
      <w:bookmarkEnd w:id="15"/>
      <w:r>
        <w:rPr>
          <w:rFonts w:hint="eastAsia" w:ascii="黑体" w:hAnsi="黑体" w:eastAsia="黑体"/>
          <w:color w:val="auto"/>
          <w:sz w:val="32"/>
          <w:szCs w:val="32"/>
        </w:rPr>
        <w:t>收</w:t>
      </w:r>
      <w:r>
        <w:rPr>
          <w:rStyle w:val="23"/>
          <w:rFonts w:hint="eastAsia" w:ascii="黑体" w:hAnsi="黑体" w:eastAsia="黑体"/>
          <w:b w:val="0"/>
          <w:color w:val="auto"/>
        </w:rPr>
        <w:t>入决算情况说明</w:t>
      </w:r>
    </w:p>
    <w:p>
      <w:pPr>
        <w:shd w:val="clear"/>
        <w:spacing w:line="600" w:lineRule="exact"/>
        <w:ind w:firstLine="640" w:firstLineChars="200"/>
        <w:outlineLvl w:val="1"/>
        <w:rPr>
          <w:rFonts w:hint="eastAsia" w:ascii="仿宋" w:hAnsi="仿宋" w:eastAsia="仿宋"/>
          <w:color w:val="auto"/>
          <w:sz w:val="32"/>
          <w:szCs w:val="32"/>
        </w:rPr>
      </w:pPr>
      <w:bookmarkStart w:id="16" w:name="_Toc5541"/>
      <w:bookmarkEnd w:id="16"/>
      <w:r>
        <w:rPr>
          <w:rFonts w:ascii="仿宋" w:hAnsi="仿宋" w:eastAsia="仿宋"/>
          <w:color w:val="auto"/>
          <w:sz w:val="32"/>
          <w:szCs w:val="32"/>
        </w:rPr>
        <w:t>20</w:t>
      </w:r>
      <w:r>
        <w:rPr>
          <w:rFonts w:hint="eastAsia" w:ascii="仿宋" w:hAnsi="仿宋" w:eastAsia="仿宋"/>
          <w:color w:val="auto"/>
          <w:sz w:val="32"/>
          <w:szCs w:val="32"/>
          <w:lang w:val="en-US" w:eastAsia="zh-CN"/>
        </w:rPr>
        <w:t>22</w:t>
      </w:r>
      <w:r>
        <w:rPr>
          <w:rFonts w:hint="eastAsia" w:ascii="仿宋" w:hAnsi="仿宋" w:eastAsia="仿宋"/>
          <w:color w:val="auto"/>
          <w:sz w:val="32"/>
          <w:szCs w:val="32"/>
        </w:rPr>
        <w:t>年本年收入合计86.07万元，其中：一般公共预算财政拨款收入85.9万元，占</w:t>
      </w:r>
      <w:r>
        <w:rPr>
          <w:rFonts w:hint="eastAsia" w:ascii="仿宋" w:hAnsi="仿宋" w:eastAsia="仿宋"/>
          <w:color w:val="auto"/>
          <w:sz w:val="32"/>
          <w:szCs w:val="32"/>
          <w:lang w:val="en-US" w:eastAsia="zh-CN"/>
        </w:rPr>
        <w:t>99.80</w:t>
      </w:r>
      <w:r>
        <w:rPr>
          <w:rFonts w:ascii="仿宋" w:hAnsi="仿宋" w:eastAsia="仿宋"/>
          <w:color w:val="auto"/>
          <w:sz w:val="32"/>
          <w:szCs w:val="32"/>
        </w:rPr>
        <w:t>%</w:t>
      </w:r>
      <w:r>
        <w:rPr>
          <w:rFonts w:hint="eastAsia" w:ascii="仿宋" w:hAnsi="仿宋" w:eastAsia="仿宋"/>
          <w:color w:val="auto"/>
          <w:sz w:val="32"/>
          <w:szCs w:val="32"/>
        </w:rPr>
        <w:t>；其他收入0.17万元，占</w:t>
      </w:r>
      <w:r>
        <w:rPr>
          <w:rFonts w:hint="eastAsia" w:ascii="仿宋" w:hAnsi="仿宋" w:eastAsia="仿宋"/>
          <w:color w:val="auto"/>
          <w:sz w:val="32"/>
          <w:szCs w:val="32"/>
          <w:lang w:val="en-US" w:eastAsia="zh-CN"/>
        </w:rPr>
        <w:t>0.2</w:t>
      </w:r>
      <w:r>
        <w:rPr>
          <w:rFonts w:ascii="仿宋" w:hAnsi="仿宋" w:eastAsia="仿宋"/>
          <w:color w:val="auto"/>
          <w:sz w:val="32"/>
          <w:szCs w:val="32"/>
        </w:rPr>
        <w:t>%</w:t>
      </w:r>
      <w:r>
        <w:rPr>
          <w:rFonts w:hint="eastAsia" w:ascii="仿宋" w:hAnsi="仿宋" w:eastAsia="仿宋"/>
          <w:color w:val="auto"/>
          <w:sz w:val="32"/>
          <w:szCs w:val="32"/>
        </w:rPr>
        <w:t>。</w:t>
      </w:r>
    </w:p>
    <w:p>
      <w:pPr>
        <w:pStyle w:val="6"/>
        <w:shd w:val="clear"/>
        <w:rPr>
          <w:rFonts w:hint="eastAsia" w:ascii="仿宋" w:hAnsi="仿宋" w:eastAsia="仿宋"/>
          <w:color w:val="auto"/>
          <w:sz w:val="32"/>
          <w:szCs w:val="32"/>
          <w:lang w:eastAsia="zh-CN"/>
        </w:rPr>
      </w:pPr>
      <w:r>
        <w:rPr>
          <w:rFonts w:hint="eastAsia" w:ascii="仿宋" w:hAnsi="仿宋" w:eastAsia="仿宋"/>
          <w:color w:val="auto"/>
          <w:sz w:val="32"/>
          <w:szCs w:val="32"/>
          <w:lang w:eastAsia="zh-CN"/>
        </w:rPr>
        <w:drawing>
          <wp:inline distT="0" distB="0" distL="114300" distR="114300">
            <wp:extent cx="5031105" cy="2405380"/>
            <wp:effectExtent l="4445" t="4445" r="12700" b="952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hd w:val="clear"/>
        <w:spacing w:line="600" w:lineRule="exact"/>
        <w:ind w:firstLine="640" w:firstLineChars="200"/>
        <w:jc w:val="center"/>
        <w:rPr>
          <w:rFonts w:ascii="仿宋" w:hAnsi="仿宋" w:eastAsia="仿宋"/>
          <w:color w:val="auto"/>
          <w:sz w:val="32"/>
          <w:szCs w:val="32"/>
        </w:rPr>
      </w:pPr>
      <w:r>
        <w:rPr>
          <w:rFonts w:hint="eastAsia" w:ascii="仿宋" w:hAnsi="仿宋" w:eastAsia="仿宋"/>
          <w:color w:val="auto"/>
          <w:sz w:val="32"/>
          <w:szCs w:val="32"/>
        </w:rPr>
        <w:t>（图2：收入决算结构图）</w:t>
      </w:r>
    </w:p>
    <w:p>
      <w:pPr>
        <w:shd w:val="clear"/>
        <w:spacing w:line="600" w:lineRule="exact"/>
        <w:ind w:firstLine="640" w:firstLineChars="200"/>
        <w:rPr>
          <w:rFonts w:ascii="仿宋_GB2312" w:eastAsia="仿宋_GB2312"/>
          <w:color w:val="auto"/>
          <w:sz w:val="32"/>
          <w:szCs w:val="32"/>
        </w:rPr>
      </w:pPr>
    </w:p>
    <w:p>
      <w:pPr>
        <w:pStyle w:val="34"/>
        <w:numPr>
          <w:ilvl w:val="0"/>
          <w:numId w:val="2"/>
        </w:numPr>
        <w:shd w:val="clear"/>
        <w:spacing w:line="600" w:lineRule="exact"/>
        <w:ind w:firstLineChars="0"/>
        <w:outlineLvl w:val="1"/>
        <w:rPr>
          <w:rStyle w:val="23"/>
          <w:rFonts w:ascii="黑体" w:hAnsi="黑体" w:eastAsia="黑体"/>
          <w:b w:val="0"/>
          <w:color w:val="auto"/>
        </w:rPr>
      </w:pPr>
      <w:bookmarkStart w:id="17" w:name="_Toc22071"/>
      <w:bookmarkEnd w:id="17"/>
      <w:bookmarkStart w:id="18" w:name="_Toc15377207"/>
      <w:bookmarkEnd w:id="18"/>
      <w:bookmarkStart w:id="19" w:name="_Toc15396605"/>
      <w:bookmarkEnd w:id="19"/>
      <w:r>
        <w:rPr>
          <w:rFonts w:hint="eastAsia" w:ascii="黑体" w:hAnsi="黑体" w:eastAsia="黑体"/>
          <w:color w:val="auto"/>
          <w:sz w:val="32"/>
          <w:szCs w:val="32"/>
        </w:rPr>
        <w:t>支</w:t>
      </w:r>
      <w:r>
        <w:rPr>
          <w:rStyle w:val="23"/>
          <w:rFonts w:hint="eastAsia" w:ascii="黑体" w:hAnsi="黑体" w:eastAsia="黑体"/>
          <w:b w:val="0"/>
          <w:color w:val="auto"/>
        </w:rPr>
        <w:t>出决算情况说明</w:t>
      </w:r>
    </w:p>
    <w:p>
      <w:pPr>
        <w:shd w:val="clear"/>
        <w:spacing w:line="600" w:lineRule="exact"/>
        <w:ind w:firstLine="640" w:firstLineChars="200"/>
        <w:outlineLvl w:val="1"/>
        <w:rPr>
          <w:rFonts w:ascii="仿宋" w:hAnsi="仿宋" w:eastAsia="仿宋"/>
          <w:color w:val="auto"/>
          <w:sz w:val="32"/>
          <w:szCs w:val="32"/>
          <w:shd w:val="pct10" w:color="auto" w:fill="FFFFFF"/>
        </w:rPr>
      </w:pPr>
      <w:bookmarkStart w:id="20" w:name="_Toc16258"/>
      <w:bookmarkEnd w:id="20"/>
      <w:r>
        <w:rPr>
          <w:rFonts w:ascii="仿宋" w:hAnsi="仿宋" w:eastAsia="仿宋"/>
          <w:color w:val="auto"/>
          <w:sz w:val="32"/>
          <w:szCs w:val="32"/>
        </w:rPr>
        <w:t>20</w:t>
      </w:r>
      <w:r>
        <w:rPr>
          <w:rFonts w:hint="eastAsia" w:ascii="仿宋" w:hAnsi="仿宋" w:eastAsia="仿宋"/>
          <w:color w:val="auto"/>
          <w:sz w:val="32"/>
          <w:szCs w:val="32"/>
          <w:lang w:val="en-US" w:eastAsia="zh-CN"/>
        </w:rPr>
        <w:t>22</w:t>
      </w:r>
      <w:r>
        <w:rPr>
          <w:rFonts w:hint="eastAsia" w:ascii="仿宋" w:hAnsi="仿宋" w:eastAsia="仿宋"/>
          <w:color w:val="auto"/>
          <w:sz w:val="32"/>
          <w:szCs w:val="32"/>
        </w:rPr>
        <w:t>年本年支出合计86.07万元，其中：基本支出66.96万元，占</w:t>
      </w:r>
      <w:r>
        <w:rPr>
          <w:rFonts w:hint="eastAsia" w:ascii="仿宋" w:hAnsi="仿宋" w:eastAsia="仿宋"/>
          <w:color w:val="auto"/>
          <w:sz w:val="32"/>
          <w:szCs w:val="32"/>
          <w:lang w:val="en-US" w:eastAsia="zh-CN"/>
        </w:rPr>
        <w:t>77.80</w:t>
      </w:r>
      <w:r>
        <w:rPr>
          <w:rFonts w:ascii="仿宋" w:hAnsi="仿宋" w:eastAsia="仿宋"/>
          <w:color w:val="auto"/>
          <w:sz w:val="32"/>
          <w:szCs w:val="32"/>
        </w:rPr>
        <w:t>%</w:t>
      </w:r>
      <w:r>
        <w:rPr>
          <w:rFonts w:hint="eastAsia" w:ascii="仿宋" w:hAnsi="仿宋" w:eastAsia="仿宋"/>
          <w:color w:val="auto"/>
          <w:sz w:val="32"/>
          <w:szCs w:val="32"/>
        </w:rPr>
        <w:t>；项目支出19.11万元，占</w:t>
      </w:r>
      <w:r>
        <w:rPr>
          <w:rFonts w:hint="eastAsia" w:ascii="仿宋" w:hAnsi="仿宋" w:eastAsia="仿宋"/>
          <w:color w:val="auto"/>
          <w:sz w:val="32"/>
          <w:szCs w:val="32"/>
          <w:lang w:val="en-US" w:eastAsia="zh-CN"/>
        </w:rPr>
        <w:t>22.2</w:t>
      </w:r>
      <w:r>
        <w:rPr>
          <w:rFonts w:ascii="仿宋" w:hAnsi="仿宋" w:eastAsia="仿宋"/>
          <w:color w:val="auto"/>
          <w:sz w:val="32"/>
          <w:szCs w:val="32"/>
        </w:rPr>
        <w:t>%</w:t>
      </w:r>
      <w:r>
        <w:rPr>
          <w:rFonts w:hint="eastAsia" w:ascii="仿宋" w:hAnsi="仿宋" w:eastAsia="仿宋"/>
          <w:color w:val="auto"/>
          <w:sz w:val="32"/>
          <w:szCs w:val="32"/>
        </w:rPr>
        <w:t>。</w:t>
      </w:r>
    </w:p>
    <w:p>
      <w:pPr>
        <w:pStyle w:val="6"/>
        <w:shd w:val="clear"/>
        <w:rPr>
          <w:rFonts w:ascii="仿宋" w:hAnsi="仿宋" w:eastAsia="仿宋"/>
          <w:color w:val="auto"/>
          <w:sz w:val="32"/>
          <w:szCs w:val="32"/>
          <w:shd w:val="pct10" w:color="auto" w:fill="FFFFFF"/>
        </w:rPr>
      </w:pPr>
      <w:r>
        <w:rPr>
          <w:rFonts w:hint="eastAsia"/>
          <w:color w:val="auto"/>
          <w:lang w:eastAsia="zh-CN"/>
        </w:rPr>
        <w:drawing>
          <wp:inline distT="0" distB="0" distL="114300" distR="114300">
            <wp:extent cx="4652010" cy="2478405"/>
            <wp:effectExtent l="4445" t="4445" r="10795" b="1270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hd w:val="clear"/>
        <w:spacing w:line="600" w:lineRule="exact"/>
        <w:ind w:firstLine="1600" w:firstLineChars="500"/>
        <w:rPr>
          <w:rFonts w:ascii="仿宋_GB2312" w:eastAsia="仿宋_GB2312"/>
          <w:color w:val="auto"/>
          <w:sz w:val="32"/>
          <w:szCs w:val="32"/>
        </w:rPr>
      </w:pPr>
      <w:r>
        <w:rPr>
          <w:rFonts w:hint="eastAsia" w:ascii="仿宋" w:hAnsi="仿宋" w:eastAsia="仿宋"/>
          <w:color w:val="auto"/>
          <w:sz w:val="32"/>
          <w:szCs w:val="32"/>
        </w:rPr>
        <w:t>（图3：支出决算结构图）</w:t>
      </w:r>
    </w:p>
    <w:p>
      <w:pPr>
        <w:shd w:val="clear"/>
        <w:spacing w:line="600" w:lineRule="exact"/>
        <w:ind w:firstLine="640" w:firstLineChars="200"/>
        <w:outlineLvl w:val="1"/>
        <w:rPr>
          <w:rStyle w:val="23"/>
          <w:rFonts w:ascii="黑体" w:hAnsi="黑体" w:eastAsia="黑体"/>
          <w:b w:val="0"/>
          <w:color w:val="auto"/>
        </w:rPr>
      </w:pPr>
      <w:bookmarkStart w:id="21" w:name="_Toc15396606"/>
      <w:bookmarkEnd w:id="21"/>
      <w:bookmarkStart w:id="22" w:name="_Toc15377208"/>
      <w:bookmarkEnd w:id="22"/>
      <w:bookmarkStart w:id="23" w:name="_Toc2700"/>
      <w:bookmarkEnd w:id="23"/>
      <w:r>
        <w:rPr>
          <w:rFonts w:hint="eastAsia" w:ascii="黑体" w:hAnsi="黑体" w:eastAsia="黑体"/>
          <w:color w:val="auto"/>
          <w:sz w:val="32"/>
          <w:szCs w:val="32"/>
        </w:rPr>
        <w:t>四、财</w:t>
      </w:r>
      <w:r>
        <w:rPr>
          <w:rStyle w:val="23"/>
          <w:rFonts w:hint="eastAsia" w:ascii="黑体" w:hAnsi="黑体" w:eastAsia="黑体"/>
          <w:b w:val="0"/>
          <w:color w:val="auto"/>
        </w:rPr>
        <w:t>政拨款收入支出决算总体情况说明</w:t>
      </w:r>
    </w:p>
    <w:p>
      <w:pPr>
        <w:shd w:val="clear"/>
        <w:spacing w:line="600" w:lineRule="exact"/>
        <w:ind w:firstLine="640"/>
        <w:rPr>
          <w:rFonts w:ascii="仿宋" w:hAnsi="仿宋" w:eastAsia="仿宋"/>
          <w:color w:val="auto"/>
          <w:sz w:val="32"/>
          <w:szCs w:val="32"/>
        </w:rPr>
      </w:pPr>
      <w:r>
        <w:rPr>
          <w:rFonts w:ascii="仿宋" w:hAnsi="仿宋" w:eastAsia="仿宋"/>
          <w:color w:val="auto"/>
          <w:sz w:val="32"/>
          <w:szCs w:val="32"/>
        </w:rPr>
        <w:t>20</w:t>
      </w:r>
      <w:r>
        <w:rPr>
          <w:rFonts w:hint="eastAsia" w:ascii="仿宋" w:hAnsi="仿宋" w:eastAsia="仿宋"/>
          <w:color w:val="auto"/>
          <w:sz w:val="32"/>
          <w:szCs w:val="32"/>
          <w:lang w:val="en-US" w:eastAsia="zh-CN"/>
        </w:rPr>
        <w:t>22</w:t>
      </w:r>
      <w:r>
        <w:rPr>
          <w:rFonts w:hint="eastAsia" w:ascii="仿宋" w:hAnsi="仿宋" w:eastAsia="仿宋"/>
          <w:color w:val="auto"/>
          <w:sz w:val="32"/>
          <w:szCs w:val="32"/>
        </w:rPr>
        <w:t>年财政拨款收、支总计85.9</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万元。与</w:t>
      </w:r>
      <w:r>
        <w:rPr>
          <w:rFonts w:ascii="仿宋" w:hAnsi="仿宋" w:eastAsia="仿宋"/>
          <w:color w:val="auto"/>
          <w:sz w:val="32"/>
          <w:szCs w:val="32"/>
        </w:rPr>
        <w:t>20</w:t>
      </w:r>
      <w:r>
        <w:rPr>
          <w:rFonts w:hint="eastAsia" w:ascii="仿宋" w:hAnsi="仿宋" w:eastAsia="仿宋"/>
          <w:color w:val="auto"/>
          <w:sz w:val="32"/>
          <w:szCs w:val="32"/>
          <w:lang w:val="en-US" w:eastAsia="zh-CN"/>
        </w:rPr>
        <w:t>21</w:t>
      </w:r>
      <w:r>
        <w:rPr>
          <w:rFonts w:hint="eastAsia" w:ascii="仿宋" w:hAnsi="仿宋" w:eastAsia="仿宋"/>
          <w:color w:val="auto"/>
          <w:sz w:val="32"/>
          <w:szCs w:val="32"/>
        </w:rPr>
        <w:t>年相比，财政拨款收、支总计各增加</w:t>
      </w:r>
      <w:r>
        <w:rPr>
          <w:rFonts w:hint="eastAsia" w:ascii="仿宋" w:hAnsi="仿宋" w:eastAsia="仿宋"/>
          <w:color w:val="auto"/>
          <w:sz w:val="32"/>
          <w:szCs w:val="32"/>
          <w:lang w:val="en-US" w:eastAsia="zh-CN"/>
        </w:rPr>
        <w:t>30.24</w:t>
      </w:r>
      <w:r>
        <w:rPr>
          <w:rFonts w:hint="eastAsia" w:ascii="仿宋" w:hAnsi="仿宋" w:eastAsia="仿宋"/>
          <w:color w:val="auto"/>
          <w:sz w:val="32"/>
          <w:szCs w:val="32"/>
        </w:rPr>
        <w:t>万元，增长</w:t>
      </w:r>
      <w:r>
        <w:rPr>
          <w:rFonts w:hint="eastAsia" w:ascii="仿宋" w:hAnsi="仿宋" w:eastAsia="仿宋"/>
          <w:color w:val="auto"/>
          <w:sz w:val="32"/>
          <w:szCs w:val="32"/>
          <w:lang w:val="en-US" w:eastAsia="zh-CN"/>
        </w:rPr>
        <w:t>54.33</w:t>
      </w:r>
      <w:r>
        <w:rPr>
          <w:rFonts w:ascii="仿宋" w:hAnsi="仿宋" w:eastAsia="仿宋"/>
          <w:color w:val="auto"/>
          <w:sz w:val="32"/>
          <w:szCs w:val="32"/>
        </w:rPr>
        <w:t>%</w:t>
      </w:r>
      <w:r>
        <w:rPr>
          <w:rFonts w:hint="eastAsia" w:ascii="仿宋" w:hAnsi="仿宋" w:eastAsia="仿宋"/>
          <w:color w:val="auto"/>
          <w:sz w:val="32"/>
          <w:szCs w:val="32"/>
        </w:rPr>
        <w:t>。主要变动原因是</w:t>
      </w:r>
      <w:r>
        <w:rPr>
          <w:rFonts w:hint="eastAsia" w:ascii="仿宋" w:hAnsi="仿宋" w:eastAsia="仿宋"/>
          <w:color w:val="auto"/>
          <w:sz w:val="32"/>
          <w:szCs w:val="32"/>
          <w:lang w:eastAsia="zh-CN"/>
        </w:rPr>
        <w:t>人员正常工资变动。</w:t>
      </w:r>
    </w:p>
    <w:p>
      <w:pPr>
        <w:pStyle w:val="6"/>
        <w:shd w:val="clear"/>
        <w:rPr>
          <w:rFonts w:ascii="仿宋" w:hAnsi="仿宋" w:eastAsia="仿宋"/>
          <w:color w:val="auto"/>
          <w:sz w:val="32"/>
          <w:szCs w:val="32"/>
        </w:rPr>
      </w:pPr>
      <w:r>
        <w:rPr>
          <w:rFonts w:hint="eastAsia" w:ascii="仿宋" w:hAnsi="仿宋" w:eastAsia="仿宋"/>
          <w:color w:val="auto"/>
          <w:sz w:val="32"/>
          <w:szCs w:val="32"/>
          <w:lang w:eastAsia="zh-CN"/>
        </w:rPr>
        <w:drawing>
          <wp:inline distT="0" distB="0" distL="114300" distR="114300">
            <wp:extent cx="4834890" cy="3034030"/>
            <wp:effectExtent l="4445" t="4445" r="18415" b="952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hd w:val="clear"/>
        <w:spacing w:line="600" w:lineRule="exact"/>
        <w:ind w:firstLine="640" w:firstLineChars="200"/>
        <w:rPr>
          <w:rFonts w:ascii="仿宋" w:hAnsi="仿宋" w:eastAsia="仿宋"/>
          <w:b/>
          <w:color w:val="auto"/>
          <w:sz w:val="32"/>
          <w:szCs w:val="32"/>
        </w:rPr>
      </w:pPr>
      <w:r>
        <w:rPr>
          <w:rFonts w:hint="eastAsia" w:ascii="仿宋" w:hAnsi="仿宋" w:eastAsia="仿宋"/>
          <w:color w:val="auto"/>
          <w:sz w:val="32"/>
          <w:szCs w:val="32"/>
        </w:rPr>
        <w:t>（图4：财政拨款收、支决算总计变动情况）</w:t>
      </w:r>
    </w:p>
    <w:p>
      <w:pPr>
        <w:shd w:val="clear"/>
        <w:spacing w:line="600" w:lineRule="exact"/>
        <w:ind w:firstLine="640" w:firstLineChars="200"/>
        <w:outlineLvl w:val="1"/>
        <w:rPr>
          <w:rStyle w:val="23"/>
          <w:rFonts w:ascii="黑体" w:hAnsi="黑体" w:eastAsia="黑体"/>
          <w:b w:val="0"/>
          <w:color w:val="auto"/>
        </w:rPr>
      </w:pPr>
      <w:bookmarkStart w:id="24" w:name="_Toc15577"/>
      <w:bookmarkEnd w:id="24"/>
      <w:bookmarkStart w:id="25" w:name="_Toc15377209"/>
      <w:bookmarkEnd w:id="25"/>
      <w:bookmarkStart w:id="26" w:name="_Toc15396607"/>
      <w:bookmarkEnd w:id="26"/>
      <w:r>
        <w:rPr>
          <w:rFonts w:hint="eastAsia" w:ascii="黑体" w:hAnsi="黑体" w:eastAsia="黑体"/>
          <w:color w:val="auto"/>
          <w:sz w:val="32"/>
          <w:szCs w:val="32"/>
        </w:rPr>
        <w:t>五、</w:t>
      </w:r>
      <w:r>
        <w:rPr>
          <w:rFonts w:hint="eastAsia" w:ascii="黑体" w:hAnsi="黑体" w:eastAsia="黑体"/>
          <w:b/>
          <w:color w:val="auto"/>
          <w:sz w:val="32"/>
          <w:szCs w:val="32"/>
        </w:rPr>
        <w:t>一</w:t>
      </w:r>
      <w:r>
        <w:rPr>
          <w:rStyle w:val="23"/>
          <w:rFonts w:hint="eastAsia" w:ascii="黑体" w:hAnsi="黑体" w:eastAsia="黑体"/>
          <w:b w:val="0"/>
          <w:color w:val="auto"/>
        </w:rPr>
        <w:t>般公共预算财政拨款支出决算情况说明</w:t>
      </w:r>
    </w:p>
    <w:p>
      <w:pPr>
        <w:shd w:val="clear"/>
        <w:spacing w:line="600" w:lineRule="exact"/>
        <w:ind w:firstLine="642" w:firstLineChars="200"/>
        <w:outlineLvl w:val="2"/>
        <w:rPr>
          <w:rFonts w:ascii="仿宋" w:hAnsi="仿宋" w:eastAsia="仿宋"/>
          <w:b/>
          <w:color w:val="auto"/>
          <w:sz w:val="32"/>
          <w:szCs w:val="32"/>
        </w:rPr>
      </w:pPr>
      <w:bookmarkStart w:id="27" w:name="_Toc15377210"/>
      <w:bookmarkEnd w:id="27"/>
      <w:r>
        <w:rPr>
          <w:rFonts w:hint="eastAsia" w:ascii="仿宋" w:hAnsi="仿宋" w:eastAsia="仿宋"/>
          <w:b/>
          <w:color w:val="auto"/>
          <w:sz w:val="32"/>
          <w:szCs w:val="32"/>
        </w:rPr>
        <w:t>（一）一般公共预算财政拨款支出决算总体情况</w:t>
      </w:r>
    </w:p>
    <w:p>
      <w:pPr>
        <w:shd w:val="clear"/>
        <w:spacing w:line="600" w:lineRule="exact"/>
        <w:ind w:firstLine="640" w:firstLineChars="200"/>
        <w:rPr>
          <w:rFonts w:hint="eastAsia" w:ascii="仿宋" w:hAnsi="仿宋" w:eastAsia="仿宋"/>
          <w:color w:val="auto"/>
          <w:sz w:val="32"/>
          <w:szCs w:val="32"/>
        </w:rPr>
      </w:pPr>
      <w:r>
        <w:rPr>
          <w:rFonts w:ascii="仿宋" w:hAnsi="仿宋" w:eastAsia="仿宋"/>
          <w:color w:val="auto"/>
          <w:sz w:val="32"/>
          <w:szCs w:val="32"/>
        </w:rPr>
        <w:t>20</w:t>
      </w:r>
      <w:r>
        <w:rPr>
          <w:rFonts w:hint="eastAsia" w:ascii="仿宋" w:hAnsi="仿宋" w:eastAsia="仿宋"/>
          <w:color w:val="auto"/>
          <w:sz w:val="32"/>
          <w:szCs w:val="32"/>
          <w:lang w:val="en-US" w:eastAsia="zh-CN"/>
        </w:rPr>
        <w:t>22</w:t>
      </w:r>
      <w:r>
        <w:rPr>
          <w:rFonts w:hint="eastAsia" w:ascii="仿宋" w:hAnsi="仿宋" w:eastAsia="仿宋"/>
          <w:color w:val="auto"/>
          <w:sz w:val="32"/>
          <w:szCs w:val="32"/>
        </w:rPr>
        <w:t>年一般公共预算财政拨款支出85.9万元，占本年支出合计的</w:t>
      </w:r>
      <w:r>
        <w:rPr>
          <w:rFonts w:hint="eastAsia" w:ascii="仿宋" w:hAnsi="仿宋" w:eastAsia="仿宋"/>
          <w:color w:val="auto"/>
          <w:sz w:val="32"/>
          <w:szCs w:val="32"/>
          <w:lang w:val="en-US" w:eastAsia="zh-CN"/>
        </w:rPr>
        <w:t>99.80</w:t>
      </w:r>
      <w:r>
        <w:rPr>
          <w:rFonts w:ascii="仿宋" w:hAnsi="仿宋" w:eastAsia="仿宋"/>
          <w:color w:val="auto"/>
          <w:sz w:val="32"/>
          <w:szCs w:val="32"/>
        </w:rPr>
        <w:t>%</w:t>
      </w:r>
      <w:r>
        <w:rPr>
          <w:rFonts w:hint="eastAsia" w:ascii="仿宋" w:hAnsi="仿宋" w:eastAsia="仿宋"/>
          <w:color w:val="auto"/>
          <w:sz w:val="32"/>
          <w:szCs w:val="32"/>
        </w:rPr>
        <w:t>。与</w:t>
      </w:r>
      <w:r>
        <w:rPr>
          <w:rFonts w:ascii="仿宋" w:hAnsi="仿宋" w:eastAsia="仿宋"/>
          <w:color w:val="auto"/>
          <w:sz w:val="32"/>
          <w:szCs w:val="32"/>
        </w:rPr>
        <w:t>20</w:t>
      </w:r>
      <w:r>
        <w:rPr>
          <w:rFonts w:hint="eastAsia" w:ascii="仿宋" w:hAnsi="仿宋" w:eastAsia="仿宋"/>
          <w:color w:val="auto"/>
          <w:sz w:val="32"/>
          <w:szCs w:val="32"/>
          <w:lang w:val="en-US" w:eastAsia="zh-CN"/>
        </w:rPr>
        <w:t>21</w:t>
      </w:r>
      <w:r>
        <w:rPr>
          <w:rFonts w:hint="eastAsia" w:ascii="仿宋" w:hAnsi="仿宋" w:eastAsia="仿宋"/>
          <w:color w:val="auto"/>
          <w:sz w:val="32"/>
          <w:szCs w:val="32"/>
        </w:rPr>
        <w:t>年相比，一般公共预算财政拨款</w:t>
      </w:r>
      <w:r>
        <w:rPr>
          <w:rFonts w:hint="eastAsia" w:ascii="仿宋" w:hAnsi="仿宋" w:eastAsia="仿宋"/>
          <w:color w:val="auto"/>
          <w:sz w:val="32"/>
          <w:szCs w:val="32"/>
          <w:lang w:eastAsia="zh-CN"/>
        </w:rPr>
        <w:t>支出</w:t>
      </w:r>
      <w:r>
        <w:rPr>
          <w:rFonts w:hint="eastAsia" w:ascii="仿宋" w:hAnsi="仿宋" w:eastAsia="仿宋"/>
          <w:color w:val="auto"/>
          <w:sz w:val="32"/>
          <w:szCs w:val="32"/>
        </w:rPr>
        <w:t>增加30.24万元，增长54.33</w:t>
      </w:r>
      <w:r>
        <w:rPr>
          <w:rFonts w:ascii="仿宋" w:hAnsi="仿宋" w:eastAsia="仿宋"/>
          <w:color w:val="auto"/>
          <w:sz w:val="32"/>
          <w:szCs w:val="32"/>
        </w:rPr>
        <w:t>%</w:t>
      </w:r>
      <w:r>
        <w:rPr>
          <w:rFonts w:hint="eastAsia" w:ascii="仿宋" w:hAnsi="仿宋" w:eastAsia="仿宋"/>
          <w:color w:val="auto"/>
          <w:sz w:val="32"/>
          <w:szCs w:val="32"/>
        </w:rPr>
        <w:t>。主要变动原因是正常人员调资。</w:t>
      </w:r>
    </w:p>
    <w:p>
      <w:pPr>
        <w:pStyle w:val="6"/>
        <w:shd w:val="clear"/>
        <w:rPr>
          <w:rFonts w:hint="eastAsia" w:ascii="仿宋" w:hAnsi="仿宋" w:eastAsia="仿宋"/>
          <w:color w:val="auto"/>
          <w:sz w:val="32"/>
          <w:szCs w:val="32"/>
        </w:rPr>
      </w:pPr>
      <w:r>
        <w:rPr>
          <w:rFonts w:hint="eastAsia" w:ascii="仿宋" w:hAnsi="仿宋" w:eastAsia="仿宋"/>
          <w:color w:val="auto"/>
          <w:sz w:val="32"/>
          <w:szCs w:val="32"/>
          <w:lang w:eastAsia="zh-CN"/>
        </w:rPr>
        <w:drawing>
          <wp:inline distT="0" distB="0" distL="114300" distR="114300">
            <wp:extent cx="5137150" cy="2679065"/>
            <wp:effectExtent l="4445" t="4445" r="20955" b="2159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hd w:val="clear"/>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（图5：一般公共预算财政拨款支出决算变动情况）</w:t>
      </w:r>
    </w:p>
    <w:p>
      <w:pPr>
        <w:shd w:val="clear"/>
        <w:spacing w:line="600" w:lineRule="exact"/>
        <w:ind w:firstLine="642" w:firstLineChars="200"/>
        <w:outlineLvl w:val="2"/>
        <w:rPr>
          <w:rFonts w:ascii="仿宋" w:hAnsi="仿宋" w:eastAsia="仿宋"/>
          <w:b/>
          <w:color w:val="auto"/>
          <w:sz w:val="32"/>
          <w:szCs w:val="32"/>
        </w:rPr>
      </w:pPr>
      <w:bookmarkStart w:id="28" w:name="_Toc15377211"/>
      <w:bookmarkEnd w:id="28"/>
      <w:r>
        <w:rPr>
          <w:rFonts w:hint="eastAsia" w:ascii="仿宋" w:hAnsi="仿宋" w:eastAsia="仿宋"/>
          <w:b/>
          <w:color w:val="auto"/>
          <w:sz w:val="32"/>
          <w:szCs w:val="32"/>
        </w:rPr>
        <w:t>（二）一般公共预算财政拨款支出决算结构情况</w:t>
      </w:r>
    </w:p>
    <w:p>
      <w:pPr>
        <w:shd w:val="clear"/>
        <w:spacing w:line="600" w:lineRule="exact"/>
        <w:ind w:firstLine="640"/>
        <w:rPr>
          <w:rFonts w:hint="eastAsia" w:ascii="仿宋" w:hAnsi="仿宋" w:eastAsia="仿宋"/>
          <w:color w:val="auto"/>
          <w:sz w:val="32"/>
          <w:szCs w:val="32"/>
        </w:rPr>
      </w:pPr>
      <w:r>
        <w:rPr>
          <w:rFonts w:ascii="仿宋" w:hAnsi="仿宋" w:eastAsia="仿宋"/>
          <w:color w:val="auto"/>
          <w:sz w:val="32"/>
          <w:szCs w:val="32"/>
        </w:rPr>
        <w:t>20</w:t>
      </w:r>
      <w:r>
        <w:rPr>
          <w:rFonts w:hint="eastAsia" w:ascii="仿宋" w:hAnsi="仿宋" w:eastAsia="仿宋"/>
          <w:color w:val="auto"/>
          <w:sz w:val="32"/>
          <w:szCs w:val="32"/>
          <w:lang w:val="en-US" w:eastAsia="zh-CN"/>
        </w:rPr>
        <w:t>22</w:t>
      </w:r>
      <w:r>
        <w:rPr>
          <w:rFonts w:hint="eastAsia" w:ascii="仿宋" w:hAnsi="仿宋" w:eastAsia="仿宋"/>
          <w:color w:val="auto"/>
          <w:sz w:val="32"/>
          <w:szCs w:val="32"/>
        </w:rPr>
        <w:t>年一般公共预算财政拨款支出85.9万元，主要用于以下方面</w:t>
      </w:r>
      <w:r>
        <w:rPr>
          <w:rFonts w:hint="eastAsia" w:ascii="仿宋" w:hAnsi="仿宋" w:eastAsia="仿宋"/>
          <w:color w:val="auto"/>
          <w:sz w:val="32"/>
          <w:szCs w:val="32"/>
          <w:lang w:eastAsia="zh-CN"/>
        </w:rPr>
        <w:t>：</w:t>
      </w:r>
      <w:r>
        <w:rPr>
          <w:rFonts w:hint="eastAsia" w:ascii="仿宋" w:hAnsi="仿宋" w:eastAsia="仿宋"/>
          <w:b/>
          <w:color w:val="auto"/>
          <w:sz w:val="32"/>
          <w:szCs w:val="32"/>
        </w:rPr>
        <w:t>一般公共服务</w:t>
      </w:r>
      <w:r>
        <w:rPr>
          <w:rFonts w:hint="eastAsia" w:ascii="仿宋" w:hAnsi="仿宋" w:eastAsia="仿宋"/>
          <w:b/>
          <w:bCs/>
          <w:color w:val="auto"/>
          <w:sz w:val="32"/>
          <w:szCs w:val="32"/>
        </w:rPr>
        <w:t>支出</w:t>
      </w:r>
      <w:r>
        <w:rPr>
          <w:rFonts w:hint="eastAsia" w:ascii="仿宋" w:hAnsi="仿宋" w:eastAsia="仿宋"/>
          <w:color w:val="auto"/>
          <w:sz w:val="32"/>
          <w:szCs w:val="32"/>
        </w:rPr>
        <w:t>77.23万元，占</w:t>
      </w:r>
      <w:r>
        <w:rPr>
          <w:rFonts w:hint="eastAsia" w:ascii="仿宋" w:hAnsi="仿宋" w:eastAsia="仿宋"/>
          <w:color w:val="auto"/>
          <w:sz w:val="32"/>
          <w:szCs w:val="32"/>
          <w:lang w:val="en-US" w:eastAsia="zh-CN"/>
        </w:rPr>
        <w:t>89.91</w:t>
      </w:r>
      <w:r>
        <w:rPr>
          <w:rFonts w:ascii="仿宋" w:hAnsi="仿宋" w:eastAsia="仿宋"/>
          <w:color w:val="auto"/>
          <w:sz w:val="32"/>
          <w:szCs w:val="32"/>
        </w:rPr>
        <w:t>%</w:t>
      </w:r>
      <w:r>
        <w:rPr>
          <w:rFonts w:hint="eastAsia" w:ascii="仿宋" w:hAnsi="仿宋" w:eastAsia="仿宋"/>
          <w:color w:val="auto"/>
          <w:sz w:val="32"/>
          <w:szCs w:val="32"/>
        </w:rPr>
        <w:t>；</w:t>
      </w:r>
      <w:r>
        <w:rPr>
          <w:rFonts w:hint="eastAsia" w:ascii="仿宋" w:hAnsi="仿宋" w:eastAsia="仿宋"/>
          <w:b/>
          <w:color w:val="auto"/>
          <w:sz w:val="32"/>
          <w:szCs w:val="32"/>
        </w:rPr>
        <w:t>社会保障和就业</w:t>
      </w:r>
      <w:r>
        <w:rPr>
          <w:rFonts w:hint="eastAsia" w:ascii="仿宋" w:hAnsi="仿宋" w:eastAsia="仿宋"/>
          <w:b/>
          <w:bCs/>
          <w:color w:val="auto"/>
          <w:sz w:val="32"/>
          <w:szCs w:val="32"/>
        </w:rPr>
        <w:t>支出</w:t>
      </w:r>
      <w:r>
        <w:rPr>
          <w:rFonts w:hint="eastAsia" w:ascii="仿宋" w:hAnsi="仿宋" w:eastAsia="仿宋"/>
          <w:color w:val="auto"/>
          <w:sz w:val="32"/>
          <w:szCs w:val="32"/>
        </w:rPr>
        <w:t>3.4万元，占</w:t>
      </w:r>
      <w:r>
        <w:rPr>
          <w:rFonts w:hint="eastAsia" w:ascii="仿宋" w:hAnsi="仿宋" w:eastAsia="仿宋"/>
          <w:color w:val="auto"/>
          <w:sz w:val="32"/>
          <w:szCs w:val="32"/>
          <w:lang w:val="en-US" w:eastAsia="zh-CN"/>
        </w:rPr>
        <w:t>3.96</w:t>
      </w:r>
      <w:r>
        <w:rPr>
          <w:rFonts w:ascii="仿宋" w:hAnsi="仿宋" w:eastAsia="仿宋"/>
          <w:color w:val="auto"/>
          <w:sz w:val="32"/>
          <w:szCs w:val="32"/>
        </w:rPr>
        <w:t>%</w:t>
      </w:r>
      <w:r>
        <w:rPr>
          <w:rFonts w:hint="eastAsia" w:ascii="仿宋" w:hAnsi="仿宋" w:eastAsia="仿宋"/>
          <w:color w:val="auto"/>
          <w:sz w:val="32"/>
          <w:szCs w:val="32"/>
        </w:rPr>
        <w:t>；</w:t>
      </w:r>
      <w:r>
        <w:rPr>
          <w:rFonts w:hint="eastAsia" w:ascii="仿宋" w:hAnsi="仿宋" w:eastAsia="仿宋"/>
          <w:b/>
          <w:bCs/>
          <w:color w:val="auto"/>
          <w:sz w:val="32"/>
          <w:szCs w:val="32"/>
        </w:rPr>
        <w:t>卫生健康支出</w:t>
      </w:r>
      <w:r>
        <w:rPr>
          <w:rFonts w:hint="eastAsia" w:ascii="仿宋" w:hAnsi="仿宋" w:eastAsia="仿宋"/>
          <w:color w:val="auto"/>
          <w:sz w:val="32"/>
          <w:szCs w:val="32"/>
        </w:rPr>
        <w:t>1.65万元，占</w:t>
      </w:r>
      <w:r>
        <w:rPr>
          <w:rFonts w:hint="eastAsia" w:ascii="仿宋" w:hAnsi="仿宋" w:eastAsia="仿宋"/>
          <w:color w:val="auto"/>
          <w:sz w:val="32"/>
          <w:szCs w:val="32"/>
          <w:lang w:val="en-US" w:eastAsia="zh-CN"/>
        </w:rPr>
        <w:t>1.92</w:t>
      </w:r>
      <w:r>
        <w:rPr>
          <w:rFonts w:ascii="仿宋" w:hAnsi="仿宋" w:eastAsia="仿宋"/>
          <w:color w:val="auto"/>
          <w:sz w:val="32"/>
          <w:szCs w:val="32"/>
        </w:rPr>
        <w:t>%</w:t>
      </w:r>
      <w:r>
        <w:rPr>
          <w:rFonts w:hint="eastAsia" w:ascii="仿宋" w:hAnsi="仿宋" w:eastAsia="仿宋"/>
          <w:color w:val="auto"/>
          <w:sz w:val="32"/>
          <w:szCs w:val="32"/>
        </w:rPr>
        <w:t>；</w:t>
      </w:r>
      <w:r>
        <w:rPr>
          <w:rFonts w:hint="eastAsia" w:ascii="仿宋" w:hAnsi="仿宋" w:eastAsia="仿宋"/>
          <w:b/>
          <w:bCs/>
          <w:color w:val="auto"/>
          <w:sz w:val="32"/>
          <w:szCs w:val="32"/>
        </w:rPr>
        <w:t>住房保障支出</w:t>
      </w:r>
      <w:r>
        <w:rPr>
          <w:rFonts w:hint="eastAsia" w:ascii="仿宋" w:hAnsi="仿宋" w:eastAsia="仿宋"/>
          <w:color w:val="auto"/>
          <w:sz w:val="32"/>
          <w:szCs w:val="32"/>
        </w:rPr>
        <w:t>3.62万元，占</w:t>
      </w:r>
      <w:r>
        <w:rPr>
          <w:rFonts w:hint="eastAsia" w:ascii="仿宋" w:hAnsi="仿宋" w:eastAsia="仿宋"/>
          <w:color w:val="auto"/>
          <w:sz w:val="32"/>
          <w:szCs w:val="32"/>
          <w:lang w:val="en-US" w:eastAsia="zh-CN"/>
        </w:rPr>
        <w:t>4.21</w:t>
      </w:r>
      <w:r>
        <w:rPr>
          <w:rFonts w:ascii="仿宋" w:hAnsi="仿宋" w:eastAsia="仿宋"/>
          <w:color w:val="auto"/>
          <w:sz w:val="32"/>
          <w:szCs w:val="32"/>
        </w:rPr>
        <w:t>%</w:t>
      </w:r>
      <w:r>
        <w:rPr>
          <w:rFonts w:hint="eastAsia" w:ascii="仿宋" w:hAnsi="仿宋" w:eastAsia="仿宋"/>
          <w:color w:val="auto"/>
          <w:sz w:val="32"/>
          <w:szCs w:val="32"/>
        </w:rPr>
        <w:t>。</w:t>
      </w:r>
    </w:p>
    <w:p>
      <w:pPr>
        <w:shd w:val="clear"/>
        <w:spacing w:line="600" w:lineRule="exact"/>
        <w:ind w:firstLine="640"/>
        <w:rPr>
          <w:rFonts w:ascii="仿宋" w:hAnsi="仿宋" w:eastAsia="仿宋"/>
          <w:color w:val="auto"/>
          <w:sz w:val="32"/>
          <w:szCs w:val="32"/>
        </w:rPr>
      </w:pPr>
      <w:r>
        <w:rPr>
          <w:rFonts w:hint="eastAsia" w:ascii="仿宋" w:hAnsi="仿宋" w:eastAsia="仿宋_GB2312"/>
          <w:color w:val="auto"/>
          <w:sz w:val="32"/>
          <w:szCs w:val="32"/>
        </w:rPr>
        <w:drawing>
          <wp:anchor distT="0" distB="0" distL="114300" distR="114300" simplePos="0" relativeHeight="4096" behindDoc="0" locked="0" layoutInCell="1" allowOverlap="1">
            <wp:simplePos x="0" y="0"/>
            <wp:positionH relativeFrom="column">
              <wp:posOffset>400050</wp:posOffset>
            </wp:positionH>
            <wp:positionV relativeFrom="paragraph">
              <wp:posOffset>30480</wp:posOffset>
            </wp:positionV>
            <wp:extent cx="4077335" cy="2923540"/>
            <wp:effectExtent l="0" t="0" r="18415" b="10160"/>
            <wp:wrapTight wrapText="bothSides">
              <wp:wrapPolygon>
                <wp:start x="21592" y="-2"/>
                <wp:lineTo x="0" y="0"/>
                <wp:lineTo x="0" y="21600"/>
                <wp:lineTo x="21592" y="21602"/>
                <wp:lineTo x="8" y="21602"/>
                <wp:lineTo x="21600" y="21600"/>
                <wp:lineTo x="21600" y="0"/>
                <wp:lineTo x="8" y="-2"/>
                <wp:lineTo x="21592" y="-2"/>
              </wp:wrapPolygon>
            </wp:wrapTight>
            <wp:docPr id="6" name="Object 14"/>
            <wp:cNvGraphicFramePr/>
            <a:graphic xmlns:a="http://schemas.openxmlformats.org/drawingml/2006/main">
              <a:graphicData uri="http://schemas.openxmlformats.org/drawingml/2006/picture">
                <pic:pic xmlns:pic="http://schemas.openxmlformats.org/drawingml/2006/picture">
                  <pic:nvPicPr>
                    <pic:cNvPr id="6" name="Object 14"/>
                    <pic:cNvPicPr/>
                  </pic:nvPicPr>
                  <pic:blipFill>
                    <a:blip r:embed="rId14"/>
                    <a:stretch>
                      <a:fillRect/>
                    </a:stretch>
                  </pic:blipFill>
                  <pic:spPr>
                    <a:xfrm>
                      <a:off x="0" y="0"/>
                      <a:ext cx="4077334" cy="2923540"/>
                    </a:xfrm>
                    <a:prstGeom prst="rect">
                      <a:avLst/>
                    </a:prstGeom>
                  </pic:spPr>
                </pic:pic>
              </a:graphicData>
            </a:graphic>
          </wp:anchor>
        </w:drawing>
      </w:r>
    </w:p>
    <w:p>
      <w:pPr>
        <w:pStyle w:val="6"/>
        <w:shd w:val="clear"/>
        <w:rPr>
          <w:rFonts w:ascii="仿宋" w:hAnsi="仿宋" w:eastAsia="仿宋"/>
          <w:color w:val="auto"/>
          <w:sz w:val="32"/>
          <w:szCs w:val="32"/>
        </w:rPr>
      </w:pPr>
    </w:p>
    <w:p>
      <w:pPr>
        <w:pStyle w:val="6"/>
        <w:shd w:val="clear"/>
        <w:rPr>
          <w:rFonts w:ascii="仿宋" w:hAnsi="仿宋" w:eastAsia="仿宋"/>
          <w:color w:val="auto"/>
          <w:sz w:val="32"/>
          <w:szCs w:val="32"/>
        </w:rPr>
      </w:pPr>
    </w:p>
    <w:p>
      <w:pPr>
        <w:pStyle w:val="6"/>
        <w:shd w:val="clear"/>
        <w:rPr>
          <w:rFonts w:ascii="仿宋" w:hAnsi="仿宋" w:eastAsia="仿宋"/>
          <w:color w:val="auto"/>
          <w:sz w:val="32"/>
          <w:szCs w:val="32"/>
        </w:rPr>
      </w:pPr>
    </w:p>
    <w:p>
      <w:pPr>
        <w:pStyle w:val="6"/>
        <w:shd w:val="clear"/>
        <w:rPr>
          <w:rFonts w:ascii="仿宋" w:hAnsi="仿宋" w:eastAsia="仿宋"/>
          <w:color w:val="auto"/>
          <w:sz w:val="32"/>
          <w:szCs w:val="32"/>
        </w:rPr>
      </w:pPr>
    </w:p>
    <w:p>
      <w:pPr>
        <w:pStyle w:val="6"/>
        <w:shd w:val="clear"/>
        <w:rPr>
          <w:rFonts w:ascii="仿宋" w:hAnsi="仿宋" w:eastAsia="仿宋"/>
          <w:color w:val="auto"/>
          <w:sz w:val="32"/>
          <w:szCs w:val="32"/>
        </w:rPr>
      </w:pPr>
    </w:p>
    <w:p>
      <w:pPr>
        <w:shd w:val="clear"/>
        <w:spacing w:line="600" w:lineRule="exact"/>
        <w:rPr>
          <w:rFonts w:hint="eastAsia" w:ascii="仿宋" w:hAnsi="仿宋" w:eastAsia="仿宋"/>
          <w:color w:val="auto"/>
          <w:sz w:val="32"/>
          <w:szCs w:val="32"/>
        </w:rPr>
      </w:pPr>
    </w:p>
    <w:p>
      <w:pPr>
        <w:shd w:val="clear"/>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（图6：一般公共预算财政拨款支出决算结构）</w:t>
      </w:r>
    </w:p>
    <w:p>
      <w:pPr>
        <w:shd w:val="clear"/>
        <w:spacing w:line="600" w:lineRule="exact"/>
        <w:ind w:firstLine="642" w:firstLineChars="200"/>
        <w:outlineLvl w:val="2"/>
        <w:rPr>
          <w:rFonts w:ascii="仿宋" w:hAnsi="仿宋" w:eastAsia="仿宋"/>
          <w:b/>
          <w:color w:val="auto"/>
          <w:sz w:val="32"/>
          <w:szCs w:val="32"/>
        </w:rPr>
      </w:pPr>
      <w:bookmarkStart w:id="29" w:name="_Toc15377212"/>
      <w:bookmarkEnd w:id="29"/>
      <w:r>
        <w:rPr>
          <w:rFonts w:hint="eastAsia" w:ascii="仿宋" w:hAnsi="仿宋" w:eastAsia="仿宋"/>
          <w:b/>
          <w:color w:val="auto"/>
          <w:sz w:val="32"/>
          <w:szCs w:val="32"/>
        </w:rPr>
        <w:t>（三）一般公共预算财政拨款支出决算具体情况</w:t>
      </w:r>
    </w:p>
    <w:p>
      <w:pPr>
        <w:shd w:val="clear"/>
        <w:spacing w:line="600" w:lineRule="exact"/>
        <w:ind w:firstLine="642" w:firstLineChars="200"/>
        <w:outlineLvl w:val="1"/>
        <w:rPr>
          <w:rFonts w:ascii="仿宋" w:hAnsi="仿宋" w:eastAsia="仿宋"/>
          <w:color w:val="auto"/>
          <w:sz w:val="32"/>
          <w:szCs w:val="32"/>
        </w:rPr>
      </w:pPr>
      <w:bookmarkStart w:id="30" w:name="_Toc13091"/>
      <w:bookmarkEnd w:id="30"/>
      <w:bookmarkStart w:id="31" w:name="_Toc15377444"/>
      <w:bookmarkEnd w:id="31"/>
      <w:bookmarkStart w:id="32" w:name="_Toc15378460"/>
      <w:bookmarkEnd w:id="32"/>
      <w:bookmarkStart w:id="33" w:name="_Toc15377213"/>
      <w:bookmarkEnd w:id="33"/>
      <w:r>
        <w:rPr>
          <w:rFonts w:hint="eastAsia" w:ascii="仿宋" w:hAnsi="仿宋" w:eastAsia="仿宋"/>
          <w:b/>
          <w:color w:val="auto"/>
          <w:sz w:val="32"/>
          <w:szCs w:val="32"/>
        </w:rPr>
        <w:t>20</w:t>
      </w:r>
      <w:r>
        <w:rPr>
          <w:rFonts w:hint="eastAsia" w:ascii="仿宋" w:hAnsi="仿宋" w:eastAsia="仿宋"/>
          <w:b/>
          <w:color w:val="auto"/>
          <w:sz w:val="32"/>
          <w:szCs w:val="32"/>
          <w:lang w:val="en-US" w:eastAsia="zh-CN"/>
        </w:rPr>
        <w:t>22</w:t>
      </w:r>
      <w:r>
        <w:rPr>
          <w:rFonts w:hint="eastAsia" w:ascii="仿宋" w:hAnsi="仿宋" w:eastAsia="仿宋"/>
          <w:b/>
          <w:color w:val="auto"/>
          <w:sz w:val="32"/>
          <w:szCs w:val="32"/>
        </w:rPr>
        <w:t>年</w:t>
      </w:r>
      <w:r>
        <w:rPr>
          <w:rFonts w:hint="eastAsia" w:ascii="仿宋" w:hAnsi="仿宋" w:eastAsia="仿宋"/>
          <w:b/>
          <w:color w:val="auto"/>
          <w:sz w:val="32"/>
          <w:szCs w:val="32"/>
          <w:lang w:eastAsia="zh-CN"/>
        </w:rPr>
        <w:t>一</w:t>
      </w:r>
      <w:r>
        <w:rPr>
          <w:rFonts w:hint="eastAsia" w:ascii="仿宋" w:hAnsi="仿宋" w:eastAsia="仿宋"/>
          <w:b/>
          <w:color w:val="auto"/>
          <w:sz w:val="32"/>
          <w:szCs w:val="32"/>
        </w:rPr>
        <w:t>般公共预算支出决算数为85.9</w:t>
      </w:r>
      <w:r>
        <w:rPr>
          <w:rFonts w:hint="eastAsia" w:ascii="仿宋" w:hAnsi="仿宋" w:eastAsia="仿宋"/>
          <w:color w:val="auto"/>
          <w:sz w:val="32"/>
          <w:szCs w:val="32"/>
        </w:rPr>
        <w:t>，</w:t>
      </w:r>
      <w:r>
        <w:rPr>
          <w:rStyle w:val="18"/>
          <w:rFonts w:hint="eastAsia" w:ascii="仿宋" w:hAnsi="仿宋" w:eastAsia="仿宋"/>
          <w:bCs/>
          <w:color w:val="auto"/>
          <w:sz w:val="32"/>
          <w:szCs w:val="32"/>
        </w:rPr>
        <w:t>完成预算</w:t>
      </w:r>
      <w:r>
        <w:rPr>
          <w:rStyle w:val="18"/>
          <w:rFonts w:hint="eastAsia" w:ascii="仿宋" w:hAnsi="仿宋" w:eastAsia="仿宋"/>
          <w:bCs/>
          <w:color w:val="auto"/>
          <w:sz w:val="32"/>
          <w:szCs w:val="32"/>
          <w:lang w:val="en-US" w:eastAsia="zh-CN"/>
        </w:rPr>
        <w:t>100</w:t>
      </w:r>
      <w:r>
        <w:rPr>
          <w:rStyle w:val="18"/>
          <w:rFonts w:ascii="仿宋" w:hAnsi="仿宋" w:eastAsia="仿宋"/>
          <w:bCs/>
          <w:color w:val="auto"/>
          <w:sz w:val="32"/>
          <w:szCs w:val="32"/>
        </w:rPr>
        <w:t>%</w:t>
      </w:r>
      <w:r>
        <w:rPr>
          <w:rStyle w:val="18"/>
          <w:rFonts w:hint="eastAsia" w:ascii="仿宋" w:hAnsi="仿宋" w:eastAsia="仿宋"/>
          <w:bCs/>
          <w:color w:val="auto"/>
          <w:sz w:val="32"/>
          <w:szCs w:val="32"/>
        </w:rPr>
        <w:t>。其中：</w:t>
      </w:r>
    </w:p>
    <w:p>
      <w:pPr>
        <w:shd w:val="clear"/>
        <w:spacing w:line="600" w:lineRule="exact"/>
        <w:ind w:firstLine="642" w:firstLineChars="200"/>
        <w:rPr>
          <w:rFonts w:hint="eastAsia" w:ascii="仿宋" w:hAnsi="仿宋" w:eastAsia="仿宋"/>
          <w:b/>
          <w:color w:val="auto"/>
          <w:sz w:val="32"/>
          <w:szCs w:val="32"/>
          <w:lang w:val="en-US" w:eastAsia="zh-CN"/>
        </w:rPr>
      </w:pPr>
      <w:r>
        <w:rPr>
          <w:rStyle w:val="18"/>
          <w:rFonts w:ascii="仿宋" w:hAnsi="仿宋" w:eastAsia="仿宋"/>
          <w:bCs/>
          <w:color w:val="auto"/>
          <w:sz w:val="32"/>
          <w:szCs w:val="32"/>
        </w:rPr>
        <w:t>1.</w:t>
      </w:r>
      <w:r>
        <w:rPr>
          <w:rStyle w:val="18"/>
          <w:rFonts w:hint="eastAsia" w:ascii="仿宋" w:hAnsi="仿宋" w:eastAsia="仿宋"/>
          <w:bCs/>
          <w:color w:val="auto"/>
          <w:sz w:val="32"/>
          <w:szCs w:val="32"/>
        </w:rPr>
        <w:t>一般公共服务（类）民主党派及工商联事务（款）行政运行（项）</w:t>
      </w:r>
      <w:r>
        <w:rPr>
          <w:rStyle w:val="18"/>
          <w:rFonts w:hint="eastAsia" w:ascii="仿宋" w:hAnsi="仿宋" w:eastAsia="仿宋"/>
          <w:bCs/>
          <w:color w:val="auto"/>
          <w:sz w:val="32"/>
          <w:szCs w:val="32"/>
          <w:lang w:eastAsia="zh-CN"/>
        </w:rPr>
        <w:t>：</w:t>
      </w:r>
      <w:r>
        <w:rPr>
          <w:rStyle w:val="18"/>
          <w:rFonts w:hint="eastAsia" w:ascii="仿宋" w:hAnsi="仿宋" w:eastAsia="仿宋"/>
          <w:b w:val="0"/>
          <w:bCs/>
          <w:color w:val="auto"/>
          <w:sz w:val="32"/>
          <w:szCs w:val="32"/>
        </w:rPr>
        <w:t>支出决算为58.11万元，完成预算</w:t>
      </w:r>
      <w:r>
        <w:rPr>
          <w:rStyle w:val="18"/>
          <w:rFonts w:hint="eastAsia" w:ascii="仿宋" w:hAnsi="仿宋" w:eastAsia="仿宋"/>
          <w:b w:val="0"/>
          <w:bCs/>
          <w:color w:val="auto"/>
          <w:sz w:val="32"/>
          <w:szCs w:val="32"/>
          <w:lang w:val="en-US" w:eastAsia="zh-CN"/>
        </w:rPr>
        <w:t>100</w:t>
      </w:r>
      <w:r>
        <w:rPr>
          <w:rStyle w:val="18"/>
          <w:rFonts w:ascii="仿宋" w:hAnsi="仿宋" w:eastAsia="仿宋"/>
          <w:b w:val="0"/>
          <w:bCs/>
          <w:color w:val="auto"/>
          <w:sz w:val="32"/>
          <w:szCs w:val="32"/>
        </w:rPr>
        <w:t>%</w:t>
      </w:r>
      <w:r>
        <w:rPr>
          <w:rStyle w:val="18"/>
          <w:rFonts w:hint="eastAsia" w:ascii="仿宋" w:hAnsi="仿宋" w:eastAsia="仿宋"/>
          <w:b w:val="0"/>
          <w:bCs/>
          <w:color w:val="auto"/>
          <w:sz w:val="32"/>
          <w:szCs w:val="32"/>
          <w:lang w:eastAsia="zh-CN"/>
        </w:rPr>
        <w:t>。</w:t>
      </w:r>
    </w:p>
    <w:p>
      <w:pPr>
        <w:shd w:val="clear"/>
        <w:spacing w:line="600" w:lineRule="exact"/>
        <w:ind w:firstLine="642" w:firstLineChars="200"/>
        <w:rPr>
          <w:rStyle w:val="18"/>
          <w:rFonts w:ascii="仿宋" w:hAnsi="仿宋" w:eastAsia="仿宋"/>
          <w:bCs/>
          <w:color w:val="auto"/>
          <w:sz w:val="32"/>
          <w:szCs w:val="32"/>
        </w:rPr>
      </w:pPr>
      <w:r>
        <w:rPr>
          <w:rStyle w:val="18"/>
          <w:rFonts w:ascii="仿宋" w:hAnsi="仿宋" w:eastAsia="仿宋"/>
          <w:bCs/>
          <w:color w:val="auto"/>
          <w:sz w:val="32"/>
          <w:szCs w:val="32"/>
        </w:rPr>
        <w:t>2.</w:t>
      </w:r>
      <w:r>
        <w:rPr>
          <w:rStyle w:val="18"/>
          <w:rFonts w:hint="eastAsia" w:ascii="仿宋" w:hAnsi="仿宋" w:eastAsia="仿宋"/>
          <w:bCs/>
          <w:color w:val="auto"/>
          <w:sz w:val="32"/>
          <w:szCs w:val="32"/>
        </w:rPr>
        <w:t>一般公共服务（类）民主党派及工商联事务（款）一般行政管理事务（项）</w:t>
      </w:r>
      <w:r>
        <w:rPr>
          <w:rStyle w:val="18"/>
          <w:rFonts w:hint="eastAsia" w:ascii="仿宋" w:hAnsi="仿宋" w:eastAsia="仿宋"/>
          <w:bCs/>
          <w:color w:val="auto"/>
          <w:sz w:val="32"/>
          <w:szCs w:val="32"/>
          <w:lang w:eastAsia="zh-CN"/>
        </w:rPr>
        <w:t>：</w:t>
      </w:r>
      <w:r>
        <w:rPr>
          <w:rStyle w:val="18"/>
          <w:rFonts w:hint="eastAsia" w:ascii="仿宋" w:hAnsi="仿宋" w:eastAsia="仿宋"/>
          <w:b w:val="0"/>
          <w:bCs/>
          <w:color w:val="auto"/>
          <w:sz w:val="32"/>
          <w:szCs w:val="32"/>
        </w:rPr>
        <w:t>支出决算为19.11万元，完成预算</w:t>
      </w:r>
      <w:r>
        <w:rPr>
          <w:rStyle w:val="18"/>
          <w:rFonts w:hint="eastAsia" w:ascii="仿宋" w:hAnsi="仿宋" w:eastAsia="仿宋"/>
          <w:b w:val="0"/>
          <w:bCs/>
          <w:color w:val="auto"/>
          <w:sz w:val="32"/>
          <w:szCs w:val="32"/>
          <w:lang w:val="en-US" w:eastAsia="zh-CN"/>
        </w:rPr>
        <w:t>100</w:t>
      </w:r>
      <w:r>
        <w:rPr>
          <w:rStyle w:val="18"/>
          <w:rFonts w:ascii="仿宋" w:hAnsi="仿宋" w:eastAsia="仿宋"/>
          <w:b w:val="0"/>
          <w:bCs/>
          <w:color w:val="auto"/>
          <w:sz w:val="32"/>
          <w:szCs w:val="32"/>
        </w:rPr>
        <w:t>%</w:t>
      </w:r>
      <w:r>
        <w:rPr>
          <w:rStyle w:val="18"/>
          <w:rFonts w:hint="eastAsia" w:ascii="仿宋" w:hAnsi="仿宋" w:eastAsia="仿宋"/>
          <w:b w:val="0"/>
          <w:bCs/>
          <w:color w:val="auto"/>
          <w:sz w:val="32"/>
          <w:szCs w:val="32"/>
          <w:lang w:eastAsia="zh-CN"/>
        </w:rPr>
        <w:t>。</w:t>
      </w:r>
    </w:p>
    <w:p>
      <w:pPr>
        <w:shd w:val="clear"/>
        <w:spacing w:line="600" w:lineRule="exact"/>
        <w:ind w:firstLine="642" w:firstLineChars="200"/>
        <w:rPr>
          <w:rFonts w:ascii="仿宋" w:hAnsi="仿宋" w:eastAsia="仿宋"/>
          <w:b/>
          <w:color w:val="auto"/>
          <w:sz w:val="32"/>
          <w:szCs w:val="32"/>
        </w:rPr>
      </w:pPr>
      <w:r>
        <w:rPr>
          <w:rStyle w:val="18"/>
          <w:rFonts w:ascii="仿宋" w:hAnsi="仿宋" w:eastAsia="仿宋"/>
          <w:bCs/>
          <w:color w:val="auto"/>
          <w:sz w:val="32"/>
          <w:szCs w:val="32"/>
        </w:rPr>
        <w:t>3.</w:t>
      </w:r>
      <w:r>
        <w:rPr>
          <w:rStyle w:val="18"/>
          <w:rFonts w:hint="eastAsia" w:ascii="仿宋" w:hAnsi="仿宋" w:eastAsia="仿宋"/>
          <w:bCs/>
          <w:color w:val="auto"/>
          <w:sz w:val="32"/>
          <w:szCs w:val="32"/>
        </w:rPr>
        <w:t>社会保障和就业支出（类）行政事业单位养老支出（款）机关事业单位基本养老保险缴费支出（项）</w:t>
      </w:r>
      <w:r>
        <w:rPr>
          <w:rStyle w:val="18"/>
          <w:rFonts w:hint="eastAsia" w:ascii="仿宋" w:hAnsi="仿宋" w:eastAsia="仿宋"/>
          <w:bCs/>
          <w:color w:val="auto"/>
          <w:sz w:val="32"/>
          <w:szCs w:val="32"/>
          <w:lang w:eastAsia="zh-CN"/>
        </w:rPr>
        <w:t>：</w:t>
      </w:r>
      <w:r>
        <w:rPr>
          <w:rStyle w:val="18"/>
          <w:rFonts w:hint="eastAsia" w:ascii="仿宋" w:hAnsi="仿宋" w:eastAsia="仿宋"/>
          <w:b w:val="0"/>
          <w:bCs/>
          <w:color w:val="auto"/>
          <w:sz w:val="32"/>
          <w:szCs w:val="32"/>
        </w:rPr>
        <w:t>支出决算为3.3万元，完成预算</w:t>
      </w:r>
      <w:r>
        <w:rPr>
          <w:rStyle w:val="18"/>
          <w:rFonts w:hint="eastAsia" w:ascii="仿宋" w:hAnsi="仿宋" w:eastAsia="仿宋"/>
          <w:b w:val="0"/>
          <w:bCs/>
          <w:color w:val="auto"/>
          <w:sz w:val="32"/>
          <w:szCs w:val="32"/>
          <w:lang w:val="en-US" w:eastAsia="zh-CN"/>
        </w:rPr>
        <w:t>100</w:t>
      </w:r>
      <w:r>
        <w:rPr>
          <w:rStyle w:val="18"/>
          <w:rFonts w:ascii="仿宋" w:hAnsi="仿宋" w:eastAsia="仿宋"/>
          <w:b w:val="0"/>
          <w:bCs/>
          <w:color w:val="auto"/>
          <w:sz w:val="32"/>
          <w:szCs w:val="32"/>
        </w:rPr>
        <w:t>%</w:t>
      </w:r>
      <w:r>
        <w:rPr>
          <w:rStyle w:val="18"/>
          <w:rFonts w:hint="eastAsia" w:ascii="仿宋" w:hAnsi="仿宋" w:eastAsia="仿宋"/>
          <w:b w:val="0"/>
          <w:bCs/>
          <w:color w:val="auto"/>
          <w:sz w:val="32"/>
          <w:szCs w:val="32"/>
        </w:rPr>
        <w:t>。</w:t>
      </w:r>
    </w:p>
    <w:p>
      <w:pPr>
        <w:shd w:val="clear"/>
        <w:spacing w:line="600" w:lineRule="exact"/>
        <w:ind w:firstLine="642" w:firstLineChars="200"/>
        <w:rPr>
          <w:rFonts w:ascii="仿宋" w:hAnsi="仿宋" w:eastAsia="仿宋"/>
          <w:b/>
          <w:color w:val="auto"/>
          <w:sz w:val="32"/>
          <w:szCs w:val="32"/>
        </w:rPr>
      </w:pPr>
      <w:r>
        <w:rPr>
          <w:rStyle w:val="18"/>
          <w:rFonts w:ascii="仿宋" w:hAnsi="仿宋" w:eastAsia="仿宋"/>
          <w:bCs/>
          <w:color w:val="auto"/>
          <w:sz w:val="32"/>
          <w:szCs w:val="32"/>
        </w:rPr>
        <w:t>4.</w:t>
      </w:r>
      <w:r>
        <w:rPr>
          <w:rStyle w:val="18"/>
          <w:rFonts w:hint="eastAsia" w:ascii="仿宋" w:hAnsi="仿宋" w:eastAsia="仿宋"/>
          <w:bCs/>
          <w:color w:val="auto"/>
          <w:sz w:val="32"/>
          <w:szCs w:val="32"/>
        </w:rPr>
        <w:t>社会保障和就业支出（类）其他社会保障和就业支出（款）其他社会保障和就业支出（项）</w:t>
      </w:r>
      <w:r>
        <w:rPr>
          <w:rStyle w:val="18"/>
          <w:rFonts w:hint="eastAsia" w:ascii="仿宋" w:hAnsi="仿宋" w:eastAsia="仿宋"/>
          <w:bCs/>
          <w:color w:val="auto"/>
          <w:sz w:val="32"/>
          <w:szCs w:val="32"/>
          <w:lang w:eastAsia="zh-CN"/>
        </w:rPr>
        <w:t>：</w:t>
      </w:r>
      <w:r>
        <w:rPr>
          <w:rStyle w:val="18"/>
          <w:rFonts w:hint="eastAsia" w:ascii="仿宋" w:hAnsi="仿宋" w:eastAsia="仿宋"/>
          <w:b w:val="0"/>
          <w:bCs/>
          <w:color w:val="auto"/>
          <w:sz w:val="32"/>
          <w:szCs w:val="32"/>
        </w:rPr>
        <w:t>支出决算为</w:t>
      </w:r>
      <w:r>
        <w:rPr>
          <w:rStyle w:val="18"/>
          <w:rFonts w:hint="eastAsia" w:ascii="仿宋" w:hAnsi="仿宋" w:eastAsia="仿宋"/>
          <w:b w:val="0"/>
          <w:bCs/>
          <w:color w:val="auto"/>
          <w:sz w:val="32"/>
          <w:szCs w:val="32"/>
          <w:lang w:val="en-US" w:eastAsia="zh-CN"/>
        </w:rPr>
        <w:t>0.1</w:t>
      </w:r>
      <w:r>
        <w:rPr>
          <w:rStyle w:val="18"/>
          <w:rFonts w:hint="eastAsia" w:ascii="仿宋" w:hAnsi="仿宋" w:eastAsia="仿宋"/>
          <w:b w:val="0"/>
          <w:bCs/>
          <w:color w:val="auto"/>
          <w:sz w:val="32"/>
          <w:szCs w:val="32"/>
        </w:rPr>
        <w:t>万元，完成预算</w:t>
      </w:r>
      <w:r>
        <w:rPr>
          <w:rStyle w:val="18"/>
          <w:rFonts w:hint="eastAsia" w:ascii="仿宋" w:hAnsi="仿宋" w:eastAsia="仿宋"/>
          <w:b w:val="0"/>
          <w:bCs/>
          <w:color w:val="auto"/>
          <w:sz w:val="32"/>
          <w:szCs w:val="32"/>
          <w:lang w:val="en-US" w:eastAsia="zh-CN"/>
        </w:rPr>
        <w:t>100</w:t>
      </w:r>
      <w:r>
        <w:rPr>
          <w:rStyle w:val="18"/>
          <w:rFonts w:ascii="仿宋" w:hAnsi="仿宋" w:eastAsia="仿宋"/>
          <w:b w:val="0"/>
          <w:bCs/>
          <w:color w:val="auto"/>
          <w:sz w:val="32"/>
          <w:szCs w:val="32"/>
        </w:rPr>
        <w:t>%</w:t>
      </w:r>
      <w:r>
        <w:rPr>
          <w:rStyle w:val="18"/>
          <w:rFonts w:hint="eastAsia" w:ascii="仿宋" w:hAnsi="仿宋" w:eastAsia="仿宋"/>
          <w:b w:val="0"/>
          <w:bCs/>
          <w:color w:val="auto"/>
          <w:sz w:val="32"/>
          <w:szCs w:val="32"/>
        </w:rPr>
        <w:t>。</w:t>
      </w:r>
    </w:p>
    <w:p>
      <w:pPr>
        <w:shd w:val="clear"/>
        <w:spacing w:line="600" w:lineRule="exact"/>
        <w:ind w:firstLine="642" w:firstLineChars="200"/>
        <w:rPr>
          <w:rFonts w:ascii="仿宋" w:hAnsi="仿宋" w:eastAsia="仿宋"/>
          <w:b/>
          <w:color w:val="auto"/>
          <w:sz w:val="32"/>
          <w:szCs w:val="32"/>
        </w:rPr>
      </w:pPr>
      <w:r>
        <w:rPr>
          <w:rStyle w:val="18"/>
          <w:rFonts w:ascii="仿宋" w:hAnsi="仿宋" w:eastAsia="仿宋"/>
          <w:bCs/>
          <w:color w:val="auto"/>
          <w:sz w:val="32"/>
          <w:szCs w:val="32"/>
        </w:rPr>
        <w:t>5.</w:t>
      </w:r>
      <w:r>
        <w:rPr>
          <w:rStyle w:val="18"/>
          <w:rFonts w:hint="eastAsia" w:ascii="仿宋" w:hAnsi="仿宋" w:eastAsia="仿宋"/>
          <w:bCs/>
          <w:color w:val="auto"/>
          <w:sz w:val="32"/>
          <w:szCs w:val="32"/>
        </w:rPr>
        <w:t>卫生健康支出（类）行政事业单位医疗（款）行政单位医疗（项）</w:t>
      </w:r>
      <w:r>
        <w:rPr>
          <w:rStyle w:val="18"/>
          <w:rFonts w:hint="eastAsia" w:ascii="仿宋" w:hAnsi="仿宋" w:eastAsia="仿宋"/>
          <w:bCs/>
          <w:color w:val="auto"/>
          <w:sz w:val="32"/>
          <w:szCs w:val="32"/>
          <w:lang w:eastAsia="zh-CN"/>
        </w:rPr>
        <w:t>：</w:t>
      </w:r>
      <w:r>
        <w:rPr>
          <w:rStyle w:val="18"/>
          <w:rFonts w:hint="eastAsia" w:ascii="仿宋" w:hAnsi="仿宋" w:eastAsia="仿宋"/>
          <w:b w:val="0"/>
          <w:bCs/>
          <w:color w:val="auto"/>
          <w:sz w:val="32"/>
          <w:szCs w:val="32"/>
        </w:rPr>
        <w:t>支出决算为1.65万元，完成预算</w:t>
      </w:r>
      <w:r>
        <w:rPr>
          <w:rStyle w:val="18"/>
          <w:rFonts w:hint="eastAsia" w:ascii="仿宋" w:hAnsi="仿宋" w:eastAsia="仿宋"/>
          <w:b w:val="0"/>
          <w:bCs/>
          <w:color w:val="auto"/>
          <w:sz w:val="32"/>
          <w:szCs w:val="32"/>
          <w:lang w:val="en-US" w:eastAsia="zh-CN"/>
        </w:rPr>
        <w:t>100</w:t>
      </w:r>
      <w:r>
        <w:rPr>
          <w:rStyle w:val="18"/>
          <w:rFonts w:ascii="仿宋" w:hAnsi="仿宋" w:eastAsia="仿宋"/>
          <w:b w:val="0"/>
          <w:bCs/>
          <w:color w:val="auto"/>
          <w:sz w:val="32"/>
          <w:szCs w:val="32"/>
        </w:rPr>
        <w:t>%</w:t>
      </w:r>
      <w:r>
        <w:rPr>
          <w:rStyle w:val="18"/>
          <w:rFonts w:hint="eastAsia" w:ascii="仿宋" w:hAnsi="仿宋" w:eastAsia="仿宋"/>
          <w:b w:val="0"/>
          <w:bCs/>
          <w:color w:val="auto"/>
          <w:sz w:val="32"/>
          <w:szCs w:val="32"/>
        </w:rPr>
        <w:t>。</w:t>
      </w:r>
    </w:p>
    <w:p>
      <w:pPr>
        <w:shd w:val="clear"/>
        <w:spacing w:line="600" w:lineRule="exact"/>
        <w:ind w:firstLine="642" w:firstLineChars="200"/>
        <w:rPr>
          <w:rFonts w:ascii="仿宋" w:hAnsi="仿宋" w:eastAsia="仿宋"/>
          <w:b/>
          <w:color w:val="auto"/>
          <w:sz w:val="32"/>
          <w:szCs w:val="32"/>
        </w:rPr>
      </w:pPr>
      <w:r>
        <w:rPr>
          <w:rStyle w:val="18"/>
          <w:rFonts w:ascii="仿宋" w:hAnsi="仿宋" w:eastAsia="仿宋"/>
          <w:bCs/>
          <w:color w:val="auto"/>
          <w:sz w:val="32"/>
          <w:szCs w:val="32"/>
        </w:rPr>
        <w:t>6.</w:t>
      </w:r>
      <w:r>
        <w:rPr>
          <w:rFonts w:hint="eastAsia" w:ascii="仿宋" w:hAnsi="仿宋" w:eastAsia="仿宋"/>
          <w:b/>
          <w:bCs/>
          <w:color w:val="auto"/>
          <w:sz w:val="32"/>
          <w:szCs w:val="32"/>
        </w:rPr>
        <w:t>住房保障支出</w:t>
      </w:r>
      <w:r>
        <w:rPr>
          <w:rStyle w:val="18"/>
          <w:rFonts w:hint="eastAsia" w:ascii="仿宋" w:hAnsi="仿宋" w:eastAsia="仿宋"/>
          <w:bCs/>
          <w:color w:val="auto"/>
          <w:sz w:val="32"/>
          <w:szCs w:val="32"/>
        </w:rPr>
        <w:t>（类）住房改革支出（款）住房公积金（项）</w:t>
      </w:r>
      <w:r>
        <w:rPr>
          <w:rStyle w:val="18"/>
          <w:rFonts w:hint="eastAsia" w:ascii="仿宋" w:hAnsi="仿宋" w:eastAsia="仿宋"/>
          <w:bCs/>
          <w:color w:val="auto"/>
          <w:sz w:val="32"/>
          <w:szCs w:val="32"/>
          <w:lang w:eastAsia="zh-CN"/>
        </w:rPr>
        <w:t>：</w:t>
      </w:r>
      <w:r>
        <w:rPr>
          <w:rStyle w:val="18"/>
          <w:rFonts w:hint="eastAsia" w:ascii="仿宋" w:hAnsi="仿宋" w:eastAsia="仿宋"/>
          <w:b w:val="0"/>
          <w:bCs/>
          <w:color w:val="auto"/>
          <w:sz w:val="32"/>
          <w:szCs w:val="32"/>
        </w:rPr>
        <w:t>支出决算为3.62万元，完成预算</w:t>
      </w:r>
      <w:r>
        <w:rPr>
          <w:rStyle w:val="18"/>
          <w:rFonts w:hint="eastAsia" w:ascii="仿宋" w:hAnsi="仿宋" w:eastAsia="仿宋"/>
          <w:b w:val="0"/>
          <w:bCs/>
          <w:color w:val="auto"/>
          <w:sz w:val="32"/>
          <w:szCs w:val="32"/>
          <w:lang w:val="en-US" w:eastAsia="zh-CN"/>
        </w:rPr>
        <w:t>100</w:t>
      </w:r>
      <w:r>
        <w:rPr>
          <w:rStyle w:val="18"/>
          <w:rFonts w:ascii="仿宋" w:hAnsi="仿宋" w:eastAsia="仿宋"/>
          <w:b w:val="0"/>
          <w:bCs/>
          <w:color w:val="auto"/>
          <w:sz w:val="32"/>
          <w:szCs w:val="32"/>
        </w:rPr>
        <w:t>%</w:t>
      </w:r>
      <w:r>
        <w:rPr>
          <w:rStyle w:val="18"/>
          <w:rFonts w:hint="eastAsia" w:ascii="仿宋" w:hAnsi="仿宋" w:eastAsia="仿宋"/>
          <w:b w:val="0"/>
          <w:bCs/>
          <w:color w:val="auto"/>
          <w:sz w:val="32"/>
          <w:szCs w:val="32"/>
        </w:rPr>
        <w:t>。</w:t>
      </w:r>
    </w:p>
    <w:p>
      <w:pPr>
        <w:shd w:val="clear"/>
        <w:tabs>
          <w:tab w:val="right" w:pos="8306"/>
        </w:tabs>
        <w:spacing w:line="600" w:lineRule="exact"/>
        <w:ind w:firstLine="640"/>
        <w:outlineLvl w:val="1"/>
        <w:rPr>
          <w:rStyle w:val="23"/>
          <w:color w:val="auto"/>
        </w:rPr>
      </w:pPr>
      <w:bookmarkStart w:id="34" w:name="_Toc15377214"/>
      <w:bookmarkEnd w:id="34"/>
      <w:bookmarkStart w:id="35" w:name="_Toc15396608"/>
      <w:bookmarkEnd w:id="35"/>
      <w:bookmarkStart w:id="36" w:name="_Toc4713"/>
      <w:bookmarkEnd w:id="36"/>
      <w:r>
        <w:rPr>
          <w:rFonts w:hint="eastAsia" w:ascii="黑体" w:eastAsia="黑体"/>
          <w:color w:val="auto"/>
          <w:sz w:val="32"/>
          <w:szCs w:val="32"/>
        </w:rPr>
        <w:t>六</w:t>
      </w:r>
      <w:r>
        <w:rPr>
          <w:rFonts w:hint="eastAsia" w:ascii="黑体" w:eastAsia="黑体"/>
          <w:b/>
          <w:color w:val="auto"/>
          <w:sz w:val="32"/>
          <w:szCs w:val="32"/>
        </w:rPr>
        <w:t>、</w:t>
      </w:r>
      <w:r>
        <w:rPr>
          <w:rFonts w:hint="eastAsia" w:ascii="黑体" w:hAnsi="黑体" w:eastAsia="黑体"/>
          <w:b/>
          <w:color w:val="auto"/>
          <w:sz w:val="32"/>
          <w:szCs w:val="32"/>
        </w:rPr>
        <w:t>一</w:t>
      </w:r>
      <w:r>
        <w:rPr>
          <w:rStyle w:val="23"/>
          <w:rFonts w:hint="eastAsia" w:ascii="黑体" w:hAnsi="黑体" w:eastAsia="黑体"/>
          <w:b w:val="0"/>
          <w:color w:val="auto"/>
        </w:rPr>
        <w:t>般公共预算财政拨款基本支出决算情况说明</w:t>
      </w:r>
      <w:r>
        <w:rPr>
          <w:rStyle w:val="23"/>
          <w:rFonts w:ascii="黑体" w:hAnsi="黑体" w:eastAsia="黑体"/>
          <w:b w:val="0"/>
          <w:color w:val="auto"/>
        </w:rPr>
        <w:tab/>
      </w:r>
    </w:p>
    <w:p>
      <w:pPr>
        <w:shd w:val="clear"/>
        <w:spacing w:line="600" w:lineRule="exact"/>
        <w:ind w:firstLine="645"/>
        <w:rPr>
          <w:rFonts w:ascii="仿宋" w:hAnsi="仿宋" w:eastAsia="仿宋"/>
          <w:color w:val="auto"/>
          <w:sz w:val="32"/>
          <w:szCs w:val="32"/>
        </w:rPr>
      </w:pPr>
      <w:r>
        <w:rPr>
          <w:rFonts w:ascii="仿宋" w:hAnsi="仿宋" w:eastAsia="仿宋"/>
          <w:color w:val="auto"/>
          <w:sz w:val="32"/>
          <w:szCs w:val="32"/>
        </w:rPr>
        <w:t>20</w:t>
      </w:r>
      <w:r>
        <w:rPr>
          <w:rFonts w:hint="eastAsia" w:ascii="仿宋" w:hAnsi="仿宋" w:eastAsia="仿宋"/>
          <w:color w:val="auto"/>
          <w:sz w:val="32"/>
          <w:szCs w:val="32"/>
          <w:lang w:val="en-US" w:eastAsia="zh-CN"/>
        </w:rPr>
        <w:t>22</w:t>
      </w:r>
      <w:r>
        <w:rPr>
          <w:rFonts w:hint="eastAsia" w:ascii="仿宋" w:hAnsi="仿宋" w:eastAsia="仿宋"/>
          <w:color w:val="auto"/>
          <w:sz w:val="32"/>
          <w:szCs w:val="32"/>
        </w:rPr>
        <w:t>年一般公共预算财政拨款基本支出66.79万元，其中：</w:t>
      </w:r>
    </w:p>
    <w:p>
      <w:pPr>
        <w:shd w:val="clear"/>
        <w:spacing w:line="600" w:lineRule="exact"/>
        <w:ind w:firstLine="645"/>
        <w:rPr>
          <w:rFonts w:ascii="仿宋" w:hAnsi="仿宋" w:eastAsia="仿宋"/>
          <w:b/>
          <w:color w:val="auto"/>
          <w:sz w:val="32"/>
          <w:szCs w:val="32"/>
        </w:rPr>
      </w:pPr>
      <w:r>
        <w:rPr>
          <w:rFonts w:hint="eastAsia" w:ascii="仿宋" w:hAnsi="仿宋" w:eastAsia="仿宋"/>
          <w:color w:val="auto"/>
          <w:sz w:val="32"/>
          <w:szCs w:val="32"/>
        </w:rPr>
        <w:t>人员经费55.1万元，主要包括：基本工资、津贴补贴、奖金、机关事业单位基本养老保险缴费、职工基本医疗保险缴费</w:t>
      </w:r>
      <w:r>
        <w:rPr>
          <w:rFonts w:hint="eastAsia" w:ascii="仿宋" w:hAnsi="仿宋" w:eastAsia="仿宋"/>
          <w:color w:val="auto"/>
          <w:sz w:val="32"/>
          <w:szCs w:val="32"/>
          <w:lang w:eastAsia="zh-CN"/>
        </w:rPr>
        <w:t>、</w:t>
      </w:r>
      <w:r>
        <w:rPr>
          <w:rFonts w:hint="eastAsia" w:ascii="仿宋" w:hAnsi="仿宋" w:eastAsia="仿宋"/>
          <w:color w:val="auto"/>
          <w:sz w:val="32"/>
          <w:szCs w:val="32"/>
        </w:rPr>
        <w:t>其他社会保障缴费、住房公积金</w:t>
      </w:r>
      <w:r>
        <w:rPr>
          <w:rFonts w:hint="eastAsia" w:ascii="仿宋" w:hAnsi="仿宋" w:eastAsia="仿宋"/>
          <w:color w:val="auto"/>
          <w:sz w:val="32"/>
          <w:szCs w:val="32"/>
          <w:lang w:eastAsia="zh-CN"/>
        </w:rPr>
        <w:t>、</w:t>
      </w:r>
      <w:r>
        <w:rPr>
          <w:rFonts w:hint="eastAsia" w:ascii="仿宋" w:hAnsi="仿宋" w:eastAsia="仿宋"/>
          <w:color w:val="auto"/>
          <w:sz w:val="32"/>
          <w:szCs w:val="32"/>
        </w:rPr>
        <w:t>生活补助。</w:t>
      </w:r>
      <w:r>
        <w:rPr>
          <w:rFonts w:ascii="仿宋" w:hAnsi="仿宋" w:eastAsia="仿宋"/>
          <w:color w:val="auto"/>
          <w:sz w:val="32"/>
          <w:szCs w:val="32"/>
        </w:rPr>
        <w:br w:type="textWrapping"/>
      </w:r>
      <w:r>
        <w:rPr>
          <w:rFonts w:hint="eastAsia" w:ascii="仿宋" w:hAnsi="仿宋" w:eastAsia="仿宋"/>
          <w:color w:val="auto"/>
          <w:sz w:val="32"/>
          <w:szCs w:val="32"/>
        </w:rPr>
        <w:t>　　公用经费11.68万元，主要包括：办公费、印刷费、手续费、水费、电费、邮电费、物业管理费、差旅费、工会经费、福利费、其他交通费</w:t>
      </w:r>
      <w:r>
        <w:rPr>
          <w:rFonts w:hint="eastAsia" w:ascii="仿宋" w:hAnsi="仿宋" w:eastAsia="仿宋"/>
          <w:color w:val="auto"/>
          <w:sz w:val="32"/>
          <w:szCs w:val="32"/>
          <w:lang w:val="en-US" w:eastAsia="zh-CN"/>
        </w:rPr>
        <w:t>用</w:t>
      </w:r>
      <w:r>
        <w:rPr>
          <w:rFonts w:hint="eastAsia" w:ascii="仿宋" w:hAnsi="仿宋" w:eastAsia="仿宋"/>
          <w:color w:val="auto"/>
          <w:sz w:val="32"/>
          <w:szCs w:val="32"/>
        </w:rPr>
        <w:t>。</w:t>
      </w:r>
    </w:p>
    <w:p>
      <w:pPr>
        <w:shd w:val="clear"/>
        <w:spacing w:line="600" w:lineRule="exact"/>
        <w:ind w:firstLine="640"/>
        <w:outlineLvl w:val="1"/>
        <w:rPr>
          <w:rStyle w:val="23"/>
          <w:rFonts w:ascii="黑体" w:hAnsi="黑体" w:eastAsia="黑体"/>
          <w:b w:val="0"/>
          <w:color w:val="auto"/>
        </w:rPr>
      </w:pPr>
      <w:bookmarkStart w:id="37" w:name="_Toc15396609"/>
      <w:bookmarkEnd w:id="37"/>
      <w:bookmarkStart w:id="38" w:name="_Toc15377215"/>
      <w:bookmarkEnd w:id="38"/>
      <w:bookmarkStart w:id="39" w:name="_Toc12570"/>
      <w:bookmarkEnd w:id="39"/>
      <w:r>
        <w:rPr>
          <w:rFonts w:hint="eastAsia" w:ascii="黑体" w:eastAsia="黑体"/>
          <w:color w:val="auto"/>
          <w:sz w:val="32"/>
          <w:szCs w:val="32"/>
        </w:rPr>
        <w:t>七、</w:t>
      </w:r>
      <w:r>
        <w:rPr>
          <w:rStyle w:val="23"/>
          <w:rFonts w:hint="eastAsia" w:ascii="黑体" w:hAnsi="黑体" w:eastAsia="黑体"/>
          <w:b w:val="0"/>
          <w:color w:val="auto"/>
        </w:rPr>
        <w:t>财政拨款</w:t>
      </w:r>
      <w:r>
        <w:rPr>
          <w:rStyle w:val="23"/>
          <w:rFonts w:hint="eastAsia" w:ascii="黑体" w:hAnsi="黑体" w:eastAsia="黑体"/>
          <w:color w:val="auto"/>
        </w:rPr>
        <w:t>“</w:t>
      </w:r>
      <w:r>
        <w:rPr>
          <w:rStyle w:val="23"/>
          <w:rFonts w:hint="eastAsia" w:ascii="黑体" w:hAnsi="黑体" w:eastAsia="黑体"/>
          <w:b w:val="0"/>
          <w:color w:val="auto"/>
        </w:rPr>
        <w:t>三公”经费支出决算情况说明</w:t>
      </w:r>
    </w:p>
    <w:p>
      <w:pPr>
        <w:shd w:val="clear"/>
        <w:spacing w:line="600" w:lineRule="exact"/>
        <w:ind w:firstLine="640"/>
        <w:outlineLvl w:val="2"/>
        <w:rPr>
          <w:rFonts w:ascii="仿宋" w:hAnsi="仿宋" w:eastAsia="仿宋"/>
          <w:b/>
          <w:color w:val="auto"/>
          <w:sz w:val="32"/>
          <w:szCs w:val="32"/>
        </w:rPr>
      </w:pPr>
      <w:bookmarkStart w:id="40" w:name="_Toc15377216"/>
      <w:bookmarkEnd w:id="40"/>
      <w:r>
        <w:rPr>
          <w:rFonts w:hint="eastAsia" w:ascii="仿宋" w:hAnsi="仿宋" w:eastAsia="仿宋"/>
          <w:b/>
          <w:color w:val="auto"/>
          <w:sz w:val="32"/>
          <w:szCs w:val="32"/>
        </w:rPr>
        <w:t>（一）“三公”经费财政拨款支出决算总体情况说明</w:t>
      </w:r>
    </w:p>
    <w:p>
      <w:pPr>
        <w:shd w:val="clear"/>
        <w:spacing w:line="600" w:lineRule="exact"/>
        <w:ind w:firstLine="640"/>
        <w:rPr>
          <w:rFonts w:ascii="仿宋" w:hAnsi="仿宋" w:eastAsia="仿宋"/>
          <w:color w:val="auto"/>
          <w:sz w:val="32"/>
          <w:szCs w:val="32"/>
        </w:rPr>
      </w:pPr>
      <w:r>
        <w:rPr>
          <w:rFonts w:ascii="仿宋" w:hAnsi="仿宋" w:eastAsia="仿宋"/>
          <w:color w:val="auto"/>
          <w:sz w:val="32"/>
          <w:szCs w:val="32"/>
        </w:rPr>
        <w:t>20</w:t>
      </w:r>
      <w:r>
        <w:rPr>
          <w:rFonts w:hint="eastAsia" w:ascii="仿宋" w:hAnsi="仿宋" w:eastAsia="仿宋"/>
          <w:color w:val="auto"/>
          <w:sz w:val="32"/>
          <w:szCs w:val="32"/>
          <w:lang w:val="en-US" w:eastAsia="zh-CN"/>
        </w:rPr>
        <w:t>22</w:t>
      </w:r>
      <w:r>
        <w:rPr>
          <w:rFonts w:hint="eastAsia" w:ascii="仿宋" w:hAnsi="仿宋" w:eastAsia="仿宋"/>
          <w:color w:val="auto"/>
          <w:sz w:val="32"/>
          <w:szCs w:val="32"/>
        </w:rPr>
        <w:t>年“三公”经费财政拨款支出决算为</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万元，完成预算</w:t>
      </w:r>
      <w:r>
        <w:rPr>
          <w:rFonts w:hint="eastAsia" w:ascii="仿宋" w:hAnsi="仿宋" w:eastAsia="仿宋"/>
          <w:color w:val="auto"/>
          <w:sz w:val="32"/>
          <w:szCs w:val="32"/>
          <w:lang w:val="en-US" w:eastAsia="zh-CN"/>
        </w:rPr>
        <w:t>0</w:t>
      </w:r>
      <w:r>
        <w:rPr>
          <w:rFonts w:ascii="仿宋" w:hAnsi="仿宋" w:eastAsia="仿宋"/>
          <w:color w:val="auto"/>
          <w:sz w:val="32"/>
          <w:szCs w:val="32"/>
        </w:rPr>
        <w:t>%</w:t>
      </w:r>
      <w:r>
        <w:rPr>
          <w:rFonts w:hint="eastAsia" w:ascii="仿宋" w:hAnsi="仿宋" w:eastAsia="仿宋"/>
          <w:color w:val="auto"/>
          <w:sz w:val="32"/>
          <w:szCs w:val="32"/>
        </w:rPr>
        <w:t>，</w:t>
      </w:r>
      <w:r>
        <w:rPr>
          <w:rFonts w:hint="eastAsia" w:ascii="仿宋" w:hAnsi="仿宋" w:eastAsia="仿宋"/>
          <w:color w:val="auto"/>
          <w:sz w:val="32"/>
          <w:szCs w:val="32"/>
          <w:lang w:eastAsia="zh-CN"/>
        </w:rPr>
        <w:t>较上年</w:t>
      </w:r>
      <w:r>
        <w:rPr>
          <w:rFonts w:hint="eastAsia" w:ascii="仿宋" w:hAnsi="仿宋" w:eastAsia="仿宋"/>
          <w:color w:val="auto"/>
          <w:sz w:val="32"/>
          <w:szCs w:val="32"/>
          <w:lang w:val="en-US" w:eastAsia="zh-CN"/>
        </w:rPr>
        <w:t>减少0.2万元，下降100%</w:t>
      </w:r>
      <w:r>
        <w:rPr>
          <w:rFonts w:hint="default" w:ascii="仿宋" w:hAnsi="仿宋" w:eastAsia="仿宋"/>
          <w:color w:val="auto"/>
          <w:sz w:val="32"/>
          <w:szCs w:val="32"/>
          <w:lang w:eastAsia="zh-CN"/>
        </w:rPr>
        <w:t>，年初未安排预算</w:t>
      </w:r>
      <w:r>
        <w:rPr>
          <w:rFonts w:hint="eastAsia" w:ascii="仿宋" w:hAnsi="仿宋" w:eastAsia="仿宋"/>
          <w:color w:val="auto"/>
          <w:sz w:val="32"/>
          <w:szCs w:val="32"/>
          <w:lang w:val="en-US" w:eastAsia="zh-CN"/>
        </w:rPr>
        <w:t>。</w:t>
      </w:r>
    </w:p>
    <w:p>
      <w:pPr>
        <w:shd w:val="clear"/>
        <w:spacing w:line="600" w:lineRule="exact"/>
        <w:ind w:firstLine="640"/>
        <w:outlineLvl w:val="2"/>
        <w:rPr>
          <w:rFonts w:ascii="仿宋" w:hAnsi="仿宋" w:eastAsia="仿宋"/>
          <w:b/>
          <w:color w:val="auto"/>
          <w:sz w:val="32"/>
          <w:szCs w:val="32"/>
        </w:rPr>
      </w:pPr>
      <w:bookmarkStart w:id="41" w:name="_Toc15377217"/>
      <w:bookmarkEnd w:id="41"/>
      <w:r>
        <w:rPr>
          <w:rFonts w:hint="eastAsia" w:ascii="仿宋" w:hAnsi="仿宋" w:eastAsia="仿宋"/>
          <w:b/>
          <w:color w:val="auto"/>
          <w:sz w:val="32"/>
          <w:szCs w:val="32"/>
        </w:rPr>
        <w:t>（二）“三公”经费财政拨款支出决算具体情况说明</w:t>
      </w:r>
    </w:p>
    <w:p>
      <w:pPr>
        <w:shd w:val="clear"/>
        <w:spacing w:line="600" w:lineRule="exact"/>
        <w:ind w:firstLine="640"/>
        <w:rPr>
          <w:rFonts w:ascii="仿宋" w:hAnsi="仿宋" w:eastAsia="仿宋"/>
          <w:color w:val="auto"/>
          <w:sz w:val="32"/>
          <w:szCs w:val="32"/>
        </w:rPr>
      </w:pPr>
      <w:r>
        <w:rPr>
          <w:rFonts w:ascii="仿宋" w:hAnsi="仿宋" w:eastAsia="仿宋"/>
          <w:color w:val="auto"/>
          <w:sz w:val="32"/>
          <w:szCs w:val="32"/>
        </w:rPr>
        <w:t>20</w:t>
      </w:r>
      <w:r>
        <w:rPr>
          <w:rFonts w:hint="eastAsia" w:ascii="仿宋" w:hAnsi="仿宋" w:eastAsia="仿宋"/>
          <w:color w:val="auto"/>
          <w:sz w:val="32"/>
          <w:szCs w:val="32"/>
          <w:lang w:val="en-US" w:eastAsia="zh-CN"/>
        </w:rPr>
        <w:t>22</w:t>
      </w:r>
      <w:r>
        <w:rPr>
          <w:rFonts w:hint="eastAsia" w:ascii="仿宋" w:hAnsi="仿宋" w:eastAsia="仿宋"/>
          <w:color w:val="auto"/>
          <w:sz w:val="32"/>
          <w:szCs w:val="32"/>
        </w:rPr>
        <w:t>年“三公”经费财政拨款支出决算中，因公出国（境）费支出决算</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万元；公务用车购置及运行维护费支出决算</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0</w:t>
      </w:r>
      <w:r>
        <w:rPr>
          <w:rFonts w:ascii="仿宋" w:hAnsi="仿宋" w:eastAsia="仿宋"/>
          <w:color w:val="auto"/>
          <w:sz w:val="32"/>
          <w:szCs w:val="32"/>
        </w:rPr>
        <w:t>%</w:t>
      </w:r>
      <w:r>
        <w:rPr>
          <w:rFonts w:hint="eastAsia" w:ascii="仿宋" w:hAnsi="仿宋" w:eastAsia="仿宋"/>
          <w:color w:val="auto"/>
          <w:sz w:val="32"/>
          <w:szCs w:val="32"/>
        </w:rPr>
        <w:t>；公务接待费支出决算</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0</w:t>
      </w:r>
      <w:r>
        <w:rPr>
          <w:rFonts w:ascii="仿宋" w:hAnsi="仿宋" w:eastAsia="仿宋"/>
          <w:color w:val="auto"/>
          <w:sz w:val="32"/>
          <w:szCs w:val="32"/>
        </w:rPr>
        <w:t>%</w:t>
      </w:r>
      <w:r>
        <w:rPr>
          <w:rFonts w:hint="eastAsia" w:ascii="仿宋" w:hAnsi="仿宋" w:eastAsia="仿宋"/>
          <w:color w:val="auto"/>
          <w:sz w:val="32"/>
          <w:szCs w:val="32"/>
        </w:rPr>
        <w:t>。具体情况如下：</w:t>
      </w:r>
    </w:p>
    <w:p>
      <w:pPr>
        <w:shd w:val="clear"/>
        <w:spacing w:line="600" w:lineRule="exact"/>
        <w:ind w:firstLine="645"/>
        <w:rPr>
          <w:color w:val="auto"/>
        </w:rPr>
      </w:pPr>
      <w:r>
        <w:rPr>
          <w:rFonts w:ascii="仿宋_GB2312" w:eastAsia="仿宋_GB2312"/>
          <w:b/>
          <w:color w:val="auto"/>
          <w:sz w:val="32"/>
          <w:szCs w:val="32"/>
        </w:rPr>
        <w:t>1.</w:t>
      </w:r>
      <w:r>
        <w:rPr>
          <w:rFonts w:hint="eastAsia" w:ascii="仿宋_GB2312" w:eastAsia="仿宋_GB2312"/>
          <w:b/>
          <w:color w:val="auto"/>
          <w:sz w:val="32"/>
          <w:szCs w:val="32"/>
        </w:rPr>
        <w:t>因公出国（境）经费支出</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w:t>
      </w:r>
      <w:r>
        <w:rPr>
          <w:rStyle w:val="18"/>
          <w:rFonts w:hint="eastAsia" w:ascii="仿宋" w:hAnsi="仿宋" w:eastAsia="仿宋"/>
          <w:b w:val="0"/>
          <w:bCs/>
          <w:color w:val="auto"/>
          <w:sz w:val="32"/>
          <w:szCs w:val="32"/>
          <w:lang w:eastAsia="zh-CN"/>
        </w:rPr>
        <w:t>年初未安排预算</w:t>
      </w:r>
      <w:r>
        <w:rPr>
          <w:rStyle w:val="18"/>
          <w:rFonts w:hint="default" w:ascii="仿宋" w:hAnsi="仿宋" w:eastAsia="仿宋"/>
          <w:b w:val="0"/>
          <w:bCs/>
          <w:color w:val="auto"/>
          <w:sz w:val="32"/>
          <w:szCs w:val="32"/>
          <w:lang w:eastAsia="zh-CN"/>
        </w:rPr>
        <w:t>，较2021年无变化</w:t>
      </w:r>
      <w:r>
        <w:rPr>
          <w:rStyle w:val="18"/>
          <w:rFonts w:hint="eastAsia" w:ascii="仿宋" w:hAnsi="仿宋" w:eastAsia="仿宋"/>
          <w:b w:val="0"/>
          <w:bCs/>
          <w:color w:val="auto"/>
          <w:sz w:val="32"/>
          <w:szCs w:val="32"/>
        </w:rPr>
        <w:t>。</w:t>
      </w:r>
    </w:p>
    <w:p>
      <w:pPr>
        <w:shd w:val="clear"/>
        <w:spacing w:line="600" w:lineRule="exact"/>
        <w:ind w:firstLine="640"/>
        <w:rPr>
          <w:rFonts w:ascii="仿宋_GB2312" w:eastAsia="仿宋_GB2312"/>
          <w:b/>
          <w:color w:val="auto"/>
          <w:sz w:val="32"/>
          <w:szCs w:val="32"/>
        </w:rPr>
      </w:pPr>
      <w:r>
        <w:rPr>
          <w:rFonts w:ascii="仿宋_GB2312" w:eastAsia="仿宋_GB2312"/>
          <w:b/>
          <w:color w:val="auto"/>
          <w:sz w:val="32"/>
          <w:szCs w:val="32"/>
        </w:rPr>
        <w:t>2.</w:t>
      </w:r>
      <w:r>
        <w:rPr>
          <w:rFonts w:hint="eastAsia" w:ascii="仿宋_GB2312" w:eastAsia="仿宋_GB2312"/>
          <w:b/>
          <w:color w:val="auto"/>
          <w:sz w:val="32"/>
          <w:szCs w:val="32"/>
        </w:rPr>
        <w:t>公务用车购置及运行维护费支出</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w:t>
      </w:r>
      <w:r>
        <w:rPr>
          <w:rFonts w:hint="eastAsia" w:ascii="仿宋_GB2312" w:eastAsia="仿宋_GB2312"/>
          <w:color w:val="auto"/>
          <w:sz w:val="32"/>
          <w:szCs w:val="32"/>
          <w:lang w:eastAsia="zh-CN"/>
        </w:rPr>
        <w:t>，</w:t>
      </w:r>
      <w:r>
        <w:rPr>
          <w:rStyle w:val="18"/>
          <w:rFonts w:hint="eastAsia" w:ascii="仿宋" w:hAnsi="仿宋" w:eastAsia="仿宋"/>
          <w:b w:val="0"/>
          <w:bCs/>
          <w:color w:val="auto"/>
          <w:sz w:val="32"/>
          <w:szCs w:val="32"/>
          <w:lang w:eastAsia="zh-CN"/>
        </w:rPr>
        <w:t>年初未安排预算</w:t>
      </w:r>
      <w:r>
        <w:rPr>
          <w:rStyle w:val="18"/>
          <w:rFonts w:hint="default" w:ascii="仿宋" w:hAnsi="仿宋" w:eastAsia="仿宋"/>
          <w:b w:val="0"/>
          <w:bCs/>
          <w:color w:val="auto"/>
          <w:sz w:val="32"/>
          <w:szCs w:val="32"/>
          <w:lang w:eastAsia="zh-CN"/>
        </w:rPr>
        <w:t>，较2021年无变化</w:t>
      </w:r>
      <w:r>
        <w:rPr>
          <w:rStyle w:val="18"/>
          <w:rFonts w:hint="eastAsia" w:ascii="仿宋" w:hAnsi="仿宋" w:eastAsia="仿宋"/>
          <w:b w:val="0"/>
          <w:bCs/>
          <w:color w:val="auto"/>
          <w:sz w:val="32"/>
          <w:szCs w:val="32"/>
        </w:rPr>
        <w:t>。</w:t>
      </w:r>
    </w:p>
    <w:p>
      <w:pPr>
        <w:shd w:val="clear"/>
        <w:spacing w:line="600" w:lineRule="exact"/>
        <w:ind w:firstLine="640" w:firstLineChars="200"/>
        <w:rPr>
          <w:rFonts w:hint="eastAsia" w:ascii="仿宋_GB2312" w:eastAsia="仿宋_GB2312"/>
          <w:b/>
          <w:color w:val="auto"/>
          <w:sz w:val="32"/>
          <w:szCs w:val="32"/>
          <w:lang w:eastAsia="zh-CN"/>
        </w:rPr>
      </w:pPr>
      <w:r>
        <w:rPr>
          <w:rFonts w:hint="eastAsia" w:ascii="仿宋_GB2312" w:eastAsia="仿宋_GB2312"/>
          <w:color w:val="auto"/>
          <w:sz w:val="32"/>
          <w:szCs w:val="32"/>
        </w:rPr>
        <w:t>其中：</w:t>
      </w:r>
      <w:r>
        <w:rPr>
          <w:rFonts w:hint="eastAsia" w:ascii="仿宋_GB2312" w:eastAsia="仿宋_GB2312"/>
          <w:b/>
          <w:color w:val="auto"/>
          <w:sz w:val="32"/>
          <w:szCs w:val="32"/>
        </w:rPr>
        <w:t>公务用车购置支出</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万元。全年按规定更新购置公务用车</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辆。截至</w:t>
      </w:r>
      <w:r>
        <w:rPr>
          <w:rFonts w:ascii="仿宋_GB2312" w:eastAsia="仿宋_GB2312"/>
          <w:color w:val="auto"/>
          <w:sz w:val="32"/>
          <w:szCs w:val="32"/>
        </w:rPr>
        <w:t>20</w:t>
      </w:r>
      <w:r>
        <w:rPr>
          <w:rFonts w:hint="eastAsia" w:ascii="仿宋_GB2312" w:eastAsia="仿宋_GB2312"/>
          <w:color w:val="auto"/>
          <w:sz w:val="32"/>
          <w:szCs w:val="32"/>
          <w:lang w:val="en-US" w:eastAsia="zh-CN"/>
        </w:rPr>
        <w:t>22</w:t>
      </w:r>
      <w:r>
        <w:rPr>
          <w:rFonts w:hint="eastAsia" w:ascii="仿宋_GB2312" w:eastAsia="仿宋_GB2312"/>
          <w:color w:val="auto"/>
          <w:sz w:val="32"/>
          <w:szCs w:val="32"/>
        </w:rPr>
        <w:t>年</w:t>
      </w:r>
      <w:r>
        <w:rPr>
          <w:rFonts w:ascii="仿宋_GB2312" w:eastAsia="仿宋_GB2312"/>
          <w:color w:val="auto"/>
          <w:sz w:val="32"/>
          <w:szCs w:val="32"/>
        </w:rPr>
        <w:t>12</w:t>
      </w:r>
      <w:r>
        <w:rPr>
          <w:rFonts w:hint="eastAsia" w:ascii="仿宋_GB2312" w:eastAsia="仿宋_GB2312"/>
          <w:color w:val="auto"/>
          <w:sz w:val="32"/>
          <w:szCs w:val="32"/>
        </w:rPr>
        <w:t>月底，单位共有公务用车</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辆</w:t>
      </w:r>
      <w:r>
        <w:rPr>
          <w:rFonts w:hint="eastAsia" w:ascii="仿宋_GB2312" w:eastAsia="仿宋_GB2312"/>
          <w:color w:val="auto"/>
          <w:sz w:val="32"/>
          <w:szCs w:val="32"/>
          <w:lang w:eastAsia="zh-CN"/>
        </w:rPr>
        <w:t>。</w:t>
      </w:r>
    </w:p>
    <w:p>
      <w:pPr>
        <w:shd w:val="clear"/>
        <w:spacing w:line="600" w:lineRule="exact"/>
        <w:ind w:firstLine="640"/>
        <w:rPr>
          <w:rFonts w:hint="eastAsia" w:ascii="仿宋_GB2312" w:eastAsia="仿宋_GB2312"/>
          <w:color w:val="auto"/>
          <w:sz w:val="32"/>
          <w:szCs w:val="32"/>
        </w:rPr>
      </w:pPr>
      <w:r>
        <w:rPr>
          <w:rFonts w:hint="eastAsia" w:ascii="仿宋_GB2312" w:eastAsia="仿宋_GB2312"/>
          <w:b/>
          <w:color w:val="auto"/>
          <w:sz w:val="32"/>
          <w:szCs w:val="32"/>
        </w:rPr>
        <w:t>公务用车运行维护费支出</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w:t>
      </w:r>
      <w:r>
        <w:rPr>
          <w:rStyle w:val="18"/>
          <w:rFonts w:hint="eastAsia" w:ascii="仿宋" w:hAnsi="仿宋" w:eastAsia="仿宋"/>
          <w:b w:val="0"/>
          <w:bCs/>
          <w:color w:val="auto"/>
          <w:sz w:val="32"/>
          <w:szCs w:val="32"/>
          <w:lang w:eastAsia="zh-CN"/>
        </w:rPr>
        <w:t>年初未安排预算</w:t>
      </w:r>
      <w:r>
        <w:rPr>
          <w:rStyle w:val="18"/>
          <w:rFonts w:hint="eastAsia" w:ascii="仿宋" w:hAnsi="仿宋" w:eastAsia="仿宋"/>
          <w:b w:val="0"/>
          <w:bCs/>
          <w:color w:val="auto"/>
          <w:sz w:val="32"/>
          <w:szCs w:val="32"/>
        </w:rPr>
        <w:t>。</w:t>
      </w:r>
    </w:p>
    <w:p>
      <w:pPr>
        <w:shd w:val="clear"/>
        <w:spacing w:line="600" w:lineRule="exact"/>
        <w:ind w:firstLine="640"/>
        <w:rPr>
          <w:rStyle w:val="18"/>
          <w:rFonts w:hint="eastAsia" w:ascii="仿宋" w:hAnsi="仿宋" w:eastAsia="仿宋"/>
          <w:b w:val="0"/>
          <w:bCs/>
          <w:color w:val="auto"/>
          <w:sz w:val="32"/>
          <w:szCs w:val="32"/>
        </w:rPr>
      </w:pPr>
      <w:r>
        <w:rPr>
          <w:rFonts w:ascii="仿宋_GB2312" w:eastAsia="仿宋_GB2312"/>
          <w:b/>
          <w:color w:val="auto"/>
          <w:sz w:val="32"/>
          <w:szCs w:val="32"/>
        </w:rPr>
        <w:t>3.</w:t>
      </w:r>
      <w:r>
        <w:rPr>
          <w:rFonts w:hint="eastAsia" w:ascii="仿宋_GB2312" w:eastAsia="仿宋_GB2312"/>
          <w:b/>
          <w:color w:val="auto"/>
          <w:sz w:val="32"/>
          <w:szCs w:val="32"/>
        </w:rPr>
        <w:t>公务接待费支出</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w:t>
      </w:r>
      <w:r>
        <w:rPr>
          <w:rStyle w:val="18"/>
          <w:rFonts w:hint="eastAsia" w:ascii="仿宋" w:hAnsi="仿宋" w:eastAsia="仿宋"/>
          <w:b w:val="0"/>
          <w:bCs/>
          <w:color w:val="auto"/>
          <w:sz w:val="32"/>
          <w:szCs w:val="32"/>
          <w:lang w:eastAsia="zh-CN"/>
        </w:rPr>
        <w:t>年初未安排预算</w:t>
      </w:r>
      <w:r>
        <w:rPr>
          <w:rStyle w:val="18"/>
          <w:rFonts w:hint="default" w:ascii="仿宋" w:hAnsi="仿宋" w:eastAsia="仿宋"/>
          <w:b w:val="0"/>
          <w:bCs/>
          <w:color w:val="auto"/>
          <w:sz w:val="32"/>
          <w:szCs w:val="32"/>
          <w:lang w:eastAsia="zh-CN"/>
        </w:rPr>
        <w:t>，较2021年下降100%，主要原因是厉行节约</w:t>
      </w:r>
      <w:r>
        <w:rPr>
          <w:rStyle w:val="18"/>
          <w:rFonts w:hint="eastAsia" w:ascii="仿宋" w:hAnsi="仿宋" w:eastAsia="仿宋"/>
          <w:b w:val="0"/>
          <w:bCs/>
          <w:color w:val="auto"/>
          <w:sz w:val="32"/>
          <w:szCs w:val="32"/>
        </w:rPr>
        <w:t>。</w:t>
      </w:r>
    </w:p>
    <w:p>
      <w:pPr>
        <w:shd w:val="clear"/>
        <w:spacing w:line="600" w:lineRule="exact"/>
        <w:ind w:firstLine="640"/>
        <w:rPr>
          <w:rFonts w:ascii="仿宋_GB2312" w:eastAsia="仿宋_GB2312"/>
          <w:color w:val="auto"/>
          <w:sz w:val="32"/>
          <w:szCs w:val="32"/>
        </w:rPr>
      </w:pPr>
      <w:r>
        <w:rPr>
          <w:rFonts w:hint="eastAsia" w:ascii="仿宋" w:hAnsi="仿宋" w:eastAsia="仿宋"/>
          <w:b/>
          <w:color w:val="auto"/>
          <w:sz w:val="32"/>
          <w:szCs w:val="32"/>
        </w:rPr>
        <w:t>国内公务接待支出</w:t>
      </w:r>
      <w:r>
        <w:rPr>
          <w:rFonts w:hint="eastAsia" w:ascii="仿宋" w:hAnsi="仿宋" w:eastAsia="仿宋"/>
          <w:color w:val="auto"/>
          <w:sz w:val="32"/>
          <w:szCs w:val="32"/>
          <w:lang w:val="en-US" w:eastAsia="zh-CN"/>
        </w:rPr>
        <w:t>0</w:t>
      </w:r>
      <w:r>
        <w:rPr>
          <w:rFonts w:hint="eastAsia" w:ascii="仿宋_GB2312" w:eastAsia="仿宋_GB2312"/>
          <w:color w:val="auto"/>
          <w:sz w:val="32"/>
          <w:szCs w:val="32"/>
        </w:rPr>
        <w:t>万元，</w:t>
      </w:r>
      <w:r>
        <w:rPr>
          <w:rStyle w:val="18"/>
          <w:rFonts w:hint="eastAsia" w:ascii="仿宋" w:hAnsi="仿宋" w:eastAsia="仿宋"/>
          <w:b w:val="0"/>
          <w:bCs/>
          <w:color w:val="auto"/>
          <w:sz w:val="32"/>
          <w:szCs w:val="32"/>
          <w:lang w:eastAsia="zh-CN"/>
        </w:rPr>
        <w:t>年初未安排预算</w:t>
      </w:r>
      <w:r>
        <w:rPr>
          <w:rFonts w:hint="eastAsia" w:ascii="仿宋_GB2312" w:eastAsia="仿宋_GB2312"/>
          <w:color w:val="auto"/>
          <w:sz w:val="32"/>
          <w:szCs w:val="32"/>
        </w:rPr>
        <w:t>。</w:t>
      </w:r>
    </w:p>
    <w:p>
      <w:pPr>
        <w:shd w:val="clear"/>
        <w:spacing w:line="600" w:lineRule="exact"/>
        <w:ind w:firstLine="642" w:firstLineChars="200"/>
        <w:rPr>
          <w:rFonts w:ascii="黑体" w:eastAsia="黑体"/>
          <w:color w:val="auto"/>
          <w:sz w:val="32"/>
          <w:szCs w:val="32"/>
        </w:rPr>
      </w:pPr>
      <w:bookmarkStart w:id="42" w:name="_Toc15396610"/>
      <w:bookmarkStart w:id="43" w:name="_Toc15377218"/>
      <w:r>
        <w:rPr>
          <w:rFonts w:hint="eastAsia" w:ascii="仿宋" w:hAnsi="仿宋" w:eastAsia="仿宋"/>
          <w:b/>
          <w:color w:val="auto"/>
          <w:sz w:val="32"/>
          <w:szCs w:val="32"/>
        </w:rPr>
        <w:t>外事接待支出</w:t>
      </w:r>
      <w:r>
        <w:rPr>
          <w:rFonts w:hint="eastAsia" w:ascii="仿宋" w:hAnsi="仿宋" w:eastAsia="仿宋"/>
          <w:color w:val="auto"/>
          <w:sz w:val="32"/>
          <w:szCs w:val="32"/>
          <w:lang w:val="en-US" w:eastAsia="zh-CN"/>
        </w:rPr>
        <w:t>0</w:t>
      </w:r>
      <w:r>
        <w:rPr>
          <w:rFonts w:hint="eastAsia" w:ascii="仿宋_GB2312" w:eastAsia="仿宋_GB2312"/>
          <w:color w:val="auto"/>
          <w:sz w:val="32"/>
          <w:szCs w:val="32"/>
        </w:rPr>
        <w:t>万元，</w:t>
      </w:r>
      <w:r>
        <w:rPr>
          <w:rStyle w:val="18"/>
          <w:rFonts w:hint="eastAsia" w:ascii="仿宋" w:hAnsi="仿宋" w:eastAsia="仿宋"/>
          <w:b w:val="0"/>
          <w:bCs/>
          <w:color w:val="auto"/>
          <w:sz w:val="32"/>
          <w:szCs w:val="32"/>
          <w:lang w:eastAsia="zh-CN"/>
        </w:rPr>
        <w:t>年初未安排预算</w:t>
      </w:r>
      <w:r>
        <w:rPr>
          <w:rFonts w:hint="eastAsia" w:ascii="仿宋_GB2312" w:eastAsia="仿宋_GB2312"/>
          <w:color w:val="auto"/>
          <w:sz w:val="32"/>
          <w:szCs w:val="32"/>
        </w:rPr>
        <w:t>。</w:t>
      </w:r>
    </w:p>
    <w:bookmarkEnd w:id="42"/>
    <w:bookmarkEnd w:id="43"/>
    <w:p>
      <w:pPr>
        <w:shd w:val="clear"/>
        <w:spacing w:line="600" w:lineRule="exact"/>
        <w:ind w:firstLine="640"/>
        <w:outlineLvl w:val="1"/>
        <w:rPr>
          <w:rStyle w:val="23"/>
          <w:rFonts w:ascii="黑体" w:hAnsi="黑体" w:eastAsia="黑体"/>
          <w:color w:val="auto"/>
        </w:rPr>
      </w:pPr>
      <w:bookmarkStart w:id="44" w:name="_Toc22187"/>
      <w:bookmarkEnd w:id="44"/>
      <w:r>
        <w:rPr>
          <w:rFonts w:hint="eastAsia" w:ascii="黑体" w:eastAsia="黑体"/>
          <w:color w:val="auto"/>
          <w:sz w:val="32"/>
          <w:szCs w:val="32"/>
        </w:rPr>
        <w:t>八、</w:t>
      </w:r>
      <w:r>
        <w:rPr>
          <w:rStyle w:val="23"/>
          <w:rFonts w:hint="eastAsia" w:ascii="黑体" w:hAnsi="黑体" w:eastAsia="黑体"/>
          <w:b w:val="0"/>
          <w:color w:val="auto"/>
        </w:rPr>
        <w:t>政府性基金预算支出决算情况说明</w:t>
      </w:r>
    </w:p>
    <w:p>
      <w:pPr>
        <w:shd w:val="clear"/>
        <w:spacing w:line="600" w:lineRule="exact"/>
        <w:ind w:firstLine="640"/>
        <w:rPr>
          <w:rFonts w:ascii="仿宋_GB2312" w:eastAsia="仿宋_GB2312"/>
          <w:color w:val="auto"/>
          <w:sz w:val="32"/>
          <w:szCs w:val="32"/>
        </w:rPr>
      </w:pPr>
      <w:r>
        <w:rPr>
          <w:rFonts w:ascii="仿宋_GB2312" w:eastAsia="仿宋_GB2312"/>
          <w:color w:val="auto"/>
          <w:sz w:val="32"/>
          <w:szCs w:val="32"/>
        </w:rPr>
        <w:t>20</w:t>
      </w:r>
      <w:r>
        <w:rPr>
          <w:rFonts w:hint="eastAsia" w:ascii="仿宋_GB2312" w:eastAsia="仿宋_GB2312"/>
          <w:color w:val="auto"/>
          <w:sz w:val="32"/>
          <w:szCs w:val="32"/>
          <w:lang w:val="en-US" w:eastAsia="zh-CN"/>
        </w:rPr>
        <w:t>22</w:t>
      </w:r>
      <w:r>
        <w:rPr>
          <w:rFonts w:hint="eastAsia" w:ascii="仿宋_GB2312" w:eastAsia="仿宋_GB2312"/>
          <w:color w:val="auto"/>
          <w:sz w:val="32"/>
          <w:szCs w:val="32"/>
        </w:rPr>
        <w:t>年政府性基金预算</w:t>
      </w:r>
      <w:r>
        <w:rPr>
          <w:rFonts w:hint="eastAsia" w:ascii="仿宋_GB2312" w:eastAsia="仿宋_GB2312"/>
          <w:color w:val="auto"/>
          <w:sz w:val="32"/>
          <w:szCs w:val="32"/>
          <w:lang w:eastAsia="zh-CN"/>
        </w:rPr>
        <w:t>财政</w:t>
      </w:r>
      <w:r>
        <w:rPr>
          <w:rFonts w:hint="eastAsia" w:ascii="仿宋_GB2312" w:eastAsia="仿宋_GB2312"/>
          <w:color w:val="auto"/>
          <w:sz w:val="32"/>
          <w:szCs w:val="32"/>
        </w:rPr>
        <w:t>拨款支出</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w:t>
      </w:r>
    </w:p>
    <w:p>
      <w:pPr>
        <w:numPr>
          <w:ilvl w:val="0"/>
          <w:numId w:val="3"/>
        </w:numPr>
        <w:shd w:val="clear"/>
        <w:spacing w:line="600" w:lineRule="exact"/>
        <w:ind w:firstLine="640"/>
        <w:outlineLvl w:val="1"/>
        <w:rPr>
          <w:rStyle w:val="23"/>
          <w:rFonts w:ascii="黑体" w:hAnsi="黑体" w:eastAsia="黑体"/>
          <w:b w:val="0"/>
          <w:color w:val="auto"/>
        </w:rPr>
      </w:pPr>
      <w:bookmarkStart w:id="45" w:name="_Toc15396611"/>
      <w:bookmarkEnd w:id="45"/>
      <w:bookmarkStart w:id="46" w:name="_Toc31613"/>
      <w:bookmarkEnd w:id="46"/>
      <w:bookmarkStart w:id="47" w:name="_Toc15377219"/>
      <w:bookmarkEnd w:id="47"/>
      <w:r>
        <w:rPr>
          <w:rStyle w:val="23"/>
          <w:rFonts w:hint="eastAsia" w:ascii="黑体" w:hAnsi="黑体" w:eastAsia="黑体"/>
          <w:b w:val="0"/>
          <w:color w:val="auto"/>
        </w:rPr>
        <w:t>国有资本经营预算支出决算情况说明</w:t>
      </w:r>
    </w:p>
    <w:p>
      <w:pPr>
        <w:shd w:val="clear"/>
        <w:spacing w:line="600" w:lineRule="exact"/>
        <w:ind w:firstLine="640"/>
        <w:rPr>
          <w:rFonts w:ascii="方正小标宋简体" w:hAnsi="方正小标宋简体" w:eastAsia="方正小标宋简体" w:cs="方正小标宋简体"/>
          <w:color w:val="auto"/>
          <w:sz w:val="44"/>
          <w:szCs w:val="44"/>
        </w:rPr>
      </w:pPr>
      <w:r>
        <w:rPr>
          <w:rFonts w:ascii="仿宋_GB2312" w:eastAsia="仿宋_GB2312"/>
          <w:color w:val="auto"/>
          <w:sz w:val="32"/>
          <w:szCs w:val="32"/>
        </w:rPr>
        <w:t>20</w:t>
      </w:r>
      <w:r>
        <w:rPr>
          <w:rFonts w:hint="eastAsia" w:ascii="仿宋_GB2312" w:eastAsia="仿宋_GB2312"/>
          <w:color w:val="auto"/>
          <w:sz w:val="32"/>
          <w:szCs w:val="32"/>
          <w:lang w:val="en-US" w:eastAsia="zh-CN"/>
        </w:rPr>
        <w:t>22</w:t>
      </w:r>
      <w:r>
        <w:rPr>
          <w:rFonts w:hint="eastAsia" w:ascii="仿宋_GB2312" w:eastAsia="仿宋_GB2312"/>
          <w:color w:val="auto"/>
          <w:sz w:val="32"/>
          <w:szCs w:val="32"/>
        </w:rPr>
        <w:t>年国有资本经营预算</w:t>
      </w:r>
      <w:r>
        <w:rPr>
          <w:rFonts w:hint="eastAsia" w:ascii="仿宋_GB2312" w:eastAsia="仿宋_GB2312"/>
          <w:color w:val="auto"/>
          <w:sz w:val="32"/>
          <w:szCs w:val="32"/>
          <w:lang w:eastAsia="zh-CN"/>
        </w:rPr>
        <w:t>财政</w:t>
      </w:r>
      <w:r>
        <w:rPr>
          <w:rFonts w:hint="eastAsia" w:ascii="仿宋_GB2312" w:eastAsia="仿宋_GB2312"/>
          <w:color w:val="auto"/>
          <w:sz w:val="32"/>
          <w:szCs w:val="32"/>
        </w:rPr>
        <w:t>拨款支出</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w:t>
      </w:r>
    </w:p>
    <w:p>
      <w:pPr>
        <w:numPr>
          <w:ilvl w:val="0"/>
          <w:numId w:val="3"/>
        </w:numPr>
        <w:shd w:val="clear"/>
        <w:spacing w:line="600" w:lineRule="exact"/>
        <w:ind w:firstLine="640"/>
        <w:outlineLvl w:val="1"/>
        <w:rPr>
          <w:rStyle w:val="23"/>
          <w:rFonts w:hint="eastAsia" w:ascii="黑体" w:hAnsi="黑体" w:eastAsia="黑体"/>
          <w:b w:val="0"/>
          <w:color w:val="auto"/>
        </w:rPr>
      </w:pPr>
      <w:bookmarkStart w:id="48" w:name="_Toc15377221"/>
      <w:bookmarkEnd w:id="48"/>
      <w:bookmarkStart w:id="49" w:name="_Toc15658"/>
      <w:bookmarkEnd w:id="49"/>
      <w:bookmarkStart w:id="50" w:name="_Toc15396612"/>
      <w:bookmarkEnd w:id="50"/>
      <w:r>
        <w:rPr>
          <w:rStyle w:val="23"/>
          <w:rFonts w:hint="eastAsia" w:ascii="黑体" w:hAnsi="黑体" w:eastAsia="黑体"/>
          <w:b w:val="0"/>
          <w:color w:val="auto"/>
        </w:rPr>
        <w:t>其他重要事项的情况说明</w:t>
      </w:r>
    </w:p>
    <w:p>
      <w:pPr>
        <w:shd w:val="clear"/>
        <w:spacing w:line="600" w:lineRule="exact"/>
        <w:ind w:firstLine="642" w:firstLineChars="200"/>
        <w:outlineLvl w:val="2"/>
        <w:rPr>
          <w:rFonts w:ascii="仿宋" w:hAnsi="仿宋" w:eastAsia="仿宋"/>
          <w:color w:val="auto"/>
          <w:sz w:val="32"/>
          <w:szCs w:val="32"/>
        </w:rPr>
      </w:pPr>
      <w:bookmarkStart w:id="51" w:name="_Toc15377222"/>
      <w:bookmarkEnd w:id="51"/>
      <w:r>
        <w:rPr>
          <w:rFonts w:hint="eastAsia" w:ascii="仿宋" w:hAnsi="仿宋" w:eastAsia="仿宋"/>
          <w:b/>
          <w:color w:val="auto"/>
          <w:sz w:val="32"/>
          <w:szCs w:val="32"/>
        </w:rPr>
        <w:t>（一）机关运行经费支出情况</w:t>
      </w:r>
    </w:p>
    <w:p>
      <w:pPr>
        <w:shd w:val="clear"/>
        <w:spacing w:line="600" w:lineRule="exact"/>
        <w:ind w:firstLine="640" w:firstLineChars="200"/>
        <w:rPr>
          <w:rFonts w:hint="eastAsia" w:ascii="仿宋_GB2312" w:eastAsia="仿宋_GB2312"/>
          <w:color w:val="auto"/>
          <w:sz w:val="32"/>
          <w:szCs w:val="32"/>
          <w:lang w:eastAsia="zh-CN"/>
        </w:rPr>
      </w:pPr>
      <w:r>
        <w:rPr>
          <w:rFonts w:ascii="仿宋_GB2312" w:eastAsia="仿宋_GB2312"/>
          <w:color w:val="auto"/>
          <w:sz w:val="32"/>
          <w:szCs w:val="32"/>
        </w:rPr>
        <w:t>20</w:t>
      </w:r>
      <w:r>
        <w:rPr>
          <w:rFonts w:hint="eastAsia" w:ascii="仿宋_GB2312" w:eastAsia="仿宋_GB2312"/>
          <w:color w:val="auto"/>
          <w:sz w:val="32"/>
          <w:szCs w:val="32"/>
          <w:lang w:val="en-US" w:eastAsia="zh-CN"/>
        </w:rPr>
        <w:t>22</w:t>
      </w:r>
      <w:r>
        <w:rPr>
          <w:rFonts w:hint="eastAsia" w:ascii="仿宋_GB2312" w:eastAsia="仿宋_GB2312"/>
          <w:color w:val="auto"/>
          <w:sz w:val="32"/>
          <w:szCs w:val="32"/>
        </w:rPr>
        <w:t>年，机关运行经费支出11.68万元，比</w:t>
      </w:r>
      <w:r>
        <w:rPr>
          <w:rFonts w:ascii="仿宋_GB2312" w:eastAsia="仿宋_GB2312"/>
          <w:color w:val="auto"/>
          <w:sz w:val="32"/>
          <w:szCs w:val="32"/>
        </w:rPr>
        <w:t>20</w:t>
      </w:r>
      <w:r>
        <w:rPr>
          <w:rFonts w:hint="eastAsia" w:ascii="仿宋_GB2312" w:eastAsia="仿宋_GB2312"/>
          <w:color w:val="auto"/>
          <w:sz w:val="32"/>
          <w:szCs w:val="32"/>
          <w:lang w:val="en-US" w:eastAsia="zh-CN"/>
        </w:rPr>
        <w:t>21</w:t>
      </w:r>
      <w:r>
        <w:rPr>
          <w:rFonts w:hint="eastAsia" w:ascii="仿宋_GB2312" w:eastAsia="仿宋_GB2312"/>
          <w:color w:val="auto"/>
          <w:sz w:val="32"/>
          <w:szCs w:val="32"/>
        </w:rPr>
        <w:t>年增加7万元，增长149.44</w:t>
      </w:r>
      <w:r>
        <w:rPr>
          <w:rFonts w:ascii="仿宋_GB2312" w:eastAsia="仿宋_GB2312"/>
          <w:color w:val="auto"/>
          <w:sz w:val="32"/>
          <w:szCs w:val="32"/>
        </w:rPr>
        <w:t>%</w:t>
      </w:r>
      <w:r>
        <w:rPr>
          <w:rFonts w:hint="eastAsia" w:ascii="仿宋_GB2312" w:eastAsia="仿宋_GB2312"/>
          <w:color w:val="auto"/>
          <w:sz w:val="32"/>
          <w:szCs w:val="32"/>
        </w:rPr>
        <w:t>。主要原因是正常费用增加</w:t>
      </w:r>
      <w:r>
        <w:rPr>
          <w:rFonts w:hint="eastAsia" w:ascii="仿宋_GB2312" w:eastAsia="仿宋_GB2312"/>
          <w:color w:val="auto"/>
          <w:sz w:val="32"/>
          <w:szCs w:val="32"/>
          <w:lang w:eastAsia="zh-CN"/>
        </w:rPr>
        <w:t>。</w:t>
      </w:r>
    </w:p>
    <w:p>
      <w:pPr>
        <w:shd w:val="clear"/>
        <w:autoSpaceDE w:val="0"/>
        <w:autoSpaceDN w:val="0"/>
        <w:adjustRightInd w:val="0"/>
        <w:spacing w:line="600" w:lineRule="exact"/>
        <w:ind w:firstLine="642" w:firstLineChars="200"/>
        <w:jc w:val="left"/>
        <w:outlineLvl w:val="2"/>
        <w:rPr>
          <w:rFonts w:ascii="仿宋" w:hAnsi="仿宋" w:eastAsia="仿宋"/>
          <w:b/>
          <w:color w:val="auto"/>
          <w:sz w:val="32"/>
          <w:szCs w:val="32"/>
        </w:rPr>
      </w:pPr>
      <w:bookmarkStart w:id="52" w:name="_Toc15377223"/>
      <w:bookmarkEnd w:id="52"/>
      <w:r>
        <w:rPr>
          <w:rFonts w:hint="eastAsia" w:ascii="仿宋" w:hAnsi="仿宋" w:eastAsia="仿宋"/>
          <w:b/>
          <w:color w:val="auto"/>
          <w:sz w:val="32"/>
          <w:szCs w:val="32"/>
        </w:rPr>
        <w:t>（二）政府采购支出情况</w:t>
      </w:r>
    </w:p>
    <w:p>
      <w:pPr>
        <w:shd w:val="clear"/>
        <w:spacing w:line="600" w:lineRule="exact"/>
        <w:ind w:firstLine="640" w:firstLineChars="200"/>
        <w:rPr>
          <w:rFonts w:ascii="仿宋_GB2312" w:eastAsia="仿宋_GB2312"/>
          <w:color w:val="auto"/>
          <w:sz w:val="32"/>
          <w:szCs w:val="32"/>
        </w:rPr>
      </w:pPr>
      <w:r>
        <w:rPr>
          <w:rFonts w:ascii="仿宋_GB2312" w:eastAsia="仿宋_GB2312"/>
          <w:color w:val="auto"/>
          <w:sz w:val="32"/>
          <w:szCs w:val="32"/>
        </w:rPr>
        <w:t>20</w:t>
      </w:r>
      <w:r>
        <w:rPr>
          <w:rFonts w:hint="eastAsia" w:ascii="仿宋_GB2312" w:eastAsia="仿宋_GB2312"/>
          <w:color w:val="auto"/>
          <w:sz w:val="32"/>
          <w:szCs w:val="32"/>
          <w:lang w:val="en-US" w:eastAsia="zh-CN"/>
        </w:rPr>
        <w:t>22</w:t>
      </w:r>
      <w:r>
        <w:rPr>
          <w:rFonts w:hint="eastAsia" w:ascii="仿宋_GB2312" w:eastAsia="仿宋_GB2312"/>
          <w:color w:val="auto"/>
          <w:sz w:val="32"/>
          <w:szCs w:val="32"/>
        </w:rPr>
        <w:t>年，政府采购支出总额</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万元，其中：政府采购货物支出</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万元、政府采购工程支出</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万元、政府采购服务支出</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万元。授予中小企业合同金额</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万元，占政府采购支出总额的</w:t>
      </w:r>
      <w:r>
        <w:rPr>
          <w:rFonts w:hint="eastAsia" w:ascii="仿宋_GB2312" w:eastAsia="仿宋_GB2312"/>
          <w:color w:val="auto"/>
          <w:sz w:val="32"/>
          <w:szCs w:val="32"/>
          <w:lang w:val="en-US" w:eastAsia="zh-CN"/>
        </w:rPr>
        <w:t>0</w:t>
      </w:r>
      <w:r>
        <w:rPr>
          <w:rFonts w:ascii="仿宋_GB2312" w:eastAsia="仿宋_GB2312"/>
          <w:color w:val="auto"/>
          <w:sz w:val="32"/>
          <w:szCs w:val="32"/>
        </w:rPr>
        <w:t>%</w:t>
      </w:r>
      <w:r>
        <w:rPr>
          <w:rFonts w:hint="eastAsia" w:ascii="仿宋_GB2312" w:eastAsia="仿宋_GB2312"/>
          <w:color w:val="auto"/>
          <w:sz w:val="32"/>
          <w:szCs w:val="32"/>
        </w:rPr>
        <w:t>，其中：授予小微企业合同金额</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万元，占政府采购支出总额的</w:t>
      </w:r>
      <w:r>
        <w:rPr>
          <w:rFonts w:hint="eastAsia" w:ascii="仿宋_GB2312" w:eastAsia="仿宋_GB2312"/>
          <w:color w:val="auto"/>
          <w:sz w:val="32"/>
          <w:szCs w:val="32"/>
          <w:lang w:val="en-US" w:eastAsia="zh-CN"/>
        </w:rPr>
        <w:t>0</w:t>
      </w:r>
      <w:r>
        <w:rPr>
          <w:rFonts w:ascii="仿宋_GB2312" w:eastAsia="仿宋_GB2312"/>
          <w:color w:val="auto"/>
          <w:sz w:val="32"/>
          <w:szCs w:val="32"/>
        </w:rPr>
        <w:t>%</w:t>
      </w:r>
      <w:r>
        <w:rPr>
          <w:rFonts w:hint="eastAsia" w:ascii="仿宋_GB2312" w:eastAsia="仿宋_GB2312"/>
          <w:color w:val="auto"/>
          <w:sz w:val="32"/>
          <w:szCs w:val="32"/>
        </w:rPr>
        <w:t>。</w:t>
      </w:r>
    </w:p>
    <w:p>
      <w:pPr>
        <w:shd w:val="clear"/>
        <w:autoSpaceDE w:val="0"/>
        <w:autoSpaceDN w:val="0"/>
        <w:adjustRightInd w:val="0"/>
        <w:spacing w:line="600" w:lineRule="exact"/>
        <w:ind w:firstLine="642" w:firstLineChars="200"/>
        <w:jc w:val="left"/>
        <w:outlineLvl w:val="2"/>
        <w:rPr>
          <w:rFonts w:ascii="仿宋" w:hAnsi="仿宋" w:eastAsia="仿宋"/>
          <w:b/>
          <w:color w:val="auto"/>
          <w:sz w:val="32"/>
          <w:szCs w:val="32"/>
        </w:rPr>
      </w:pPr>
      <w:bookmarkStart w:id="53" w:name="_Toc15377224"/>
      <w:bookmarkEnd w:id="53"/>
      <w:r>
        <w:rPr>
          <w:rFonts w:hint="eastAsia" w:ascii="仿宋" w:hAnsi="仿宋" w:eastAsia="仿宋"/>
          <w:b/>
          <w:color w:val="auto"/>
          <w:sz w:val="32"/>
          <w:szCs w:val="32"/>
        </w:rPr>
        <w:t>（三）国有资产占有使用情况</w:t>
      </w:r>
    </w:p>
    <w:p>
      <w:pPr>
        <w:shd w:val="clear"/>
        <w:autoSpaceDE w:val="0"/>
        <w:autoSpaceDN w:val="0"/>
        <w:adjustRightInd w:val="0"/>
        <w:spacing w:line="600" w:lineRule="exact"/>
        <w:ind w:firstLine="640" w:firstLineChars="200"/>
        <w:jc w:val="left"/>
        <w:rPr>
          <w:rFonts w:hint="eastAsia" w:ascii="仿宋_GB2312" w:eastAsia="仿宋_GB2312"/>
          <w:color w:val="auto"/>
          <w:sz w:val="32"/>
          <w:szCs w:val="32"/>
        </w:rPr>
      </w:pPr>
      <w:r>
        <w:rPr>
          <w:rFonts w:hint="eastAsia" w:ascii="仿宋_GB2312" w:eastAsia="仿宋_GB2312"/>
          <w:color w:val="auto"/>
          <w:sz w:val="32"/>
          <w:szCs w:val="32"/>
        </w:rPr>
        <w:t>截至</w:t>
      </w:r>
      <w:r>
        <w:rPr>
          <w:rFonts w:ascii="仿宋_GB2312" w:eastAsia="仿宋_GB2312"/>
          <w:color w:val="auto"/>
          <w:sz w:val="32"/>
          <w:szCs w:val="32"/>
        </w:rPr>
        <w:t>20</w:t>
      </w:r>
      <w:r>
        <w:rPr>
          <w:rFonts w:hint="eastAsia" w:ascii="仿宋_GB2312" w:eastAsia="仿宋_GB2312"/>
          <w:color w:val="auto"/>
          <w:sz w:val="32"/>
          <w:szCs w:val="32"/>
          <w:lang w:val="en-US" w:eastAsia="zh-CN"/>
        </w:rPr>
        <w:t>22</w:t>
      </w:r>
      <w:r>
        <w:rPr>
          <w:rFonts w:hint="eastAsia" w:ascii="仿宋_GB2312" w:eastAsia="仿宋_GB2312"/>
          <w:color w:val="auto"/>
          <w:sz w:val="32"/>
          <w:szCs w:val="32"/>
        </w:rPr>
        <w:t>年</w:t>
      </w:r>
      <w:r>
        <w:rPr>
          <w:rFonts w:ascii="仿宋_GB2312" w:eastAsia="仿宋_GB2312"/>
          <w:color w:val="auto"/>
          <w:sz w:val="32"/>
          <w:szCs w:val="32"/>
        </w:rPr>
        <w:t>12</w:t>
      </w:r>
      <w:r>
        <w:rPr>
          <w:rFonts w:hint="eastAsia" w:ascii="仿宋_GB2312" w:eastAsia="仿宋_GB2312"/>
          <w:color w:val="auto"/>
          <w:sz w:val="32"/>
          <w:szCs w:val="32"/>
        </w:rPr>
        <w:t>月</w:t>
      </w:r>
      <w:r>
        <w:rPr>
          <w:rFonts w:ascii="仿宋_GB2312" w:eastAsia="仿宋_GB2312"/>
          <w:color w:val="auto"/>
          <w:sz w:val="32"/>
          <w:szCs w:val="32"/>
        </w:rPr>
        <w:t>31</w:t>
      </w:r>
      <w:r>
        <w:rPr>
          <w:rFonts w:hint="eastAsia" w:ascii="仿宋_GB2312" w:eastAsia="仿宋_GB2312"/>
          <w:color w:val="auto"/>
          <w:sz w:val="32"/>
          <w:szCs w:val="32"/>
        </w:rPr>
        <w:t>日，共有车辆</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辆，单价</w:t>
      </w:r>
      <w:r>
        <w:rPr>
          <w:rFonts w:ascii="仿宋_GB2312" w:eastAsia="仿宋_GB2312"/>
          <w:color w:val="auto"/>
          <w:sz w:val="32"/>
          <w:szCs w:val="32"/>
        </w:rPr>
        <w:t>100</w:t>
      </w:r>
      <w:r>
        <w:rPr>
          <w:rFonts w:hint="eastAsia" w:ascii="仿宋_GB2312" w:eastAsia="仿宋_GB2312"/>
          <w:color w:val="auto"/>
          <w:sz w:val="32"/>
          <w:szCs w:val="32"/>
        </w:rPr>
        <w:t>万元以上专用设备</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台（套）。</w:t>
      </w:r>
    </w:p>
    <w:p>
      <w:pPr>
        <w:shd w:val="clear"/>
        <w:autoSpaceDE w:val="0"/>
        <w:autoSpaceDN w:val="0"/>
        <w:adjustRightInd w:val="0"/>
        <w:spacing w:line="600" w:lineRule="exact"/>
        <w:ind w:firstLine="642" w:firstLineChars="200"/>
        <w:jc w:val="left"/>
        <w:outlineLvl w:val="2"/>
        <w:rPr>
          <w:rFonts w:ascii="仿宋" w:hAnsi="仿宋" w:eastAsia="仿宋"/>
          <w:b/>
          <w:color w:val="auto"/>
          <w:sz w:val="32"/>
          <w:szCs w:val="32"/>
        </w:rPr>
      </w:pPr>
      <w:r>
        <w:rPr>
          <w:rFonts w:hint="eastAsia" w:ascii="仿宋" w:hAnsi="仿宋" w:eastAsia="仿宋"/>
          <w:b/>
          <w:color w:val="auto"/>
          <w:sz w:val="32"/>
          <w:szCs w:val="32"/>
        </w:rPr>
        <w:t>（四）预算绩效管理情况</w:t>
      </w:r>
    </w:p>
    <w:p>
      <w:pPr>
        <w:widowControl/>
        <w:shd w:val="clear"/>
        <w:ind w:firstLine="640" w:firstLineChars="200"/>
        <w:jc w:val="left"/>
        <w:rPr>
          <w:rFonts w:hint="default"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根据预算绩效管理要求，本部门在202</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年度预算编制阶段，组织对</w:t>
      </w:r>
      <w:r>
        <w:rPr>
          <w:rFonts w:hint="eastAsia" w:ascii="仿宋_GB2312" w:hAnsi="仿宋_GB2312" w:eastAsia="仿宋_GB2312" w:cs="仿宋_GB2312"/>
          <w:color w:val="auto"/>
          <w:sz w:val="32"/>
          <w:szCs w:val="32"/>
          <w:lang w:val="en-US" w:eastAsia="zh-CN"/>
        </w:rPr>
        <w:t>民主党派工作经费</w:t>
      </w:r>
      <w:r>
        <w:rPr>
          <w:rFonts w:hint="eastAsia" w:ascii="仿宋_GB2312" w:hAnsi="仿宋_GB2312" w:eastAsia="仿宋_GB2312" w:cs="仿宋_GB2312"/>
          <w:color w:val="auto"/>
          <w:sz w:val="32"/>
          <w:szCs w:val="32"/>
        </w:rPr>
        <w:t>项目（项目名称）等</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个项目开展了预算事前绩效评估，对</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个项目编制了绩效目标，预算执行过程中，选取</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个项目开展绩效监控。</w:t>
      </w:r>
      <w:r>
        <w:rPr>
          <w:rFonts w:hint="default" w:ascii="仿宋_GB2312" w:hAnsi="仿宋_GB2312" w:eastAsia="仿宋_GB2312" w:cs="仿宋_GB2312"/>
          <w:color w:val="auto"/>
          <w:sz w:val="32"/>
          <w:szCs w:val="32"/>
        </w:rPr>
        <w:t>绩效自评表见附件。</w:t>
      </w:r>
    </w:p>
    <w:p>
      <w:pPr>
        <w:pStyle w:val="20"/>
        <w:rPr>
          <w:rFonts w:hint="default" w:ascii="仿宋_GB2312" w:hAnsi="仿宋_GB2312" w:eastAsia="仿宋_GB2312" w:cs="仿宋_GB2312"/>
          <w:color w:val="auto"/>
          <w:sz w:val="32"/>
          <w:szCs w:val="32"/>
        </w:rPr>
      </w:pPr>
    </w:p>
    <w:p>
      <w:pPr>
        <w:pStyle w:val="20"/>
        <w:rPr>
          <w:rFonts w:hint="default" w:ascii="仿宋_GB2312" w:hAnsi="仿宋_GB2312" w:eastAsia="仿宋_GB2312" w:cs="仿宋_GB2312"/>
          <w:color w:val="auto"/>
          <w:sz w:val="32"/>
          <w:szCs w:val="32"/>
        </w:rPr>
      </w:pPr>
    </w:p>
    <w:p>
      <w:pPr>
        <w:pStyle w:val="20"/>
        <w:rPr>
          <w:rFonts w:hint="default" w:ascii="仿宋_GB2312" w:hAnsi="仿宋_GB2312" w:eastAsia="仿宋_GB2312" w:cs="仿宋_GB2312"/>
          <w:color w:val="auto"/>
          <w:sz w:val="32"/>
          <w:szCs w:val="32"/>
        </w:rPr>
      </w:pPr>
    </w:p>
    <w:p>
      <w:pPr>
        <w:pStyle w:val="20"/>
        <w:rPr>
          <w:rFonts w:hint="default" w:ascii="仿宋_GB2312" w:hAnsi="仿宋_GB2312" w:eastAsia="仿宋_GB2312" w:cs="仿宋_GB2312"/>
          <w:color w:val="auto"/>
          <w:sz w:val="32"/>
          <w:szCs w:val="32"/>
        </w:rPr>
      </w:pPr>
    </w:p>
    <w:p>
      <w:pPr>
        <w:pStyle w:val="20"/>
        <w:rPr>
          <w:rFonts w:hint="default" w:ascii="仿宋_GB2312" w:hAnsi="仿宋_GB2312" w:eastAsia="仿宋_GB2312" w:cs="仿宋_GB2312"/>
          <w:color w:val="auto"/>
          <w:sz w:val="32"/>
          <w:szCs w:val="32"/>
        </w:rPr>
      </w:pPr>
    </w:p>
    <w:p>
      <w:pPr>
        <w:pStyle w:val="20"/>
        <w:rPr>
          <w:rFonts w:hint="default" w:ascii="仿宋_GB2312" w:hAnsi="仿宋_GB2312" w:eastAsia="仿宋_GB2312" w:cs="仿宋_GB2312"/>
          <w:color w:val="auto"/>
          <w:sz w:val="32"/>
          <w:szCs w:val="32"/>
        </w:rPr>
      </w:pPr>
    </w:p>
    <w:p>
      <w:pPr>
        <w:pStyle w:val="20"/>
        <w:rPr>
          <w:rFonts w:hint="default" w:ascii="仿宋_GB2312" w:hAnsi="仿宋_GB2312" w:eastAsia="仿宋_GB2312" w:cs="仿宋_GB2312"/>
          <w:color w:val="auto"/>
          <w:sz w:val="32"/>
          <w:szCs w:val="32"/>
        </w:rPr>
      </w:pPr>
    </w:p>
    <w:p>
      <w:pPr>
        <w:pStyle w:val="20"/>
        <w:rPr>
          <w:rFonts w:hint="default" w:ascii="仿宋_GB2312" w:hAnsi="仿宋_GB2312" w:eastAsia="仿宋_GB2312" w:cs="仿宋_GB2312"/>
          <w:color w:val="auto"/>
          <w:sz w:val="32"/>
          <w:szCs w:val="32"/>
        </w:rPr>
      </w:pPr>
    </w:p>
    <w:p>
      <w:pPr>
        <w:numPr>
          <w:ilvl w:val="0"/>
          <w:numId w:val="4"/>
        </w:numPr>
        <w:shd w:val="clear"/>
        <w:spacing w:line="600" w:lineRule="exact"/>
        <w:ind w:firstLine="660" w:firstLineChars="150"/>
        <w:jc w:val="center"/>
        <w:outlineLvl w:val="0"/>
        <w:rPr>
          <w:rStyle w:val="22"/>
          <w:rFonts w:ascii="黑体" w:hAnsi="黑体" w:eastAsia="黑体"/>
          <w:b w:val="0"/>
          <w:color w:val="auto"/>
        </w:rPr>
      </w:pPr>
      <w:bookmarkStart w:id="54" w:name="_Toc15377225"/>
      <w:bookmarkEnd w:id="54"/>
      <w:bookmarkStart w:id="55" w:name="_Toc21930"/>
      <w:bookmarkEnd w:id="55"/>
      <w:bookmarkStart w:id="56" w:name="_Toc15396613"/>
      <w:bookmarkEnd w:id="56"/>
      <w:r>
        <w:rPr>
          <w:rFonts w:hint="eastAsia" w:ascii="黑体" w:hAnsi="黑体" w:eastAsia="黑体"/>
          <w:color w:val="auto"/>
          <w:sz w:val="44"/>
          <w:szCs w:val="44"/>
        </w:rPr>
        <w:t>名</w:t>
      </w:r>
      <w:r>
        <w:rPr>
          <w:rStyle w:val="22"/>
          <w:rFonts w:hint="eastAsia" w:ascii="黑体" w:hAnsi="黑体" w:eastAsia="黑体"/>
          <w:b w:val="0"/>
          <w:color w:val="auto"/>
        </w:rPr>
        <w:t>词解释</w:t>
      </w:r>
    </w:p>
    <w:p>
      <w:pPr>
        <w:shd w:val="clear"/>
        <w:spacing w:line="600" w:lineRule="exact"/>
        <w:jc w:val="left"/>
        <w:rPr>
          <w:rFonts w:ascii="宋体"/>
          <w:b/>
          <w:color w:val="auto"/>
          <w:sz w:val="44"/>
          <w:szCs w:val="44"/>
        </w:rPr>
      </w:pPr>
    </w:p>
    <w:p>
      <w:pPr>
        <w:pStyle w:val="33"/>
        <w:numPr>
          <w:ilvl w:val="0"/>
          <w:numId w:val="5"/>
        </w:numPr>
        <w:shd w:val="clear"/>
        <w:spacing w:line="560" w:lineRule="exact"/>
        <w:ind w:left="0" w:leftChars="0" w:firstLine="400" w:firstLineChars="0"/>
        <w:rPr>
          <w:rFonts w:hAnsi="仿宋" w:eastAsia="仿宋_GB2312" w:cs="Times New Roman"/>
          <w:color w:val="auto"/>
          <w:sz w:val="32"/>
          <w:szCs w:val="32"/>
        </w:rPr>
      </w:pPr>
      <w:bookmarkStart w:id="57" w:name="_Toc15377226"/>
      <w:r>
        <w:rPr>
          <w:rFonts w:hint="eastAsia" w:hAnsi="仿宋" w:eastAsia="仿宋_GB2312"/>
          <w:color w:val="auto"/>
          <w:sz w:val="32"/>
          <w:szCs w:val="32"/>
        </w:rPr>
        <w:t>财政拨款收入：指单位从同级财政部门取得的财政预算资金。</w:t>
      </w:r>
    </w:p>
    <w:p>
      <w:pPr>
        <w:pStyle w:val="33"/>
        <w:numPr>
          <w:ilvl w:val="0"/>
          <w:numId w:val="5"/>
        </w:numPr>
        <w:shd w:val="clear"/>
        <w:spacing w:line="560" w:lineRule="exact"/>
        <w:ind w:left="0" w:leftChars="0" w:firstLine="400" w:firstLineChars="0"/>
        <w:rPr>
          <w:rFonts w:hAnsi="仿宋" w:eastAsia="仿宋_GB2312" w:cs="Times New Roman"/>
          <w:color w:val="auto"/>
          <w:sz w:val="32"/>
          <w:szCs w:val="32"/>
        </w:rPr>
      </w:pPr>
      <w:r>
        <w:rPr>
          <w:rFonts w:hint="eastAsia" w:hAnsi="仿宋" w:eastAsia="仿宋_GB2312"/>
          <w:color w:val="auto"/>
          <w:sz w:val="32"/>
          <w:szCs w:val="32"/>
        </w:rPr>
        <w:t>其他收入：指单位取得的除上述收入以外的各项收入。主要是</w:t>
      </w:r>
      <w:r>
        <w:rPr>
          <w:rFonts w:hint="eastAsia" w:hAnsi="仿宋" w:eastAsia="仿宋_GB2312"/>
          <w:color w:val="auto"/>
          <w:sz w:val="32"/>
          <w:szCs w:val="32"/>
          <w:lang w:eastAsia="zh-CN"/>
        </w:rPr>
        <w:t>利息收入</w:t>
      </w:r>
      <w:r>
        <w:rPr>
          <w:rFonts w:hint="eastAsia" w:hAnsi="仿宋" w:eastAsia="仿宋_GB2312"/>
          <w:color w:val="auto"/>
          <w:sz w:val="32"/>
          <w:szCs w:val="32"/>
        </w:rPr>
        <w:t>。</w:t>
      </w:r>
    </w:p>
    <w:p>
      <w:pPr>
        <w:numPr>
          <w:ilvl w:val="0"/>
          <w:numId w:val="5"/>
        </w:numPr>
        <w:shd w:val="clear"/>
        <w:ind w:left="0" w:leftChars="0" w:firstLine="400" w:firstLineChars="0"/>
        <w:rPr>
          <w:rFonts w:hint="eastAsia" w:ascii="仿宋" w:hAnsi="仿宋" w:eastAsia="仿宋_GB2312" w:cs="仿宋"/>
          <w:color w:val="auto"/>
          <w:sz w:val="32"/>
          <w:szCs w:val="32"/>
        </w:rPr>
      </w:pPr>
      <w:r>
        <w:rPr>
          <w:rStyle w:val="18"/>
          <w:rFonts w:hint="eastAsia" w:ascii="仿宋" w:hAnsi="仿宋" w:eastAsia="仿宋_GB2312" w:cs="仿宋"/>
          <w:b w:val="0"/>
          <w:color w:val="auto"/>
          <w:sz w:val="32"/>
          <w:szCs w:val="32"/>
        </w:rPr>
        <w:t>一般公共服务（类）民主党派及工商联事务（款）行政运行（项）：</w:t>
      </w:r>
      <w:r>
        <w:rPr>
          <w:rFonts w:hint="eastAsia" w:ascii="仿宋" w:hAnsi="仿宋" w:eastAsia="仿宋_GB2312" w:cs="仿宋"/>
          <w:color w:val="auto"/>
          <w:sz w:val="32"/>
          <w:szCs w:val="32"/>
        </w:rPr>
        <w:t>指反映行政单位（包括实行公务员管理的事业单位）的基本支出。</w:t>
      </w:r>
    </w:p>
    <w:p>
      <w:pPr>
        <w:pStyle w:val="15"/>
        <w:numPr>
          <w:ilvl w:val="0"/>
          <w:numId w:val="5"/>
        </w:numPr>
        <w:shd w:val="clear"/>
        <w:ind w:left="0" w:leftChars="0" w:firstLine="400" w:firstLineChars="0"/>
        <w:rPr>
          <w:rFonts w:hint="eastAsia" w:ascii="宋体" w:hAnsi="宋体" w:eastAsia="仿宋_GB2312" w:cs="仿宋"/>
          <w:color w:val="auto"/>
          <w:kern w:val="2"/>
          <w:sz w:val="32"/>
          <w:szCs w:val="32"/>
          <w:lang w:val="en-US" w:eastAsia="zh-CN" w:bidi="ar-SA"/>
        </w:rPr>
      </w:pPr>
      <w:r>
        <w:rPr>
          <w:rFonts w:hint="eastAsia" w:ascii="宋体" w:hAnsi="宋体" w:eastAsia="仿宋_GB2312" w:cs="仿宋"/>
          <w:color w:val="auto"/>
          <w:kern w:val="2"/>
          <w:sz w:val="32"/>
          <w:szCs w:val="32"/>
          <w:lang w:val="en-US" w:eastAsia="zh-CN" w:bidi="ar-SA"/>
        </w:rPr>
        <w:t>一般公共服务（类）民主党派及工商联事务（款）一般行政管理事务（项）：指反映行政单位（包括实行公务员管理的事业单位）未单独设置项级科目的其他项目支出。</w:t>
      </w:r>
    </w:p>
    <w:p>
      <w:pPr>
        <w:numPr>
          <w:ilvl w:val="0"/>
          <w:numId w:val="5"/>
        </w:numPr>
        <w:shd w:val="clear"/>
        <w:ind w:left="0" w:leftChars="0" w:firstLine="400" w:firstLineChars="0"/>
        <w:rPr>
          <w:rStyle w:val="18"/>
          <w:rFonts w:hint="eastAsia" w:ascii="仿宋" w:hAnsi="仿宋" w:eastAsia="仿宋_GB2312" w:cs="仿宋"/>
          <w:b w:val="0"/>
          <w:color w:val="auto"/>
          <w:sz w:val="32"/>
          <w:szCs w:val="32"/>
        </w:rPr>
      </w:pPr>
      <w:r>
        <w:rPr>
          <w:rStyle w:val="18"/>
          <w:rFonts w:hint="eastAsia" w:ascii="仿宋" w:hAnsi="仿宋" w:eastAsia="仿宋_GB2312" w:cs="仿宋"/>
          <w:b w:val="0"/>
          <w:color w:val="auto"/>
          <w:sz w:val="32"/>
          <w:szCs w:val="32"/>
        </w:rPr>
        <w:t>社会保障和就业（类）行政事业单位养老支出（款）机关事业单位基本养老保险缴费支出（项）：</w:t>
      </w:r>
      <w:r>
        <w:rPr>
          <w:rFonts w:hint="eastAsia" w:ascii="仿宋" w:hAnsi="仿宋" w:eastAsia="仿宋_GB2312" w:cs="仿宋"/>
          <w:color w:val="auto"/>
          <w:sz w:val="32"/>
          <w:szCs w:val="32"/>
        </w:rPr>
        <w:t>指反映机关事业单位</w:t>
      </w:r>
      <w:r>
        <w:rPr>
          <w:rStyle w:val="18"/>
          <w:rFonts w:hint="eastAsia" w:ascii="仿宋" w:hAnsi="仿宋" w:eastAsia="仿宋_GB2312" w:cs="仿宋"/>
          <w:b w:val="0"/>
          <w:color w:val="auto"/>
          <w:sz w:val="32"/>
          <w:szCs w:val="32"/>
        </w:rPr>
        <w:t>实施养老保险制度由单位缴纳的基本养老保险费支出。</w:t>
      </w:r>
    </w:p>
    <w:p>
      <w:pPr>
        <w:numPr>
          <w:ilvl w:val="0"/>
          <w:numId w:val="5"/>
        </w:numPr>
        <w:shd w:val="clear"/>
        <w:ind w:left="0" w:leftChars="0" w:firstLine="400" w:firstLineChars="0"/>
        <w:rPr>
          <w:rFonts w:hint="eastAsia" w:ascii="宋体" w:hAnsi="宋体" w:eastAsia="仿宋_GB2312" w:cs="仿宋"/>
          <w:color w:val="auto"/>
          <w:sz w:val="32"/>
          <w:szCs w:val="32"/>
          <w:lang w:val="en-US" w:eastAsia="zh-CN"/>
        </w:rPr>
      </w:pPr>
      <w:r>
        <w:rPr>
          <w:rFonts w:hint="eastAsia" w:ascii="宋体" w:hAnsi="宋体" w:eastAsia="仿宋_GB2312" w:cs="仿宋"/>
          <w:color w:val="auto"/>
          <w:sz w:val="32"/>
          <w:szCs w:val="32"/>
          <w:lang w:val="en-US" w:eastAsia="zh-CN"/>
        </w:rPr>
        <w:t>社会保障和就业（类）其他社会保障和就业支出（款）其他社会保障和就业支出（项）： 指反映除上述项目以外其他用于社会保障和就业方面的支出。</w:t>
      </w:r>
    </w:p>
    <w:p>
      <w:pPr>
        <w:numPr>
          <w:ilvl w:val="0"/>
          <w:numId w:val="5"/>
        </w:numPr>
        <w:shd w:val="clear"/>
        <w:ind w:left="0" w:leftChars="0" w:firstLine="400" w:firstLineChars="0"/>
        <w:rPr>
          <w:rFonts w:ascii="仿宋" w:hAnsi="仿宋" w:eastAsia="仿宋_GB2312"/>
          <w:color w:val="auto"/>
          <w:sz w:val="32"/>
          <w:szCs w:val="32"/>
        </w:rPr>
      </w:pPr>
      <w:r>
        <w:rPr>
          <w:rStyle w:val="18"/>
          <w:rFonts w:hint="eastAsia" w:ascii="仿宋" w:hAnsi="仿宋" w:eastAsia="仿宋_GB2312" w:cs="仿宋"/>
          <w:b w:val="0"/>
          <w:color w:val="auto"/>
          <w:sz w:val="32"/>
          <w:szCs w:val="32"/>
        </w:rPr>
        <w:t>卫生健康（类）行政事业单位医疗（款）行政单位医疗（项）：指反映财政部门安排的行政单位（包括实行公务员管理的事业单位）基本医疗保险缴费经费，未参加医疗保险的行政单位的公费医疗经费，按国家享受离休人员、红军老战士待遇人员的医疗经费。</w:t>
      </w:r>
    </w:p>
    <w:p>
      <w:pPr>
        <w:numPr>
          <w:ilvl w:val="0"/>
          <w:numId w:val="5"/>
        </w:numPr>
        <w:shd w:val="clear"/>
        <w:ind w:left="0" w:leftChars="0" w:firstLine="400" w:firstLineChars="0"/>
        <w:rPr>
          <w:rFonts w:hint="eastAsia" w:ascii="仿宋" w:hAnsi="仿宋" w:eastAsia="仿宋_GB2312" w:cs="仿宋"/>
          <w:color w:val="auto"/>
          <w:sz w:val="32"/>
          <w:szCs w:val="32"/>
        </w:rPr>
      </w:pPr>
      <w:r>
        <w:rPr>
          <w:rStyle w:val="18"/>
          <w:rFonts w:hint="eastAsia" w:ascii="仿宋" w:hAnsi="仿宋" w:eastAsia="仿宋_GB2312" w:cs="仿宋"/>
          <w:b w:val="0"/>
          <w:color w:val="auto"/>
          <w:sz w:val="32"/>
          <w:szCs w:val="32"/>
        </w:rPr>
        <w:t>住房保障支出（类）住房改革支出（款）住房公积金（项）：</w:t>
      </w:r>
      <w:r>
        <w:rPr>
          <w:rFonts w:hint="eastAsia" w:ascii="仿宋" w:hAnsi="仿宋" w:eastAsia="仿宋_GB2312" w:cs="仿宋"/>
          <w:color w:val="auto"/>
          <w:sz w:val="32"/>
          <w:szCs w:val="32"/>
        </w:rPr>
        <w:t>指反映行政事业单位按人力资源和社会保障部、财政部规定的基本工资和津贴补贴以及规定比例为职工缴纳的住房公积金。</w:t>
      </w:r>
    </w:p>
    <w:p>
      <w:pPr>
        <w:numPr>
          <w:ilvl w:val="0"/>
          <w:numId w:val="5"/>
        </w:numPr>
        <w:shd w:val="clear"/>
        <w:ind w:left="0" w:leftChars="0" w:firstLine="400" w:firstLineChars="0"/>
        <w:rPr>
          <w:rFonts w:ascii="仿宋" w:hAnsi="仿宋" w:eastAsia="仿宋_GB2312"/>
          <w:color w:val="auto"/>
          <w:sz w:val="32"/>
          <w:szCs w:val="32"/>
        </w:rPr>
      </w:pPr>
      <w:r>
        <w:rPr>
          <w:rFonts w:hint="eastAsia" w:ascii="仿宋" w:hAnsi="仿宋" w:eastAsia="仿宋_GB2312" w:cs="仿宋"/>
          <w:color w:val="auto"/>
          <w:sz w:val="32"/>
          <w:szCs w:val="32"/>
        </w:rPr>
        <w:t>基本支出：指为保障机构正常运转、完成日常工作任务而发生的人员支出和公用支出。</w:t>
      </w:r>
    </w:p>
    <w:p>
      <w:pPr>
        <w:numPr>
          <w:ilvl w:val="0"/>
          <w:numId w:val="5"/>
        </w:numPr>
        <w:shd w:val="clear"/>
        <w:ind w:left="0" w:leftChars="0" w:firstLine="400" w:firstLineChars="0"/>
        <w:rPr>
          <w:rFonts w:ascii="仿宋" w:hAnsi="仿宋" w:eastAsia="仿宋_GB2312"/>
          <w:color w:val="auto"/>
          <w:sz w:val="32"/>
          <w:szCs w:val="32"/>
        </w:rPr>
      </w:pPr>
      <w:r>
        <w:rPr>
          <w:rFonts w:hint="eastAsia" w:ascii="仿宋" w:hAnsi="仿宋" w:eastAsia="仿宋_GB2312" w:cs="仿宋"/>
          <w:color w:val="auto"/>
          <w:sz w:val="32"/>
          <w:szCs w:val="32"/>
        </w:rPr>
        <w:t>项目支出：指在基本支出之外为完成特定行政任务和事业发展目标所发生的支出。</w:t>
      </w:r>
    </w:p>
    <w:p>
      <w:pPr>
        <w:pStyle w:val="33"/>
        <w:numPr>
          <w:ilvl w:val="0"/>
          <w:numId w:val="5"/>
        </w:numPr>
        <w:shd w:val="clear"/>
        <w:spacing w:line="560" w:lineRule="exact"/>
        <w:ind w:left="0" w:leftChars="0" w:firstLine="400" w:firstLineChars="0"/>
        <w:rPr>
          <w:rFonts w:hAnsi="仿宋" w:eastAsia="仿宋_GB2312" w:cs="Times New Roman"/>
          <w:color w:val="auto"/>
          <w:sz w:val="32"/>
          <w:szCs w:val="32"/>
        </w:rPr>
      </w:pPr>
      <w:r>
        <w:rPr>
          <w:rFonts w:hint="eastAsia" w:hAnsi="仿宋"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33"/>
        <w:numPr>
          <w:ilvl w:val="0"/>
          <w:numId w:val="5"/>
        </w:numPr>
        <w:shd w:val="clear"/>
        <w:spacing w:line="560" w:lineRule="exact"/>
        <w:ind w:left="0" w:leftChars="0" w:firstLine="400" w:firstLineChars="0"/>
        <w:rPr>
          <w:rFonts w:hAnsi="仿宋" w:eastAsia="仿宋_GB2312" w:cs="Times New Roman"/>
          <w:color w:val="auto"/>
          <w:sz w:val="32"/>
          <w:szCs w:val="32"/>
        </w:rPr>
      </w:pPr>
      <w:r>
        <w:rPr>
          <w:rFonts w:hint="eastAsia" w:hAnsi="仿宋"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adjustRightInd w:val="0"/>
        <w:snapToGrid w:val="0"/>
        <w:spacing w:line="580" w:lineRule="exact"/>
        <w:ind w:firstLine="883" w:firstLineChars="200"/>
        <w:contextualSpacing/>
        <w:jc w:val="left"/>
        <w:rPr>
          <w:rFonts w:hint="eastAsia" w:ascii="仿宋" w:hAnsi="仿宋" w:eastAsia="仿宋" w:cs="仿宋"/>
          <w:color w:val="auto"/>
          <w:sz w:val="32"/>
          <w:szCs w:val="32"/>
        </w:rPr>
      </w:pPr>
      <w:r>
        <w:rPr>
          <w:rFonts w:ascii="宋体"/>
          <w:b/>
          <w:color w:val="auto"/>
          <w:sz w:val="44"/>
          <w:szCs w:val="44"/>
        </w:rPr>
        <w:br w:type="page"/>
      </w:r>
    </w:p>
    <w:tbl>
      <w:tblPr>
        <w:tblStyle w:val="16"/>
        <w:tblW w:w="10470" w:type="dxa"/>
        <w:tblInd w:w="0" w:type="dxa"/>
        <w:shd w:val="clear" w:color="auto" w:fill="auto"/>
        <w:tblLayout w:type="fixed"/>
        <w:tblCellMar>
          <w:top w:w="0" w:type="dxa"/>
          <w:left w:w="0" w:type="dxa"/>
          <w:bottom w:w="0" w:type="dxa"/>
          <w:right w:w="0" w:type="dxa"/>
        </w:tblCellMar>
      </w:tblPr>
      <w:tblGrid>
        <w:gridCol w:w="1054"/>
        <w:gridCol w:w="607"/>
        <w:gridCol w:w="769"/>
        <w:gridCol w:w="2879"/>
        <w:gridCol w:w="638"/>
        <w:gridCol w:w="886"/>
        <w:gridCol w:w="671"/>
        <w:gridCol w:w="686"/>
        <w:gridCol w:w="671"/>
        <w:gridCol w:w="1609"/>
      </w:tblGrid>
      <w:tr>
        <w:tblPrEx>
          <w:tblCellMar>
            <w:top w:w="0" w:type="dxa"/>
            <w:left w:w="0" w:type="dxa"/>
            <w:bottom w:w="0" w:type="dxa"/>
            <w:right w:w="0" w:type="dxa"/>
          </w:tblCellMar>
        </w:tblPrEx>
        <w:trPr>
          <w:trHeight w:val="740" w:hRule="atLeast"/>
        </w:trPr>
        <w:tc>
          <w:tcPr>
            <w:tcW w:w="10470" w:type="dxa"/>
            <w:gridSpan w:val="10"/>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shd w:val="clear"/>
              <w:jc w:val="center"/>
              <w:rPr>
                <w:rFonts w:ascii="方正小标宋简体" w:hAnsi="方正小标宋简体" w:eastAsia="方正小标宋简体" w:cs="方正小标宋简体"/>
                <w:i w:val="0"/>
                <w:color w:val="auto"/>
                <w:sz w:val="44"/>
                <w:szCs w:val="44"/>
                <w:u w:val="none"/>
              </w:rPr>
            </w:pPr>
            <w:r>
              <w:rPr>
                <w:rFonts w:hint="default" w:ascii="方正小标宋简体" w:hAnsi="方正小标宋简体" w:eastAsia="方正小标宋简体" w:cs="方正小标宋简体"/>
                <w:i w:val="0"/>
                <w:color w:val="auto"/>
                <w:kern w:val="0"/>
                <w:sz w:val="44"/>
                <w:szCs w:val="44"/>
                <w:u w:val="none"/>
                <w:lang w:val="en-US" w:eastAsia="zh-CN" w:bidi="ar"/>
              </w:rPr>
              <w:t>部门整体支出绩效目标自评表（2022年度）</w:t>
            </w:r>
          </w:p>
        </w:tc>
      </w:tr>
      <w:tr>
        <w:tblPrEx>
          <w:tblCellMar>
            <w:top w:w="0" w:type="dxa"/>
            <w:left w:w="0" w:type="dxa"/>
            <w:bottom w:w="0" w:type="dxa"/>
            <w:right w:w="0" w:type="dxa"/>
          </w:tblCellMar>
        </w:tblPrEx>
        <w:trPr>
          <w:trHeight w:val="460" w:hRule="atLeast"/>
        </w:trPr>
        <w:tc>
          <w:tcPr>
            <w:tcW w:w="243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部门名称</w:t>
            </w:r>
          </w:p>
        </w:tc>
        <w:tc>
          <w:tcPr>
            <w:tcW w:w="804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中国农工民主党广元市委员会</w:t>
            </w:r>
          </w:p>
        </w:tc>
      </w:tr>
      <w:tr>
        <w:tblPrEx>
          <w:tblCellMar>
            <w:top w:w="0" w:type="dxa"/>
            <w:left w:w="0" w:type="dxa"/>
            <w:bottom w:w="0" w:type="dxa"/>
            <w:right w:w="0" w:type="dxa"/>
          </w:tblCellMar>
        </w:tblPrEx>
        <w:trPr>
          <w:trHeight w:val="285" w:hRule="atLeast"/>
        </w:trPr>
        <w:tc>
          <w:tcPr>
            <w:tcW w:w="105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年度</w:t>
            </w:r>
            <w:r>
              <w:rPr>
                <w:rFonts w:hint="default" w:ascii="仿宋" w:hAnsi="仿宋" w:eastAsia="仿宋" w:cs="仿宋"/>
                <w:i w:val="0"/>
                <w:color w:val="auto"/>
                <w:kern w:val="0"/>
                <w:sz w:val="22"/>
                <w:szCs w:val="22"/>
                <w:u w:val="none"/>
                <w:lang w:val="en-US" w:eastAsia="zh-CN" w:bidi="ar"/>
              </w:rPr>
              <w:br w:type="textWrapping"/>
            </w:r>
            <w:r>
              <w:rPr>
                <w:rFonts w:hint="default" w:ascii="仿宋" w:hAnsi="仿宋" w:eastAsia="仿宋" w:cs="仿宋"/>
                <w:i w:val="0"/>
                <w:color w:val="auto"/>
                <w:kern w:val="0"/>
                <w:sz w:val="22"/>
                <w:szCs w:val="22"/>
                <w:u w:val="none"/>
                <w:lang w:val="en-US" w:eastAsia="zh-CN" w:bidi="ar"/>
              </w:rPr>
              <w:t>主要</w:t>
            </w:r>
            <w:r>
              <w:rPr>
                <w:rFonts w:hint="default" w:ascii="仿宋" w:hAnsi="仿宋" w:eastAsia="仿宋" w:cs="仿宋"/>
                <w:i w:val="0"/>
                <w:color w:val="auto"/>
                <w:kern w:val="0"/>
                <w:sz w:val="22"/>
                <w:szCs w:val="22"/>
                <w:u w:val="none"/>
                <w:lang w:val="en-US" w:eastAsia="zh-CN" w:bidi="ar"/>
              </w:rPr>
              <w:br w:type="textWrapping"/>
            </w:r>
            <w:r>
              <w:rPr>
                <w:rFonts w:hint="default" w:ascii="仿宋" w:hAnsi="仿宋" w:eastAsia="仿宋" w:cs="仿宋"/>
                <w:i w:val="0"/>
                <w:color w:val="auto"/>
                <w:kern w:val="0"/>
                <w:sz w:val="22"/>
                <w:szCs w:val="22"/>
                <w:u w:val="none"/>
                <w:lang w:val="en-US" w:eastAsia="zh-CN" w:bidi="ar"/>
              </w:rPr>
              <w:t>任务</w:t>
            </w:r>
          </w:p>
        </w:tc>
        <w:tc>
          <w:tcPr>
            <w:tcW w:w="137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任务名称</w:t>
            </w:r>
          </w:p>
        </w:tc>
        <w:tc>
          <w:tcPr>
            <w:tcW w:w="2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主要内容</w:t>
            </w:r>
          </w:p>
        </w:tc>
        <w:tc>
          <w:tcPr>
            <w:tcW w:w="219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预算金额（万元）</w:t>
            </w:r>
          </w:p>
        </w:tc>
        <w:tc>
          <w:tcPr>
            <w:tcW w:w="296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实际执行（万元）</w:t>
            </w:r>
          </w:p>
        </w:tc>
      </w:tr>
      <w:tr>
        <w:tblPrEx>
          <w:tblCellMar>
            <w:top w:w="0" w:type="dxa"/>
            <w:left w:w="0" w:type="dxa"/>
            <w:bottom w:w="0" w:type="dxa"/>
            <w:right w:w="0" w:type="dxa"/>
          </w:tblCellMar>
        </w:tblPrEx>
        <w:trPr>
          <w:trHeight w:val="270" w:hRule="atLeast"/>
        </w:trPr>
        <w:tc>
          <w:tcPr>
            <w:tcW w:w="10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c>
          <w:tcPr>
            <w:tcW w:w="137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c>
          <w:tcPr>
            <w:tcW w:w="2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总额</w:t>
            </w:r>
          </w:p>
        </w:tc>
        <w:tc>
          <w:tcPr>
            <w:tcW w:w="886"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财政拨款</w:t>
            </w: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其他资金</w:t>
            </w:r>
          </w:p>
        </w:tc>
        <w:tc>
          <w:tcPr>
            <w:tcW w:w="68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总额</w:t>
            </w:r>
          </w:p>
        </w:tc>
        <w:tc>
          <w:tcPr>
            <w:tcW w:w="671"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财政拨款</w:t>
            </w:r>
          </w:p>
        </w:tc>
        <w:tc>
          <w:tcPr>
            <w:tcW w:w="16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其他资金</w:t>
            </w:r>
          </w:p>
        </w:tc>
      </w:tr>
      <w:tr>
        <w:tblPrEx>
          <w:tblCellMar>
            <w:top w:w="0" w:type="dxa"/>
            <w:left w:w="0" w:type="dxa"/>
            <w:bottom w:w="0" w:type="dxa"/>
            <w:right w:w="0" w:type="dxa"/>
          </w:tblCellMar>
        </w:tblPrEx>
        <w:trPr>
          <w:trHeight w:val="2700" w:hRule="atLeast"/>
        </w:trPr>
        <w:tc>
          <w:tcPr>
            <w:tcW w:w="10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c>
          <w:tcPr>
            <w:tcW w:w="13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任务1人员经费</w:t>
            </w:r>
          </w:p>
        </w:tc>
        <w:tc>
          <w:tcPr>
            <w:tcW w:w="2879"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shd w:val="clear"/>
              <w:jc w:val="left"/>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包括：基本工资、津贴补贴、奖金、绩效工资、机关事业单位养老保险缴费、职业年金缴费、基本医疗保险缴费、公务员医疗补助缴费、其他社会保险缴费、住房公积金、其他工资福利支出、离休费、生活补助、奖励金、其他对个人和家庭的补助支出等。</w:t>
            </w:r>
          </w:p>
        </w:tc>
        <w:tc>
          <w:tcPr>
            <w:tcW w:w="6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right"/>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34.23</w:t>
            </w:r>
          </w:p>
        </w:tc>
        <w:tc>
          <w:tcPr>
            <w:tcW w:w="88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34.23</w:t>
            </w: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rPr>
                <w:rFonts w:hint="default" w:ascii="仿宋" w:hAnsi="仿宋" w:eastAsia="仿宋" w:cs="仿宋"/>
                <w:i w:val="0"/>
                <w:color w:val="auto"/>
                <w:sz w:val="22"/>
                <w:szCs w:val="22"/>
                <w:u w:val="none"/>
              </w:rPr>
            </w:pPr>
          </w:p>
        </w:tc>
        <w:tc>
          <w:tcPr>
            <w:tcW w:w="68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54.84</w:t>
            </w:r>
          </w:p>
        </w:tc>
        <w:tc>
          <w:tcPr>
            <w:tcW w:w="671"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54.84</w:t>
            </w:r>
          </w:p>
        </w:tc>
        <w:tc>
          <w:tcPr>
            <w:tcW w:w="16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rPr>
                <w:rFonts w:hint="default" w:ascii="仿宋" w:hAnsi="仿宋" w:eastAsia="仿宋" w:cs="仿宋"/>
                <w:i w:val="0"/>
                <w:color w:val="auto"/>
                <w:sz w:val="22"/>
                <w:szCs w:val="22"/>
                <w:u w:val="none"/>
              </w:rPr>
            </w:pPr>
          </w:p>
        </w:tc>
      </w:tr>
      <w:tr>
        <w:tblPrEx>
          <w:tblCellMar>
            <w:top w:w="0" w:type="dxa"/>
            <w:left w:w="0" w:type="dxa"/>
            <w:bottom w:w="0" w:type="dxa"/>
            <w:right w:w="0" w:type="dxa"/>
          </w:tblCellMar>
        </w:tblPrEx>
        <w:trPr>
          <w:trHeight w:val="2430" w:hRule="atLeast"/>
        </w:trPr>
        <w:tc>
          <w:tcPr>
            <w:tcW w:w="10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c>
          <w:tcPr>
            <w:tcW w:w="13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任务2公用经费</w:t>
            </w:r>
          </w:p>
        </w:tc>
        <w:tc>
          <w:tcPr>
            <w:tcW w:w="2879"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shd w:val="clear"/>
              <w:jc w:val="left"/>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包括：办公费、印刷费、咨询费、手续费、水费、电费、邮电费、物业管理费、差旅费、维修（护）费、租赁费、会议费、培训费、公务接待费、劳务费、委托业务费、工会经费、福利费、其他交通费用、其他商品和服务支出等。</w:t>
            </w:r>
          </w:p>
        </w:tc>
        <w:tc>
          <w:tcPr>
            <w:tcW w:w="6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right"/>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12.75</w:t>
            </w:r>
          </w:p>
        </w:tc>
        <w:tc>
          <w:tcPr>
            <w:tcW w:w="88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shd w:val="clear"/>
              <w:jc w:val="right"/>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12.75</w:t>
            </w: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rPr>
                <w:rFonts w:hint="default" w:ascii="仿宋" w:hAnsi="仿宋" w:eastAsia="仿宋" w:cs="仿宋"/>
                <w:i w:val="0"/>
                <w:color w:val="auto"/>
                <w:sz w:val="22"/>
                <w:szCs w:val="22"/>
                <w:u w:val="none"/>
              </w:rPr>
            </w:pPr>
          </w:p>
        </w:tc>
        <w:tc>
          <w:tcPr>
            <w:tcW w:w="68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shd w:val="clear"/>
              <w:jc w:val="right"/>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12.11</w:t>
            </w:r>
          </w:p>
        </w:tc>
        <w:tc>
          <w:tcPr>
            <w:tcW w:w="671"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shd w:val="clear"/>
              <w:jc w:val="right"/>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11.94</w:t>
            </w:r>
          </w:p>
        </w:tc>
        <w:tc>
          <w:tcPr>
            <w:tcW w:w="16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right"/>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0.17</w:t>
            </w:r>
          </w:p>
        </w:tc>
      </w:tr>
      <w:tr>
        <w:tblPrEx>
          <w:tblCellMar>
            <w:top w:w="0" w:type="dxa"/>
            <w:left w:w="0" w:type="dxa"/>
            <w:bottom w:w="0" w:type="dxa"/>
            <w:right w:w="0" w:type="dxa"/>
          </w:tblCellMar>
        </w:tblPrEx>
        <w:trPr>
          <w:trHeight w:val="4590" w:hRule="atLeast"/>
        </w:trPr>
        <w:tc>
          <w:tcPr>
            <w:tcW w:w="10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c>
          <w:tcPr>
            <w:tcW w:w="13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任务3项目经费</w:t>
            </w:r>
          </w:p>
        </w:tc>
        <w:tc>
          <w:tcPr>
            <w:tcW w:w="2879"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shd w:val="clear"/>
              <w:jc w:val="left"/>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市委会工作支出：1、履行参政议政职责，开展调查研究，完成调研课题，积极建言献策，为广元经济社会发展献计出力。2、开展民主监督工作。3、积极开展社会服务工作，开展帮村工作，“三下乡”社会服务，积极争取社会各界扶贫援助项目等。</w:t>
            </w:r>
            <w:r>
              <w:rPr>
                <w:rFonts w:hint="default" w:ascii="仿宋" w:hAnsi="仿宋" w:eastAsia="仿宋" w:cs="仿宋"/>
                <w:i w:val="0"/>
                <w:color w:val="auto"/>
                <w:kern w:val="0"/>
                <w:sz w:val="22"/>
                <w:szCs w:val="22"/>
                <w:u w:val="none"/>
                <w:lang w:val="en-US" w:eastAsia="zh-CN" w:bidi="ar"/>
              </w:rPr>
              <w:br w:type="textWrapping"/>
            </w:r>
            <w:r>
              <w:rPr>
                <w:rFonts w:hint="default" w:ascii="仿宋" w:hAnsi="仿宋" w:eastAsia="仿宋" w:cs="仿宋"/>
                <w:i w:val="0"/>
                <w:color w:val="auto"/>
                <w:kern w:val="0"/>
                <w:sz w:val="22"/>
                <w:szCs w:val="22"/>
                <w:u w:val="none"/>
                <w:lang w:val="en-US" w:eastAsia="zh-CN" w:bidi="ar"/>
              </w:rPr>
              <w:t>4、开展政治交接实践活动，以习近平新时代中国特色社会主义思想为指引，强化思想建设，增进政治共识。</w:t>
            </w:r>
            <w:r>
              <w:rPr>
                <w:rFonts w:hint="default" w:ascii="仿宋" w:hAnsi="仿宋" w:eastAsia="仿宋" w:cs="仿宋"/>
                <w:i w:val="0"/>
                <w:color w:val="auto"/>
                <w:kern w:val="0"/>
                <w:sz w:val="22"/>
                <w:szCs w:val="22"/>
                <w:u w:val="none"/>
                <w:lang w:val="en-US" w:eastAsia="zh-CN" w:bidi="ar"/>
              </w:rPr>
              <w:br w:type="textWrapping"/>
            </w:r>
            <w:r>
              <w:rPr>
                <w:rFonts w:hint="default" w:ascii="仿宋" w:hAnsi="仿宋" w:eastAsia="仿宋" w:cs="仿宋"/>
                <w:i w:val="0"/>
                <w:color w:val="auto"/>
                <w:kern w:val="0"/>
                <w:sz w:val="22"/>
                <w:szCs w:val="22"/>
                <w:u w:val="none"/>
                <w:lang w:val="en-US" w:eastAsia="zh-CN" w:bidi="ar"/>
              </w:rPr>
              <w:t>5、市直属组织开展组织活动、加强基层组织建设，推进广元农工党高效履职</w:t>
            </w:r>
          </w:p>
        </w:tc>
        <w:tc>
          <w:tcPr>
            <w:tcW w:w="6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right"/>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19.12</w:t>
            </w:r>
          </w:p>
        </w:tc>
        <w:tc>
          <w:tcPr>
            <w:tcW w:w="88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shd w:val="clear"/>
              <w:jc w:val="right"/>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19.12</w:t>
            </w: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rPr>
                <w:rFonts w:hint="default" w:ascii="仿宋" w:hAnsi="仿宋" w:eastAsia="仿宋" w:cs="仿宋"/>
                <w:i w:val="0"/>
                <w:color w:val="auto"/>
                <w:sz w:val="22"/>
                <w:szCs w:val="22"/>
                <w:u w:val="none"/>
              </w:rPr>
            </w:pPr>
          </w:p>
        </w:tc>
        <w:tc>
          <w:tcPr>
            <w:tcW w:w="68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shd w:val="clear"/>
              <w:jc w:val="right"/>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19.11</w:t>
            </w:r>
          </w:p>
        </w:tc>
        <w:tc>
          <w:tcPr>
            <w:tcW w:w="671"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shd w:val="clear"/>
              <w:jc w:val="right"/>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19.11</w:t>
            </w:r>
          </w:p>
        </w:tc>
        <w:tc>
          <w:tcPr>
            <w:tcW w:w="16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rPr>
                <w:rFonts w:hint="default" w:ascii="仿宋" w:hAnsi="仿宋" w:eastAsia="仿宋" w:cs="仿宋"/>
                <w:i w:val="0"/>
                <w:color w:val="auto"/>
                <w:sz w:val="22"/>
                <w:szCs w:val="22"/>
                <w:u w:val="none"/>
              </w:rPr>
            </w:pPr>
          </w:p>
        </w:tc>
      </w:tr>
      <w:tr>
        <w:tblPrEx>
          <w:tblCellMar>
            <w:top w:w="0" w:type="dxa"/>
            <w:left w:w="0" w:type="dxa"/>
            <w:bottom w:w="0" w:type="dxa"/>
            <w:right w:w="0" w:type="dxa"/>
          </w:tblCellMar>
        </w:tblPrEx>
        <w:trPr>
          <w:trHeight w:val="285" w:hRule="atLeast"/>
        </w:trPr>
        <w:tc>
          <w:tcPr>
            <w:tcW w:w="10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c>
          <w:tcPr>
            <w:tcW w:w="4255"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金额合计</w:t>
            </w:r>
          </w:p>
        </w:tc>
        <w:tc>
          <w:tcPr>
            <w:tcW w:w="6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rPr>
                <w:rFonts w:hint="default" w:ascii="仿宋" w:hAnsi="仿宋" w:eastAsia="仿宋" w:cs="仿宋"/>
                <w:i w:val="0"/>
                <w:color w:val="auto"/>
                <w:sz w:val="22"/>
                <w:szCs w:val="22"/>
                <w:u w:val="none"/>
              </w:rPr>
            </w:pPr>
          </w:p>
        </w:tc>
        <w:tc>
          <w:tcPr>
            <w:tcW w:w="88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hd w:val="clear"/>
              <w:rPr>
                <w:rFonts w:hint="default" w:ascii="仿宋" w:hAnsi="仿宋" w:eastAsia="仿宋" w:cs="仿宋"/>
                <w:i w:val="0"/>
                <w:color w:val="auto"/>
                <w:sz w:val="22"/>
                <w:szCs w:val="22"/>
                <w:u w:val="none"/>
              </w:rPr>
            </w:pP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rPr>
                <w:rFonts w:hint="default" w:ascii="仿宋" w:hAnsi="仿宋" w:eastAsia="仿宋" w:cs="仿宋"/>
                <w:i w:val="0"/>
                <w:color w:val="auto"/>
                <w:sz w:val="22"/>
                <w:szCs w:val="22"/>
                <w:u w:val="none"/>
              </w:rPr>
            </w:pPr>
          </w:p>
        </w:tc>
        <w:tc>
          <w:tcPr>
            <w:tcW w:w="68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hd w:val="clear"/>
              <w:rPr>
                <w:rFonts w:hint="default" w:ascii="仿宋" w:hAnsi="仿宋" w:eastAsia="仿宋" w:cs="仿宋"/>
                <w:i w:val="0"/>
                <w:color w:val="auto"/>
                <w:sz w:val="22"/>
                <w:szCs w:val="22"/>
                <w:u w:val="none"/>
              </w:rPr>
            </w:pPr>
          </w:p>
        </w:tc>
        <w:tc>
          <w:tcPr>
            <w:tcW w:w="671"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hd w:val="clear"/>
              <w:rPr>
                <w:rFonts w:hint="default" w:ascii="仿宋" w:hAnsi="仿宋" w:eastAsia="仿宋" w:cs="仿宋"/>
                <w:i w:val="0"/>
                <w:color w:val="auto"/>
                <w:sz w:val="22"/>
                <w:szCs w:val="22"/>
                <w:u w:val="none"/>
              </w:rPr>
            </w:pP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rPr>
                <w:rFonts w:hint="default" w:ascii="仿宋" w:hAnsi="仿宋" w:eastAsia="仿宋" w:cs="仿宋"/>
                <w:i w:val="0"/>
                <w:color w:val="auto"/>
                <w:sz w:val="22"/>
                <w:szCs w:val="22"/>
                <w:u w:val="none"/>
              </w:rPr>
            </w:pPr>
          </w:p>
        </w:tc>
      </w:tr>
      <w:tr>
        <w:tblPrEx>
          <w:tblCellMar>
            <w:top w:w="0" w:type="dxa"/>
            <w:left w:w="0" w:type="dxa"/>
            <w:bottom w:w="0" w:type="dxa"/>
            <w:right w:w="0" w:type="dxa"/>
          </w:tblCellMar>
        </w:tblPrEx>
        <w:trPr>
          <w:trHeight w:val="285" w:hRule="atLeast"/>
        </w:trPr>
        <w:tc>
          <w:tcPr>
            <w:tcW w:w="1054"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年度</w:t>
            </w:r>
            <w:r>
              <w:rPr>
                <w:rFonts w:hint="default" w:ascii="仿宋" w:hAnsi="仿宋" w:eastAsia="仿宋" w:cs="仿宋"/>
                <w:i w:val="0"/>
                <w:color w:val="auto"/>
                <w:kern w:val="0"/>
                <w:sz w:val="22"/>
                <w:szCs w:val="22"/>
                <w:u w:val="none"/>
                <w:lang w:val="en-US" w:eastAsia="zh-CN" w:bidi="ar"/>
              </w:rPr>
              <w:br w:type="textWrapping"/>
            </w:r>
            <w:r>
              <w:rPr>
                <w:rFonts w:hint="default" w:ascii="仿宋" w:hAnsi="仿宋" w:eastAsia="仿宋" w:cs="仿宋"/>
                <w:i w:val="0"/>
                <w:color w:val="auto"/>
                <w:kern w:val="0"/>
                <w:sz w:val="22"/>
                <w:szCs w:val="22"/>
                <w:u w:val="none"/>
                <w:lang w:val="en-US" w:eastAsia="zh-CN" w:bidi="ar"/>
              </w:rPr>
              <w:t>总体</w:t>
            </w:r>
            <w:r>
              <w:rPr>
                <w:rFonts w:hint="default" w:ascii="仿宋" w:hAnsi="仿宋" w:eastAsia="仿宋" w:cs="仿宋"/>
                <w:i w:val="0"/>
                <w:color w:val="auto"/>
                <w:kern w:val="0"/>
                <w:sz w:val="22"/>
                <w:szCs w:val="22"/>
                <w:u w:val="none"/>
                <w:lang w:val="en-US" w:eastAsia="zh-CN" w:bidi="ar"/>
              </w:rPr>
              <w:br w:type="textWrapping"/>
            </w:r>
            <w:r>
              <w:rPr>
                <w:rFonts w:hint="default" w:ascii="仿宋" w:hAnsi="仿宋" w:eastAsia="仿宋" w:cs="仿宋"/>
                <w:i w:val="0"/>
                <w:color w:val="auto"/>
                <w:kern w:val="0"/>
                <w:sz w:val="22"/>
                <w:szCs w:val="22"/>
                <w:u w:val="none"/>
                <w:lang w:val="en-US" w:eastAsia="zh-CN" w:bidi="ar"/>
              </w:rPr>
              <w:t>目标</w:t>
            </w:r>
          </w:p>
        </w:tc>
        <w:tc>
          <w:tcPr>
            <w:tcW w:w="4893" w:type="dxa"/>
            <w:gridSpan w:val="4"/>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预期目标</w:t>
            </w:r>
          </w:p>
        </w:tc>
        <w:tc>
          <w:tcPr>
            <w:tcW w:w="452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实际完成目标</w:t>
            </w:r>
          </w:p>
        </w:tc>
      </w:tr>
      <w:tr>
        <w:tblPrEx>
          <w:tblCellMar>
            <w:top w:w="0" w:type="dxa"/>
            <w:left w:w="0" w:type="dxa"/>
            <w:bottom w:w="0" w:type="dxa"/>
            <w:right w:w="0" w:type="dxa"/>
          </w:tblCellMar>
        </w:tblPrEx>
        <w:trPr>
          <w:trHeight w:val="2070" w:hRule="atLeast"/>
        </w:trPr>
        <w:tc>
          <w:tcPr>
            <w:tcW w:w="1054"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c>
          <w:tcPr>
            <w:tcW w:w="489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hd w:val="clear"/>
              <w:jc w:val="left"/>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br w:type="textWrapping"/>
            </w:r>
            <w:r>
              <w:rPr>
                <w:rFonts w:hint="default" w:ascii="仿宋" w:hAnsi="仿宋" w:eastAsia="仿宋" w:cs="仿宋"/>
                <w:i w:val="0"/>
                <w:color w:val="auto"/>
                <w:kern w:val="0"/>
                <w:sz w:val="22"/>
                <w:szCs w:val="22"/>
                <w:u w:val="none"/>
                <w:lang w:val="en-US" w:eastAsia="zh-CN" w:bidi="ar"/>
              </w:rPr>
              <w:t>深入学习习近平总书记关于加强和改进统战工作的重要思想</w:t>
            </w:r>
            <w:r>
              <w:rPr>
                <w:rFonts w:hint="default" w:ascii="仿宋" w:hAnsi="仿宋" w:eastAsia="仿宋" w:cs="仿宋"/>
                <w:i w:val="0"/>
                <w:color w:val="auto"/>
                <w:kern w:val="0"/>
                <w:sz w:val="22"/>
                <w:szCs w:val="22"/>
                <w:u w:val="none"/>
                <w:lang w:val="en-US" w:eastAsia="zh-CN" w:bidi="ar"/>
              </w:rPr>
              <w:br w:type="textWrapping"/>
            </w:r>
            <w:r>
              <w:rPr>
                <w:rFonts w:hint="default" w:ascii="仿宋" w:hAnsi="仿宋" w:eastAsia="仿宋" w:cs="仿宋"/>
                <w:i w:val="0"/>
                <w:color w:val="auto"/>
                <w:kern w:val="0"/>
                <w:sz w:val="22"/>
                <w:szCs w:val="22"/>
                <w:u w:val="none"/>
                <w:lang w:val="en-US" w:eastAsia="zh-CN" w:bidi="ar"/>
              </w:rPr>
              <w:t>1、履行参政议政职责，开展调查研究，完成调研课题，积极建言献策，为广元经济社会发展献计出力。</w:t>
            </w:r>
            <w:r>
              <w:rPr>
                <w:rFonts w:hint="default" w:ascii="仿宋" w:hAnsi="仿宋" w:eastAsia="仿宋" w:cs="仿宋"/>
                <w:i w:val="0"/>
                <w:color w:val="auto"/>
                <w:kern w:val="0"/>
                <w:sz w:val="22"/>
                <w:szCs w:val="22"/>
                <w:u w:val="none"/>
                <w:lang w:val="en-US" w:eastAsia="zh-CN" w:bidi="ar"/>
              </w:rPr>
              <w:br w:type="textWrapping"/>
            </w:r>
            <w:r>
              <w:rPr>
                <w:rFonts w:hint="default" w:ascii="仿宋" w:hAnsi="仿宋" w:eastAsia="仿宋" w:cs="仿宋"/>
                <w:i w:val="0"/>
                <w:color w:val="auto"/>
                <w:kern w:val="0"/>
                <w:sz w:val="22"/>
                <w:szCs w:val="22"/>
                <w:u w:val="none"/>
                <w:lang w:val="en-US" w:eastAsia="zh-CN" w:bidi="ar"/>
              </w:rPr>
              <w:t>2、开展民主监督工作，重点完成对口剑阁乡村振兴定点帮扶工作。</w:t>
            </w:r>
            <w:r>
              <w:rPr>
                <w:rFonts w:hint="default" w:ascii="仿宋" w:hAnsi="仿宋" w:eastAsia="仿宋" w:cs="仿宋"/>
                <w:i w:val="0"/>
                <w:color w:val="auto"/>
                <w:kern w:val="0"/>
                <w:sz w:val="22"/>
                <w:szCs w:val="22"/>
                <w:u w:val="none"/>
                <w:lang w:val="en-US" w:eastAsia="zh-CN" w:bidi="ar"/>
              </w:rPr>
              <w:br w:type="textWrapping"/>
            </w:r>
            <w:r>
              <w:rPr>
                <w:rFonts w:hint="default" w:ascii="仿宋" w:hAnsi="仿宋" w:eastAsia="仿宋" w:cs="仿宋"/>
                <w:i w:val="0"/>
                <w:color w:val="auto"/>
                <w:kern w:val="0"/>
                <w:sz w:val="22"/>
                <w:szCs w:val="22"/>
                <w:u w:val="none"/>
                <w:lang w:val="en-US" w:eastAsia="zh-CN" w:bidi="ar"/>
              </w:rPr>
              <w:t>3、积极开展社会服务工作，积极争取社会各界扶贫援助项目等。</w:t>
            </w:r>
            <w:r>
              <w:rPr>
                <w:rFonts w:hint="default" w:ascii="仿宋" w:hAnsi="仿宋" w:eastAsia="仿宋" w:cs="仿宋"/>
                <w:i w:val="0"/>
                <w:color w:val="auto"/>
                <w:kern w:val="0"/>
                <w:sz w:val="22"/>
                <w:szCs w:val="22"/>
                <w:u w:val="none"/>
                <w:lang w:val="en-US" w:eastAsia="zh-CN" w:bidi="ar"/>
              </w:rPr>
              <w:br w:type="textWrapping"/>
            </w:r>
            <w:r>
              <w:rPr>
                <w:rFonts w:hint="default" w:ascii="仿宋" w:hAnsi="仿宋" w:eastAsia="仿宋" w:cs="仿宋"/>
                <w:i w:val="0"/>
                <w:color w:val="auto"/>
                <w:kern w:val="0"/>
                <w:sz w:val="22"/>
                <w:szCs w:val="22"/>
                <w:u w:val="none"/>
                <w:lang w:val="en-US" w:eastAsia="zh-CN" w:bidi="ar"/>
              </w:rPr>
              <w:t>4、市直属组织开展组织活动、加强基层组织建设，推进广元民进高效履职。</w:t>
            </w:r>
          </w:p>
        </w:tc>
        <w:tc>
          <w:tcPr>
            <w:tcW w:w="452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hd w:val="clear"/>
              <w:jc w:val="left"/>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农工党广元市委会以深入学习贯彻中共二十大、全国“两会”、四川省第十二次党代会和习近平总书记来川视察重要指示精神、蔡达峰主席在民进中央“矢志不渝跟党走、携手奋进新时代”政治交接主题教育动员会上的讲话精神为主线，以参政议政为重点，以社会服务为平台，以规范活动为抓手，不断加强自身建设，切实提高履职能力和水平，为我市加快建设川陕甘结合部现代化中心城市贡献了力量。</w:t>
            </w:r>
          </w:p>
        </w:tc>
      </w:tr>
      <w:tr>
        <w:tblPrEx>
          <w:tblCellMar>
            <w:top w:w="0" w:type="dxa"/>
            <w:left w:w="0" w:type="dxa"/>
            <w:bottom w:w="0" w:type="dxa"/>
            <w:right w:w="0" w:type="dxa"/>
          </w:tblCellMar>
        </w:tblPrEx>
        <w:trPr>
          <w:trHeight w:val="885" w:hRule="atLeast"/>
        </w:trPr>
        <w:tc>
          <w:tcPr>
            <w:tcW w:w="105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年</w:t>
            </w:r>
            <w:r>
              <w:rPr>
                <w:rFonts w:hint="default" w:ascii="仿宋" w:hAnsi="仿宋" w:eastAsia="仿宋" w:cs="仿宋"/>
                <w:i w:val="0"/>
                <w:color w:val="auto"/>
                <w:kern w:val="0"/>
                <w:sz w:val="22"/>
                <w:szCs w:val="22"/>
                <w:u w:val="none"/>
                <w:lang w:val="en-US" w:eastAsia="zh-CN" w:bidi="ar"/>
              </w:rPr>
              <w:br w:type="textWrapping"/>
            </w:r>
            <w:r>
              <w:rPr>
                <w:rFonts w:hint="default" w:ascii="仿宋" w:hAnsi="仿宋" w:eastAsia="仿宋" w:cs="仿宋"/>
                <w:i w:val="0"/>
                <w:color w:val="auto"/>
                <w:kern w:val="0"/>
                <w:sz w:val="22"/>
                <w:szCs w:val="22"/>
                <w:u w:val="none"/>
                <w:lang w:val="en-US" w:eastAsia="zh-CN" w:bidi="ar"/>
              </w:rPr>
              <w:t>度</w:t>
            </w:r>
            <w:r>
              <w:rPr>
                <w:rFonts w:hint="default" w:ascii="仿宋" w:hAnsi="仿宋" w:eastAsia="仿宋" w:cs="仿宋"/>
                <w:i w:val="0"/>
                <w:color w:val="auto"/>
                <w:kern w:val="0"/>
                <w:sz w:val="22"/>
                <w:szCs w:val="22"/>
                <w:u w:val="none"/>
                <w:lang w:val="en-US" w:eastAsia="zh-CN" w:bidi="ar"/>
              </w:rPr>
              <w:br w:type="textWrapping"/>
            </w:r>
            <w:r>
              <w:rPr>
                <w:rFonts w:hint="default" w:ascii="仿宋" w:hAnsi="仿宋" w:eastAsia="仿宋" w:cs="仿宋"/>
                <w:i w:val="0"/>
                <w:color w:val="auto"/>
                <w:kern w:val="0"/>
                <w:sz w:val="22"/>
                <w:szCs w:val="22"/>
                <w:u w:val="none"/>
                <w:lang w:val="en-US" w:eastAsia="zh-CN" w:bidi="ar"/>
              </w:rPr>
              <w:t>绩</w:t>
            </w:r>
            <w:r>
              <w:rPr>
                <w:rFonts w:hint="default" w:ascii="仿宋" w:hAnsi="仿宋" w:eastAsia="仿宋" w:cs="仿宋"/>
                <w:i w:val="0"/>
                <w:color w:val="auto"/>
                <w:kern w:val="0"/>
                <w:sz w:val="22"/>
                <w:szCs w:val="22"/>
                <w:u w:val="none"/>
                <w:lang w:val="en-US" w:eastAsia="zh-CN" w:bidi="ar"/>
              </w:rPr>
              <w:br w:type="textWrapping"/>
            </w:r>
            <w:r>
              <w:rPr>
                <w:rFonts w:hint="default" w:ascii="仿宋" w:hAnsi="仿宋" w:eastAsia="仿宋" w:cs="仿宋"/>
                <w:i w:val="0"/>
                <w:color w:val="auto"/>
                <w:kern w:val="0"/>
                <w:sz w:val="22"/>
                <w:szCs w:val="22"/>
                <w:u w:val="none"/>
                <w:lang w:val="en-US" w:eastAsia="zh-CN" w:bidi="ar"/>
              </w:rPr>
              <w:t>效</w:t>
            </w:r>
            <w:r>
              <w:rPr>
                <w:rFonts w:hint="default" w:ascii="仿宋" w:hAnsi="仿宋" w:eastAsia="仿宋" w:cs="仿宋"/>
                <w:i w:val="0"/>
                <w:color w:val="auto"/>
                <w:kern w:val="0"/>
                <w:sz w:val="22"/>
                <w:szCs w:val="22"/>
                <w:u w:val="none"/>
                <w:lang w:val="en-US" w:eastAsia="zh-CN" w:bidi="ar"/>
              </w:rPr>
              <w:br w:type="textWrapping"/>
            </w:r>
            <w:r>
              <w:rPr>
                <w:rFonts w:hint="default" w:ascii="仿宋" w:hAnsi="仿宋" w:eastAsia="仿宋" w:cs="仿宋"/>
                <w:i w:val="0"/>
                <w:color w:val="auto"/>
                <w:kern w:val="0"/>
                <w:sz w:val="22"/>
                <w:szCs w:val="22"/>
                <w:u w:val="none"/>
                <w:lang w:val="en-US" w:eastAsia="zh-CN" w:bidi="ar"/>
              </w:rPr>
              <w:t>指</w:t>
            </w:r>
            <w:r>
              <w:rPr>
                <w:rFonts w:hint="default" w:ascii="仿宋" w:hAnsi="仿宋" w:eastAsia="仿宋" w:cs="仿宋"/>
                <w:i w:val="0"/>
                <w:color w:val="auto"/>
                <w:kern w:val="0"/>
                <w:sz w:val="22"/>
                <w:szCs w:val="22"/>
                <w:u w:val="none"/>
                <w:lang w:val="en-US" w:eastAsia="zh-CN" w:bidi="ar"/>
              </w:rPr>
              <w:br w:type="textWrapping"/>
            </w:r>
            <w:r>
              <w:rPr>
                <w:rFonts w:hint="default" w:ascii="仿宋" w:hAnsi="仿宋" w:eastAsia="仿宋" w:cs="仿宋"/>
                <w:i w:val="0"/>
                <w:color w:val="auto"/>
                <w:kern w:val="0"/>
                <w:sz w:val="22"/>
                <w:szCs w:val="22"/>
                <w:u w:val="none"/>
                <w:lang w:val="en-US" w:eastAsia="zh-CN" w:bidi="ar"/>
              </w:rPr>
              <w:t>标</w:t>
            </w: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一级指标</w:t>
            </w:r>
          </w:p>
        </w:tc>
        <w:tc>
          <w:tcPr>
            <w:tcW w:w="36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二级指标</w:t>
            </w:r>
          </w:p>
        </w:tc>
        <w:tc>
          <w:tcPr>
            <w:tcW w:w="152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三级指标</w:t>
            </w:r>
          </w:p>
        </w:tc>
        <w:tc>
          <w:tcPr>
            <w:tcW w:w="13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实际完成指标值（包含数字及文字描述）</w:t>
            </w: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财政部门科室复评得分</w:t>
            </w:r>
          </w:p>
        </w:tc>
        <w:tc>
          <w:tcPr>
            <w:tcW w:w="16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未完成原因及改进措施</w:t>
            </w:r>
          </w:p>
        </w:tc>
      </w:tr>
      <w:tr>
        <w:tblPrEx>
          <w:tblCellMar>
            <w:top w:w="0" w:type="dxa"/>
            <w:left w:w="0" w:type="dxa"/>
            <w:bottom w:w="0" w:type="dxa"/>
            <w:right w:w="0" w:type="dxa"/>
          </w:tblCellMar>
        </w:tblPrEx>
        <w:trPr>
          <w:trHeight w:val="270" w:hRule="atLeast"/>
        </w:trPr>
        <w:tc>
          <w:tcPr>
            <w:tcW w:w="10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c>
          <w:tcPr>
            <w:tcW w:w="60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产出指标</w:t>
            </w:r>
          </w:p>
        </w:tc>
        <w:tc>
          <w:tcPr>
            <w:tcW w:w="364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数量指标</w:t>
            </w:r>
          </w:p>
        </w:tc>
        <w:tc>
          <w:tcPr>
            <w:tcW w:w="152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left"/>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1、完成调研课题3篇；2参加政治协商会议4次；3.开展社会服务工作，社会服务受益人数1000及以上。</w:t>
            </w:r>
          </w:p>
        </w:tc>
        <w:tc>
          <w:tcPr>
            <w:tcW w:w="135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100%完成</w:t>
            </w: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left"/>
              <w:rPr>
                <w:rFonts w:hint="default" w:ascii="仿宋" w:hAnsi="仿宋" w:eastAsia="仿宋" w:cs="仿宋"/>
                <w:i w:val="0"/>
                <w:color w:val="auto"/>
                <w:sz w:val="22"/>
                <w:szCs w:val="22"/>
                <w:u w:val="none"/>
              </w:rPr>
            </w:pP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r>
      <w:tr>
        <w:tblPrEx>
          <w:tblCellMar>
            <w:top w:w="0" w:type="dxa"/>
            <w:left w:w="0" w:type="dxa"/>
            <w:bottom w:w="0" w:type="dxa"/>
            <w:right w:w="0" w:type="dxa"/>
          </w:tblCellMar>
        </w:tblPrEx>
        <w:trPr>
          <w:trHeight w:val="270" w:hRule="atLeast"/>
        </w:trPr>
        <w:tc>
          <w:tcPr>
            <w:tcW w:w="10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c>
          <w:tcPr>
            <w:tcW w:w="6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c>
          <w:tcPr>
            <w:tcW w:w="364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c>
          <w:tcPr>
            <w:tcW w:w="152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left"/>
              <w:rPr>
                <w:rFonts w:hint="default" w:ascii="仿宋" w:hAnsi="仿宋" w:eastAsia="仿宋" w:cs="仿宋"/>
                <w:i w:val="0"/>
                <w:color w:val="auto"/>
                <w:sz w:val="22"/>
                <w:szCs w:val="22"/>
                <w:u w:val="none"/>
              </w:rPr>
            </w:pPr>
          </w:p>
        </w:tc>
        <w:tc>
          <w:tcPr>
            <w:tcW w:w="135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left"/>
              <w:rPr>
                <w:rFonts w:hint="default" w:ascii="仿宋" w:hAnsi="仿宋" w:eastAsia="仿宋" w:cs="仿宋"/>
                <w:i w:val="0"/>
                <w:color w:val="auto"/>
                <w:sz w:val="22"/>
                <w:szCs w:val="22"/>
                <w:u w:val="none"/>
              </w:rPr>
            </w:pP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r>
      <w:tr>
        <w:tblPrEx>
          <w:tblCellMar>
            <w:top w:w="0" w:type="dxa"/>
            <w:left w:w="0" w:type="dxa"/>
            <w:bottom w:w="0" w:type="dxa"/>
            <w:right w:w="0" w:type="dxa"/>
          </w:tblCellMar>
        </w:tblPrEx>
        <w:trPr>
          <w:trHeight w:val="270" w:hRule="atLeast"/>
        </w:trPr>
        <w:tc>
          <w:tcPr>
            <w:tcW w:w="10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c>
          <w:tcPr>
            <w:tcW w:w="6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c>
          <w:tcPr>
            <w:tcW w:w="364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c>
          <w:tcPr>
            <w:tcW w:w="152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left"/>
              <w:rPr>
                <w:rFonts w:hint="default" w:ascii="仿宋" w:hAnsi="仿宋" w:eastAsia="仿宋" w:cs="仿宋"/>
                <w:i w:val="0"/>
                <w:color w:val="auto"/>
                <w:sz w:val="22"/>
                <w:szCs w:val="22"/>
                <w:u w:val="none"/>
              </w:rPr>
            </w:pPr>
          </w:p>
        </w:tc>
        <w:tc>
          <w:tcPr>
            <w:tcW w:w="135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left"/>
              <w:rPr>
                <w:rFonts w:hint="default" w:ascii="仿宋" w:hAnsi="仿宋" w:eastAsia="仿宋" w:cs="仿宋"/>
                <w:i w:val="0"/>
                <w:color w:val="auto"/>
                <w:sz w:val="22"/>
                <w:szCs w:val="22"/>
                <w:u w:val="none"/>
              </w:rPr>
            </w:pP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r>
      <w:tr>
        <w:tblPrEx>
          <w:tblCellMar>
            <w:top w:w="0" w:type="dxa"/>
            <w:left w:w="0" w:type="dxa"/>
            <w:bottom w:w="0" w:type="dxa"/>
            <w:right w:w="0" w:type="dxa"/>
          </w:tblCellMar>
        </w:tblPrEx>
        <w:trPr>
          <w:trHeight w:val="270" w:hRule="atLeast"/>
        </w:trPr>
        <w:tc>
          <w:tcPr>
            <w:tcW w:w="10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c>
          <w:tcPr>
            <w:tcW w:w="6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c>
          <w:tcPr>
            <w:tcW w:w="364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c>
          <w:tcPr>
            <w:tcW w:w="152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left"/>
              <w:rPr>
                <w:rFonts w:hint="default" w:ascii="仿宋" w:hAnsi="仿宋" w:eastAsia="仿宋" w:cs="仿宋"/>
                <w:i w:val="0"/>
                <w:color w:val="auto"/>
                <w:sz w:val="22"/>
                <w:szCs w:val="22"/>
                <w:u w:val="none"/>
              </w:rPr>
            </w:pPr>
          </w:p>
        </w:tc>
        <w:tc>
          <w:tcPr>
            <w:tcW w:w="135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left"/>
              <w:rPr>
                <w:rFonts w:hint="default" w:ascii="仿宋" w:hAnsi="仿宋" w:eastAsia="仿宋" w:cs="仿宋"/>
                <w:i w:val="0"/>
                <w:color w:val="auto"/>
                <w:sz w:val="22"/>
                <w:szCs w:val="22"/>
                <w:u w:val="none"/>
              </w:rPr>
            </w:pP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r>
      <w:tr>
        <w:tblPrEx>
          <w:tblCellMar>
            <w:top w:w="0" w:type="dxa"/>
            <w:left w:w="0" w:type="dxa"/>
            <w:bottom w:w="0" w:type="dxa"/>
            <w:right w:w="0" w:type="dxa"/>
          </w:tblCellMar>
        </w:tblPrEx>
        <w:trPr>
          <w:trHeight w:val="270" w:hRule="atLeast"/>
        </w:trPr>
        <w:tc>
          <w:tcPr>
            <w:tcW w:w="10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c>
          <w:tcPr>
            <w:tcW w:w="6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c>
          <w:tcPr>
            <w:tcW w:w="364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质量指标</w:t>
            </w:r>
          </w:p>
        </w:tc>
        <w:tc>
          <w:tcPr>
            <w:tcW w:w="1524" w:type="dxa"/>
            <w:gridSpan w:val="2"/>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left"/>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调研成果获领导批示，社情民意信息采用数，主题教育成果在省级以上媒体报道</w:t>
            </w:r>
            <w:r>
              <w:rPr>
                <w:rFonts w:hint="default" w:ascii="仿宋" w:hAnsi="仿宋" w:eastAsia="仿宋" w:cs="仿宋"/>
                <w:i w:val="0"/>
                <w:color w:val="auto"/>
                <w:kern w:val="0"/>
                <w:sz w:val="22"/>
                <w:szCs w:val="22"/>
                <w:u w:val="none"/>
                <w:lang w:val="en-US" w:eastAsia="zh-CN" w:bidi="ar"/>
              </w:rPr>
              <w:br w:type="textWrapping"/>
            </w:r>
          </w:p>
        </w:tc>
        <w:tc>
          <w:tcPr>
            <w:tcW w:w="135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100%完成</w:t>
            </w: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left"/>
              <w:rPr>
                <w:rFonts w:hint="default" w:ascii="仿宋" w:hAnsi="仿宋" w:eastAsia="仿宋" w:cs="仿宋"/>
                <w:i w:val="0"/>
                <w:color w:val="auto"/>
                <w:sz w:val="22"/>
                <w:szCs w:val="22"/>
                <w:u w:val="none"/>
              </w:rPr>
            </w:pP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r>
      <w:tr>
        <w:tblPrEx>
          <w:tblCellMar>
            <w:top w:w="0" w:type="dxa"/>
            <w:left w:w="0" w:type="dxa"/>
            <w:bottom w:w="0" w:type="dxa"/>
            <w:right w:w="0" w:type="dxa"/>
          </w:tblCellMar>
        </w:tblPrEx>
        <w:trPr>
          <w:trHeight w:val="270" w:hRule="atLeast"/>
        </w:trPr>
        <w:tc>
          <w:tcPr>
            <w:tcW w:w="10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c>
          <w:tcPr>
            <w:tcW w:w="6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c>
          <w:tcPr>
            <w:tcW w:w="364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c>
          <w:tcPr>
            <w:tcW w:w="1524"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hd w:val="clear"/>
              <w:jc w:val="left"/>
              <w:rPr>
                <w:rFonts w:hint="default" w:ascii="仿宋" w:hAnsi="仿宋" w:eastAsia="仿宋" w:cs="仿宋"/>
                <w:i w:val="0"/>
                <w:color w:val="auto"/>
                <w:sz w:val="22"/>
                <w:szCs w:val="22"/>
                <w:u w:val="none"/>
              </w:rPr>
            </w:pPr>
          </w:p>
        </w:tc>
        <w:tc>
          <w:tcPr>
            <w:tcW w:w="135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left"/>
              <w:rPr>
                <w:rFonts w:hint="default" w:ascii="仿宋" w:hAnsi="仿宋" w:eastAsia="仿宋" w:cs="仿宋"/>
                <w:i w:val="0"/>
                <w:color w:val="auto"/>
                <w:sz w:val="22"/>
                <w:szCs w:val="22"/>
                <w:u w:val="none"/>
              </w:rPr>
            </w:pP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r>
      <w:tr>
        <w:tblPrEx>
          <w:tblCellMar>
            <w:top w:w="0" w:type="dxa"/>
            <w:left w:w="0" w:type="dxa"/>
            <w:bottom w:w="0" w:type="dxa"/>
            <w:right w:w="0" w:type="dxa"/>
          </w:tblCellMar>
        </w:tblPrEx>
        <w:trPr>
          <w:trHeight w:val="270" w:hRule="atLeast"/>
        </w:trPr>
        <w:tc>
          <w:tcPr>
            <w:tcW w:w="10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c>
          <w:tcPr>
            <w:tcW w:w="6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c>
          <w:tcPr>
            <w:tcW w:w="364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成本指标</w:t>
            </w:r>
          </w:p>
        </w:tc>
        <w:tc>
          <w:tcPr>
            <w:tcW w:w="152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开展参政议政、开展民主监督、社会服务活动、组织开展主题、培训</w:t>
            </w:r>
          </w:p>
        </w:tc>
        <w:tc>
          <w:tcPr>
            <w:tcW w:w="135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100%完成</w:t>
            </w: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left"/>
              <w:rPr>
                <w:rFonts w:hint="default" w:ascii="仿宋" w:hAnsi="仿宋" w:eastAsia="仿宋" w:cs="仿宋"/>
                <w:i w:val="0"/>
                <w:color w:val="auto"/>
                <w:sz w:val="22"/>
                <w:szCs w:val="22"/>
                <w:u w:val="none"/>
              </w:rPr>
            </w:pP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r>
      <w:tr>
        <w:tblPrEx>
          <w:tblCellMar>
            <w:top w:w="0" w:type="dxa"/>
            <w:left w:w="0" w:type="dxa"/>
            <w:bottom w:w="0" w:type="dxa"/>
            <w:right w:w="0" w:type="dxa"/>
          </w:tblCellMar>
        </w:tblPrEx>
        <w:trPr>
          <w:trHeight w:val="270" w:hRule="atLeast"/>
        </w:trPr>
        <w:tc>
          <w:tcPr>
            <w:tcW w:w="10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c>
          <w:tcPr>
            <w:tcW w:w="6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c>
          <w:tcPr>
            <w:tcW w:w="364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c>
          <w:tcPr>
            <w:tcW w:w="152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c>
          <w:tcPr>
            <w:tcW w:w="135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left"/>
              <w:rPr>
                <w:rFonts w:hint="default" w:ascii="仿宋" w:hAnsi="仿宋" w:eastAsia="仿宋" w:cs="仿宋"/>
                <w:i w:val="0"/>
                <w:color w:val="auto"/>
                <w:sz w:val="22"/>
                <w:szCs w:val="22"/>
                <w:u w:val="none"/>
              </w:rPr>
            </w:pP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r>
      <w:tr>
        <w:tblPrEx>
          <w:tblCellMar>
            <w:top w:w="0" w:type="dxa"/>
            <w:left w:w="0" w:type="dxa"/>
            <w:bottom w:w="0" w:type="dxa"/>
            <w:right w:w="0" w:type="dxa"/>
          </w:tblCellMar>
        </w:tblPrEx>
        <w:trPr>
          <w:trHeight w:val="270" w:hRule="atLeast"/>
        </w:trPr>
        <w:tc>
          <w:tcPr>
            <w:tcW w:w="10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c>
          <w:tcPr>
            <w:tcW w:w="6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c>
          <w:tcPr>
            <w:tcW w:w="364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c>
          <w:tcPr>
            <w:tcW w:w="152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c>
          <w:tcPr>
            <w:tcW w:w="135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left"/>
              <w:rPr>
                <w:rFonts w:hint="default" w:ascii="仿宋" w:hAnsi="仿宋" w:eastAsia="仿宋" w:cs="仿宋"/>
                <w:i w:val="0"/>
                <w:color w:val="auto"/>
                <w:sz w:val="22"/>
                <w:szCs w:val="22"/>
                <w:u w:val="none"/>
              </w:rPr>
            </w:pP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r>
      <w:tr>
        <w:tblPrEx>
          <w:tblCellMar>
            <w:top w:w="0" w:type="dxa"/>
            <w:left w:w="0" w:type="dxa"/>
            <w:bottom w:w="0" w:type="dxa"/>
            <w:right w:w="0" w:type="dxa"/>
          </w:tblCellMar>
        </w:tblPrEx>
        <w:trPr>
          <w:trHeight w:val="270" w:hRule="atLeast"/>
        </w:trPr>
        <w:tc>
          <w:tcPr>
            <w:tcW w:w="10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c>
          <w:tcPr>
            <w:tcW w:w="6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c>
          <w:tcPr>
            <w:tcW w:w="36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时效指标</w:t>
            </w:r>
          </w:p>
        </w:tc>
        <w:tc>
          <w:tcPr>
            <w:tcW w:w="152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2022年12月底全面完成各项工作</w:t>
            </w:r>
          </w:p>
        </w:tc>
        <w:tc>
          <w:tcPr>
            <w:tcW w:w="13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100%完成</w:t>
            </w: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left"/>
              <w:rPr>
                <w:rFonts w:hint="default" w:ascii="仿宋" w:hAnsi="仿宋" w:eastAsia="仿宋" w:cs="仿宋"/>
                <w:i w:val="0"/>
                <w:color w:val="auto"/>
                <w:sz w:val="22"/>
                <w:szCs w:val="22"/>
                <w:u w:val="none"/>
              </w:rPr>
            </w:pP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r>
      <w:tr>
        <w:tblPrEx>
          <w:tblCellMar>
            <w:top w:w="0" w:type="dxa"/>
            <w:left w:w="0" w:type="dxa"/>
            <w:bottom w:w="0" w:type="dxa"/>
            <w:right w:w="0" w:type="dxa"/>
          </w:tblCellMar>
        </w:tblPrEx>
        <w:trPr>
          <w:trHeight w:val="270" w:hRule="atLeast"/>
        </w:trPr>
        <w:tc>
          <w:tcPr>
            <w:tcW w:w="10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c>
          <w:tcPr>
            <w:tcW w:w="60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效益指标</w:t>
            </w:r>
          </w:p>
        </w:tc>
        <w:tc>
          <w:tcPr>
            <w:tcW w:w="36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经济效益指标</w:t>
            </w:r>
          </w:p>
        </w:tc>
        <w:tc>
          <w:tcPr>
            <w:tcW w:w="1524"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服务全市经济建设三大主战场，助推全市经济社会发展</w:t>
            </w:r>
          </w:p>
        </w:tc>
        <w:tc>
          <w:tcPr>
            <w:tcW w:w="13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100%完成</w:t>
            </w: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left"/>
              <w:rPr>
                <w:rFonts w:hint="default" w:ascii="仿宋" w:hAnsi="仿宋" w:eastAsia="仿宋" w:cs="仿宋"/>
                <w:i w:val="0"/>
                <w:color w:val="auto"/>
                <w:sz w:val="22"/>
                <w:szCs w:val="22"/>
                <w:u w:val="none"/>
              </w:rPr>
            </w:pP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r>
      <w:tr>
        <w:tblPrEx>
          <w:tblCellMar>
            <w:top w:w="0" w:type="dxa"/>
            <w:left w:w="0" w:type="dxa"/>
            <w:bottom w:w="0" w:type="dxa"/>
            <w:right w:w="0" w:type="dxa"/>
          </w:tblCellMar>
        </w:tblPrEx>
        <w:trPr>
          <w:trHeight w:val="270" w:hRule="atLeast"/>
        </w:trPr>
        <w:tc>
          <w:tcPr>
            <w:tcW w:w="10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c>
          <w:tcPr>
            <w:tcW w:w="6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c>
          <w:tcPr>
            <w:tcW w:w="36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社会效益指标</w:t>
            </w:r>
          </w:p>
        </w:tc>
        <w:tc>
          <w:tcPr>
            <w:tcW w:w="1524"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促进广元经济社会发展作用</w:t>
            </w:r>
          </w:p>
        </w:tc>
        <w:tc>
          <w:tcPr>
            <w:tcW w:w="13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100%完成</w:t>
            </w: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left"/>
              <w:rPr>
                <w:rFonts w:hint="default" w:ascii="仿宋" w:hAnsi="仿宋" w:eastAsia="仿宋" w:cs="仿宋"/>
                <w:i w:val="0"/>
                <w:color w:val="auto"/>
                <w:sz w:val="22"/>
                <w:szCs w:val="22"/>
                <w:u w:val="none"/>
              </w:rPr>
            </w:pP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r>
      <w:tr>
        <w:tblPrEx>
          <w:tblCellMar>
            <w:top w:w="0" w:type="dxa"/>
            <w:left w:w="0" w:type="dxa"/>
            <w:bottom w:w="0" w:type="dxa"/>
            <w:right w:w="0" w:type="dxa"/>
          </w:tblCellMar>
        </w:tblPrEx>
        <w:trPr>
          <w:trHeight w:val="2160" w:hRule="atLeast"/>
        </w:trPr>
        <w:tc>
          <w:tcPr>
            <w:tcW w:w="10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c>
          <w:tcPr>
            <w:tcW w:w="6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c>
          <w:tcPr>
            <w:tcW w:w="36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可持续民展指标</w:t>
            </w:r>
          </w:p>
        </w:tc>
        <w:tc>
          <w:tcPr>
            <w:tcW w:w="1524"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可持续性</w:t>
            </w:r>
          </w:p>
        </w:tc>
        <w:tc>
          <w:tcPr>
            <w:tcW w:w="13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100%完成</w:t>
            </w: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left"/>
              <w:rPr>
                <w:rFonts w:hint="default" w:ascii="仿宋" w:hAnsi="仿宋" w:eastAsia="仿宋" w:cs="仿宋"/>
                <w:i w:val="0"/>
                <w:color w:val="auto"/>
                <w:sz w:val="22"/>
                <w:szCs w:val="22"/>
                <w:u w:val="none"/>
              </w:rPr>
            </w:pP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r>
      <w:tr>
        <w:tblPrEx>
          <w:tblCellMar>
            <w:top w:w="0" w:type="dxa"/>
            <w:left w:w="0" w:type="dxa"/>
            <w:bottom w:w="0" w:type="dxa"/>
            <w:right w:w="0" w:type="dxa"/>
          </w:tblCellMar>
        </w:tblPrEx>
        <w:trPr>
          <w:trHeight w:val="540" w:hRule="atLeast"/>
        </w:trPr>
        <w:tc>
          <w:tcPr>
            <w:tcW w:w="10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满意度</w:t>
            </w:r>
            <w:r>
              <w:rPr>
                <w:rFonts w:hint="default" w:ascii="仿宋" w:hAnsi="仿宋" w:eastAsia="仿宋" w:cs="仿宋"/>
                <w:i w:val="0"/>
                <w:color w:val="auto"/>
                <w:kern w:val="0"/>
                <w:sz w:val="22"/>
                <w:szCs w:val="22"/>
                <w:u w:val="none"/>
                <w:lang w:val="en-US" w:eastAsia="zh-CN" w:bidi="ar"/>
              </w:rPr>
              <w:br w:type="textWrapping"/>
            </w:r>
            <w:r>
              <w:rPr>
                <w:rFonts w:hint="default" w:ascii="仿宋" w:hAnsi="仿宋" w:eastAsia="仿宋" w:cs="仿宋"/>
                <w:i w:val="0"/>
                <w:color w:val="auto"/>
                <w:kern w:val="0"/>
                <w:sz w:val="22"/>
                <w:szCs w:val="22"/>
                <w:u w:val="none"/>
                <w:lang w:val="en-US" w:eastAsia="zh-CN" w:bidi="ar"/>
              </w:rPr>
              <w:t>指标</w:t>
            </w:r>
          </w:p>
        </w:tc>
        <w:tc>
          <w:tcPr>
            <w:tcW w:w="36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服务对象满意度指标</w:t>
            </w:r>
          </w:p>
        </w:tc>
        <w:tc>
          <w:tcPr>
            <w:tcW w:w="152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党员、群众满意度</w:t>
            </w:r>
          </w:p>
        </w:tc>
        <w:tc>
          <w:tcPr>
            <w:tcW w:w="13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100%完成</w:t>
            </w: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left"/>
              <w:rPr>
                <w:rFonts w:hint="default" w:ascii="仿宋" w:hAnsi="仿宋" w:eastAsia="仿宋" w:cs="仿宋"/>
                <w:i w:val="0"/>
                <w:color w:val="auto"/>
                <w:sz w:val="22"/>
                <w:szCs w:val="22"/>
                <w:u w:val="none"/>
              </w:rPr>
            </w:pP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r>
      <w:tr>
        <w:tblPrEx>
          <w:tblCellMar>
            <w:top w:w="0" w:type="dxa"/>
            <w:left w:w="0" w:type="dxa"/>
            <w:bottom w:w="0" w:type="dxa"/>
            <w:right w:w="0" w:type="dxa"/>
          </w:tblCellMar>
        </w:tblPrEx>
        <w:trPr>
          <w:trHeight w:val="810" w:hRule="atLeast"/>
        </w:trPr>
        <w:tc>
          <w:tcPr>
            <w:tcW w:w="10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部门（单位）自评结论</w:t>
            </w:r>
          </w:p>
        </w:tc>
        <w:tc>
          <w:tcPr>
            <w:tcW w:w="9416"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left"/>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2022年农工党广元市委在市委、市政府的领导下，顺利完成了各项目标任务，工作中取得以下成绩。1.认真参政履职。2.扎实开展调查研究。形成调研课题11篇。3.积极反映社情民意。全年，向省委会报送社情民意信息27条，向市政协、市委统战部报送社情民意信息27条。4.整合资源优势，不断增强社会服务质效，在巩固脱贫攻坚成果与乡村振兴有效衔接中，发挥了农工党能量。</w:t>
            </w:r>
          </w:p>
        </w:tc>
      </w:tr>
      <w:tr>
        <w:tblPrEx>
          <w:tblCellMar>
            <w:top w:w="0" w:type="dxa"/>
            <w:left w:w="0" w:type="dxa"/>
            <w:bottom w:w="0" w:type="dxa"/>
            <w:right w:w="0" w:type="dxa"/>
          </w:tblCellMar>
        </w:tblPrEx>
        <w:trPr>
          <w:trHeight w:val="810" w:hRule="atLeast"/>
        </w:trPr>
        <w:tc>
          <w:tcPr>
            <w:tcW w:w="10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部门（单位）自评存在问题</w:t>
            </w:r>
          </w:p>
        </w:tc>
        <w:tc>
          <w:tcPr>
            <w:tcW w:w="9416"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left"/>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存在问题和不足：财务制度执行力有待加强，资金使用计划有待细化。</w:t>
            </w:r>
          </w:p>
        </w:tc>
      </w:tr>
      <w:tr>
        <w:tblPrEx>
          <w:tblCellMar>
            <w:top w:w="0" w:type="dxa"/>
            <w:left w:w="0" w:type="dxa"/>
            <w:bottom w:w="0" w:type="dxa"/>
            <w:right w:w="0" w:type="dxa"/>
          </w:tblCellMar>
        </w:tblPrEx>
        <w:trPr>
          <w:trHeight w:val="810" w:hRule="atLeast"/>
        </w:trPr>
        <w:tc>
          <w:tcPr>
            <w:tcW w:w="10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部门（单位）自评改进措施</w:t>
            </w:r>
          </w:p>
        </w:tc>
        <w:tc>
          <w:tcPr>
            <w:tcW w:w="9416"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left"/>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一是进一步加强财务人员业务水平的培训和提高；二是进一步完善财务管理制度，严格资金审批程序，加大资金监管</w:t>
            </w:r>
            <w:r>
              <w:rPr>
                <w:rFonts w:hint="eastAsia" w:ascii="仿宋" w:hAnsi="仿宋" w:eastAsia="仿宋" w:cs="仿宋"/>
                <w:i w:val="0"/>
                <w:color w:val="auto"/>
                <w:kern w:val="0"/>
                <w:sz w:val="22"/>
                <w:szCs w:val="22"/>
                <w:u w:val="none"/>
                <w:lang w:val="en-US" w:eastAsia="zh-CN" w:bidi="ar"/>
              </w:rPr>
              <w:t>力度</w:t>
            </w:r>
            <w:r>
              <w:rPr>
                <w:rFonts w:hint="default" w:ascii="仿宋" w:hAnsi="仿宋" w:eastAsia="仿宋" w:cs="仿宋"/>
                <w:i w:val="0"/>
                <w:color w:val="auto"/>
                <w:kern w:val="0"/>
                <w:sz w:val="22"/>
                <w:szCs w:val="22"/>
                <w:u w:val="none"/>
                <w:lang w:val="en-US" w:eastAsia="zh-CN" w:bidi="ar"/>
              </w:rPr>
              <w:t>，确保各项资金正确使用，遵守资金使用制度，杜绝违规违纪现象。</w:t>
            </w:r>
          </w:p>
        </w:tc>
      </w:tr>
      <w:tr>
        <w:tblPrEx>
          <w:tblCellMar>
            <w:top w:w="0" w:type="dxa"/>
            <w:left w:w="0" w:type="dxa"/>
            <w:bottom w:w="0" w:type="dxa"/>
            <w:right w:w="0" w:type="dxa"/>
          </w:tblCellMar>
        </w:tblPrEx>
        <w:trPr>
          <w:trHeight w:val="1080" w:hRule="atLeast"/>
        </w:trPr>
        <w:tc>
          <w:tcPr>
            <w:tcW w:w="243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财政部门对口科室复评结论及整改要求</w:t>
            </w:r>
          </w:p>
        </w:tc>
        <w:tc>
          <w:tcPr>
            <w:tcW w:w="804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2"/>
                <w:szCs w:val="22"/>
                <w:u w:val="none"/>
              </w:rPr>
            </w:pPr>
          </w:p>
        </w:tc>
      </w:tr>
      <w:tr>
        <w:tblPrEx>
          <w:tblCellMar>
            <w:top w:w="0" w:type="dxa"/>
            <w:left w:w="0" w:type="dxa"/>
            <w:bottom w:w="0" w:type="dxa"/>
            <w:right w:w="0" w:type="dxa"/>
          </w:tblCellMar>
        </w:tblPrEx>
        <w:trPr>
          <w:trHeight w:val="270" w:hRule="atLeast"/>
        </w:trPr>
        <w:tc>
          <w:tcPr>
            <w:tcW w:w="683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left"/>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单位项目负责人：李兰</w:t>
            </w:r>
          </w:p>
        </w:tc>
        <w:tc>
          <w:tcPr>
            <w:tcW w:w="363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left"/>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单位财务负责人：张洁</w:t>
            </w:r>
          </w:p>
        </w:tc>
      </w:tr>
      <w:tr>
        <w:tblPrEx>
          <w:tblCellMar>
            <w:top w:w="0" w:type="dxa"/>
            <w:left w:w="0" w:type="dxa"/>
            <w:bottom w:w="0" w:type="dxa"/>
            <w:right w:w="0" w:type="dxa"/>
          </w:tblCellMar>
        </w:tblPrEx>
        <w:trPr>
          <w:trHeight w:val="270" w:hRule="atLeast"/>
        </w:trPr>
        <w:tc>
          <w:tcPr>
            <w:tcW w:w="683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left"/>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部门项目负责人：</w:t>
            </w:r>
          </w:p>
        </w:tc>
        <w:tc>
          <w:tcPr>
            <w:tcW w:w="363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left"/>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部门财务负责人：</w:t>
            </w:r>
          </w:p>
        </w:tc>
      </w:tr>
      <w:tr>
        <w:tblPrEx>
          <w:tblCellMar>
            <w:top w:w="0" w:type="dxa"/>
            <w:left w:w="0" w:type="dxa"/>
            <w:bottom w:w="0" w:type="dxa"/>
            <w:right w:w="0" w:type="dxa"/>
          </w:tblCellMar>
        </w:tblPrEx>
        <w:trPr>
          <w:trHeight w:val="270" w:hRule="atLeast"/>
        </w:trPr>
        <w:tc>
          <w:tcPr>
            <w:tcW w:w="8861"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left"/>
              <w:rPr>
                <w:rFonts w:hint="default" w:ascii="仿宋" w:hAnsi="仿宋" w:eastAsia="仿宋" w:cs="仿宋"/>
                <w:i w:val="0"/>
                <w:color w:val="auto"/>
                <w:sz w:val="22"/>
                <w:szCs w:val="22"/>
                <w:u w:val="none"/>
              </w:rPr>
            </w:pPr>
            <w:r>
              <w:rPr>
                <w:rFonts w:hint="default" w:ascii="仿宋" w:hAnsi="仿宋" w:eastAsia="仿宋" w:cs="仿宋"/>
                <w:i w:val="0"/>
                <w:color w:val="auto"/>
                <w:kern w:val="0"/>
                <w:sz w:val="22"/>
                <w:szCs w:val="22"/>
                <w:u w:val="none"/>
                <w:lang w:val="en-US" w:eastAsia="zh-CN" w:bidi="ar"/>
              </w:rPr>
              <w:t>财政部门科室负责人：</w:t>
            </w:r>
          </w:p>
        </w:tc>
        <w:tc>
          <w:tcPr>
            <w:tcW w:w="16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rPr>
                <w:rFonts w:hint="default" w:ascii="仿宋" w:hAnsi="仿宋" w:eastAsia="仿宋" w:cs="仿宋"/>
                <w:i w:val="0"/>
                <w:color w:val="auto"/>
                <w:sz w:val="22"/>
                <w:szCs w:val="22"/>
                <w:u w:val="none"/>
              </w:rPr>
            </w:pPr>
          </w:p>
        </w:tc>
      </w:tr>
    </w:tbl>
    <w:p>
      <w:pPr>
        <w:pStyle w:val="20"/>
        <w:shd w:val="clear"/>
        <w:rPr>
          <w:color w:val="auto"/>
          <w:lang w:val="zh-CN"/>
        </w:rPr>
      </w:pPr>
    </w:p>
    <w:p>
      <w:pPr>
        <w:pStyle w:val="15"/>
        <w:keepNext w:val="0"/>
        <w:keepLines w:val="0"/>
        <w:pageBreakBefore w:val="0"/>
        <w:numPr>
          <w:ilvl w:val="0"/>
          <w:numId w:val="0"/>
        </w:numPr>
        <w:shd w:val="clear"/>
        <w:kinsoku/>
        <w:wordWrap/>
        <w:overflowPunct/>
        <w:topLinePunct w:val="0"/>
        <w:autoSpaceDE/>
        <w:autoSpaceDN/>
        <w:bidi w:val="0"/>
        <w:spacing w:line="560" w:lineRule="exact"/>
        <w:rPr>
          <w:rFonts w:hint="eastAsia" w:hAnsi="Times New Roman" w:cs="Times New Roman"/>
          <w:color w:val="auto"/>
          <w:sz w:val="32"/>
          <w:szCs w:val="32"/>
          <w:lang w:val="zh-CN" w:eastAsia="zh-CN"/>
        </w:rPr>
      </w:pPr>
    </w:p>
    <w:p>
      <w:pPr>
        <w:pStyle w:val="6"/>
        <w:shd w:val="clear"/>
        <w:rPr>
          <w:rFonts w:hint="eastAsia" w:hAnsi="宋体" w:cs="宋体"/>
          <w:color w:val="auto"/>
          <w:kern w:val="0"/>
          <w:sz w:val="32"/>
          <w:szCs w:val="32"/>
          <w:shd w:val="clear" w:color="auto" w:fill="FFFFFF"/>
          <w:lang w:val="zh-CN"/>
        </w:rPr>
      </w:pPr>
    </w:p>
    <w:p>
      <w:pPr>
        <w:pStyle w:val="6"/>
        <w:shd w:val="clear"/>
        <w:rPr>
          <w:rFonts w:hint="eastAsia" w:hAnsi="宋体" w:cs="宋体"/>
          <w:color w:val="auto"/>
          <w:kern w:val="0"/>
          <w:sz w:val="32"/>
          <w:szCs w:val="32"/>
          <w:shd w:val="clear" w:color="auto" w:fill="FFFFFF"/>
          <w:lang w:val="zh-CN"/>
        </w:rPr>
      </w:pPr>
    </w:p>
    <w:p>
      <w:pPr>
        <w:pStyle w:val="6"/>
        <w:shd w:val="clear"/>
        <w:rPr>
          <w:rFonts w:hint="eastAsia" w:hAnsi="宋体" w:cs="宋体"/>
          <w:color w:val="auto"/>
          <w:kern w:val="0"/>
          <w:sz w:val="32"/>
          <w:szCs w:val="32"/>
          <w:shd w:val="clear" w:color="auto" w:fill="FFFFFF"/>
          <w:lang w:val="zh-CN"/>
        </w:rPr>
      </w:pPr>
    </w:p>
    <w:p>
      <w:pPr>
        <w:pStyle w:val="6"/>
        <w:shd w:val="clear"/>
        <w:rPr>
          <w:rFonts w:hint="eastAsia" w:hAnsi="宋体" w:cs="宋体"/>
          <w:color w:val="auto"/>
          <w:kern w:val="0"/>
          <w:sz w:val="32"/>
          <w:szCs w:val="32"/>
          <w:shd w:val="clear" w:color="auto" w:fill="FFFFFF"/>
          <w:lang w:val="zh-CN"/>
        </w:rPr>
      </w:pPr>
    </w:p>
    <w:p>
      <w:pPr>
        <w:pStyle w:val="6"/>
        <w:shd w:val="clear"/>
        <w:rPr>
          <w:rFonts w:hint="eastAsia" w:hAnsi="宋体" w:cs="宋体"/>
          <w:color w:val="auto"/>
          <w:kern w:val="0"/>
          <w:sz w:val="32"/>
          <w:szCs w:val="32"/>
          <w:shd w:val="clear" w:color="auto" w:fill="FFFFFF"/>
          <w:lang w:val="zh-CN"/>
        </w:rPr>
      </w:pPr>
    </w:p>
    <w:p>
      <w:pPr>
        <w:pStyle w:val="6"/>
        <w:shd w:val="clear"/>
        <w:rPr>
          <w:rFonts w:hint="eastAsia" w:hAnsi="宋体" w:cs="宋体"/>
          <w:color w:val="auto"/>
          <w:kern w:val="0"/>
          <w:sz w:val="32"/>
          <w:szCs w:val="32"/>
          <w:shd w:val="clear" w:color="auto" w:fill="FFFFFF"/>
          <w:lang w:val="zh-CN"/>
        </w:rPr>
      </w:pPr>
    </w:p>
    <w:p>
      <w:pPr>
        <w:pStyle w:val="6"/>
        <w:shd w:val="clear"/>
        <w:rPr>
          <w:rFonts w:hint="eastAsia" w:hAnsi="宋体" w:cs="宋体"/>
          <w:color w:val="auto"/>
          <w:kern w:val="0"/>
          <w:sz w:val="32"/>
          <w:szCs w:val="32"/>
          <w:shd w:val="clear" w:color="auto" w:fill="FFFFFF"/>
          <w:lang w:val="zh-CN"/>
        </w:rPr>
      </w:pPr>
    </w:p>
    <w:p>
      <w:pPr>
        <w:pStyle w:val="6"/>
        <w:shd w:val="clear"/>
        <w:rPr>
          <w:rFonts w:hint="eastAsia" w:hAnsi="宋体" w:cs="宋体"/>
          <w:color w:val="auto"/>
          <w:kern w:val="0"/>
          <w:sz w:val="32"/>
          <w:szCs w:val="32"/>
          <w:shd w:val="clear" w:color="auto" w:fill="FFFFFF"/>
          <w:lang w:val="zh-CN"/>
        </w:rPr>
      </w:pPr>
    </w:p>
    <w:p>
      <w:pPr>
        <w:pStyle w:val="6"/>
        <w:shd w:val="clear"/>
        <w:rPr>
          <w:rFonts w:hint="eastAsia" w:hAnsi="宋体" w:cs="宋体"/>
          <w:color w:val="auto"/>
          <w:kern w:val="0"/>
          <w:sz w:val="32"/>
          <w:szCs w:val="32"/>
          <w:shd w:val="clear" w:color="auto" w:fill="FFFFFF"/>
          <w:lang w:val="zh-CN"/>
        </w:rPr>
      </w:pPr>
    </w:p>
    <w:p>
      <w:pPr>
        <w:pStyle w:val="6"/>
        <w:shd w:val="clear"/>
        <w:rPr>
          <w:rFonts w:hint="eastAsia" w:hAnsi="宋体" w:cs="宋体"/>
          <w:color w:val="auto"/>
          <w:kern w:val="0"/>
          <w:sz w:val="32"/>
          <w:szCs w:val="32"/>
          <w:shd w:val="clear" w:color="auto" w:fill="FFFFFF"/>
          <w:lang w:val="zh-CN"/>
        </w:rPr>
      </w:pPr>
    </w:p>
    <w:p>
      <w:pPr>
        <w:pStyle w:val="6"/>
        <w:shd w:val="clear"/>
        <w:rPr>
          <w:rFonts w:hint="eastAsia" w:hAnsi="宋体" w:cs="宋体"/>
          <w:color w:val="auto"/>
          <w:kern w:val="0"/>
          <w:sz w:val="32"/>
          <w:szCs w:val="32"/>
          <w:shd w:val="clear" w:color="auto" w:fill="FFFFFF"/>
          <w:lang w:val="zh-CN"/>
        </w:rPr>
      </w:pPr>
    </w:p>
    <w:p>
      <w:pPr>
        <w:pStyle w:val="6"/>
        <w:shd w:val="clear"/>
        <w:rPr>
          <w:rFonts w:hint="eastAsia" w:hAnsi="宋体" w:cs="宋体"/>
          <w:color w:val="auto"/>
          <w:kern w:val="0"/>
          <w:sz w:val="32"/>
          <w:szCs w:val="32"/>
          <w:shd w:val="clear" w:color="auto" w:fill="FFFFFF"/>
          <w:lang w:val="zh-CN"/>
        </w:rPr>
      </w:pPr>
    </w:p>
    <w:p>
      <w:pPr>
        <w:pStyle w:val="6"/>
        <w:shd w:val="clear"/>
        <w:rPr>
          <w:rFonts w:hint="eastAsia" w:hAnsi="宋体" w:cs="宋体"/>
          <w:color w:val="auto"/>
          <w:kern w:val="0"/>
          <w:sz w:val="32"/>
          <w:szCs w:val="32"/>
          <w:shd w:val="clear" w:color="auto" w:fill="FFFFFF"/>
          <w:lang w:val="zh-CN"/>
        </w:rPr>
      </w:pPr>
    </w:p>
    <w:p>
      <w:pPr>
        <w:pStyle w:val="6"/>
        <w:shd w:val="clear"/>
        <w:rPr>
          <w:rFonts w:hint="eastAsia" w:hAnsi="宋体" w:cs="宋体"/>
          <w:color w:val="auto"/>
          <w:kern w:val="0"/>
          <w:sz w:val="32"/>
          <w:szCs w:val="32"/>
          <w:shd w:val="clear" w:color="auto" w:fill="FFFFFF"/>
          <w:lang w:val="zh-CN"/>
        </w:rPr>
      </w:pPr>
    </w:p>
    <w:tbl>
      <w:tblPr>
        <w:tblStyle w:val="16"/>
        <w:tblW w:w="13915" w:type="dxa"/>
        <w:tblInd w:w="0" w:type="dxa"/>
        <w:shd w:val="clear" w:color="auto" w:fill="auto"/>
        <w:tblLayout w:type="fixed"/>
        <w:tblCellMar>
          <w:top w:w="0" w:type="dxa"/>
          <w:left w:w="0" w:type="dxa"/>
          <w:bottom w:w="0" w:type="dxa"/>
          <w:right w:w="0" w:type="dxa"/>
        </w:tblCellMar>
      </w:tblPr>
      <w:tblGrid>
        <w:gridCol w:w="1147"/>
        <w:gridCol w:w="986"/>
        <w:gridCol w:w="1628"/>
        <w:gridCol w:w="1500"/>
        <w:gridCol w:w="686"/>
        <w:gridCol w:w="659"/>
        <w:gridCol w:w="1741"/>
        <w:gridCol w:w="214"/>
        <w:gridCol w:w="891"/>
        <w:gridCol w:w="90"/>
        <w:gridCol w:w="869"/>
        <w:gridCol w:w="90"/>
        <w:gridCol w:w="40"/>
        <w:gridCol w:w="710"/>
        <w:gridCol w:w="90"/>
        <w:gridCol w:w="40"/>
        <w:gridCol w:w="2404"/>
        <w:gridCol w:w="90"/>
        <w:gridCol w:w="40"/>
      </w:tblGrid>
      <w:tr>
        <w:tblPrEx>
          <w:shd w:val="clear" w:color="auto" w:fill="auto"/>
          <w:tblCellMar>
            <w:top w:w="0" w:type="dxa"/>
            <w:left w:w="0" w:type="dxa"/>
            <w:bottom w:w="0" w:type="dxa"/>
            <w:right w:w="0" w:type="dxa"/>
          </w:tblCellMar>
        </w:tblPrEx>
        <w:trPr>
          <w:gridAfter w:val="2"/>
          <w:wAfter w:w="130" w:type="dxa"/>
          <w:trHeight w:val="540" w:hRule="atLeast"/>
        </w:trPr>
        <w:tc>
          <w:tcPr>
            <w:tcW w:w="13785" w:type="dxa"/>
            <w:gridSpan w:val="17"/>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shd w:val="clear"/>
              <w:jc w:val="center"/>
              <w:rPr>
                <w:rFonts w:ascii="方正小标宋简体" w:hAnsi="方正小标宋简体" w:eastAsia="方正小标宋简体" w:cs="方正小标宋简体"/>
                <w:i w:val="0"/>
                <w:color w:val="auto"/>
                <w:sz w:val="44"/>
                <w:szCs w:val="44"/>
                <w:u w:val="none"/>
              </w:rPr>
            </w:pPr>
            <w:bookmarkStart w:id="58" w:name="_Toc15396618"/>
            <w:r>
              <w:rPr>
                <w:rFonts w:hint="default" w:ascii="方正小标宋简体" w:hAnsi="方正小标宋简体" w:eastAsia="方正小标宋简体" w:cs="方正小标宋简体"/>
                <w:i w:val="0"/>
                <w:color w:val="auto"/>
                <w:kern w:val="0"/>
                <w:sz w:val="44"/>
                <w:szCs w:val="44"/>
                <w:u w:val="none"/>
                <w:lang w:val="en-US" w:eastAsia="zh-CN" w:bidi="ar"/>
              </w:rPr>
              <w:t>部门预算、专项资金预算项目支出绩效目标自评表（2022年度）</w:t>
            </w:r>
          </w:p>
        </w:tc>
      </w:tr>
      <w:tr>
        <w:tblPrEx>
          <w:shd w:val="clear" w:color="auto" w:fill="auto"/>
          <w:tblCellMar>
            <w:top w:w="0" w:type="dxa"/>
            <w:left w:w="0" w:type="dxa"/>
            <w:bottom w:w="0" w:type="dxa"/>
            <w:right w:w="0" w:type="dxa"/>
          </w:tblCellMar>
        </w:tblPrEx>
        <w:trPr>
          <w:gridAfter w:val="2"/>
          <w:wAfter w:w="130" w:type="dxa"/>
          <w:trHeight w:val="1020" w:hRule="atLeast"/>
        </w:trPr>
        <w:tc>
          <w:tcPr>
            <w:tcW w:w="21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left"/>
              <w:rPr>
                <w:rFonts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项目名称</w:t>
            </w:r>
          </w:p>
        </w:tc>
        <w:tc>
          <w:tcPr>
            <w:tcW w:w="11652" w:type="dxa"/>
            <w:gridSpan w:val="1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left"/>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民主党派专项工作经费</w:t>
            </w:r>
          </w:p>
        </w:tc>
      </w:tr>
      <w:tr>
        <w:tblPrEx>
          <w:shd w:val="clear" w:color="auto" w:fill="auto"/>
          <w:tblCellMar>
            <w:top w:w="0" w:type="dxa"/>
            <w:left w:w="0" w:type="dxa"/>
            <w:bottom w:w="0" w:type="dxa"/>
            <w:right w:w="0" w:type="dxa"/>
          </w:tblCellMar>
        </w:tblPrEx>
        <w:trPr>
          <w:gridAfter w:val="2"/>
          <w:wAfter w:w="130" w:type="dxa"/>
          <w:trHeight w:val="640" w:hRule="atLeast"/>
        </w:trPr>
        <w:tc>
          <w:tcPr>
            <w:tcW w:w="21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left"/>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主管部门（盖章）</w:t>
            </w:r>
          </w:p>
        </w:tc>
        <w:tc>
          <w:tcPr>
            <w:tcW w:w="312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rPr>
                <w:rFonts w:hint="default" w:ascii="仿宋" w:hAnsi="仿宋" w:eastAsia="仿宋" w:cs="仿宋"/>
                <w:i w:val="0"/>
                <w:color w:val="auto"/>
                <w:sz w:val="20"/>
                <w:szCs w:val="20"/>
                <w:u w:val="none"/>
              </w:rPr>
            </w:pPr>
          </w:p>
        </w:tc>
        <w:tc>
          <w:tcPr>
            <w:tcW w:w="308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实施单位（盖章）</w:t>
            </w:r>
          </w:p>
        </w:tc>
        <w:tc>
          <w:tcPr>
            <w:tcW w:w="5438"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r>
      <w:tr>
        <w:tblPrEx>
          <w:shd w:val="clear" w:color="auto" w:fill="auto"/>
          <w:tblCellMar>
            <w:top w:w="0" w:type="dxa"/>
            <w:left w:w="0" w:type="dxa"/>
            <w:bottom w:w="0" w:type="dxa"/>
            <w:right w:w="0" w:type="dxa"/>
          </w:tblCellMar>
        </w:tblPrEx>
        <w:trPr>
          <w:gridAfter w:val="2"/>
          <w:wAfter w:w="130" w:type="dxa"/>
          <w:trHeight w:val="600" w:hRule="atLeast"/>
        </w:trPr>
        <w:tc>
          <w:tcPr>
            <w:tcW w:w="114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left"/>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项目基本情况</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left"/>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1.项目年度目标完成情况</w:t>
            </w:r>
          </w:p>
        </w:tc>
        <w:tc>
          <w:tcPr>
            <w:tcW w:w="312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项目年度目标</w:t>
            </w:r>
          </w:p>
        </w:tc>
        <w:tc>
          <w:tcPr>
            <w:tcW w:w="8524" w:type="dxa"/>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年度目标完成情况</w:t>
            </w:r>
          </w:p>
        </w:tc>
      </w:tr>
      <w:tr>
        <w:tblPrEx>
          <w:shd w:val="clear" w:color="auto" w:fill="auto"/>
          <w:tblCellMar>
            <w:top w:w="0" w:type="dxa"/>
            <w:left w:w="0" w:type="dxa"/>
            <w:bottom w:w="0" w:type="dxa"/>
            <w:right w:w="0" w:type="dxa"/>
          </w:tblCellMar>
        </w:tblPrEx>
        <w:trPr>
          <w:gridAfter w:val="2"/>
          <w:wAfter w:w="130" w:type="dxa"/>
          <w:trHeight w:val="600" w:hRule="atLeast"/>
        </w:trPr>
        <w:tc>
          <w:tcPr>
            <w:tcW w:w="11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rPr>
                <w:rFonts w:hint="default" w:ascii="仿宋" w:hAnsi="仿宋" w:eastAsia="仿宋" w:cs="仿宋"/>
                <w:i w:val="0"/>
                <w:color w:val="auto"/>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rPr>
                <w:rFonts w:hint="default" w:ascii="仿宋" w:hAnsi="仿宋" w:eastAsia="仿宋" w:cs="仿宋"/>
                <w:i w:val="0"/>
                <w:color w:val="auto"/>
                <w:sz w:val="20"/>
                <w:szCs w:val="20"/>
                <w:u w:val="none"/>
              </w:rPr>
            </w:pPr>
          </w:p>
        </w:tc>
        <w:tc>
          <w:tcPr>
            <w:tcW w:w="312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left"/>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目标1：履行参政议政职责，开展调查研究，完成调研课题，积极建言献策，为广元经济社会发展献计出力。目标2：开展民主监督工作。目标3：积极开展社会服务工作，，积极争取社会各界扶贫援助项目等。</w:t>
            </w:r>
            <w:r>
              <w:rPr>
                <w:rFonts w:hint="default" w:ascii="仿宋" w:hAnsi="仿宋" w:eastAsia="仿宋" w:cs="仿宋"/>
                <w:i w:val="0"/>
                <w:color w:val="auto"/>
                <w:kern w:val="0"/>
                <w:sz w:val="20"/>
                <w:szCs w:val="20"/>
                <w:u w:val="none"/>
                <w:lang w:val="en-US" w:eastAsia="zh-CN" w:bidi="ar"/>
              </w:rPr>
              <w:br w:type="textWrapping"/>
            </w:r>
            <w:r>
              <w:rPr>
                <w:rFonts w:hint="default" w:ascii="仿宋" w:hAnsi="仿宋" w:eastAsia="仿宋" w:cs="仿宋"/>
                <w:i w:val="0"/>
                <w:color w:val="auto"/>
                <w:kern w:val="0"/>
                <w:sz w:val="20"/>
                <w:szCs w:val="20"/>
                <w:u w:val="none"/>
                <w:lang w:val="en-US" w:eastAsia="zh-CN" w:bidi="ar"/>
              </w:rPr>
              <w:t>目标4：开展政治交接实践活动，以习近平新时代中国特色社会主义思想为指引，强化思想建设，增进政治共识。</w:t>
            </w:r>
            <w:r>
              <w:rPr>
                <w:rFonts w:hint="default" w:ascii="仿宋" w:hAnsi="仿宋" w:eastAsia="仿宋" w:cs="仿宋"/>
                <w:i w:val="0"/>
                <w:color w:val="auto"/>
                <w:kern w:val="0"/>
                <w:sz w:val="20"/>
                <w:szCs w:val="20"/>
                <w:u w:val="none"/>
                <w:lang w:val="en-US" w:eastAsia="zh-CN" w:bidi="ar"/>
              </w:rPr>
              <w:br w:type="textWrapping"/>
            </w:r>
            <w:r>
              <w:rPr>
                <w:rFonts w:hint="default" w:ascii="仿宋" w:hAnsi="仿宋" w:eastAsia="仿宋" w:cs="仿宋"/>
                <w:i w:val="0"/>
                <w:color w:val="auto"/>
                <w:kern w:val="0"/>
                <w:sz w:val="20"/>
                <w:szCs w:val="20"/>
                <w:u w:val="none"/>
                <w:lang w:val="en-US" w:eastAsia="zh-CN" w:bidi="ar"/>
              </w:rPr>
              <w:t>目标5：市直属组织开展组织活动、加强基层组织建设，推进广元农工党高效履职。</w:t>
            </w:r>
          </w:p>
        </w:tc>
        <w:tc>
          <w:tcPr>
            <w:tcW w:w="8524" w:type="dxa"/>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left"/>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目标1：履行参政议政职责，开展调查研究，完成调研课题11篇，积极建言献策，为广元经济社会发展献计出力。</w:t>
            </w:r>
            <w:r>
              <w:rPr>
                <w:rFonts w:hint="default" w:ascii="仿宋" w:hAnsi="仿宋" w:eastAsia="仿宋" w:cs="仿宋"/>
                <w:i w:val="0"/>
                <w:color w:val="auto"/>
                <w:kern w:val="0"/>
                <w:sz w:val="20"/>
                <w:szCs w:val="20"/>
                <w:u w:val="none"/>
                <w:lang w:val="en-US" w:eastAsia="zh-CN" w:bidi="ar"/>
              </w:rPr>
              <w:br w:type="textWrapping"/>
            </w:r>
            <w:r>
              <w:rPr>
                <w:rFonts w:hint="default" w:ascii="仿宋" w:hAnsi="仿宋" w:eastAsia="仿宋" w:cs="仿宋"/>
                <w:i w:val="0"/>
                <w:color w:val="auto"/>
                <w:kern w:val="0"/>
                <w:sz w:val="20"/>
                <w:szCs w:val="20"/>
                <w:u w:val="none"/>
                <w:lang w:val="en-US" w:eastAsia="zh-CN" w:bidi="ar"/>
              </w:rPr>
              <w:t>目标2：开展民主监督工作。</w:t>
            </w:r>
            <w:r>
              <w:rPr>
                <w:rFonts w:hint="default" w:ascii="仿宋" w:hAnsi="仿宋" w:eastAsia="仿宋" w:cs="仿宋"/>
                <w:i w:val="0"/>
                <w:color w:val="auto"/>
                <w:kern w:val="0"/>
                <w:sz w:val="20"/>
                <w:szCs w:val="20"/>
                <w:u w:val="none"/>
                <w:lang w:val="en-US" w:eastAsia="zh-CN" w:bidi="ar"/>
              </w:rPr>
              <w:br w:type="textWrapping"/>
            </w:r>
            <w:r>
              <w:rPr>
                <w:rFonts w:hint="default" w:ascii="仿宋" w:hAnsi="仿宋" w:eastAsia="仿宋" w:cs="仿宋"/>
                <w:i w:val="0"/>
                <w:color w:val="auto"/>
                <w:kern w:val="0"/>
                <w:sz w:val="20"/>
                <w:szCs w:val="20"/>
                <w:u w:val="none"/>
                <w:lang w:val="en-US" w:eastAsia="zh-CN" w:bidi="ar"/>
              </w:rPr>
              <w:t>目标3：积极开展社会服务工作，积极争取社会各界扶贫援助项目等。</w:t>
            </w:r>
            <w:r>
              <w:rPr>
                <w:rFonts w:hint="default" w:ascii="仿宋" w:hAnsi="仿宋" w:eastAsia="仿宋" w:cs="仿宋"/>
                <w:i w:val="0"/>
                <w:color w:val="auto"/>
                <w:kern w:val="0"/>
                <w:sz w:val="20"/>
                <w:szCs w:val="20"/>
                <w:u w:val="none"/>
                <w:lang w:val="en-US" w:eastAsia="zh-CN" w:bidi="ar"/>
              </w:rPr>
              <w:br w:type="textWrapping"/>
            </w:r>
            <w:r>
              <w:rPr>
                <w:rFonts w:hint="default" w:ascii="仿宋" w:hAnsi="仿宋" w:eastAsia="仿宋" w:cs="仿宋"/>
                <w:i w:val="0"/>
                <w:color w:val="auto"/>
                <w:kern w:val="0"/>
                <w:sz w:val="20"/>
                <w:szCs w:val="20"/>
                <w:u w:val="none"/>
                <w:lang w:val="en-US" w:eastAsia="zh-CN" w:bidi="ar"/>
              </w:rPr>
              <w:t>目标4：开展政治交接实践活动，以习近平新时代中国特色社会主义思想为指引，强化思想建设，增进政治共识。</w:t>
            </w:r>
            <w:r>
              <w:rPr>
                <w:rFonts w:hint="default" w:ascii="仿宋" w:hAnsi="仿宋" w:eastAsia="仿宋" w:cs="仿宋"/>
                <w:i w:val="0"/>
                <w:color w:val="auto"/>
                <w:kern w:val="0"/>
                <w:sz w:val="20"/>
                <w:szCs w:val="20"/>
                <w:u w:val="none"/>
                <w:lang w:val="en-US" w:eastAsia="zh-CN" w:bidi="ar"/>
              </w:rPr>
              <w:br w:type="textWrapping"/>
            </w:r>
            <w:r>
              <w:rPr>
                <w:rFonts w:hint="default" w:ascii="仿宋" w:hAnsi="仿宋" w:eastAsia="仿宋" w:cs="仿宋"/>
                <w:i w:val="0"/>
                <w:color w:val="auto"/>
                <w:kern w:val="0"/>
                <w:sz w:val="20"/>
                <w:szCs w:val="20"/>
                <w:u w:val="none"/>
                <w:lang w:val="en-US" w:eastAsia="zh-CN" w:bidi="ar"/>
              </w:rPr>
              <w:t>目标5：市直属组织开展组织活动、加强基层组织建设，推进广元农工党高效履职。</w:t>
            </w:r>
          </w:p>
        </w:tc>
      </w:tr>
      <w:tr>
        <w:tblPrEx>
          <w:shd w:val="clear" w:color="auto" w:fill="auto"/>
          <w:tblCellMar>
            <w:top w:w="0" w:type="dxa"/>
            <w:left w:w="0" w:type="dxa"/>
            <w:bottom w:w="0" w:type="dxa"/>
            <w:right w:w="0" w:type="dxa"/>
          </w:tblCellMar>
        </w:tblPrEx>
        <w:trPr>
          <w:gridAfter w:val="2"/>
          <w:wAfter w:w="130" w:type="dxa"/>
          <w:trHeight w:val="600" w:hRule="atLeast"/>
        </w:trPr>
        <w:tc>
          <w:tcPr>
            <w:tcW w:w="11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rPr>
                <w:rFonts w:hint="default" w:ascii="仿宋" w:hAnsi="仿宋" w:eastAsia="仿宋" w:cs="仿宋"/>
                <w:i w:val="0"/>
                <w:color w:val="auto"/>
                <w:sz w:val="20"/>
                <w:szCs w:val="20"/>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left"/>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2.项目实施内容及过程概述</w:t>
            </w:r>
          </w:p>
        </w:tc>
        <w:tc>
          <w:tcPr>
            <w:tcW w:w="11652" w:type="dxa"/>
            <w:gridSpan w:val="1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left"/>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一、完成参政议政调研、民主监督、社会服务工作。二、完成“两会”大会发言和建言献策课题调研，形成调研报告和意见建议。三社会服务活动。四、开展主题教育及党员培训活动。</w:t>
            </w:r>
          </w:p>
        </w:tc>
      </w:tr>
      <w:tr>
        <w:tblPrEx>
          <w:shd w:val="clear" w:color="auto" w:fill="auto"/>
          <w:tblCellMar>
            <w:top w:w="0" w:type="dxa"/>
            <w:left w:w="0" w:type="dxa"/>
            <w:bottom w:w="0" w:type="dxa"/>
            <w:right w:w="0" w:type="dxa"/>
          </w:tblCellMar>
        </w:tblPrEx>
        <w:trPr>
          <w:gridAfter w:val="1"/>
          <w:wAfter w:w="40" w:type="dxa"/>
          <w:trHeight w:val="940" w:hRule="atLeast"/>
        </w:trPr>
        <w:tc>
          <w:tcPr>
            <w:tcW w:w="114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预算执行情况（10分）</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年度预算数（万元）</w:t>
            </w: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年初预算</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调整后预算数</w:t>
            </w:r>
          </w:p>
        </w:tc>
        <w:tc>
          <w:tcPr>
            <w:tcW w:w="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预算执行数</w:t>
            </w:r>
          </w:p>
        </w:tc>
        <w:tc>
          <w:tcPr>
            <w:tcW w:w="26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预算执行率</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权重%</w:t>
            </w:r>
          </w:p>
        </w:tc>
        <w:tc>
          <w:tcPr>
            <w:tcW w:w="9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部门自评得分</w:t>
            </w:r>
          </w:p>
        </w:tc>
        <w:tc>
          <w:tcPr>
            <w:tcW w:w="84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财政部门科室复评得分</w:t>
            </w:r>
          </w:p>
        </w:tc>
        <w:tc>
          <w:tcPr>
            <w:tcW w:w="253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原因</w:t>
            </w:r>
          </w:p>
        </w:tc>
      </w:tr>
      <w:tr>
        <w:tblPrEx>
          <w:shd w:val="clear" w:color="auto" w:fill="auto"/>
          <w:tblCellMar>
            <w:top w:w="0" w:type="dxa"/>
            <w:left w:w="0" w:type="dxa"/>
            <w:bottom w:w="0" w:type="dxa"/>
            <w:right w:w="0" w:type="dxa"/>
          </w:tblCellMar>
        </w:tblPrEx>
        <w:trPr>
          <w:gridAfter w:val="1"/>
          <w:wAfter w:w="40" w:type="dxa"/>
          <w:trHeight w:val="480" w:hRule="atLeast"/>
        </w:trPr>
        <w:tc>
          <w:tcPr>
            <w:tcW w:w="11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总额</w:t>
            </w: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19.12</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19.12</w:t>
            </w:r>
          </w:p>
        </w:tc>
        <w:tc>
          <w:tcPr>
            <w:tcW w:w="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19.11</w:t>
            </w:r>
          </w:p>
        </w:tc>
        <w:tc>
          <w:tcPr>
            <w:tcW w:w="26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100.00%</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9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10</w:t>
            </w:r>
          </w:p>
        </w:tc>
        <w:tc>
          <w:tcPr>
            <w:tcW w:w="84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253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left"/>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1.预算执行率=预算执行数/调整后预算数，预算执行率未达到90%的需说明原因（100字以内）;2.年中发生预算调整的（追加或调减）</w:t>
            </w:r>
            <w:r>
              <w:rPr>
                <w:rFonts w:hint="eastAsia" w:ascii="仿宋" w:hAnsi="仿宋" w:eastAsia="仿宋" w:cs="仿宋"/>
                <w:i w:val="0"/>
                <w:color w:val="auto"/>
                <w:kern w:val="0"/>
                <w:sz w:val="20"/>
                <w:szCs w:val="20"/>
                <w:u w:val="none"/>
                <w:lang w:val="en-US" w:eastAsia="zh-CN" w:bidi="ar"/>
              </w:rPr>
              <w:t>，</w:t>
            </w:r>
            <w:r>
              <w:rPr>
                <w:rFonts w:hint="default" w:ascii="仿宋" w:hAnsi="仿宋" w:eastAsia="仿宋" w:cs="仿宋"/>
                <w:i w:val="0"/>
                <w:color w:val="auto"/>
                <w:kern w:val="0"/>
                <w:sz w:val="20"/>
                <w:szCs w:val="20"/>
                <w:u w:val="none"/>
                <w:lang w:val="en-US" w:eastAsia="zh-CN" w:bidi="ar"/>
              </w:rPr>
              <w:t>应单独说明理由；3.其他资金包括、社会投入资金、银行贷款.</w:t>
            </w:r>
          </w:p>
        </w:tc>
      </w:tr>
      <w:tr>
        <w:tblPrEx>
          <w:shd w:val="clear" w:color="auto" w:fill="auto"/>
          <w:tblCellMar>
            <w:top w:w="0" w:type="dxa"/>
            <w:left w:w="0" w:type="dxa"/>
            <w:bottom w:w="0" w:type="dxa"/>
            <w:right w:w="0" w:type="dxa"/>
          </w:tblCellMar>
        </w:tblPrEx>
        <w:trPr>
          <w:gridAfter w:val="1"/>
          <w:wAfter w:w="40" w:type="dxa"/>
          <w:trHeight w:val="480" w:hRule="atLeast"/>
        </w:trPr>
        <w:tc>
          <w:tcPr>
            <w:tcW w:w="11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其中：财政资金</w:t>
            </w: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19.12</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19.12</w:t>
            </w:r>
          </w:p>
        </w:tc>
        <w:tc>
          <w:tcPr>
            <w:tcW w:w="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19.11</w:t>
            </w:r>
          </w:p>
        </w:tc>
        <w:tc>
          <w:tcPr>
            <w:tcW w:w="26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100.00%</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9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10</w:t>
            </w:r>
          </w:p>
        </w:tc>
        <w:tc>
          <w:tcPr>
            <w:tcW w:w="84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253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rPr>
                <w:rFonts w:hint="default" w:ascii="仿宋" w:hAnsi="仿宋" w:eastAsia="仿宋" w:cs="仿宋"/>
                <w:i w:val="0"/>
                <w:color w:val="auto"/>
                <w:sz w:val="20"/>
                <w:szCs w:val="20"/>
                <w:u w:val="none"/>
              </w:rPr>
            </w:pPr>
          </w:p>
        </w:tc>
      </w:tr>
      <w:tr>
        <w:tblPrEx>
          <w:shd w:val="clear" w:color="auto" w:fill="auto"/>
          <w:tblCellMar>
            <w:top w:w="0" w:type="dxa"/>
            <w:left w:w="0" w:type="dxa"/>
            <w:bottom w:w="0" w:type="dxa"/>
            <w:right w:w="0" w:type="dxa"/>
          </w:tblCellMar>
        </w:tblPrEx>
        <w:trPr>
          <w:gridAfter w:val="1"/>
          <w:wAfter w:w="40" w:type="dxa"/>
          <w:trHeight w:val="480" w:hRule="atLeast"/>
        </w:trPr>
        <w:tc>
          <w:tcPr>
            <w:tcW w:w="11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财政专户管理资金</w:t>
            </w: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26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9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84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253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rPr>
                <w:rFonts w:hint="default" w:ascii="仿宋" w:hAnsi="仿宋" w:eastAsia="仿宋" w:cs="仿宋"/>
                <w:i w:val="0"/>
                <w:color w:val="auto"/>
                <w:sz w:val="20"/>
                <w:szCs w:val="20"/>
                <w:u w:val="none"/>
              </w:rPr>
            </w:pPr>
          </w:p>
        </w:tc>
      </w:tr>
      <w:tr>
        <w:tblPrEx>
          <w:shd w:val="clear" w:color="auto" w:fill="auto"/>
          <w:tblCellMar>
            <w:top w:w="0" w:type="dxa"/>
            <w:left w:w="0" w:type="dxa"/>
            <w:bottom w:w="0" w:type="dxa"/>
            <w:right w:w="0" w:type="dxa"/>
          </w:tblCellMar>
        </w:tblPrEx>
        <w:trPr>
          <w:gridAfter w:val="1"/>
          <w:wAfter w:w="40" w:type="dxa"/>
          <w:trHeight w:val="480" w:hRule="atLeast"/>
        </w:trPr>
        <w:tc>
          <w:tcPr>
            <w:tcW w:w="11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单位资金</w:t>
            </w: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26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9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84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253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rPr>
                <w:rFonts w:hint="default" w:ascii="仿宋" w:hAnsi="仿宋" w:eastAsia="仿宋" w:cs="仿宋"/>
                <w:i w:val="0"/>
                <w:color w:val="auto"/>
                <w:sz w:val="20"/>
                <w:szCs w:val="20"/>
                <w:u w:val="none"/>
              </w:rPr>
            </w:pPr>
          </w:p>
        </w:tc>
      </w:tr>
      <w:tr>
        <w:tblPrEx>
          <w:shd w:val="clear" w:color="auto" w:fill="auto"/>
          <w:tblCellMar>
            <w:top w:w="0" w:type="dxa"/>
            <w:left w:w="0" w:type="dxa"/>
            <w:bottom w:w="0" w:type="dxa"/>
            <w:right w:w="0" w:type="dxa"/>
          </w:tblCellMar>
        </w:tblPrEx>
        <w:trPr>
          <w:gridAfter w:val="1"/>
          <w:wAfter w:w="40" w:type="dxa"/>
          <w:trHeight w:val="480" w:hRule="atLeast"/>
        </w:trPr>
        <w:tc>
          <w:tcPr>
            <w:tcW w:w="11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其他资金</w:t>
            </w: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26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9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84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253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rPr>
                <w:rFonts w:hint="default" w:ascii="仿宋" w:hAnsi="仿宋" w:eastAsia="仿宋" w:cs="仿宋"/>
                <w:i w:val="0"/>
                <w:color w:val="auto"/>
                <w:sz w:val="20"/>
                <w:szCs w:val="20"/>
                <w:u w:val="none"/>
              </w:rPr>
            </w:pPr>
          </w:p>
        </w:tc>
      </w:tr>
      <w:tr>
        <w:tblPrEx>
          <w:shd w:val="clear" w:color="auto" w:fill="auto"/>
          <w:tblCellMar>
            <w:top w:w="0" w:type="dxa"/>
            <w:left w:w="0" w:type="dxa"/>
            <w:bottom w:w="0" w:type="dxa"/>
            <w:right w:w="0" w:type="dxa"/>
          </w:tblCellMar>
        </w:tblPrEx>
        <w:trPr>
          <w:trHeight w:val="720" w:hRule="atLeast"/>
        </w:trPr>
        <w:tc>
          <w:tcPr>
            <w:tcW w:w="114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绩效指标（90分）</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一级指标</w:t>
            </w: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二级指标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三级指标</w:t>
            </w:r>
          </w:p>
        </w:tc>
        <w:tc>
          <w:tcPr>
            <w:tcW w:w="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指标性质</w:t>
            </w: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指标值</w:t>
            </w:r>
          </w:p>
        </w:tc>
        <w:tc>
          <w:tcPr>
            <w:tcW w:w="19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完成值</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权重</w:t>
            </w:r>
          </w:p>
        </w:tc>
        <w:tc>
          <w:tcPr>
            <w:tcW w:w="99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部门自评得分</w:t>
            </w:r>
          </w:p>
        </w:tc>
        <w:tc>
          <w:tcPr>
            <w:tcW w:w="84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财政部门科室复评得分</w:t>
            </w:r>
          </w:p>
        </w:tc>
        <w:tc>
          <w:tcPr>
            <w:tcW w:w="253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未完成原因分析</w:t>
            </w:r>
          </w:p>
        </w:tc>
      </w:tr>
      <w:tr>
        <w:tblPrEx>
          <w:shd w:val="clear" w:color="auto" w:fill="auto"/>
          <w:tblCellMar>
            <w:top w:w="0" w:type="dxa"/>
            <w:left w:w="0" w:type="dxa"/>
            <w:bottom w:w="0" w:type="dxa"/>
            <w:right w:w="0" w:type="dxa"/>
          </w:tblCellMar>
        </w:tblPrEx>
        <w:trPr>
          <w:trHeight w:val="480" w:hRule="atLeast"/>
        </w:trPr>
        <w:tc>
          <w:tcPr>
            <w:tcW w:w="11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986"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项目完成</w:t>
            </w:r>
          </w:p>
        </w:tc>
        <w:tc>
          <w:tcPr>
            <w:tcW w:w="1628"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数量指标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left"/>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指标1：社会服务受益人数</w:t>
            </w:r>
          </w:p>
        </w:tc>
        <w:tc>
          <w:tcPr>
            <w:tcW w:w="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≥1000</w:t>
            </w:r>
          </w:p>
        </w:tc>
        <w:tc>
          <w:tcPr>
            <w:tcW w:w="19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≥10000</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10</w:t>
            </w:r>
          </w:p>
        </w:tc>
        <w:tc>
          <w:tcPr>
            <w:tcW w:w="99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10</w:t>
            </w:r>
          </w:p>
        </w:tc>
        <w:tc>
          <w:tcPr>
            <w:tcW w:w="84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253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r>
      <w:tr>
        <w:tblPrEx>
          <w:shd w:val="clear" w:color="auto" w:fill="auto"/>
          <w:tblCellMar>
            <w:top w:w="0" w:type="dxa"/>
            <w:left w:w="0" w:type="dxa"/>
            <w:bottom w:w="0" w:type="dxa"/>
            <w:right w:w="0" w:type="dxa"/>
          </w:tblCellMar>
        </w:tblPrEx>
        <w:trPr>
          <w:trHeight w:val="480" w:hRule="atLeast"/>
        </w:trPr>
        <w:tc>
          <w:tcPr>
            <w:tcW w:w="11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98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162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left"/>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指标2：完成调研课题数量</w:t>
            </w:r>
          </w:p>
        </w:tc>
        <w:tc>
          <w:tcPr>
            <w:tcW w:w="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left"/>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≥3篇</w:t>
            </w:r>
          </w:p>
        </w:tc>
        <w:tc>
          <w:tcPr>
            <w:tcW w:w="19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left"/>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11篇</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5</w:t>
            </w:r>
          </w:p>
        </w:tc>
        <w:tc>
          <w:tcPr>
            <w:tcW w:w="99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5</w:t>
            </w:r>
          </w:p>
        </w:tc>
        <w:tc>
          <w:tcPr>
            <w:tcW w:w="84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253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r>
      <w:tr>
        <w:tblPrEx>
          <w:shd w:val="clear" w:color="auto" w:fill="auto"/>
          <w:tblCellMar>
            <w:top w:w="0" w:type="dxa"/>
            <w:left w:w="0" w:type="dxa"/>
            <w:bottom w:w="0" w:type="dxa"/>
            <w:right w:w="0" w:type="dxa"/>
          </w:tblCellMar>
        </w:tblPrEx>
        <w:trPr>
          <w:trHeight w:val="480" w:hRule="atLeast"/>
        </w:trPr>
        <w:tc>
          <w:tcPr>
            <w:tcW w:w="11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98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162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left"/>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指标3：参加政治协商会议数量</w:t>
            </w:r>
          </w:p>
        </w:tc>
        <w:tc>
          <w:tcPr>
            <w:tcW w:w="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left"/>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≥4次</w:t>
            </w:r>
          </w:p>
        </w:tc>
        <w:tc>
          <w:tcPr>
            <w:tcW w:w="19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left"/>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9次</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15</w:t>
            </w:r>
          </w:p>
        </w:tc>
        <w:tc>
          <w:tcPr>
            <w:tcW w:w="99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15</w:t>
            </w:r>
          </w:p>
        </w:tc>
        <w:tc>
          <w:tcPr>
            <w:tcW w:w="84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253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r>
      <w:tr>
        <w:tblPrEx>
          <w:shd w:val="clear" w:color="auto" w:fill="auto"/>
          <w:tblCellMar>
            <w:top w:w="0" w:type="dxa"/>
            <w:left w:w="0" w:type="dxa"/>
            <w:bottom w:w="0" w:type="dxa"/>
            <w:right w:w="0" w:type="dxa"/>
          </w:tblCellMar>
        </w:tblPrEx>
        <w:trPr>
          <w:trHeight w:val="495" w:hRule="atLeast"/>
        </w:trPr>
        <w:tc>
          <w:tcPr>
            <w:tcW w:w="11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98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1628"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质量指标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left"/>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指标1：调研成果获领导批示</w:t>
            </w:r>
          </w:p>
        </w:tc>
        <w:tc>
          <w:tcPr>
            <w:tcW w:w="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659"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≥2篇</w:t>
            </w:r>
          </w:p>
        </w:tc>
        <w:tc>
          <w:tcPr>
            <w:tcW w:w="1955" w:type="dxa"/>
            <w:gridSpan w:val="2"/>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≥2篇</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5</w:t>
            </w:r>
          </w:p>
        </w:tc>
        <w:tc>
          <w:tcPr>
            <w:tcW w:w="99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5</w:t>
            </w:r>
          </w:p>
        </w:tc>
        <w:tc>
          <w:tcPr>
            <w:tcW w:w="84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253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r>
      <w:tr>
        <w:tblPrEx>
          <w:shd w:val="clear" w:color="auto" w:fill="auto"/>
          <w:tblCellMar>
            <w:top w:w="0" w:type="dxa"/>
            <w:left w:w="0" w:type="dxa"/>
            <w:bottom w:w="0" w:type="dxa"/>
            <w:right w:w="0" w:type="dxa"/>
          </w:tblCellMar>
        </w:tblPrEx>
        <w:trPr>
          <w:trHeight w:val="495" w:hRule="atLeast"/>
        </w:trPr>
        <w:tc>
          <w:tcPr>
            <w:tcW w:w="11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98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162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left"/>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指标2：社情民意信息采用数</w:t>
            </w:r>
          </w:p>
        </w:tc>
        <w:tc>
          <w:tcPr>
            <w:tcW w:w="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659"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≥6条</w:t>
            </w:r>
          </w:p>
        </w:tc>
        <w:tc>
          <w:tcPr>
            <w:tcW w:w="1955" w:type="dxa"/>
            <w:gridSpan w:val="2"/>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≥9条</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10</w:t>
            </w:r>
          </w:p>
        </w:tc>
        <w:tc>
          <w:tcPr>
            <w:tcW w:w="99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10</w:t>
            </w:r>
          </w:p>
        </w:tc>
        <w:tc>
          <w:tcPr>
            <w:tcW w:w="84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253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r>
      <w:tr>
        <w:tblPrEx>
          <w:shd w:val="clear" w:color="auto" w:fill="auto"/>
          <w:tblCellMar>
            <w:top w:w="0" w:type="dxa"/>
            <w:left w:w="0" w:type="dxa"/>
            <w:bottom w:w="0" w:type="dxa"/>
            <w:right w:w="0" w:type="dxa"/>
          </w:tblCellMar>
        </w:tblPrEx>
        <w:trPr>
          <w:trHeight w:val="735" w:hRule="atLeast"/>
        </w:trPr>
        <w:tc>
          <w:tcPr>
            <w:tcW w:w="11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98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162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left"/>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指标3：主题教育成果在省级以上媒体报道</w:t>
            </w:r>
          </w:p>
        </w:tc>
        <w:tc>
          <w:tcPr>
            <w:tcW w:w="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659"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≥5篇</w:t>
            </w:r>
          </w:p>
        </w:tc>
        <w:tc>
          <w:tcPr>
            <w:tcW w:w="1955" w:type="dxa"/>
            <w:gridSpan w:val="2"/>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≥5篇</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5</w:t>
            </w:r>
          </w:p>
        </w:tc>
        <w:tc>
          <w:tcPr>
            <w:tcW w:w="99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5</w:t>
            </w:r>
          </w:p>
        </w:tc>
        <w:tc>
          <w:tcPr>
            <w:tcW w:w="84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253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r>
      <w:tr>
        <w:tblPrEx>
          <w:shd w:val="clear" w:color="auto" w:fill="auto"/>
          <w:tblCellMar>
            <w:top w:w="0" w:type="dxa"/>
            <w:left w:w="0" w:type="dxa"/>
            <w:bottom w:w="0" w:type="dxa"/>
            <w:right w:w="0" w:type="dxa"/>
          </w:tblCellMar>
        </w:tblPrEx>
        <w:trPr>
          <w:trHeight w:val="495" w:hRule="atLeast"/>
        </w:trPr>
        <w:tc>
          <w:tcPr>
            <w:tcW w:w="11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98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时效指标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left"/>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指标1：完成时限</w:t>
            </w:r>
          </w:p>
        </w:tc>
        <w:tc>
          <w:tcPr>
            <w:tcW w:w="686" w:type="dxa"/>
            <w:tcBorders>
              <w:top w:val="nil"/>
              <w:left w:val="nil"/>
              <w:bottom w:val="nil"/>
              <w:right w:val="nil"/>
            </w:tcBorders>
            <w:shd w:val="clear" w:color="auto" w:fill="auto"/>
            <w:noWrap/>
            <w:tcMar>
              <w:top w:w="15" w:type="dxa"/>
              <w:left w:w="15" w:type="dxa"/>
              <w:right w:w="15" w:type="dxa"/>
            </w:tcMar>
            <w:vAlign w:val="center"/>
          </w:tcPr>
          <w:p>
            <w:pPr>
              <w:shd w:val="clear"/>
              <w:rPr>
                <w:rFonts w:hint="default" w:ascii="仿宋" w:hAnsi="仿宋" w:eastAsia="仿宋" w:cs="仿宋"/>
                <w:i w:val="0"/>
                <w:color w:val="auto"/>
                <w:sz w:val="20"/>
                <w:szCs w:val="20"/>
                <w:u w:val="none"/>
              </w:rPr>
            </w:pPr>
          </w:p>
        </w:tc>
        <w:tc>
          <w:tcPr>
            <w:tcW w:w="659"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2022年12月前</w:t>
            </w:r>
          </w:p>
        </w:tc>
        <w:tc>
          <w:tcPr>
            <w:tcW w:w="1955" w:type="dxa"/>
            <w:gridSpan w:val="2"/>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2022年12月前</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right"/>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5</w:t>
            </w:r>
          </w:p>
        </w:tc>
        <w:tc>
          <w:tcPr>
            <w:tcW w:w="99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right"/>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5</w:t>
            </w:r>
          </w:p>
        </w:tc>
        <w:tc>
          <w:tcPr>
            <w:tcW w:w="84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rPr>
                <w:rFonts w:hint="default" w:ascii="仿宋" w:hAnsi="仿宋" w:eastAsia="仿宋" w:cs="仿宋"/>
                <w:i w:val="0"/>
                <w:color w:val="auto"/>
                <w:sz w:val="20"/>
                <w:szCs w:val="20"/>
                <w:u w:val="none"/>
              </w:rPr>
            </w:pPr>
          </w:p>
        </w:tc>
        <w:tc>
          <w:tcPr>
            <w:tcW w:w="253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rPr>
                <w:rFonts w:hint="default" w:ascii="仿宋" w:hAnsi="仿宋" w:eastAsia="仿宋" w:cs="仿宋"/>
                <w:i w:val="0"/>
                <w:color w:val="auto"/>
                <w:sz w:val="20"/>
                <w:szCs w:val="20"/>
                <w:u w:val="none"/>
              </w:rPr>
            </w:pPr>
          </w:p>
        </w:tc>
      </w:tr>
      <w:tr>
        <w:tblPrEx>
          <w:shd w:val="clear" w:color="auto" w:fill="auto"/>
          <w:tblCellMar>
            <w:top w:w="0" w:type="dxa"/>
            <w:left w:w="0" w:type="dxa"/>
            <w:bottom w:w="0" w:type="dxa"/>
            <w:right w:w="0" w:type="dxa"/>
          </w:tblCellMar>
        </w:tblPrEx>
        <w:trPr>
          <w:trHeight w:val="1215" w:hRule="atLeast"/>
        </w:trPr>
        <w:tc>
          <w:tcPr>
            <w:tcW w:w="11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98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成本指标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left"/>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开展参政议政、开展民主监督、社会服务活动、组织开展主题、培训</w:t>
            </w:r>
          </w:p>
        </w:tc>
        <w:tc>
          <w:tcPr>
            <w:tcW w:w="686" w:type="dxa"/>
            <w:tcBorders>
              <w:top w:val="nil"/>
              <w:left w:val="nil"/>
              <w:bottom w:val="nil"/>
              <w:right w:val="nil"/>
            </w:tcBorders>
            <w:shd w:val="clear" w:color="auto" w:fill="auto"/>
            <w:noWrap/>
            <w:tcMar>
              <w:top w:w="15" w:type="dxa"/>
              <w:left w:w="15" w:type="dxa"/>
              <w:right w:w="15" w:type="dxa"/>
            </w:tcMar>
            <w:vAlign w:val="center"/>
          </w:tcPr>
          <w:p>
            <w:pPr>
              <w:shd w:val="clear"/>
              <w:rPr>
                <w:rFonts w:hint="default" w:ascii="仿宋" w:hAnsi="仿宋" w:eastAsia="仿宋" w:cs="仿宋"/>
                <w:i w:val="0"/>
                <w:color w:val="auto"/>
                <w:sz w:val="20"/>
                <w:szCs w:val="20"/>
                <w:u w:val="none"/>
              </w:rPr>
            </w:pPr>
          </w:p>
        </w:tc>
        <w:tc>
          <w:tcPr>
            <w:tcW w:w="659"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≤19.12万元</w:t>
            </w:r>
          </w:p>
        </w:tc>
        <w:tc>
          <w:tcPr>
            <w:tcW w:w="1955" w:type="dxa"/>
            <w:gridSpan w:val="2"/>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≤19.12万元</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right"/>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5</w:t>
            </w:r>
          </w:p>
        </w:tc>
        <w:tc>
          <w:tcPr>
            <w:tcW w:w="99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right"/>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5</w:t>
            </w:r>
          </w:p>
        </w:tc>
        <w:tc>
          <w:tcPr>
            <w:tcW w:w="84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rPr>
                <w:rFonts w:hint="default" w:ascii="仿宋" w:hAnsi="仿宋" w:eastAsia="仿宋" w:cs="仿宋"/>
                <w:i w:val="0"/>
                <w:color w:val="auto"/>
                <w:sz w:val="20"/>
                <w:szCs w:val="20"/>
                <w:u w:val="none"/>
              </w:rPr>
            </w:pPr>
          </w:p>
        </w:tc>
        <w:tc>
          <w:tcPr>
            <w:tcW w:w="253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rPr>
                <w:rFonts w:hint="default" w:ascii="仿宋" w:hAnsi="仿宋" w:eastAsia="仿宋" w:cs="仿宋"/>
                <w:i w:val="0"/>
                <w:color w:val="auto"/>
                <w:sz w:val="20"/>
                <w:szCs w:val="20"/>
                <w:u w:val="none"/>
              </w:rPr>
            </w:pPr>
          </w:p>
        </w:tc>
      </w:tr>
      <w:tr>
        <w:tblPrEx>
          <w:shd w:val="clear" w:color="auto" w:fill="auto"/>
          <w:tblCellMar>
            <w:top w:w="0" w:type="dxa"/>
            <w:left w:w="0" w:type="dxa"/>
            <w:bottom w:w="0" w:type="dxa"/>
            <w:right w:w="0" w:type="dxa"/>
          </w:tblCellMar>
        </w:tblPrEx>
        <w:trPr>
          <w:trHeight w:val="1920" w:hRule="atLeast"/>
        </w:trPr>
        <w:tc>
          <w:tcPr>
            <w:tcW w:w="11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效益指标</w:t>
            </w: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社会效益</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促进广元经济社会发展作用</w:t>
            </w:r>
          </w:p>
        </w:tc>
        <w:tc>
          <w:tcPr>
            <w:tcW w:w="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为广元经济社会发展建言献策，助推各项工作高效、高速、有序推进。</w:t>
            </w:r>
          </w:p>
        </w:tc>
        <w:tc>
          <w:tcPr>
            <w:tcW w:w="19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为广元经济社会发展建言献策，助推各项工作高效、高速、有序推进。</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right"/>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20</w:t>
            </w:r>
          </w:p>
        </w:tc>
        <w:tc>
          <w:tcPr>
            <w:tcW w:w="99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right"/>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20</w:t>
            </w:r>
          </w:p>
        </w:tc>
        <w:tc>
          <w:tcPr>
            <w:tcW w:w="84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rPr>
                <w:rFonts w:hint="default" w:ascii="仿宋" w:hAnsi="仿宋" w:eastAsia="仿宋" w:cs="仿宋"/>
                <w:i w:val="0"/>
                <w:color w:val="auto"/>
                <w:sz w:val="20"/>
                <w:szCs w:val="20"/>
                <w:u w:val="none"/>
              </w:rPr>
            </w:pPr>
          </w:p>
        </w:tc>
        <w:tc>
          <w:tcPr>
            <w:tcW w:w="253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rPr>
                <w:rFonts w:hint="default" w:ascii="仿宋" w:hAnsi="仿宋" w:eastAsia="仿宋" w:cs="仿宋"/>
                <w:i w:val="0"/>
                <w:color w:val="auto"/>
                <w:sz w:val="20"/>
                <w:szCs w:val="20"/>
                <w:u w:val="none"/>
              </w:rPr>
            </w:pPr>
          </w:p>
        </w:tc>
      </w:tr>
      <w:tr>
        <w:tblPrEx>
          <w:shd w:val="clear" w:color="auto" w:fill="auto"/>
          <w:tblCellMar>
            <w:top w:w="0" w:type="dxa"/>
            <w:left w:w="0" w:type="dxa"/>
            <w:bottom w:w="0" w:type="dxa"/>
            <w:right w:w="0" w:type="dxa"/>
          </w:tblCellMar>
        </w:tblPrEx>
        <w:trPr>
          <w:trHeight w:val="720" w:hRule="atLeast"/>
        </w:trPr>
        <w:tc>
          <w:tcPr>
            <w:tcW w:w="11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满意度指标</w:t>
            </w: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服务对象满意度指标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党委、政府满意度会员、群众满意度</w:t>
            </w:r>
          </w:p>
        </w:tc>
        <w:tc>
          <w:tcPr>
            <w:tcW w:w="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≥90%</w:t>
            </w:r>
          </w:p>
        </w:tc>
        <w:tc>
          <w:tcPr>
            <w:tcW w:w="19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≥90%</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right"/>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10</w:t>
            </w:r>
          </w:p>
        </w:tc>
        <w:tc>
          <w:tcPr>
            <w:tcW w:w="99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right"/>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10</w:t>
            </w:r>
          </w:p>
        </w:tc>
        <w:tc>
          <w:tcPr>
            <w:tcW w:w="84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rPr>
                <w:rFonts w:hint="default" w:ascii="仿宋" w:hAnsi="仿宋" w:eastAsia="仿宋" w:cs="仿宋"/>
                <w:i w:val="0"/>
                <w:color w:val="auto"/>
                <w:sz w:val="20"/>
                <w:szCs w:val="20"/>
                <w:u w:val="none"/>
              </w:rPr>
            </w:pPr>
          </w:p>
        </w:tc>
        <w:tc>
          <w:tcPr>
            <w:tcW w:w="253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rPr>
                <w:rFonts w:hint="default" w:ascii="仿宋" w:hAnsi="仿宋" w:eastAsia="仿宋" w:cs="仿宋"/>
                <w:i w:val="0"/>
                <w:color w:val="auto"/>
                <w:sz w:val="20"/>
                <w:szCs w:val="20"/>
                <w:u w:val="none"/>
              </w:rPr>
            </w:pPr>
          </w:p>
        </w:tc>
      </w:tr>
      <w:tr>
        <w:tblPrEx>
          <w:shd w:val="clear" w:color="auto" w:fill="auto"/>
          <w:tblCellMar>
            <w:top w:w="0" w:type="dxa"/>
            <w:left w:w="0" w:type="dxa"/>
            <w:bottom w:w="0" w:type="dxa"/>
            <w:right w:w="0" w:type="dxa"/>
          </w:tblCellMar>
        </w:tblPrEx>
        <w:trPr>
          <w:gridAfter w:val="2"/>
          <w:wAfter w:w="130" w:type="dxa"/>
          <w:trHeight w:val="270" w:hRule="atLeast"/>
        </w:trPr>
        <w:tc>
          <w:tcPr>
            <w:tcW w:w="834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合计</w:t>
            </w:r>
          </w:p>
        </w:tc>
        <w:tc>
          <w:tcPr>
            <w:tcW w:w="11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rPr>
                <w:rFonts w:hint="default" w:ascii="仿宋" w:hAnsi="仿宋" w:eastAsia="仿宋" w:cs="仿宋"/>
                <w:i w:val="0"/>
                <w:color w:val="auto"/>
                <w:sz w:val="20"/>
                <w:szCs w:val="20"/>
                <w:u w:val="none"/>
              </w:rPr>
            </w:pPr>
          </w:p>
        </w:tc>
        <w:tc>
          <w:tcPr>
            <w:tcW w:w="9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rPr>
                <w:rFonts w:hint="default" w:ascii="仿宋" w:hAnsi="仿宋" w:eastAsia="仿宋" w:cs="仿宋"/>
                <w:i w:val="0"/>
                <w:color w:val="auto"/>
                <w:sz w:val="20"/>
                <w:szCs w:val="20"/>
                <w:u w:val="none"/>
              </w:rPr>
            </w:pPr>
          </w:p>
        </w:tc>
        <w:tc>
          <w:tcPr>
            <w:tcW w:w="84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rPr>
                <w:rFonts w:hint="default" w:ascii="仿宋" w:hAnsi="仿宋" w:eastAsia="仿宋" w:cs="仿宋"/>
                <w:i w:val="0"/>
                <w:color w:val="auto"/>
                <w:sz w:val="20"/>
                <w:szCs w:val="20"/>
                <w:u w:val="none"/>
              </w:rPr>
            </w:pPr>
          </w:p>
        </w:tc>
        <w:tc>
          <w:tcPr>
            <w:tcW w:w="253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rPr>
                <w:rFonts w:hint="default" w:ascii="仿宋" w:hAnsi="仿宋" w:eastAsia="仿宋" w:cs="仿宋"/>
                <w:i w:val="0"/>
                <w:color w:val="auto"/>
                <w:sz w:val="20"/>
                <w:szCs w:val="20"/>
                <w:u w:val="none"/>
              </w:rPr>
            </w:pPr>
          </w:p>
        </w:tc>
      </w:tr>
      <w:tr>
        <w:tblPrEx>
          <w:shd w:val="clear" w:color="auto" w:fill="auto"/>
          <w:tblCellMar>
            <w:top w:w="0" w:type="dxa"/>
            <w:left w:w="0" w:type="dxa"/>
            <w:bottom w:w="0" w:type="dxa"/>
            <w:right w:w="0" w:type="dxa"/>
          </w:tblCellMar>
        </w:tblPrEx>
        <w:trPr>
          <w:gridAfter w:val="2"/>
          <w:wAfter w:w="130" w:type="dxa"/>
          <w:trHeight w:val="860" w:hRule="atLeast"/>
        </w:trPr>
        <w:tc>
          <w:tcPr>
            <w:tcW w:w="11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部门（单位）自评结论</w:t>
            </w:r>
          </w:p>
        </w:tc>
        <w:tc>
          <w:tcPr>
            <w:tcW w:w="12638" w:type="dxa"/>
            <w:gridSpan w:val="1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left"/>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农工党广元市委整体预算管理情况良好，各种资金使用公正公开，不徇私舞弊，不违规违纪，圆满完成各项目标任务。</w:t>
            </w:r>
          </w:p>
        </w:tc>
      </w:tr>
      <w:tr>
        <w:tblPrEx>
          <w:shd w:val="clear" w:color="auto" w:fill="auto"/>
          <w:tblCellMar>
            <w:top w:w="0" w:type="dxa"/>
            <w:left w:w="0" w:type="dxa"/>
            <w:bottom w:w="0" w:type="dxa"/>
            <w:right w:w="0" w:type="dxa"/>
          </w:tblCellMar>
        </w:tblPrEx>
        <w:trPr>
          <w:gridAfter w:val="2"/>
          <w:wAfter w:w="130" w:type="dxa"/>
          <w:trHeight w:val="860" w:hRule="atLeast"/>
        </w:trPr>
        <w:tc>
          <w:tcPr>
            <w:tcW w:w="21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部门（单位）自评存在问题</w:t>
            </w:r>
          </w:p>
        </w:tc>
        <w:tc>
          <w:tcPr>
            <w:tcW w:w="11652" w:type="dxa"/>
            <w:gridSpan w:val="1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left"/>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财务制度执行力有待加强，资金使用计划有待细化。</w:t>
            </w:r>
          </w:p>
        </w:tc>
      </w:tr>
      <w:tr>
        <w:tblPrEx>
          <w:shd w:val="clear" w:color="auto" w:fill="auto"/>
          <w:tblCellMar>
            <w:top w:w="0" w:type="dxa"/>
            <w:left w:w="0" w:type="dxa"/>
            <w:bottom w:w="0" w:type="dxa"/>
            <w:right w:w="0" w:type="dxa"/>
          </w:tblCellMar>
        </w:tblPrEx>
        <w:trPr>
          <w:gridAfter w:val="2"/>
          <w:wAfter w:w="130" w:type="dxa"/>
          <w:trHeight w:val="860" w:hRule="atLeast"/>
        </w:trPr>
        <w:tc>
          <w:tcPr>
            <w:tcW w:w="21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部门（单位）自评改进措施</w:t>
            </w:r>
          </w:p>
        </w:tc>
        <w:tc>
          <w:tcPr>
            <w:tcW w:w="11652" w:type="dxa"/>
            <w:gridSpan w:val="1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left"/>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一是进一步加强财务人员业务水平的培训和提高；二是进一步完善财务管理制度，严格资金审批程序，加大资金监管</w:t>
            </w:r>
            <w:r>
              <w:rPr>
                <w:rFonts w:hint="eastAsia" w:ascii="仿宋" w:hAnsi="仿宋" w:eastAsia="仿宋" w:cs="仿宋"/>
                <w:i w:val="0"/>
                <w:color w:val="auto"/>
                <w:kern w:val="0"/>
                <w:sz w:val="20"/>
                <w:szCs w:val="20"/>
                <w:u w:val="none"/>
                <w:lang w:val="en-US" w:eastAsia="zh-CN" w:bidi="ar"/>
              </w:rPr>
              <w:t>力度</w:t>
            </w:r>
            <w:r>
              <w:rPr>
                <w:rFonts w:hint="default" w:ascii="仿宋" w:hAnsi="仿宋" w:eastAsia="仿宋" w:cs="仿宋"/>
                <w:i w:val="0"/>
                <w:color w:val="auto"/>
                <w:kern w:val="0"/>
                <w:sz w:val="20"/>
                <w:szCs w:val="20"/>
                <w:u w:val="none"/>
                <w:lang w:val="en-US" w:eastAsia="zh-CN" w:bidi="ar"/>
              </w:rPr>
              <w:t>，确保各项资金正确使用，遵守资金使用制度，杜绝违规违纪现象。</w:t>
            </w:r>
          </w:p>
        </w:tc>
      </w:tr>
      <w:tr>
        <w:tblPrEx>
          <w:shd w:val="clear" w:color="auto" w:fill="auto"/>
          <w:tblCellMar>
            <w:top w:w="0" w:type="dxa"/>
            <w:left w:w="0" w:type="dxa"/>
            <w:bottom w:w="0" w:type="dxa"/>
            <w:right w:w="0" w:type="dxa"/>
          </w:tblCellMar>
        </w:tblPrEx>
        <w:trPr>
          <w:gridAfter w:val="2"/>
          <w:wAfter w:w="130" w:type="dxa"/>
          <w:trHeight w:val="860" w:hRule="atLeast"/>
        </w:trPr>
        <w:tc>
          <w:tcPr>
            <w:tcW w:w="21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center"/>
              <w:rPr>
                <w:rFonts w:hint="default" w:ascii="仿宋" w:hAnsi="仿宋" w:eastAsia="仿宋" w:cs="仿宋"/>
                <w:i w:val="0"/>
                <w:color w:val="auto"/>
                <w:sz w:val="20"/>
                <w:szCs w:val="20"/>
                <w:u w:val="none"/>
              </w:rPr>
            </w:pPr>
            <w:r>
              <w:rPr>
                <w:rFonts w:hint="default" w:ascii="仿宋" w:hAnsi="仿宋" w:eastAsia="仿宋" w:cs="仿宋"/>
                <w:i w:val="0"/>
                <w:color w:val="auto"/>
                <w:kern w:val="0"/>
                <w:sz w:val="20"/>
                <w:szCs w:val="20"/>
                <w:u w:val="none"/>
                <w:lang w:val="en-US" w:eastAsia="zh-CN" w:bidi="ar"/>
              </w:rPr>
              <w:t>财政部门对口科室复评结论及整改要求</w:t>
            </w:r>
          </w:p>
        </w:tc>
        <w:tc>
          <w:tcPr>
            <w:tcW w:w="11652" w:type="dxa"/>
            <w:gridSpan w:val="1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hd w:val="clear"/>
              <w:jc w:val="center"/>
              <w:rPr>
                <w:rFonts w:hint="default" w:ascii="仿宋" w:hAnsi="仿宋" w:eastAsia="仿宋" w:cs="仿宋"/>
                <w:i w:val="0"/>
                <w:color w:val="auto"/>
                <w:sz w:val="20"/>
                <w:szCs w:val="20"/>
                <w:u w:val="none"/>
              </w:rPr>
            </w:pPr>
          </w:p>
        </w:tc>
      </w:tr>
      <w:tr>
        <w:tblPrEx>
          <w:shd w:val="clear" w:color="auto" w:fill="auto"/>
          <w:tblCellMar>
            <w:top w:w="0" w:type="dxa"/>
            <w:left w:w="0" w:type="dxa"/>
            <w:bottom w:w="0" w:type="dxa"/>
            <w:right w:w="0" w:type="dxa"/>
          </w:tblCellMar>
        </w:tblPrEx>
        <w:trPr>
          <w:gridAfter w:val="2"/>
          <w:wAfter w:w="130" w:type="dxa"/>
          <w:trHeight w:val="270" w:hRule="atLeast"/>
        </w:trPr>
        <w:tc>
          <w:tcPr>
            <w:tcW w:w="5947"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left"/>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单位项目负责人：罗敏</w:t>
            </w:r>
          </w:p>
        </w:tc>
        <w:tc>
          <w:tcPr>
            <w:tcW w:w="7838"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left"/>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单位财务负责人：张洁</w:t>
            </w:r>
          </w:p>
        </w:tc>
      </w:tr>
      <w:tr>
        <w:tblPrEx>
          <w:shd w:val="clear" w:color="auto" w:fill="auto"/>
          <w:tblCellMar>
            <w:top w:w="0" w:type="dxa"/>
            <w:left w:w="0" w:type="dxa"/>
            <w:bottom w:w="0" w:type="dxa"/>
            <w:right w:w="0" w:type="dxa"/>
          </w:tblCellMar>
        </w:tblPrEx>
        <w:trPr>
          <w:gridAfter w:val="2"/>
          <w:wAfter w:w="130" w:type="dxa"/>
          <w:trHeight w:val="270" w:hRule="atLeast"/>
        </w:trPr>
        <w:tc>
          <w:tcPr>
            <w:tcW w:w="5947"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left"/>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部门项目负责人：</w:t>
            </w:r>
          </w:p>
        </w:tc>
        <w:tc>
          <w:tcPr>
            <w:tcW w:w="7838"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left"/>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部门财务负责人：</w:t>
            </w:r>
          </w:p>
        </w:tc>
      </w:tr>
      <w:tr>
        <w:tblPrEx>
          <w:shd w:val="clear" w:color="auto" w:fill="auto"/>
          <w:tblCellMar>
            <w:top w:w="0" w:type="dxa"/>
            <w:left w:w="0" w:type="dxa"/>
            <w:bottom w:w="0" w:type="dxa"/>
            <w:right w:w="0" w:type="dxa"/>
          </w:tblCellMar>
        </w:tblPrEx>
        <w:trPr>
          <w:gridAfter w:val="2"/>
          <w:wAfter w:w="130" w:type="dxa"/>
          <w:trHeight w:val="270" w:hRule="atLeast"/>
        </w:trPr>
        <w:tc>
          <w:tcPr>
            <w:tcW w:w="13785" w:type="dxa"/>
            <w:gridSpan w:val="1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hd w:val="clear"/>
              <w:jc w:val="left"/>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财政部门科室负责人：</w:t>
            </w:r>
          </w:p>
        </w:tc>
      </w:tr>
    </w:tbl>
    <w:p>
      <w:pPr>
        <w:pStyle w:val="20"/>
        <w:shd w:val="clear"/>
        <w:rPr>
          <w:rFonts w:hint="eastAsia"/>
          <w:color w:val="auto"/>
        </w:rPr>
      </w:pPr>
    </w:p>
    <w:p>
      <w:pPr>
        <w:shd w:val="clear"/>
        <w:spacing w:line="600" w:lineRule="exact"/>
        <w:jc w:val="center"/>
        <w:outlineLvl w:val="9"/>
        <w:rPr>
          <w:rFonts w:hint="eastAsia" w:ascii="黑体" w:hAnsi="黑体" w:eastAsia="黑体"/>
          <w:color w:val="auto"/>
          <w:sz w:val="44"/>
          <w:szCs w:val="44"/>
        </w:rPr>
      </w:pPr>
    </w:p>
    <w:p>
      <w:pPr>
        <w:pStyle w:val="20"/>
        <w:shd w:val="clear"/>
        <w:rPr>
          <w:rFonts w:hint="eastAsia" w:ascii="黑体" w:hAnsi="黑体" w:eastAsia="黑体"/>
          <w:color w:val="auto"/>
          <w:sz w:val="44"/>
          <w:szCs w:val="44"/>
        </w:rPr>
      </w:pPr>
    </w:p>
    <w:p>
      <w:pPr>
        <w:pStyle w:val="20"/>
        <w:shd w:val="clear"/>
        <w:rPr>
          <w:rFonts w:hint="eastAsia" w:ascii="黑体" w:hAnsi="黑体" w:eastAsia="黑体"/>
          <w:color w:val="auto"/>
          <w:sz w:val="44"/>
          <w:szCs w:val="44"/>
        </w:rPr>
      </w:pPr>
    </w:p>
    <w:p>
      <w:pPr>
        <w:pStyle w:val="20"/>
        <w:shd w:val="clear"/>
        <w:rPr>
          <w:rFonts w:hint="eastAsia" w:ascii="黑体" w:hAnsi="黑体" w:eastAsia="黑体"/>
          <w:color w:val="auto"/>
          <w:sz w:val="44"/>
          <w:szCs w:val="44"/>
        </w:rPr>
      </w:pPr>
    </w:p>
    <w:p>
      <w:pPr>
        <w:pStyle w:val="20"/>
        <w:shd w:val="clear"/>
        <w:rPr>
          <w:rFonts w:hint="eastAsia" w:ascii="黑体" w:hAnsi="黑体" w:eastAsia="黑体"/>
          <w:color w:val="auto"/>
          <w:sz w:val="44"/>
          <w:szCs w:val="44"/>
        </w:rPr>
      </w:pPr>
    </w:p>
    <w:p>
      <w:pPr>
        <w:shd w:val="clear"/>
        <w:spacing w:line="600" w:lineRule="exact"/>
        <w:jc w:val="both"/>
        <w:outlineLvl w:val="9"/>
        <w:rPr>
          <w:rFonts w:hint="eastAsia" w:ascii="黑体" w:hAnsi="黑体" w:eastAsia="黑体"/>
          <w:color w:val="auto"/>
          <w:sz w:val="44"/>
          <w:szCs w:val="44"/>
        </w:rPr>
      </w:pPr>
    </w:p>
    <w:p>
      <w:pPr>
        <w:shd w:val="clear"/>
        <w:spacing w:line="600" w:lineRule="exact"/>
        <w:jc w:val="center"/>
        <w:outlineLvl w:val="9"/>
        <w:rPr>
          <w:rFonts w:hint="eastAsia" w:ascii="黑体" w:hAnsi="黑体" w:eastAsia="黑体"/>
          <w:color w:val="auto"/>
          <w:sz w:val="44"/>
          <w:szCs w:val="44"/>
        </w:rPr>
      </w:pPr>
    </w:p>
    <w:bookmarkEnd w:id="57"/>
    <w:bookmarkEnd w:id="58"/>
    <w:p>
      <w:pPr>
        <w:shd w:val="clear"/>
        <w:spacing w:line="600" w:lineRule="exact"/>
        <w:jc w:val="center"/>
        <w:outlineLvl w:val="0"/>
        <w:rPr>
          <w:rFonts w:hint="eastAsia" w:ascii="仿宋" w:hAnsi="仿宋" w:eastAsia="仿宋"/>
          <w:b w:val="0"/>
          <w:color w:val="auto"/>
        </w:rPr>
      </w:pPr>
      <w:bookmarkStart w:id="59" w:name="_Toc15639"/>
      <w:bookmarkEnd w:id="59"/>
      <w:bookmarkStart w:id="60" w:name="_Toc15396619"/>
      <w:r>
        <w:rPr>
          <w:rFonts w:hint="eastAsia" w:ascii="黑体" w:hAnsi="黑体" w:eastAsia="黑体"/>
          <w:color w:val="auto"/>
          <w:sz w:val="44"/>
          <w:szCs w:val="44"/>
        </w:rPr>
        <w:t>第</w:t>
      </w:r>
      <w:r>
        <w:rPr>
          <w:rStyle w:val="22"/>
          <w:rFonts w:hint="eastAsia" w:ascii="黑体" w:hAnsi="黑体" w:eastAsia="黑体"/>
          <w:b w:val="0"/>
          <w:color w:val="auto"/>
        </w:rPr>
        <w:t>五部分附表</w:t>
      </w:r>
    </w:p>
    <w:bookmarkEnd w:id="60"/>
    <w:p>
      <w:pPr>
        <w:pStyle w:val="3"/>
        <w:shd w:val="clear"/>
        <w:rPr>
          <w:rFonts w:ascii="仿宋" w:hAnsi="仿宋" w:eastAsia="仿宋"/>
          <w:color w:val="auto"/>
        </w:rPr>
      </w:pPr>
      <w:bookmarkStart w:id="61" w:name="_Toc29208"/>
      <w:bookmarkEnd w:id="61"/>
      <w:r>
        <w:rPr>
          <w:rFonts w:hint="eastAsia" w:ascii="仿宋" w:hAnsi="仿宋" w:eastAsia="仿宋"/>
          <w:b w:val="0"/>
          <w:color w:val="auto"/>
        </w:rPr>
        <w:t>一、收</w:t>
      </w:r>
      <w:r>
        <w:rPr>
          <w:rStyle w:val="23"/>
          <w:rFonts w:hint="eastAsia" w:ascii="仿宋" w:hAnsi="仿宋" w:eastAsia="仿宋"/>
          <w:b w:val="0"/>
          <w:bCs w:val="0"/>
          <w:color w:val="auto"/>
        </w:rPr>
        <w:t>入支出决算总表</w:t>
      </w:r>
    </w:p>
    <w:p>
      <w:pPr>
        <w:pStyle w:val="3"/>
        <w:shd w:val="clear"/>
        <w:rPr>
          <w:rFonts w:ascii="仿宋" w:hAnsi="仿宋" w:eastAsia="仿宋"/>
          <w:color w:val="auto"/>
        </w:rPr>
      </w:pPr>
      <w:bookmarkStart w:id="62" w:name="_Toc9433"/>
      <w:bookmarkEnd w:id="62"/>
      <w:bookmarkStart w:id="63" w:name="_Toc15396620"/>
      <w:bookmarkEnd w:id="63"/>
      <w:r>
        <w:rPr>
          <w:rFonts w:hint="eastAsia" w:ascii="仿宋" w:hAnsi="仿宋" w:eastAsia="仿宋"/>
          <w:b w:val="0"/>
          <w:color w:val="auto"/>
        </w:rPr>
        <w:t>二、收</w:t>
      </w:r>
      <w:r>
        <w:rPr>
          <w:rStyle w:val="23"/>
          <w:rFonts w:hint="eastAsia" w:ascii="仿宋" w:hAnsi="仿宋" w:eastAsia="仿宋"/>
          <w:b w:val="0"/>
          <w:bCs w:val="0"/>
          <w:color w:val="auto"/>
        </w:rPr>
        <w:t>入决算表</w:t>
      </w:r>
    </w:p>
    <w:p>
      <w:pPr>
        <w:pStyle w:val="3"/>
        <w:shd w:val="clear"/>
        <w:rPr>
          <w:rFonts w:ascii="仿宋" w:hAnsi="仿宋" w:eastAsia="仿宋"/>
          <w:color w:val="auto"/>
        </w:rPr>
      </w:pPr>
      <w:bookmarkStart w:id="64" w:name="_Toc24764"/>
      <w:bookmarkEnd w:id="64"/>
      <w:bookmarkStart w:id="65" w:name="_Toc15396621"/>
      <w:bookmarkEnd w:id="65"/>
      <w:r>
        <w:rPr>
          <w:rStyle w:val="23"/>
          <w:rFonts w:hint="eastAsia" w:ascii="仿宋" w:hAnsi="仿宋" w:eastAsia="仿宋"/>
          <w:b w:val="0"/>
          <w:bCs w:val="0"/>
          <w:color w:val="auto"/>
        </w:rPr>
        <w:t>三、</w:t>
      </w:r>
      <w:r>
        <w:rPr>
          <w:rFonts w:hint="eastAsia" w:ascii="仿宋" w:hAnsi="仿宋" w:eastAsia="仿宋"/>
          <w:b w:val="0"/>
          <w:color w:val="auto"/>
        </w:rPr>
        <w:t>支</w:t>
      </w:r>
      <w:r>
        <w:rPr>
          <w:rStyle w:val="23"/>
          <w:rFonts w:hint="eastAsia" w:ascii="仿宋" w:hAnsi="仿宋" w:eastAsia="仿宋"/>
          <w:b w:val="0"/>
          <w:bCs w:val="0"/>
          <w:color w:val="auto"/>
        </w:rPr>
        <w:t>出决算表</w:t>
      </w:r>
    </w:p>
    <w:p>
      <w:pPr>
        <w:pStyle w:val="3"/>
        <w:shd w:val="clear"/>
        <w:rPr>
          <w:rFonts w:ascii="仿宋" w:hAnsi="仿宋" w:eastAsia="仿宋"/>
          <w:b w:val="0"/>
          <w:color w:val="auto"/>
        </w:rPr>
      </w:pPr>
      <w:bookmarkStart w:id="66" w:name="_Toc5202"/>
      <w:bookmarkEnd w:id="66"/>
      <w:bookmarkStart w:id="67" w:name="_Toc15396622"/>
      <w:bookmarkEnd w:id="67"/>
      <w:r>
        <w:rPr>
          <w:rStyle w:val="23"/>
          <w:rFonts w:hint="eastAsia" w:ascii="仿宋" w:hAnsi="仿宋" w:eastAsia="仿宋"/>
          <w:b w:val="0"/>
          <w:bCs w:val="0"/>
          <w:color w:val="auto"/>
        </w:rPr>
        <w:t>四、</w:t>
      </w:r>
      <w:r>
        <w:rPr>
          <w:rFonts w:hint="eastAsia" w:ascii="仿宋" w:hAnsi="仿宋" w:eastAsia="仿宋"/>
          <w:b w:val="0"/>
          <w:color w:val="auto"/>
        </w:rPr>
        <w:t>财</w:t>
      </w:r>
      <w:r>
        <w:rPr>
          <w:rStyle w:val="23"/>
          <w:rFonts w:hint="eastAsia" w:ascii="仿宋" w:hAnsi="仿宋" w:eastAsia="仿宋"/>
          <w:b w:val="0"/>
          <w:bCs w:val="0"/>
          <w:color w:val="auto"/>
        </w:rPr>
        <w:t>政拨款收入支出决算总表</w:t>
      </w:r>
    </w:p>
    <w:p>
      <w:pPr>
        <w:pStyle w:val="3"/>
        <w:shd w:val="clear"/>
        <w:rPr>
          <w:rStyle w:val="23"/>
          <w:rFonts w:ascii="仿宋" w:hAnsi="仿宋" w:eastAsia="仿宋"/>
          <w:b w:val="0"/>
          <w:bCs w:val="0"/>
          <w:color w:val="auto"/>
        </w:rPr>
      </w:pPr>
      <w:bookmarkStart w:id="68" w:name="_Toc22719"/>
      <w:bookmarkEnd w:id="68"/>
      <w:bookmarkStart w:id="69" w:name="_Toc15396623"/>
      <w:bookmarkEnd w:id="69"/>
      <w:bookmarkStart w:id="70" w:name="_Toc15396624"/>
      <w:r>
        <w:rPr>
          <w:rStyle w:val="23"/>
          <w:rFonts w:hint="eastAsia" w:ascii="仿宋" w:hAnsi="仿宋" w:eastAsia="仿宋"/>
          <w:b w:val="0"/>
          <w:bCs w:val="0"/>
          <w:color w:val="auto"/>
        </w:rPr>
        <w:t>五、</w:t>
      </w:r>
      <w:r>
        <w:rPr>
          <w:rFonts w:hint="eastAsia" w:ascii="仿宋" w:hAnsi="仿宋" w:eastAsia="仿宋"/>
          <w:b w:val="0"/>
          <w:color w:val="auto"/>
        </w:rPr>
        <w:t>财</w:t>
      </w:r>
      <w:r>
        <w:rPr>
          <w:rStyle w:val="23"/>
          <w:rFonts w:hint="eastAsia" w:ascii="仿宋" w:hAnsi="仿宋" w:eastAsia="仿宋"/>
          <w:b w:val="0"/>
          <w:bCs w:val="0"/>
          <w:color w:val="auto"/>
        </w:rPr>
        <w:t>政拨款支出决算明细表</w:t>
      </w:r>
    </w:p>
    <w:bookmarkEnd w:id="70"/>
    <w:p>
      <w:pPr>
        <w:pStyle w:val="3"/>
        <w:shd w:val="clear"/>
        <w:rPr>
          <w:rFonts w:ascii="仿宋" w:hAnsi="仿宋" w:eastAsia="仿宋"/>
          <w:color w:val="auto"/>
        </w:rPr>
      </w:pPr>
      <w:bookmarkStart w:id="71" w:name="_Toc28445"/>
      <w:bookmarkEnd w:id="71"/>
      <w:r>
        <w:rPr>
          <w:rStyle w:val="23"/>
          <w:rFonts w:hint="eastAsia" w:ascii="仿宋" w:hAnsi="仿宋" w:eastAsia="仿宋"/>
          <w:b w:val="0"/>
          <w:bCs w:val="0"/>
          <w:color w:val="auto"/>
        </w:rPr>
        <w:t>六、</w:t>
      </w:r>
      <w:r>
        <w:rPr>
          <w:rFonts w:hint="eastAsia" w:ascii="仿宋" w:hAnsi="仿宋" w:eastAsia="仿宋"/>
          <w:b w:val="0"/>
          <w:color w:val="auto"/>
        </w:rPr>
        <w:t>一</w:t>
      </w:r>
      <w:r>
        <w:rPr>
          <w:rStyle w:val="23"/>
          <w:rFonts w:hint="eastAsia" w:ascii="仿宋" w:hAnsi="仿宋" w:eastAsia="仿宋"/>
          <w:b w:val="0"/>
          <w:bCs w:val="0"/>
          <w:color w:val="auto"/>
        </w:rPr>
        <w:t>般公共预算财政拨款支出决算表</w:t>
      </w:r>
    </w:p>
    <w:p>
      <w:pPr>
        <w:pStyle w:val="3"/>
        <w:shd w:val="clear"/>
        <w:rPr>
          <w:rFonts w:ascii="仿宋" w:hAnsi="仿宋" w:eastAsia="仿宋"/>
          <w:color w:val="auto"/>
        </w:rPr>
      </w:pPr>
      <w:bookmarkStart w:id="72" w:name="_Toc15396625"/>
      <w:bookmarkEnd w:id="72"/>
      <w:bookmarkStart w:id="73" w:name="_Toc15748"/>
      <w:bookmarkEnd w:id="73"/>
      <w:r>
        <w:rPr>
          <w:rStyle w:val="23"/>
          <w:rFonts w:hint="eastAsia" w:ascii="仿宋" w:hAnsi="仿宋" w:eastAsia="仿宋"/>
          <w:b w:val="0"/>
          <w:bCs w:val="0"/>
          <w:color w:val="auto"/>
        </w:rPr>
        <w:t>七、</w:t>
      </w:r>
      <w:r>
        <w:rPr>
          <w:rFonts w:hint="eastAsia" w:ascii="仿宋" w:hAnsi="仿宋" w:eastAsia="仿宋"/>
          <w:b w:val="0"/>
          <w:color w:val="auto"/>
        </w:rPr>
        <w:t>一</w:t>
      </w:r>
      <w:r>
        <w:rPr>
          <w:rStyle w:val="23"/>
          <w:rFonts w:hint="eastAsia" w:ascii="仿宋" w:hAnsi="仿宋" w:eastAsia="仿宋"/>
          <w:b w:val="0"/>
          <w:bCs w:val="0"/>
          <w:color w:val="auto"/>
        </w:rPr>
        <w:t>般公共预算财政拨款支出决算明细表</w:t>
      </w:r>
    </w:p>
    <w:p>
      <w:pPr>
        <w:pStyle w:val="3"/>
        <w:shd w:val="clear"/>
        <w:rPr>
          <w:rFonts w:ascii="仿宋" w:hAnsi="仿宋" w:eastAsia="仿宋"/>
          <w:color w:val="auto"/>
        </w:rPr>
      </w:pPr>
      <w:bookmarkStart w:id="74" w:name="_Toc15396626"/>
      <w:bookmarkEnd w:id="74"/>
      <w:bookmarkStart w:id="75" w:name="_Toc10360"/>
      <w:bookmarkEnd w:id="75"/>
      <w:r>
        <w:rPr>
          <w:rStyle w:val="23"/>
          <w:rFonts w:hint="eastAsia" w:ascii="仿宋" w:hAnsi="仿宋" w:eastAsia="仿宋"/>
          <w:b w:val="0"/>
          <w:bCs w:val="0"/>
          <w:color w:val="auto"/>
        </w:rPr>
        <w:t>八、</w:t>
      </w:r>
      <w:r>
        <w:rPr>
          <w:rFonts w:hint="eastAsia" w:ascii="仿宋" w:hAnsi="仿宋" w:eastAsia="仿宋"/>
          <w:b w:val="0"/>
          <w:color w:val="auto"/>
        </w:rPr>
        <w:t>一</w:t>
      </w:r>
      <w:r>
        <w:rPr>
          <w:rStyle w:val="23"/>
          <w:rFonts w:hint="eastAsia" w:ascii="仿宋" w:hAnsi="仿宋" w:eastAsia="仿宋"/>
          <w:b w:val="0"/>
          <w:bCs w:val="0"/>
          <w:color w:val="auto"/>
        </w:rPr>
        <w:t>般公共预算财政拨款基本支出决算表</w:t>
      </w:r>
    </w:p>
    <w:p>
      <w:pPr>
        <w:pStyle w:val="3"/>
        <w:shd w:val="clear"/>
        <w:rPr>
          <w:rFonts w:ascii="仿宋" w:hAnsi="仿宋" w:eastAsia="仿宋"/>
          <w:color w:val="auto"/>
        </w:rPr>
      </w:pPr>
      <w:bookmarkStart w:id="76" w:name="_Toc15396627"/>
      <w:bookmarkEnd w:id="76"/>
      <w:bookmarkStart w:id="77" w:name="_Toc1303"/>
      <w:bookmarkEnd w:id="77"/>
      <w:r>
        <w:rPr>
          <w:rStyle w:val="23"/>
          <w:rFonts w:hint="eastAsia" w:ascii="仿宋" w:hAnsi="仿宋" w:eastAsia="仿宋"/>
          <w:b w:val="0"/>
          <w:bCs w:val="0"/>
          <w:color w:val="auto"/>
        </w:rPr>
        <w:t>九、</w:t>
      </w:r>
      <w:r>
        <w:rPr>
          <w:rFonts w:hint="eastAsia" w:ascii="仿宋" w:hAnsi="仿宋" w:eastAsia="仿宋"/>
          <w:b w:val="0"/>
          <w:color w:val="auto"/>
        </w:rPr>
        <w:t>一</w:t>
      </w:r>
      <w:r>
        <w:rPr>
          <w:rStyle w:val="23"/>
          <w:rFonts w:hint="eastAsia" w:ascii="仿宋" w:hAnsi="仿宋" w:eastAsia="仿宋"/>
          <w:b w:val="0"/>
          <w:bCs w:val="0"/>
          <w:color w:val="auto"/>
        </w:rPr>
        <w:t>般公共预算财政拨款项目支出决算表</w:t>
      </w:r>
    </w:p>
    <w:p>
      <w:pPr>
        <w:pStyle w:val="3"/>
        <w:shd w:val="clear"/>
        <w:rPr>
          <w:rFonts w:ascii="仿宋" w:hAnsi="仿宋" w:eastAsia="仿宋"/>
          <w:color w:val="auto"/>
        </w:rPr>
      </w:pPr>
      <w:bookmarkStart w:id="78" w:name="_Toc15396628"/>
      <w:bookmarkEnd w:id="78"/>
      <w:bookmarkStart w:id="79" w:name="_Toc30458"/>
      <w:bookmarkEnd w:id="79"/>
      <w:r>
        <w:rPr>
          <w:rStyle w:val="23"/>
          <w:rFonts w:hint="eastAsia" w:ascii="仿宋" w:hAnsi="仿宋" w:eastAsia="仿宋"/>
          <w:b w:val="0"/>
          <w:bCs w:val="0"/>
          <w:color w:val="auto"/>
        </w:rPr>
        <w:t>十、</w:t>
      </w:r>
      <w:r>
        <w:rPr>
          <w:rFonts w:hint="eastAsia" w:ascii="仿宋" w:hAnsi="仿宋" w:eastAsia="仿宋"/>
          <w:b w:val="0"/>
          <w:color w:val="auto"/>
        </w:rPr>
        <w:t>政</w:t>
      </w:r>
      <w:r>
        <w:rPr>
          <w:rStyle w:val="23"/>
          <w:rFonts w:hint="eastAsia" w:ascii="仿宋" w:hAnsi="仿宋" w:eastAsia="仿宋"/>
          <w:b w:val="0"/>
          <w:bCs w:val="0"/>
          <w:color w:val="auto"/>
        </w:rPr>
        <w:t>府性基金预算财政拨款收入支出决算表</w:t>
      </w:r>
    </w:p>
    <w:p>
      <w:pPr>
        <w:pStyle w:val="3"/>
        <w:shd w:val="clear"/>
        <w:rPr>
          <w:rFonts w:ascii="仿宋" w:hAnsi="仿宋" w:eastAsia="仿宋"/>
          <w:color w:val="auto"/>
        </w:rPr>
      </w:pPr>
      <w:bookmarkStart w:id="80" w:name="_Toc10622"/>
      <w:bookmarkEnd w:id="80"/>
      <w:bookmarkStart w:id="81" w:name="_Toc15396629"/>
      <w:bookmarkEnd w:id="81"/>
      <w:r>
        <w:rPr>
          <w:rStyle w:val="23"/>
          <w:rFonts w:hint="eastAsia" w:ascii="仿宋" w:hAnsi="仿宋" w:eastAsia="仿宋"/>
          <w:b w:val="0"/>
          <w:bCs w:val="0"/>
          <w:color w:val="auto"/>
        </w:rPr>
        <w:t>十一、</w:t>
      </w:r>
      <w:r>
        <w:rPr>
          <w:rFonts w:hint="eastAsia" w:ascii="仿宋" w:hAnsi="仿宋" w:eastAsia="仿宋"/>
          <w:b w:val="0"/>
          <w:color w:val="auto"/>
        </w:rPr>
        <w:t>国</w:t>
      </w:r>
      <w:r>
        <w:rPr>
          <w:rStyle w:val="23"/>
          <w:rFonts w:hint="eastAsia" w:ascii="仿宋" w:hAnsi="仿宋" w:eastAsia="仿宋"/>
          <w:b w:val="0"/>
          <w:bCs w:val="0"/>
          <w:color w:val="auto"/>
        </w:rPr>
        <w:t>有资本经营预算</w:t>
      </w:r>
      <w:r>
        <w:rPr>
          <w:rStyle w:val="23"/>
          <w:rFonts w:hint="eastAsia" w:ascii="仿宋" w:hAnsi="仿宋" w:eastAsia="仿宋"/>
          <w:b w:val="0"/>
          <w:bCs w:val="0"/>
          <w:color w:val="auto"/>
          <w:lang w:eastAsia="zh-CN"/>
        </w:rPr>
        <w:t>财政拨款收入</w:t>
      </w:r>
      <w:r>
        <w:rPr>
          <w:rStyle w:val="23"/>
          <w:rFonts w:hint="eastAsia" w:ascii="仿宋" w:hAnsi="仿宋" w:eastAsia="仿宋"/>
          <w:b w:val="0"/>
          <w:bCs w:val="0"/>
          <w:color w:val="auto"/>
        </w:rPr>
        <w:t>支出决算表</w:t>
      </w:r>
    </w:p>
    <w:p>
      <w:pPr>
        <w:pStyle w:val="3"/>
        <w:shd w:val="clear"/>
        <w:rPr>
          <w:rFonts w:ascii="仿宋" w:hAnsi="仿宋" w:eastAsia="仿宋"/>
          <w:color w:val="auto"/>
        </w:rPr>
      </w:pPr>
      <w:bookmarkStart w:id="82" w:name="_Toc23324"/>
      <w:bookmarkEnd w:id="82"/>
      <w:bookmarkStart w:id="83" w:name="_Toc15396630"/>
      <w:bookmarkEnd w:id="83"/>
      <w:r>
        <w:rPr>
          <w:rStyle w:val="23"/>
          <w:rFonts w:hint="eastAsia" w:ascii="仿宋" w:hAnsi="仿宋" w:eastAsia="仿宋"/>
          <w:b w:val="0"/>
          <w:bCs w:val="0"/>
          <w:color w:val="auto"/>
        </w:rPr>
        <w:t>十二、</w:t>
      </w:r>
      <w:r>
        <w:rPr>
          <w:rStyle w:val="23"/>
          <w:rFonts w:hint="eastAsia" w:ascii="仿宋" w:hAnsi="仿宋" w:eastAsia="仿宋"/>
          <w:b w:val="0"/>
          <w:bCs w:val="0"/>
          <w:color w:val="auto"/>
          <w:lang w:eastAsia="zh-CN"/>
        </w:rPr>
        <w:t>国有资本经营预算财政拨款支出决算表</w:t>
      </w:r>
    </w:p>
    <w:p>
      <w:pPr>
        <w:pStyle w:val="3"/>
        <w:shd w:val="clear"/>
        <w:rPr>
          <w:rFonts w:hint="eastAsia" w:eastAsia="仿宋"/>
          <w:color w:val="auto"/>
          <w:lang w:eastAsia="zh-CN"/>
        </w:rPr>
      </w:pPr>
      <w:bookmarkStart w:id="84" w:name="_Toc15396631"/>
      <w:bookmarkEnd w:id="84"/>
      <w:bookmarkStart w:id="85" w:name="_Toc1459"/>
      <w:bookmarkEnd w:id="85"/>
      <w:r>
        <w:rPr>
          <w:rStyle w:val="23"/>
          <w:rFonts w:hint="eastAsia" w:ascii="仿宋" w:hAnsi="仿宋" w:eastAsia="仿宋"/>
          <w:b w:val="0"/>
          <w:bCs w:val="0"/>
          <w:color w:val="auto"/>
        </w:rPr>
        <w:t>十三、</w:t>
      </w:r>
      <w:r>
        <w:rPr>
          <w:rStyle w:val="23"/>
          <w:rFonts w:hint="eastAsia" w:ascii="仿宋" w:hAnsi="仿宋" w:eastAsia="仿宋"/>
          <w:b w:val="0"/>
          <w:bCs w:val="0"/>
          <w:color w:val="auto"/>
          <w:lang w:eastAsia="zh-CN"/>
        </w:rPr>
        <w:t>财政拨款“三公”经费支出决算表</w:t>
      </w:r>
    </w:p>
    <w:sectPr>
      <w:footerReference r:id="rId7" w:type="first"/>
      <w:footerReference r:id="rId6" w:type="default"/>
      <w:pgSz w:w="11906" w:h="16838"/>
      <w:pgMar w:top="1440" w:right="1800" w:bottom="1440" w:left="56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FB" w:usb2="0000002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Georgia"/>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微软雅黑">
    <w:altName w:val="黑体"/>
    <w:panose1 w:val="020B0503020204020204"/>
    <w:charset w:val="86"/>
    <w:family w:val="auto"/>
    <w:pitch w:val="default"/>
    <w:sig w:usb0="00000000" w:usb1="00000000" w:usb2="00000016" w:usb3="00000000" w:csb0="0004001F"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Georgia">
    <w:panose1 w:val="02040502050405020303"/>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true"/>
                    <wps:spPr>
                      <a:xfrm>
                        <a:off x="0" y="0"/>
                        <a:ext cx="1828800" cy="1828800"/>
                      </a:xfrm>
                      <a:prstGeom prst="rect">
                        <a:avLst/>
                      </a:prstGeom>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FgAAAGRycy9QSwECFAAUAAAACACHTuJAs0lY&#10;7tAAAAAFAQAADwAAAAAAAAABACAAAAA4AAAAZHJzL2Rvd25yZXYueG1sUEsBAhQAFAAAAAgAh07i&#10;QLEyC0YUAgAAGQQAAA4AAAAAAAAAAQAgAAAANQEAAGRycy9lMm9Eb2MueG1sUEsFBgAAAAAGAAYA&#10;WQEAALsFA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2</w:t>
                    </w:r>
                    <w:r>
                      <w:fldChar w:fldCharType="end"/>
                    </w:r>
                  </w:p>
                </w:txbxContent>
              </v:textbox>
            </v:shape>
          </w:pict>
        </mc:Fallback>
      </mc:AlternateContent>
    </w: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rPr>
        <w:rFonts w:hint="default"/>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9"/>
              <wp:cNvGraphicFramePr/>
              <a:graphic xmlns:a="http://schemas.openxmlformats.org/drawingml/2006/main">
                <a:graphicData uri="http://schemas.microsoft.com/office/word/2010/wordprocessingShape">
                  <wps:wsp>
                    <wps:cNvSpPr txBox="true"/>
                    <wps:spPr>
                      <a:xfrm>
                        <a:off x="0" y="0"/>
                        <a:ext cx="1828800" cy="1828800"/>
                      </a:xfrm>
                      <a:prstGeom prst="rect">
                        <a:avLst/>
                      </a:prstGeom>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文本框 9"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DDT8KnFQIAABkEAAAOAAAAAAAAAAEAIAAAADUBAABkcnMvZTJvRG9jLnhtbFBLBQYAAAAABgAG&#10;AFkBAAC8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val="en-US" w:eastAsia="zh-CN"/>
      </w:rPr>
      <w:t>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true"/>
                    <wps:spPr>
                      <a:xfrm>
                        <a:off x="0" y="0"/>
                        <a:ext cx="1828800" cy="1828800"/>
                      </a:xfrm>
                      <a:prstGeom prst="rect">
                        <a:avLst/>
                      </a:prstGeom>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FgAAAGRycy9QSwECFAAUAAAACACHTuJAs0lY&#10;7tAAAAAFAQAADwAAAAAAAAABACAAAAA4AAAAZHJzL2Rvd25yZXYueG1sUEsBAhQAFAAAAAgAh07i&#10;QCx2BxcUAgAAGwQAAA4AAAAAAAAAAQAgAAAANQEAAGRycy9lMm9Eb2MueG1sUEsFBgAAAAAGAAYA&#10;WQEAALsFA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2</w:t>
                    </w:r>
                    <w:r>
                      <w:fldChar w:fldCharType="end"/>
                    </w:r>
                  </w:p>
                </w:txbxContent>
              </v:textbox>
            </v:shape>
          </w:pict>
        </mc:Fallback>
      </mc:AlternateContent>
    </w:r>
  </w:p>
  <w:p>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rPr>
        <w:rFonts w:hint="default"/>
        <w:lang w:val="en-US" w:eastAsia="zh-CN"/>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11"/>
              <wp:cNvGraphicFramePr/>
              <a:graphic xmlns:a="http://schemas.openxmlformats.org/drawingml/2006/main">
                <a:graphicData uri="http://schemas.microsoft.com/office/word/2010/wordprocessingShape">
                  <wps:wsp>
                    <wps:cNvSpPr txBox="true"/>
                    <wps:spPr>
                      <a:xfrm>
                        <a:off x="0" y="0"/>
                        <a:ext cx="1828800" cy="1828800"/>
                      </a:xfrm>
                      <a:prstGeom prst="rect">
                        <a:avLst/>
                      </a:prstGeom>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文本框 11"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WAAAAZHJzL1BLAQIUABQAAAAIAIdO4kCz&#10;SVju0AAAAAUBAAAPAAAAAAAAAAEAIAAAADgAAABkcnMvZG93bnJldi54bWxQSwECFAAUAAAACACH&#10;TuJAPqiiRhYCAAAaBAAADgAAAAAAAAABACAAAAA1AQAAZHJzL2Uyb0RvYy54bWxQSwUGAAAAAAYA&#10;BgBZAQAAvQ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099FB6"/>
    <w:multiLevelType w:val="singleLevel"/>
    <w:tmpl w:val="B6099FB6"/>
    <w:lvl w:ilvl="0" w:tentative="0">
      <w:start w:val="1"/>
      <w:numFmt w:val="chineseCounting"/>
      <w:suff w:val="nothing"/>
      <w:lvlText w:val="%1、"/>
      <w:lvlJc w:val="left"/>
      <w:rPr>
        <w:rFonts w:hint="eastAsia"/>
      </w:rPr>
    </w:lvl>
  </w:abstractNum>
  <w:abstractNum w:abstractNumId="1">
    <w:nsid w:val="CF652CEC"/>
    <w:multiLevelType w:val="singleLevel"/>
    <w:tmpl w:val="CF652CEC"/>
    <w:lvl w:ilvl="0" w:tentative="0">
      <w:start w:val="9"/>
      <w:numFmt w:val="chineseCounting"/>
      <w:suff w:val="nothing"/>
      <w:lvlText w:val="%1、"/>
      <w:lvlJc w:val="left"/>
      <w:rPr>
        <w:rFonts w:hint="eastAsia"/>
      </w:rPr>
    </w:lvl>
  </w:abstractNum>
  <w:abstractNum w:abstractNumId="2">
    <w:nsid w:val="E2FA047D"/>
    <w:multiLevelType w:val="singleLevel"/>
    <w:tmpl w:val="E2FA047D"/>
    <w:lvl w:ilvl="0" w:tentative="0">
      <w:start w:val="3"/>
      <w:numFmt w:val="chineseCounting"/>
      <w:suff w:val="space"/>
      <w:lvlText w:val="第%1部分"/>
      <w:lvlJc w:val="left"/>
      <w:rPr>
        <w:rFonts w:hint="eastAsia"/>
      </w:rPr>
    </w:lvl>
  </w:abstractNum>
  <w:abstractNum w:abstractNumId="3">
    <w:nsid w:val="F4025854"/>
    <w:multiLevelType w:val="singleLevel"/>
    <w:tmpl w:val="F4025854"/>
    <w:lvl w:ilvl="0" w:tentative="0">
      <w:start w:val="1"/>
      <w:numFmt w:val="decimal"/>
      <w:suff w:val="nothing"/>
      <w:lvlText w:val="%1．"/>
      <w:lvlJc w:val="left"/>
      <w:pPr>
        <w:ind w:left="0" w:firstLine="400"/>
      </w:pPr>
      <w:rPr>
        <w:rFonts w:hint="default"/>
      </w:rPr>
    </w:lvl>
  </w:abstractNum>
  <w:abstractNum w:abstractNumId="4">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true"/>
  <w:bordersDoNotSurroundFooter w:val="true"/>
  <w:documentProtection w:enforcement="0"/>
  <w:defaultTabStop w:val="420"/>
  <w:drawingGridHorizontalSpacing w:val="105"/>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5975B8"/>
    <w:rsid w:val="02143E91"/>
    <w:rsid w:val="054768C7"/>
    <w:rsid w:val="066E0107"/>
    <w:rsid w:val="07996F6E"/>
    <w:rsid w:val="0A2032A3"/>
    <w:rsid w:val="0F98263C"/>
    <w:rsid w:val="101860EC"/>
    <w:rsid w:val="108F5D13"/>
    <w:rsid w:val="10C055FF"/>
    <w:rsid w:val="118107EC"/>
    <w:rsid w:val="13D50BC4"/>
    <w:rsid w:val="16BB723D"/>
    <w:rsid w:val="1BE8440E"/>
    <w:rsid w:val="1C3C27AE"/>
    <w:rsid w:val="1CBB5B48"/>
    <w:rsid w:val="1D155CEE"/>
    <w:rsid w:val="1FF35744"/>
    <w:rsid w:val="23860B96"/>
    <w:rsid w:val="240371BF"/>
    <w:rsid w:val="26C26CF7"/>
    <w:rsid w:val="29FD04D3"/>
    <w:rsid w:val="2C8A61B5"/>
    <w:rsid w:val="2DF04E50"/>
    <w:rsid w:val="2F040D46"/>
    <w:rsid w:val="306D4B10"/>
    <w:rsid w:val="315851A0"/>
    <w:rsid w:val="319F7F4E"/>
    <w:rsid w:val="32A9493D"/>
    <w:rsid w:val="3304709D"/>
    <w:rsid w:val="36AA5135"/>
    <w:rsid w:val="372627D7"/>
    <w:rsid w:val="376D39B2"/>
    <w:rsid w:val="37E16F03"/>
    <w:rsid w:val="38D469F0"/>
    <w:rsid w:val="3D98207C"/>
    <w:rsid w:val="3E78745D"/>
    <w:rsid w:val="44E268DA"/>
    <w:rsid w:val="466C44D7"/>
    <w:rsid w:val="4A627F82"/>
    <w:rsid w:val="4B0E749A"/>
    <w:rsid w:val="4B4F25DA"/>
    <w:rsid w:val="4BE068DB"/>
    <w:rsid w:val="4D577224"/>
    <w:rsid w:val="4EAB630A"/>
    <w:rsid w:val="4ECE2238"/>
    <w:rsid w:val="537E6D0A"/>
    <w:rsid w:val="53975E46"/>
    <w:rsid w:val="5AF92295"/>
    <w:rsid w:val="5CD71FC4"/>
    <w:rsid w:val="678F77D9"/>
    <w:rsid w:val="6C4A05C8"/>
    <w:rsid w:val="6DFB04B5"/>
    <w:rsid w:val="6E7E3605"/>
    <w:rsid w:val="6FF5CC65"/>
    <w:rsid w:val="715C0E4B"/>
    <w:rsid w:val="72734D90"/>
    <w:rsid w:val="72C232B3"/>
    <w:rsid w:val="73AD73D5"/>
    <w:rsid w:val="73B6EB34"/>
    <w:rsid w:val="744731E5"/>
    <w:rsid w:val="76E3355F"/>
    <w:rsid w:val="778769C8"/>
    <w:rsid w:val="79EE5BA4"/>
    <w:rsid w:val="7A894339"/>
    <w:rsid w:val="7EEF11D3"/>
    <w:rsid w:val="7FA30C79"/>
    <w:rsid w:val="7FB7269E"/>
    <w:rsid w:val="7FC96657"/>
    <w:rsid w:val="BDA950BF"/>
    <w:rsid w:val="D8D6DB89"/>
    <w:rsid w:val="DB6F4CAB"/>
    <w:rsid w:val="DF4EBB16"/>
    <w:rsid w:val="DF6F9789"/>
    <w:rsid w:val="F1FFE910"/>
    <w:rsid w:val="FBFF74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7">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32"/>
    <w:qFormat/>
    <w:uiPriority w:val="99"/>
    <w:pPr>
      <w:spacing w:beforeLines="30"/>
    </w:pPr>
    <w:rPr>
      <w:rFonts w:ascii="仿宋_GB2312" w:eastAsia="仿宋_GB2312"/>
      <w:kern w:val="0"/>
      <w:sz w:val="30"/>
    </w:rPr>
  </w:style>
  <w:style w:type="paragraph" w:styleId="7">
    <w:name w:val="Body Text Indent"/>
    <w:basedOn w:val="1"/>
    <w:qFormat/>
    <w:uiPriority w:val="0"/>
    <w:pPr>
      <w:spacing w:after="120"/>
      <w:ind w:leftChars="200"/>
    </w:pPr>
    <w:rPr>
      <w:rFonts w:ascii="仿宋_GB2312"/>
      <w:szCs w:val="32"/>
    </w:r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6"/>
    <w:semiHidden/>
    <w:unhideWhenUsed/>
    <w:qFormat/>
    <w:uiPriority w:val="99"/>
    <w:rPr>
      <w:sz w:val="18"/>
      <w:szCs w:val="18"/>
    </w:rPr>
  </w:style>
  <w:style w:type="paragraph" w:styleId="10">
    <w:name w:val="footer"/>
    <w:basedOn w:val="1"/>
    <w:link w:val="30"/>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8"/>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toc 2"/>
    <w:basedOn w:val="1"/>
    <w:next w:val="1"/>
    <w:unhideWhenUsed/>
    <w:qFormat/>
    <w:uiPriority w:val="39"/>
    <w:pPr>
      <w:tabs>
        <w:tab w:val="right" w:leader="dot" w:pos="8296"/>
      </w:tabs>
      <w:ind w:left="420" w:leftChars="200"/>
    </w:p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Body Text First Indent 2"/>
    <w:basedOn w:val="7"/>
    <w:unhideWhenUsed/>
    <w:qFormat/>
    <w:uiPriority w:val="99"/>
    <w:pPr>
      <w:ind w:firstLine="420" w:firstLineChars="200"/>
    </w:p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paragraph" w:customStyle="1" w:styleId="20">
    <w:name w:val="BodyText1I2"/>
    <w:basedOn w:val="21"/>
    <w:qFormat/>
    <w:uiPriority w:val="0"/>
    <w:pPr>
      <w:spacing w:before="100" w:beforeAutospacing="1" w:after="100" w:afterAutospacing="1"/>
      <w:ind w:firstLine="420" w:firstLineChars="200"/>
      <w:jc w:val="both"/>
    </w:pPr>
  </w:style>
  <w:style w:type="paragraph" w:customStyle="1" w:styleId="21">
    <w:name w:val="BodyTextIndent"/>
    <w:basedOn w:val="1"/>
    <w:qFormat/>
    <w:uiPriority w:val="0"/>
    <w:pPr>
      <w:ind w:firstLine="640" w:firstLineChars="200"/>
      <w:jc w:val="both"/>
    </w:pPr>
    <w:rPr>
      <w:rFonts w:ascii="Times New Roman" w:hAnsi="Times New Roman" w:eastAsia="仿宋_GB2312"/>
      <w:kern w:val="2"/>
      <w:sz w:val="32"/>
      <w:szCs w:val="24"/>
      <w:lang w:val="en-US" w:eastAsia="zh-CN" w:bidi="ar-SA"/>
    </w:rPr>
  </w:style>
  <w:style w:type="character" w:customStyle="1" w:styleId="22">
    <w:name w:val="标题 1 Char"/>
    <w:basedOn w:val="17"/>
    <w:link w:val="2"/>
    <w:qFormat/>
    <w:uiPriority w:val="9"/>
    <w:rPr>
      <w:rFonts w:ascii="Times New Roman" w:hAnsi="Times New Roman"/>
      <w:b/>
      <w:bCs/>
      <w:kern w:val="44"/>
      <w:sz w:val="44"/>
      <w:szCs w:val="44"/>
    </w:rPr>
  </w:style>
  <w:style w:type="character" w:customStyle="1" w:styleId="23">
    <w:name w:val="标题 2 Char"/>
    <w:basedOn w:val="17"/>
    <w:link w:val="3"/>
    <w:qFormat/>
    <w:uiPriority w:val="9"/>
    <w:rPr>
      <w:rFonts w:asciiTheme="majorHAnsi" w:hAnsiTheme="majorHAnsi" w:eastAsiaTheme="majorEastAsia" w:cstheme="majorBidi"/>
      <w:b/>
      <w:bCs/>
      <w:kern w:val="2"/>
      <w:sz w:val="32"/>
      <w:szCs w:val="32"/>
    </w:rPr>
  </w:style>
  <w:style w:type="character" w:customStyle="1" w:styleId="24">
    <w:name w:val="标题 3 Char"/>
    <w:basedOn w:val="17"/>
    <w:link w:val="4"/>
    <w:qFormat/>
    <w:uiPriority w:val="9"/>
    <w:rPr>
      <w:rFonts w:ascii="Times New Roman" w:hAnsi="Times New Roman"/>
      <w:b/>
      <w:bCs/>
      <w:kern w:val="2"/>
      <w:sz w:val="32"/>
      <w:szCs w:val="32"/>
    </w:rPr>
  </w:style>
  <w:style w:type="paragraph" w:customStyle="1" w:styleId="25">
    <w:name w:val="正文-啊"/>
    <w:basedOn w:val="1"/>
    <w:qFormat/>
    <w:uiPriority w:val="0"/>
    <w:pPr>
      <w:spacing w:beforeLines="100" w:line="276" w:lineRule="auto"/>
      <w:ind w:left="210" w:right="210" w:firstLine="600"/>
      <w:contextualSpacing/>
    </w:pPr>
    <w:rPr>
      <w:rFonts w:ascii="微软雅黑" w:hAnsi="微软雅黑"/>
      <w:color w:val="000000"/>
      <w:sz w:val="24"/>
      <w:szCs w:val="21"/>
    </w:rPr>
  </w:style>
  <w:style w:type="paragraph" w:customStyle="1" w:styleId="26">
    <w:name w:val="标题 5（有编号）（绿盟科技）"/>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7">
    <w:name w:val="Header Char"/>
    <w:basedOn w:val="17"/>
    <w:semiHidden/>
    <w:qFormat/>
    <w:uiPriority w:val="99"/>
    <w:rPr>
      <w:rFonts w:ascii="Times New Roman" w:hAnsi="Times New Roman"/>
      <w:sz w:val="18"/>
      <w:szCs w:val="18"/>
    </w:rPr>
  </w:style>
  <w:style w:type="character" w:customStyle="1" w:styleId="28">
    <w:name w:val="页眉 Char"/>
    <w:link w:val="11"/>
    <w:semiHidden/>
    <w:qFormat/>
    <w:uiPriority w:val="99"/>
    <w:rPr>
      <w:sz w:val="18"/>
    </w:rPr>
  </w:style>
  <w:style w:type="character" w:customStyle="1" w:styleId="29">
    <w:name w:val="Footer Char"/>
    <w:basedOn w:val="17"/>
    <w:semiHidden/>
    <w:qFormat/>
    <w:uiPriority w:val="99"/>
    <w:rPr>
      <w:rFonts w:ascii="Times New Roman" w:hAnsi="Times New Roman"/>
      <w:sz w:val="18"/>
      <w:szCs w:val="18"/>
    </w:rPr>
  </w:style>
  <w:style w:type="character" w:customStyle="1" w:styleId="30">
    <w:name w:val="页脚 Char"/>
    <w:link w:val="10"/>
    <w:qFormat/>
    <w:uiPriority w:val="99"/>
    <w:rPr>
      <w:sz w:val="18"/>
    </w:rPr>
  </w:style>
  <w:style w:type="character" w:customStyle="1" w:styleId="31">
    <w:name w:val="Body Text Char"/>
    <w:basedOn w:val="17"/>
    <w:semiHidden/>
    <w:qFormat/>
    <w:uiPriority w:val="99"/>
    <w:rPr>
      <w:rFonts w:ascii="Times New Roman" w:hAnsi="Times New Roman"/>
      <w:szCs w:val="24"/>
    </w:rPr>
  </w:style>
  <w:style w:type="character" w:customStyle="1" w:styleId="32">
    <w:name w:val="正文文本 Char"/>
    <w:link w:val="6"/>
    <w:qFormat/>
    <w:uiPriority w:val="99"/>
    <w:rPr>
      <w:rFonts w:ascii="仿宋_GB2312" w:hAnsi="Times New Roman" w:eastAsia="仿宋_GB2312"/>
      <w:sz w:val="24"/>
    </w:rPr>
  </w:style>
  <w:style w:type="paragraph" w:customStyle="1" w:styleId="33">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4">
    <w:name w:val="List Paragraph"/>
    <w:basedOn w:val="1"/>
    <w:qFormat/>
    <w:uiPriority w:val="34"/>
    <w:pPr>
      <w:ind w:firstLine="420" w:firstLineChars="200"/>
    </w:pPr>
  </w:style>
  <w:style w:type="paragraph" w:customStyle="1" w:styleId="35">
    <w:name w:val="TOC 标题1"/>
    <w:basedOn w:val="2"/>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6">
    <w:name w:val="批注框文本 Char"/>
    <w:basedOn w:val="17"/>
    <w:link w:val="9"/>
    <w:semiHidden/>
    <w:qFormat/>
    <w:uiPriority w:val="99"/>
    <w:rPr>
      <w:rFonts w:ascii="Times New Roman" w:hAnsi="Times New Roman"/>
      <w:kern w:val="2"/>
      <w:sz w:val="18"/>
      <w:szCs w:val="18"/>
    </w:rPr>
  </w:style>
  <w:style w:type="paragraph" w:customStyle="1" w:styleId="37">
    <w:name w:val="TOC Heading"/>
    <w:basedOn w:val="2"/>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8">
    <w:name w:val="四号正文"/>
    <w:basedOn w:val="1"/>
    <w:qFormat/>
    <w:uiPriority w:val="0"/>
    <w:pPr>
      <w:spacing w:line="360" w:lineRule="auto"/>
    </w:pPr>
    <w:rPr>
      <w:rFonts w:ascii="??" w:hAnsi="??" w:eastAsia="宋体"/>
      <w:color w:val="000000"/>
      <w:kern w:val="0"/>
      <w:sz w:val="28"/>
      <w:szCs w:val="21"/>
      <w:lang w:val="zh-CN" w:eastAsia="zh-CN"/>
    </w:rPr>
  </w:style>
  <w:style w:type="paragraph" w:customStyle="1" w:styleId="39">
    <w:name w:val="WPSOffice手动目录 1"/>
    <w:qFormat/>
    <w:uiPriority w:val="0"/>
    <w:pPr>
      <w:ind w:leftChars="0"/>
    </w:pPr>
    <w:rPr>
      <w:rFonts w:ascii="Times New Roman" w:hAnsi="Times New Roman" w:eastAsia="宋体" w:cs="Times New Roman"/>
      <w:sz w:val="20"/>
      <w:szCs w:val="20"/>
    </w:rPr>
  </w:style>
  <w:style w:type="paragraph" w:customStyle="1" w:styleId="40">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emf"/><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2021年</c:v>
                </c:pt>
              </c:strCache>
            </c:strRef>
          </c:tx>
          <c:spPr>
            <a:solidFill>
              <a:schemeClr val="accent1"/>
            </a:solidFill>
            <a:ln>
              <a:noFill/>
            </a:ln>
            <a:effectLst/>
          </c:spPr>
          <c:invertIfNegative val="false"/>
          <c:dLbls>
            <c:delete val="true"/>
          </c:dLbls>
          <c:cat>
            <c:strRef>
              <c:f>Sheet1!$A$2</c:f>
              <c:strCache>
                <c:ptCount val="1"/>
                <c:pt idx="0">
                  <c:v>收、支出总计</c:v>
                </c:pt>
              </c:strCache>
            </c:strRef>
          </c:cat>
          <c:val>
            <c:numRef>
              <c:f>Sheet1!$B$2</c:f>
              <c:numCache>
                <c:formatCode>General</c:formatCode>
                <c:ptCount val="1"/>
                <c:pt idx="0">
                  <c:v>60.89</c:v>
                </c:pt>
              </c:numCache>
            </c:numRef>
          </c:val>
        </c:ser>
        <c:ser>
          <c:idx val="1"/>
          <c:order val="1"/>
          <c:tx>
            <c:strRef>
              <c:f>Sheet1!$C$1</c:f>
              <c:strCache>
                <c:ptCount val="1"/>
                <c:pt idx="0">
                  <c:v>2022年</c:v>
                </c:pt>
              </c:strCache>
            </c:strRef>
          </c:tx>
          <c:spPr>
            <a:solidFill>
              <a:schemeClr val="accent2"/>
            </a:solidFill>
            <a:ln>
              <a:noFill/>
            </a:ln>
            <a:effectLst/>
          </c:spPr>
          <c:invertIfNegative val="false"/>
          <c:dLbls>
            <c:delete val="true"/>
          </c:dLbls>
          <c:cat>
            <c:strRef>
              <c:f>Sheet1!$A$2</c:f>
              <c:strCache>
                <c:ptCount val="1"/>
                <c:pt idx="0">
                  <c:v>收、支出总计</c:v>
                </c:pt>
              </c:strCache>
            </c:strRef>
          </c:cat>
          <c:val>
            <c:numRef>
              <c:f>Sheet1!$C$2</c:f>
              <c:numCache>
                <c:formatCode>General</c:formatCode>
                <c:ptCount val="1"/>
                <c:pt idx="0">
                  <c:v>86.07</c:v>
                </c:pt>
              </c:numCache>
            </c:numRef>
          </c:val>
        </c:ser>
        <c:dLbls>
          <c:showLegendKey val="false"/>
          <c:showVal val="false"/>
          <c:showCatName val="false"/>
          <c:showSerName val="false"/>
          <c:showPercent val="false"/>
          <c:showBubbleSize val="false"/>
        </c:dLbls>
        <c:gapWidth val="246"/>
        <c:overlap val="-28"/>
        <c:axId val="431239796"/>
        <c:axId val="911746891"/>
      </c:barChart>
      <c:catAx>
        <c:axId val="431239796"/>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11746891"/>
        <c:crosses val="autoZero"/>
        <c:auto val="true"/>
        <c:lblAlgn val="ctr"/>
        <c:lblOffset val="100"/>
        <c:noMultiLvlLbl val="false"/>
      </c:catAx>
      <c:valAx>
        <c:axId val="911746891"/>
        <c:scaling>
          <c:orientation val="minMax"/>
        </c:scaling>
        <c:delete val="false"/>
        <c:axPos val="l"/>
        <c:majorGridlines>
          <c:spPr>
            <a:ln w="9525" cap="flat" cmpd="sng" algn="ctr">
              <a:solidFill>
                <a:schemeClr val="bg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431239796"/>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销售额</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dLbl>
              <c:idx val="0"/>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lumMod val="75000"/>
                            <a:lumOff val="25000"/>
                          </a:schemeClr>
                        </a:solidFill>
                        <a:latin typeface="+mn-lt"/>
                        <a:ea typeface="+mn-ea"/>
                        <a:cs typeface="+mn-cs"/>
                      </a:defRPr>
                    </a:pPr>
                    <a:r>
                      <a:t>一般公共预算财政拨款收入</a:t>
                    </a:r>
                  </a:p>
                  <a:p>
                    <a:pPr defTabSz="914400">
                      <a:defRPr lang="zh-CN" sz="1000" b="0" i="0" u="none" strike="noStrike" kern="1200" baseline="0">
                        <a:solidFill>
                          <a:schemeClr val="tx1">
                            <a:lumMod val="75000"/>
                            <a:lumOff val="25000"/>
                          </a:schemeClr>
                        </a:solidFill>
                        <a:latin typeface="+mn-lt"/>
                        <a:ea typeface="+mn-ea"/>
                        <a:cs typeface="+mn-cs"/>
                      </a:defRPr>
                    </a:pPr>
                    <a:r>
                      <a:rPr lang="en-US" altLang="zh-CN"/>
                      <a:t>99.80</a:t>
                    </a:r>
                    <a:r>
                      <a:t>%</a:t>
                    </a:r>
                  </a:p>
                </c:rich>
              </c:tx>
              <c:dLblPos val="inEnd"/>
              <c:showLegendKey val="false"/>
              <c:showVal val="false"/>
              <c:showCatName val="true"/>
              <c:showSerName val="false"/>
              <c:showPercent val="true"/>
              <c:showBubbleSize val="false"/>
              <c:separator>
</c:separator>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lumMod val="75000"/>
                            <a:lumOff val="25000"/>
                          </a:schemeClr>
                        </a:solidFill>
                        <a:latin typeface="+mn-lt"/>
                        <a:ea typeface="+mn-ea"/>
                        <a:cs typeface="+mn-cs"/>
                      </a:defRPr>
                    </a:pPr>
                    <a:r>
                      <a:t>其他收入</a:t>
                    </a:r>
                  </a:p>
                  <a:p>
                    <a:pPr defTabSz="914400">
                      <a:defRPr lang="zh-CN" sz="1000" b="0" i="0" u="none" strike="noStrike" kern="1200" baseline="0">
                        <a:solidFill>
                          <a:schemeClr val="tx1">
                            <a:lumMod val="75000"/>
                            <a:lumOff val="25000"/>
                          </a:schemeClr>
                        </a:solidFill>
                        <a:latin typeface="+mn-lt"/>
                        <a:ea typeface="+mn-ea"/>
                        <a:cs typeface="+mn-cs"/>
                      </a:defRPr>
                    </a:pPr>
                    <a:r>
                      <a:rPr lang="en-US" altLang="zh-CN"/>
                      <a:t>0.2</a:t>
                    </a:r>
                    <a:r>
                      <a:t>%</a:t>
                    </a:r>
                  </a:p>
                </c:rich>
              </c:tx>
              <c:dLblPos val="inEnd"/>
              <c:showLegendKey val="false"/>
              <c:showVal val="false"/>
              <c:showCatName val="true"/>
              <c:showSerName val="false"/>
              <c:showPercent val="true"/>
              <c:showBubbleSize val="false"/>
              <c:separator>
</c:separator>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false"/>
            <c:showVal val="false"/>
            <c:showCatName val="tru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一般公共预算财政拨款收入</c:v>
                </c:pt>
                <c:pt idx="1">
                  <c:v>其他收入</c:v>
                </c:pt>
              </c:strCache>
            </c:strRef>
          </c:cat>
          <c:val>
            <c:numRef>
              <c:f>Sheet1!$B$2:$B$3</c:f>
              <c:numCache>
                <c:formatCode>General</c:formatCode>
                <c:ptCount val="2"/>
                <c:pt idx="0">
                  <c:v>99.8</c:v>
                </c:pt>
                <c:pt idx="1">
                  <c:v>0.2</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列2</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dLbl>
              <c:idx val="0"/>
              <c:layout>
                <c:manualLayout>
                  <c:x val="-0.16477478221134"/>
                  <c:y val="-0.068768143140588"/>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1"/>
              <c:layout>
                <c:manualLayout>
                  <c:x val="0.216912816516522"/>
                  <c:y val="0.105754953053064"/>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0.00%</c:formatCode>
                <c:ptCount val="2"/>
                <c:pt idx="0">
                  <c:v>0.778</c:v>
                </c:pt>
                <c:pt idx="1">
                  <c:v>0.222</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2021年</c:v>
                </c:pt>
              </c:strCache>
            </c:strRef>
          </c:tx>
          <c:spPr>
            <a:solidFill>
              <a:schemeClr val="accent1"/>
            </a:solidFill>
            <a:ln>
              <a:noFill/>
            </a:ln>
            <a:effectLst/>
          </c:spPr>
          <c:invertIfNegative val="false"/>
          <c:dLbls>
            <c:delete val="true"/>
          </c:dLbls>
          <c:cat>
            <c:strRef>
              <c:f>Sheet1!$A$2</c:f>
              <c:strCache>
                <c:ptCount val="1"/>
                <c:pt idx="0">
                  <c:v>收、支总计</c:v>
                </c:pt>
              </c:strCache>
            </c:strRef>
          </c:cat>
          <c:val>
            <c:numRef>
              <c:f>Sheet1!$B$2</c:f>
              <c:numCache>
                <c:formatCode>General</c:formatCode>
                <c:ptCount val="1"/>
                <c:pt idx="0">
                  <c:v>55.66</c:v>
                </c:pt>
              </c:numCache>
            </c:numRef>
          </c:val>
        </c:ser>
        <c:ser>
          <c:idx val="1"/>
          <c:order val="1"/>
          <c:tx>
            <c:strRef>
              <c:f>Sheet1!$C$1</c:f>
              <c:strCache>
                <c:ptCount val="1"/>
                <c:pt idx="0">
                  <c:v>2022年</c:v>
                </c:pt>
              </c:strCache>
            </c:strRef>
          </c:tx>
          <c:spPr>
            <a:solidFill>
              <a:schemeClr val="accent2"/>
            </a:solidFill>
            <a:ln>
              <a:noFill/>
            </a:ln>
            <a:effectLst/>
          </c:spPr>
          <c:invertIfNegative val="false"/>
          <c:dLbls>
            <c:delete val="true"/>
          </c:dLbls>
          <c:cat>
            <c:strRef>
              <c:f>Sheet1!$A$2</c:f>
              <c:strCache>
                <c:ptCount val="1"/>
                <c:pt idx="0">
                  <c:v>收、支总计</c:v>
                </c:pt>
              </c:strCache>
            </c:strRef>
          </c:cat>
          <c:val>
            <c:numRef>
              <c:f>Sheet1!$C$2</c:f>
              <c:numCache>
                <c:formatCode>General</c:formatCode>
                <c:ptCount val="1"/>
                <c:pt idx="0">
                  <c:v>85.9</c:v>
                </c:pt>
              </c:numCache>
            </c:numRef>
          </c:val>
        </c:ser>
        <c:dLbls>
          <c:showLegendKey val="false"/>
          <c:showVal val="false"/>
          <c:showCatName val="false"/>
          <c:showSerName val="false"/>
          <c:showPercent val="false"/>
          <c:showBubbleSize val="false"/>
        </c:dLbls>
        <c:gapWidth val="219"/>
        <c:overlap val="-27"/>
        <c:axId val="534086918"/>
        <c:axId val="39077879"/>
      </c:barChart>
      <c:catAx>
        <c:axId val="534086918"/>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39077879"/>
        <c:crosses val="autoZero"/>
        <c:auto val="true"/>
        <c:lblAlgn val="ctr"/>
        <c:lblOffset val="100"/>
        <c:noMultiLvlLbl val="false"/>
      </c:catAx>
      <c:valAx>
        <c:axId val="39077879"/>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534086918"/>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一般公共预算财政拨款支出</c:v>
                </c:pt>
              </c:strCache>
            </c:strRef>
          </c:tx>
          <c:spPr>
            <a:solidFill>
              <a:schemeClr val="accent1"/>
            </a:solidFill>
            <a:ln>
              <a:noFill/>
            </a:ln>
            <a:effectLst/>
          </c:spPr>
          <c:invertIfNegative val="false"/>
          <c:dLbls>
            <c:delete val="true"/>
          </c:dLbls>
          <c:cat>
            <c:numRef>
              <c:f>Sheet1!$A$2:$A$3</c:f>
              <c:numCache>
                <c:formatCode>General</c:formatCode>
                <c:ptCount val="2"/>
                <c:pt idx="0">
                  <c:v>2021</c:v>
                </c:pt>
                <c:pt idx="1">
                  <c:v>2022</c:v>
                </c:pt>
              </c:numCache>
            </c:numRef>
          </c:cat>
          <c:val>
            <c:numRef>
              <c:f>Sheet1!$B$2:$B$3</c:f>
              <c:numCache>
                <c:formatCode>General</c:formatCode>
                <c:ptCount val="2"/>
                <c:pt idx="0">
                  <c:v>55.66</c:v>
                </c:pt>
                <c:pt idx="1">
                  <c:v>85.9</c:v>
                </c:pt>
              </c:numCache>
            </c:numRef>
          </c:val>
        </c:ser>
        <c:dLbls>
          <c:showLegendKey val="false"/>
          <c:showVal val="false"/>
          <c:showCatName val="false"/>
          <c:showSerName val="false"/>
          <c:showPercent val="false"/>
          <c:showBubbleSize val="false"/>
        </c:dLbls>
        <c:gapWidth val="246"/>
        <c:overlap val="-28"/>
        <c:axId val="339639786"/>
        <c:axId val="378271174"/>
      </c:barChart>
      <c:catAx>
        <c:axId val="339639786"/>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378271174"/>
        <c:crosses val="autoZero"/>
        <c:auto val="true"/>
        <c:lblAlgn val="ctr"/>
        <c:lblOffset val="100"/>
        <c:noMultiLvlLbl val="false"/>
      </c:catAx>
      <c:valAx>
        <c:axId val="378271174"/>
        <c:scaling>
          <c:orientation val="minMax"/>
        </c:scaling>
        <c:delete val="false"/>
        <c:axPos val="l"/>
        <c:majorGridlines>
          <c:spPr>
            <a:ln w="9525" cap="flat" cmpd="sng" algn="ctr">
              <a:solidFill>
                <a:schemeClr val="bg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339639786"/>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satMod val="300000"/>
                <a:tint val="50000"/>
              </a:schemeClr>
            </a:gs>
            <a:gs pos="35000">
              <a:schemeClr val="phClr">
                <a:satMod val="300000"/>
                <a:tint val="37000"/>
              </a:schemeClr>
            </a:gs>
            <a:gs pos="100000">
              <a:schemeClr val="phClr">
                <a:satMod val="350000"/>
                <a:tint val="15000"/>
              </a:schemeClr>
            </a:gs>
          </a:gsLst>
          <a:lin ang="16200000" scaled="true"/>
        </a:gradFill>
        <a:gradFill rotWithShape="true">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false"/>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true">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24</Pages>
  <Words>1299</Words>
  <Characters>7410</Characters>
  <Lines>61</Lines>
  <Paragraphs>17</Paragraphs>
  <TotalTime>8</TotalTime>
  <ScaleCrop>false</ScaleCrop>
  <LinksUpToDate>false</LinksUpToDate>
  <CharactersWithSpaces>8692</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2020-08-06T01:49:00Z</dcterms:created>
  <dc:creator>曹颖</dc:creator>
  <cp:lastModifiedBy> </cp:lastModifiedBy>
  <dcterms:modified xsi:type="dcterms:W3CDTF">2023-10-24T17:01:47Z</dcterms:modified>
  <dc:title>四川省***</dc:titl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748A442D892347B0BE103040C2DF7D95_13</vt:lpwstr>
  </property>
</Properties>
</file>