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6839"/>
      <w:bookmarkStart w:id="2" w:name="_Toc15377425"/>
      <w:bookmarkStart w:id="3" w:name="_Toc15378441"/>
      <w:bookmarkStart w:id="4" w:name="_Toc15377193"/>
      <w:bookmarkStart w:id="5" w:name="_Toc15396475"/>
      <w:bookmarkStart w:id="6" w:name="_Toc28580"/>
      <w:bookmarkStart w:id="7" w:name="_Toc28690"/>
      <w:bookmarkStart w:id="8" w:name="_Toc1539659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bookmarkEnd w:id="8"/>
    </w:p>
    <w:bookmarkEnd w:id="0"/>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9" w:name="_Toc4293"/>
      <w:bookmarkStart w:id="10" w:name="_Toc10858"/>
      <w:bookmarkStart w:id="11" w:name="_Toc15396598"/>
      <w:bookmarkStart w:id="12" w:name="_Toc15378442"/>
      <w:bookmarkStart w:id="13" w:name="_Toc15396476"/>
      <w:bookmarkStart w:id="14" w:name="_Toc15377426"/>
      <w:bookmarkStart w:id="15" w:name="_Toc15377194"/>
      <w:bookmarkStart w:id="16" w:name="_Toc3244"/>
      <w:bookmarkStart w:id="17" w:name="_Toc15306268"/>
      <w:r>
        <w:rPr>
          <w:rFonts w:hint="eastAsia" w:ascii="方正小标宋简体" w:hAnsi="方正小标宋简体" w:eastAsia="方正小标宋简体" w:cs="方正小标宋简体"/>
          <w:color w:val="auto"/>
          <w:sz w:val="72"/>
          <w:szCs w:val="72"/>
          <w:highlight w:val="none"/>
        </w:rPr>
        <w:t>广元市医学技术服务</w:t>
      </w: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rPr>
        <w:t>管理中心</w:t>
      </w: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rPr>
        <w:t>单位决算</w:t>
      </w:r>
      <w:bookmarkEnd w:id="9"/>
      <w:bookmarkEnd w:id="10"/>
      <w:bookmarkEnd w:id="11"/>
      <w:bookmarkEnd w:id="12"/>
      <w:bookmarkEnd w:id="13"/>
      <w:bookmarkEnd w:id="14"/>
      <w:bookmarkEnd w:id="15"/>
      <w:bookmarkEnd w:id="16"/>
      <w:bookmarkEnd w:id="17"/>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0"/>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pPr>
        <w:rPr>
          <w:color w:val="auto"/>
          <w:highlight w:val="none"/>
        </w:rPr>
      </w:pPr>
    </w:p>
    <w:sdt>
      <w:sdtPr>
        <w:rPr>
          <w:rFonts w:hint="eastAsia" w:ascii="仿宋_GB2312" w:hAnsi="仿宋_GB2312" w:eastAsia="仿宋_GB2312" w:cs="仿宋_GB2312"/>
          <w:kern w:val="2"/>
          <w:sz w:val="28"/>
          <w:szCs w:val="28"/>
          <w:lang w:val="en-US" w:eastAsia="zh-CN" w:bidi="ar-SA"/>
        </w:rPr>
        <w:id w:val="147477246"/>
        <w15:color w:val="DBDBDB"/>
        <w:docPartObj>
          <w:docPartGallery w:val="Table of Contents"/>
          <w:docPartUnique/>
        </w:docPartObj>
      </w:sdtPr>
      <w:sdtEndPr>
        <w:rPr>
          <w:rFonts w:hint="eastAsia" w:ascii="黑体" w:hAnsi="黑体" w:eastAsia="黑体" w:cs="Times New Roman"/>
          <w:b/>
          <w:bCs/>
          <w:color w:val="auto"/>
          <w:kern w:val="44"/>
          <w:sz w:val="44"/>
          <w:szCs w:val="44"/>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ascii="仿宋_GB2312" w:hAnsi="仿宋_GB2312" w:eastAsia="仿宋_GB2312" w:cs="仿宋_GB2312"/>
              <w:b/>
              <w:sz w:val="28"/>
              <w:szCs w:val="28"/>
            </w:rPr>
          </w:pPr>
          <w:bookmarkStart w:id="18" w:name="_Toc4906"/>
          <w:r>
            <w:rPr>
              <w:rFonts w:hint="eastAsia" w:ascii="仿宋_GB2312" w:hAnsi="仿宋_GB2312" w:eastAsia="仿宋_GB2312" w:cs="仿宋_GB2312"/>
              <w:b w:val="0"/>
              <w:color w:val="auto"/>
              <w:sz w:val="28"/>
              <w:szCs w:val="28"/>
              <w:highlight w:val="none"/>
            </w:rPr>
            <w:fldChar w:fldCharType="begin"/>
          </w:r>
          <w:r>
            <w:rPr>
              <w:rFonts w:hint="eastAsia" w:ascii="仿宋_GB2312" w:hAnsi="仿宋_GB2312" w:eastAsia="仿宋_GB2312" w:cs="仿宋_GB2312"/>
              <w:b w:val="0"/>
              <w:color w:val="auto"/>
              <w:sz w:val="28"/>
              <w:szCs w:val="28"/>
              <w:highlight w:val="none"/>
            </w:rPr>
            <w:instrText xml:space="preserve">TOC \o "1-2" \h \u </w:instrText>
          </w:r>
          <w:r>
            <w:rPr>
              <w:rFonts w:hint="eastAsia" w:ascii="仿宋_GB2312" w:hAnsi="仿宋_GB2312" w:eastAsia="仿宋_GB2312" w:cs="仿宋_GB2312"/>
              <w:b w:val="0"/>
              <w:color w:val="auto"/>
              <w:sz w:val="28"/>
              <w:szCs w:val="28"/>
              <w:highlight w:val="none"/>
            </w:rPr>
            <w:fldChar w:fldCharType="separate"/>
          </w:r>
        </w:p>
        <w:p>
          <w:pPr>
            <w:pStyle w:val="31"/>
            <w:tabs>
              <w:tab w:val="right" w:leader="dot" w:pos="8306"/>
            </w:tabs>
            <w:rPr>
              <w:rFonts w:hint="eastAsia" w:ascii="仿宋_GB2312" w:hAnsi="仿宋_GB2312" w:eastAsia="仿宋_GB2312" w:cs="仿宋_GB2312"/>
              <w:b/>
              <w:sz w:val="28"/>
              <w:szCs w:val="28"/>
            </w:rPr>
          </w:pPr>
          <w:r>
            <w:rPr>
              <w:rFonts w:hint="eastAsia" w:ascii="仿宋_GB2312" w:hAnsi="仿宋_GB2312" w:eastAsia="仿宋_GB2312" w:cs="仿宋_GB2312"/>
              <w:b/>
              <w:color w:val="auto"/>
              <w:sz w:val="28"/>
              <w:szCs w:val="28"/>
              <w:highlight w:val="none"/>
            </w:rPr>
            <w:fldChar w:fldCharType="begin"/>
          </w:r>
          <w:r>
            <w:rPr>
              <w:rFonts w:hint="eastAsia" w:ascii="仿宋_GB2312" w:hAnsi="仿宋_GB2312" w:eastAsia="仿宋_GB2312" w:cs="仿宋_GB2312"/>
              <w:b/>
              <w:sz w:val="28"/>
              <w:szCs w:val="28"/>
              <w:highlight w:val="none"/>
            </w:rPr>
            <w:instrText xml:space="preserve"> HYPERLINK \l _Toc8746 </w:instrText>
          </w:r>
          <w:r>
            <w:rPr>
              <w:rFonts w:hint="eastAsia" w:ascii="仿宋_GB2312" w:hAnsi="仿宋_GB2312" w:eastAsia="仿宋_GB2312" w:cs="仿宋_GB2312"/>
              <w:b/>
              <w:sz w:val="28"/>
              <w:szCs w:val="28"/>
              <w:highlight w:val="none"/>
            </w:rPr>
            <w:fldChar w:fldCharType="separate"/>
          </w:r>
          <w:r>
            <w:rPr>
              <w:rFonts w:hint="eastAsia" w:ascii="仿宋_GB2312" w:hAnsi="仿宋_GB2312" w:eastAsia="仿宋_GB2312" w:cs="仿宋_GB2312"/>
              <w:b/>
              <w:sz w:val="28"/>
              <w:szCs w:val="28"/>
              <w:highlight w:val="none"/>
            </w:rPr>
            <w:t xml:space="preserve">第一部分 </w:t>
          </w:r>
          <w:r>
            <w:rPr>
              <w:rFonts w:hint="eastAsia" w:ascii="仿宋_GB2312" w:hAnsi="仿宋_GB2312" w:eastAsia="仿宋_GB2312" w:cs="仿宋_GB2312"/>
              <w:b/>
              <w:sz w:val="28"/>
              <w:szCs w:val="28"/>
              <w:highlight w:val="none"/>
              <w:lang w:eastAsia="zh-CN"/>
            </w:rPr>
            <w:t>单位</w:t>
          </w:r>
          <w:r>
            <w:rPr>
              <w:rFonts w:hint="eastAsia" w:ascii="仿宋_GB2312" w:hAnsi="仿宋_GB2312" w:eastAsia="仿宋_GB2312" w:cs="仿宋_GB2312"/>
              <w:b/>
              <w:bCs w:val="0"/>
              <w:sz w:val="28"/>
              <w:szCs w:val="28"/>
              <w:highlight w:val="none"/>
            </w:rPr>
            <w:t>概况</w:t>
          </w:r>
          <w:r>
            <w:rPr>
              <w:rFonts w:hint="eastAsia" w:ascii="仿宋_GB2312" w:hAnsi="仿宋_GB2312" w:eastAsia="仿宋_GB2312" w:cs="仿宋_GB2312"/>
              <w:b/>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_Toc8746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1</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_Toc11420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bCs w:val="0"/>
              <w:sz w:val="28"/>
              <w:szCs w:val="28"/>
              <w:lang w:eastAsia="zh-CN"/>
            </w:rPr>
            <w:t xml:space="preserve">一、 </w:t>
          </w:r>
          <w:r>
            <w:rPr>
              <w:rFonts w:hint="eastAsia" w:ascii="仿宋_GB2312" w:hAnsi="仿宋_GB2312" w:eastAsia="仿宋_GB2312" w:cs="仿宋_GB2312"/>
              <w:bCs w:val="0"/>
              <w:sz w:val="28"/>
              <w:szCs w:val="28"/>
              <w:highlight w:val="none"/>
              <w:lang w:eastAsia="zh-CN"/>
            </w:rPr>
            <w:t>主要职责</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_Toc11420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_Toc20862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lang w:val="en-US" w:eastAsia="zh-CN"/>
            </w:rPr>
            <w:t xml:space="preserve">二、 </w:t>
          </w:r>
          <w:r>
            <w:rPr>
              <w:rFonts w:hint="eastAsia" w:ascii="仿宋_GB2312" w:hAnsi="仿宋_GB2312" w:eastAsia="仿宋_GB2312" w:cs="仿宋_GB2312"/>
              <w:sz w:val="28"/>
              <w:szCs w:val="28"/>
              <w:highlight w:val="none"/>
              <w:lang w:val="en-US" w:eastAsia="zh-CN"/>
            </w:rPr>
            <w:t>机构设置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_Toc20862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1"/>
            <w:tabs>
              <w:tab w:val="right" w:leader="dot" w:pos="8306"/>
            </w:tabs>
            <w:rPr>
              <w:rFonts w:hint="eastAsia" w:ascii="仿宋_GB2312" w:hAnsi="仿宋_GB2312" w:eastAsia="仿宋_GB2312" w:cs="仿宋_GB2312"/>
              <w:b/>
              <w:sz w:val="28"/>
              <w:szCs w:val="28"/>
            </w:rPr>
          </w:pPr>
          <w:r>
            <w:rPr>
              <w:rFonts w:hint="eastAsia" w:ascii="仿宋_GB2312" w:hAnsi="仿宋_GB2312" w:eastAsia="仿宋_GB2312" w:cs="仿宋_GB2312"/>
              <w:b/>
              <w:color w:val="auto"/>
              <w:sz w:val="28"/>
              <w:szCs w:val="28"/>
              <w:highlight w:val="none"/>
            </w:rPr>
            <w:fldChar w:fldCharType="begin"/>
          </w:r>
          <w:r>
            <w:rPr>
              <w:rFonts w:hint="eastAsia" w:ascii="仿宋_GB2312" w:hAnsi="仿宋_GB2312" w:eastAsia="仿宋_GB2312" w:cs="仿宋_GB2312"/>
              <w:b/>
              <w:sz w:val="28"/>
              <w:szCs w:val="28"/>
              <w:highlight w:val="none"/>
            </w:rPr>
            <w:instrText xml:space="preserve"> HYPERLINK \l _Toc9539 </w:instrText>
          </w:r>
          <w:r>
            <w:rPr>
              <w:rFonts w:hint="eastAsia" w:ascii="仿宋_GB2312" w:hAnsi="仿宋_GB2312" w:eastAsia="仿宋_GB2312" w:cs="仿宋_GB2312"/>
              <w:b/>
              <w:sz w:val="28"/>
              <w:szCs w:val="28"/>
              <w:highlight w:val="none"/>
            </w:rPr>
            <w:fldChar w:fldCharType="separate"/>
          </w:r>
          <w:r>
            <w:rPr>
              <w:rFonts w:hint="eastAsia" w:ascii="仿宋_GB2312" w:hAnsi="仿宋_GB2312" w:eastAsia="仿宋_GB2312" w:cs="仿宋_GB2312"/>
              <w:b/>
              <w:bCs/>
              <w:sz w:val="28"/>
              <w:szCs w:val="28"/>
              <w:highlight w:val="none"/>
            </w:rPr>
            <w:t xml:space="preserve">第二部分 </w:t>
          </w:r>
          <w:r>
            <w:rPr>
              <w:rFonts w:hint="eastAsia" w:ascii="仿宋_GB2312" w:hAnsi="仿宋_GB2312" w:eastAsia="仿宋_GB2312" w:cs="仿宋_GB2312"/>
              <w:b/>
              <w:bCs/>
              <w:sz w:val="28"/>
              <w:szCs w:val="28"/>
              <w:highlight w:val="none"/>
              <w:lang w:val="en-US" w:eastAsia="zh-CN"/>
            </w:rPr>
            <w:t>2022年度</w:t>
          </w:r>
          <w:r>
            <w:rPr>
              <w:rFonts w:hint="eastAsia" w:ascii="仿宋_GB2312" w:hAnsi="仿宋_GB2312" w:eastAsia="仿宋_GB2312" w:cs="仿宋_GB2312"/>
              <w:b/>
              <w:bCs/>
              <w:sz w:val="28"/>
              <w:szCs w:val="28"/>
              <w:highlight w:val="none"/>
              <w:lang w:eastAsia="zh-CN"/>
            </w:rPr>
            <w:t>单位</w:t>
          </w:r>
          <w:r>
            <w:rPr>
              <w:rFonts w:hint="eastAsia" w:ascii="仿宋_GB2312" w:hAnsi="仿宋_GB2312" w:eastAsia="仿宋_GB2312" w:cs="仿宋_GB2312"/>
              <w:b/>
              <w:bCs/>
              <w:sz w:val="28"/>
              <w:szCs w:val="28"/>
              <w:highlight w:val="none"/>
            </w:rPr>
            <w:t>决算情况说明</w:t>
          </w:r>
          <w:r>
            <w:rPr>
              <w:rFonts w:hint="eastAsia" w:ascii="仿宋_GB2312" w:hAnsi="仿宋_GB2312" w:eastAsia="仿宋_GB2312" w:cs="仿宋_GB2312"/>
              <w:b/>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_Toc9539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2</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_Toc31292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rPr>
            <w:t xml:space="preserve">一、 </w:t>
          </w:r>
          <w:r>
            <w:rPr>
              <w:rFonts w:hint="eastAsia" w:ascii="仿宋_GB2312" w:hAnsi="仿宋_GB2312" w:eastAsia="仿宋_GB2312" w:cs="仿宋_GB2312"/>
              <w:sz w:val="28"/>
              <w:szCs w:val="28"/>
              <w:highlight w:val="none"/>
            </w:rPr>
            <w:t>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_Toc31292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_Toc26568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rPr>
            <w:t xml:space="preserve">二、 </w:t>
          </w:r>
          <w:r>
            <w:rPr>
              <w:rFonts w:hint="eastAsia" w:ascii="仿宋_GB2312" w:hAnsi="仿宋_GB2312" w:eastAsia="仿宋_GB2312" w:cs="仿宋_GB2312"/>
              <w:sz w:val="28"/>
              <w:szCs w:val="28"/>
              <w:highlight w:val="none"/>
            </w:rPr>
            <w:t>收入决算情况说明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_Toc26568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_Toc29322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rPr>
            <w:t xml:space="preserve">三、 </w:t>
          </w:r>
          <w:r>
            <w:rPr>
              <w:rFonts w:hint="eastAsia" w:ascii="仿宋_GB2312" w:hAnsi="仿宋_GB2312" w:eastAsia="仿宋_GB2312" w:cs="仿宋_GB2312"/>
              <w:sz w:val="28"/>
              <w:szCs w:val="28"/>
              <w:highlight w:val="none"/>
            </w:rPr>
            <w:t>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_Toc29322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_Toc31417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四、财政拨款收入支出决算总体情况说明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_Toc31417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_Toc1242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五、一般公共预算财政拨款支出决算情况说明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_Toc1242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_Toc32410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六、一般公共预算财政拨款基本支出决算情况说明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_Toc32410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_Toc22057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七、财政拨款“三公”经费支出决算情况说明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_Toc22057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_Toc10965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八、政府性基金预算支出决算情况说明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_Toc10965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_Toc13369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rPr>
            <w:t xml:space="preserve">九、 </w:t>
          </w:r>
          <w:r>
            <w:rPr>
              <w:rFonts w:hint="eastAsia" w:ascii="仿宋_GB2312" w:hAnsi="仿宋_GB2312" w:eastAsia="仿宋_GB2312" w:cs="仿宋_GB2312"/>
              <w:sz w:val="28"/>
              <w:szCs w:val="28"/>
              <w:highlight w:val="none"/>
            </w:rPr>
            <w:t>国有资本经营预算支出决算情况说明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_Toc13369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_Toc30083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rPr>
            <w:t xml:space="preserve">十、 </w:t>
          </w:r>
          <w:r>
            <w:rPr>
              <w:rFonts w:hint="eastAsia" w:ascii="仿宋_GB2312" w:hAnsi="仿宋_GB2312" w:eastAsia="仿宋_GB2312" w:cs="仿宋_GB2312"/>
              <w:sz w:val="28"/>
              <w:szCs w:val="28"/>
              <w:highlight w:val="none"/>
            </w:rPr>
            <w:t>其他重要事项的情况说明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_Toc30083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1"/>
            <w:tabs>
              <w:tab w:val="right" w:leader="dot" w:pos="8306"/>
            </w:tabs>
            <w:rPr>
              <w:rFonts w:hint="eastAsia" w:ascii="仿宋_GB2312" w:hAnsi="仿宋_GB2312" w:eastAsia="仿宋_GB2312" w:cs="仿宋_GB2312"/>
              <w:b/>
              <w:sz w:val="28"/>
              <w:szCs w:val="28"/>
            </w:rPr>
          </w:pPr>
          <w:r>
            <w:rPr>
              <w:rFonts w:hint="eastAsia" w:ascii="仿宋_GB2312" w:hAnsi="仿宋_GB2312" w:eastAsia="仿宋_GB2312" w:cs="仿宋_GB2312"/>
              <w:b/>
              <w:color w:val="auto"/>
              <w:sz w:val="28"/>
              <w:szCs w:val="28"/>
              <w:highlight w:val="none"/>
            </w:rPr>
            <w:fldChar w:fldCharType="begin"/>
          </w:r>
          <w:r>
            <w:rPr>
              <w:rFonts w:hint="eastAsia" w:ascii="仿宋_GB2312" w:hAnsi="仿宋_GB2312" w:eastAsia="仿宋_GB2312" w:cs="仿宋_GB2312"/>
              <w:b/>
              <w:sz w:val="28"/>
              <w:szCs w:val="28"/>
              <w:highlight w:val="none"/>
            </w:rPr>
            <w:instrText xml:space="preserve"> HYPERLINK \l _Toc32311 </w:instrText>
          </w:r>
          <w:r>
            <w:rPr>
              <w:rFonts w:hint="eastAsia" w:ascii="仿宋_GB2312" w:hAnsi="仿宋_GB2312" w:eastAsia="仿宋_GB2312" w:cs="仿宋_GB2312"/>
              <w:b/>
              <w:sz w:val="28"/>
              <w:szCs w:val="28"/>
              <w:highlight w:val="none"/>
            </w:rPr>
            <w:fldChar w:fldCharType="separate"/>
          </w:r>
          <w:r>
            <w:rPr>
              <w:rFonts w:hint="eastAsia" w:ascii="仿宋_GB2312" w:hAnsi="仿宋_GB2312" w:eastAsia="仿宋_GB2312" w:cs="仿宋_GB2312"/>
              <w:b/>
              <w:sz w:val="28"/>
              <w:szCs w:val="28"/>
            </w:rPr>
            <w:t xml:space="preserve">第三部分 </w:t>
          </w:r>
          <w:r>
            <w:rPr>
              <w:rFonts w:hint="eastAsia" w:ascii="仿宋_GB2312" w:hAnsi="仿宋_GB2312" w:eastAsia="仿宋_GB2312" w:cs="仿宋_GB2312"/>
              <w:b/>
              <w:sz w:val="28"/>
              <w:szCs w:val="28"/>
              <w:highlight w:val="none"/>
            </w:rPr>
            <w:t>名词解释</w:t>
          </w:r>
          <w:r>
            <w:rPr>
              <w:rFonts w:hint="eastAsia" w:ascii="仿宋_GB2312" w:hAnsi="仿宋_GB2312" w:eastAsia="仿宋_GB2312" w:cs="仿宋_GB2312"/>
              <w:b/>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_Toc32311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10</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color w:val="auto"/>
              <w:sz w:val="28"/>
              <w:szCs w:val="28"/>
              <w:highlight w:val="none"/>
            </w:rPr>
            <w:fldChar w:fldCharType="end"/>
          </w:r>
        </w:p>
        <w:p>
          <w:pPr>
            <w:pStyle w:val="31"/>
            <w:tabs>
              <w:tab w:val="right" w:leader="dot" w:pos="8306"/>
            </w:tabs>
            <w:rPr>
              <w:rFonts w:hint="eastAsia" w:ascii="仿宋_GB2312" w:hAnsi="仿宋_GB2312" w:eastAsia="仿宋_GB2312" w:cs="仿宋_GB2312"/>
              <w:b/>
              <w:sz w:val="28"/>
              <w:szCs w:val="28"/>
            </w:rPr>
          </w:pPr>
          <w:r>
            <w:rPr>
              <w:rFonts w:hint="eastAsia" w:ascii="仿宋_GB2312" w:hAnsi="仿宋_GB2312" w:eastAsia="仿宋_GB2312" w:cs="仿宋_GB2312"/>
              <w:b/>
              <w:color w:val="auto"/>
              <w:sz w:val="28"/>
              <w:szCs w:val="28"/>
              <w:highlight w:val="none"/>
            </w:rPr>
            <w:fldChar w:fldCharType="begin"/>
          </w:r>
          <w:r>
            <w:rPr>
              <w:rFonts w:hint="eastAsia" w:ascii="仿宋_GB2312" w:hAnsi="仿宋_GB2312" w:eastAsia="仿宋_GB2312" w:cs="仿宋_GB2312"/>
              <w:b/>
              <w:sz w:val="28"/>
              <w:szCs w:val="28"/>
              <w:highlight w:val="none"/>
            </w:rPr>
            <w:instrText xml:space="preserve"> HYPERLINK \l _Toc25992 </w:instrText>
          </w:r>
          <w:r>
            <w:rPr>
              <w:rFonts w:hint="eastAsia" w:ascii="仿宋_GB2312" w:hAnsi="仿宋_GB2312" w:eastAsia="仿宋_GB2312" w:cs="仿宋_GB2312"/>
              <w:b/>
              <w:sz w:val="28"/>
              <w:szCs w:val="28"/>
              <w:highlight w:val="none"/>
            </w:rPr>
            <w:fldChar w:fldCharType="separate"/>
          </w:r>
          <w:r>
            <w:rPr>
              <w:rFonts w:hint="eastAsia" w:ascii="仿宋_GB2312" w:hAnsi="仿宋_GB2312" w:eastAsia="仿宋_GB2312" w:cs="仿宋_GB2312"/>
              <w:b/>
              <w:sz w:val="28"/>
              <w:szCs w:val="28"/>
              <w:highlight w:val="none"/>
            </w:rPr>
            <w:t>第四部分 附件</w:t>
          </w:r>
          <w:r>
            <w:rPr>
              <w:rFonts w:hint="eastAsia" w:ascii="仿宋_GB2312" w:hAnsi="仿宋_GB2312" w:eastAsia="仿宋_GB2312" w:cs="仿宋_GB2312"/>
              <w:b/>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_Toc25992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12</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color w:val="auto"/>
              <w:sz w:val="28"/>
              <w:szCs w:val="28"/>
              <w:highlight w:val="none"/>
            </w:rPr>
            <w:fldChar w:fldCharType="end"/>
          </w:r>
        </w:p>
        <w:p>
          <w:pPr>
            <w:pStyle w:val="31"/>
            <w:tabs>
              <w:tab w:val="right" w:leader="dot" w:pos="8306"/>
            </w:tabs>
            <w:rPr>
              <w:rFonts w:hint="eastAsia" w:ascii="仿宋_GB2312" w:hAnsi="仿宋_GB2312" w:eastAsia="仿宋_GB2312" w:cs="仿宋_GB2312"/>
              <w:b/>
              <w:sz w:val="28"/>
              <w:szCs w:val="28"/>
            </w:rPr>
          </w:pPr>
          <w:r>
            <w:rPr>
              <w:rFonts w:hint="eastAsia" w:ascii="仿宋_GB2312" w:hAnsi="仿宋_GB2312" w:eastAsia="仿宋_GB2312" w:cs="仿宋_GB2312"/>
              <w:b/>
              <w:color w:val="auto"/>
              <w:sz w:val="28"/>
              <w:szCs w:val="28"/>
              <w:highlight w:val="none"/>
            </w:rPr>
            <w:fldChar w:fldCharType="begin"/>
          </w:r>
          <w:r>
            <w:rPr>
              <w:rFonts w:hint="eastAsia" w:ascii="仿宋_GB2312" w:hAnsi="仿宋_GB2312" w:eastAsia="仿宋_GB2312" w:cs="仿宋_GB2312"/>
              <w:b/>
              <w:sz w:val="28"/>
              <w:szCs w:val="28"/>
              <w:highlight w:val="none"/>
            </w:rPr>
            <w:instrText xml:space="preserve"> HYPERLINK \l _Toc24642 </w:instrText>
          </w:r>
          <w:r>
            <w:rPr>
              <w:rFonts w:hint="eastAsia" w:ascii="仿宋_GB2312" w:hAnsi="仿宋_GB2312" w:eastAsia="仿宋_GB2312" w:cs="仿宋_GB2312"/>
              <w:b/>
              <w:sz w:val="28"/>
              <w:szCs w:val="28"/>
              <w:highlight w:val="none"/>
            </w:rPr>
            <w:fldChar w:fldCharType="separate"/>
          </w:r>
          <w:r>
            <w:rPr>
              <w:rFonts w:hint="eastAsia" w:ascii="仿宋_GB2312" w:hAnsi="仿宋_GB2312" w:eastAsia="仿宋_GB2312" w:cs="仿宋_GB2312"/>
              <w:b/>
              <w:sz w:val="28"/>
              <w:szCs w:val="28"/>
              <w:highlight w:val="none"/>
            </w:rPr>
            <w:t>第五部分 附表</w:t>
          </w:r>
          <w:r>
            <w:rPr>
              <w:rFonts w:hint="eastAsia" w:ascii="仿宋_GB2312" w:hAnsi="仿宋_GB2312" w:eastAsia="仿宋_GB2312" w:cs="仿宋_GB2312"/>
              <w:b/>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_Toc24642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34</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_Toc27185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一、收</w:t>
          </w:r>
          <w:r>
            <w:rPr>
              <w:rFonts w:hint="eastAsia" w:ascii="仿宋_GB2312" w:hAnsi="仿宋_GB2312" w:eastAsia="仿宋_GB2312" w:cs="仿宋_GB2312"/>
              <w:bCs w:val="0"/>
              <w:sz w:val="28"/>
              <w:szCs w:val="28"/>
              <w:highlight w:val="none"/>
            </w:rPr>
            <w:t>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_Toc27185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color w:val="auto"/>
              <w:sz w:val="28"/>
              <w:szCs w:val="28"/>
              <w:highlight w:val="none"/>
            </w:rPr>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pP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_Toc20026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二、收</w:t>
          </w:r>
          <w:r>
            <w:rPr>
              <w:rFonts w:hint="eastAsia" w:ascii="仿宋_GB2312" w:hAnsi="仿宋_GB2312" w:eastAsia="仿宋_GB2312" w:cs="仿宋_GB2312"/>
              <w:bCs w:val="0"/>
              <w:sz w:val="28"/>
              <w:szCs w:val="28"/>
              <w:highlight w:val="none"/>
            </w:rPr>
            <w:t>入决算表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_Toc20026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_Toc3089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bCs w:val="0"/>
              <w:sz w:val="28"/>
              <w:szCs w:val="28"/>
              <w:highlight w:val="none"/>
            </w:rPr>
            <w:t>三、</w:t>
          </w:r>
          <w:r>
            <w:rPr>
              <w:rFonts w:hint="eastAsia" w:ascii="仿宋_GB2312" w:hAnsi="仿宋_GB2312" w:eastAsia="仿宋_GB2312" w:cs="仿宋_GB2312"/>
              <w:sz w:val="28"/>
              <w:szCs w:val="28"/>
              <w:highlight w:val="none"/>
            </w:rPr>
            <w:t>支</w:t>
          </w:r>
          <w:r>
            <w:rPr>
              <w:rFonts w:hint="eastAsia" w:ascii="仿宋_GB2312" w:hAnsi="仿宋_GB2312" w:eastAsia="仿宋_GB2312" w:cs="仿宋_GB2312"/>
              <w:bCs w:val="0"/>
              <w:sz w:val="28"/>
              <w:szCs w:val="28"/>
              <w:highlight w:val="none"/>
            </w:rPr>
            <w:t>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_Toc3089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_Toc1642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bCs w:val="0"/>
              <w:sz w:val="28"/>
              <w:szCs w:val="28"/>
              <w:highlight w:val="none"/>
            </w:rPr>
            <w:t>四、</w:t>
          </w:r>
          <w:r>
            <w:rPr>
              <w:rFonts w:hint="eastAsia" w:ascii="仿宋_GB2312" w:hAnsi="仿宋_GB2312" w:eastAsia="仿宋_GB2312" w:cs="仿宋_GB2312"/>
              <w:sz w:val="28"/>
              <w:szCs w:val="28"/>
              <w:highlight w:val="none"/>
            </w:rPr>
            <w:t>财</w:t>
          </w:r>
          <w:r>
            <w:rPr>
              <w:rFonts w:hint="eastAsia" w:ascii="仿宋_GB2312" w:hAnsi="仿宋_GB2312" w:eastAsia="仿宋_GB2312" w:cs="仿宋_GB2312"/>
              <w:bCs w:val="0"/>
              <w:sz w:val="28"/>
              <w:szCs w:val="28"/>
              <w:highlight w:val="none"/>
            </w:rPr>
            <w:t>政拨款收入支出决算总表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_Toc1642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_Toc26293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bCs w:val="0"/>
              <w:sz w:val="28"/>
              <w:szCs w:val="28"/>
              <w:highlight w:val="none"/>
            </w:rPr>
            <w:t>五、</w:t>
          </w:r>
          <w:r>
            <w:rPr>
              <w:rFonts w:hint="eastAsia" w:ascii="仿宋_GB2312" w:hAnsi="仿宋_GB2312" w:eastAsia="仿宋_GB2312" w:cs="仿宋_GB2312"/>
              <w:sz w:val="28"/>
              <w:szCs w:val="28"/>
              <w:highlight w:val="none"/>
            </w:rPr>
            <w:t>财</w:t>
          </w:r>
          <w:r>
            <w:rPr>
              <w:rFonts w:hint="eastAsia" w:ascii="仿宋_GB2312" w:hAnsi="仿宋_GB2312" w:eastAsia="仿宋_GB2312" w:cs="仿宋_GB2312"/>
              <w:bCs w:val="0"/>
              <w:sz w:val="28"/>
              <w:szCs w:val="28"/>
              <w:highlight w:val="none"/>
            </w:rPr>
            <w:t>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_Toc26293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_Toc22273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bCs w:val="0"/>
              <w:sz w:val="28"/>
              <w:szCs w:val="28"/>
              <w:highlight w:val="none"/>
            </w:rPr>
            <w:t>六、</w:t>
          </w: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bCs w:val="0"/>
              <w:sz w:val="28"/>
              <w:szCs w:val="28"/>
              <w:highlight w:val="none"/>
            </w:rPr>
            <w:t>般公共预算财政拨款支出决算表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_Toc22273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_Toc5380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bCs w:val="0"/>
              <w:sz w:val="28"/>
              <w:szCs w:val="28"/>
              <w:highlight w:val="none"/>
            </w:rPr>
            <w:t>七、</w:t>
          </w: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bCs w:val="0"/>
              <w:sz w:val="28"/>
              <w:szCs w:val="28"/>
              <w:highlight w:val="none"/>
            </w:rPr>
            <w:t>般公共预算财政拨款支出决算明细表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_Toc5380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_Toc9976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bCs w:val="0"/>
              <w:sz w:val="28"/>
              <w:szCs w:val="28"/>
              <w:highlight w:val="none"/>
            </w:rPr>
            <w:t>八、</w:t>
          </w: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bCs w:val="0"/>
              <w:sz w:val="28"/>
              <w:szCs w:val="28"/>
              <w:highlight w:val="none"/>
            </w:rPr>
            <w:t>般公共预算财政拨款基本支出决算表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_Toc9976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_Toc25366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bCs w:val="0"/>
              <w:sz w:val="28"/>
              <w:szCs w:val="28"/>
              <w:highlight w:val="none"/>
            </w:rPr>
            <w:t>九、</w:t>
          </w:r>
          <w:r>
            <w:rPr>
              <w:rFonts w:hint="eastAsia" w:ascii="仿宋_GB2312" w:hAnsi="仿宋_GB2312" w:eastAsia="仿宋_GB2312" w:cs="仿宋_GB2312"/>
              <w:sz w:val="28"/>
              <w:szCs w:val="28"/>
              <w:highlight w:val="none"/>
            </w:rPr>
            <w:t>一</w:t>
          </w:r>
          <w:r>
            <w:rPr>
              <w:rFonts w:hint="eastAsia" w:ascii="仿宋_GB2312" w:hAnsi="仿宋_GB2312" w:eastAsia="仿宋_GB2312" w:cs="仿宋_GB2312"/>
              <w:bCs w:val="0"/>
              <w:sz w:val="28"/>
              <w:szCs w:val="28"/>
              <w:highlight w:val="none"/>
            </w:rPr>
            <w:t>般公共预算财政拨款项目支出决算表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_Toc25366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_Toc5885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bCs w:val="0"/>
              <w:sz w:val="28"/>
              <w:szCs w:val="28"/>
              <w:highlight w:val="none"/>
            </w:rPr>
            <w:t>十、</w:t>
          </w:r>
          <w:r>
            <w:rPr>
              <w:rFonts w:hint="eastAsia" w:ascii="仿宋_GB2312" w:hAnsi="仿宋_GB2312" w:eastAsia="仿宋_GB2312" w:cs="仿宋_GB2312"/>
              <w:sz w:val="28"/>
              <w:szCs w:val="28"/>
              <w:highlight w:val="none"/>
            </w:rPr>
            <w:t>政</w:t>
          </w:r>
          <w:r>
            <w:rPr>
              <w:rFonts w:hint="eastAsia" w:ascii="仿宋_GB2312" w:hAnsi="仿宋_GB2312" w:eastAsia="仿宋_GB2312" w:cs="仿宋_GB2312"/>
              <w:bCs w:val="0"/>
              <w:sz w:val="28"/>
              <w:szCs w:val="28"/>
              <w:highlight w:val="none"/>
            </w:rPr>
            <w:t>府性基金预算财政拨款收入支出决算表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_Toc5885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_Toc18417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bCs w:val="0"/>
              <w:sz w:val="28"/>
              <w:szCs w:val="28"/>
              <w:highlight w:val="none"/>
            </w:rPr>
            <w:t>十一、</w:t>
          </w:r>
          <w:r>
            <w:rPr>
              <w:rFonts w:hint="eastAsia" w:ascii="仿宋_GB2312" w:hAnsi="仿宋_GB2312" w:eastAsia="仿宋_GB2312" w:cs="仿宋_GB2312"/>
              <w:sz w:val="28"/>
              <w:szCs w:val="28"/>
              <w:highlight w:val="none"/>
            </w:rPr>
            <w:t>国</w:t>
          </w:r>
          <w:r>
            <w:rPr>
              <w:rFonts w:hint="eastAsia" w:ascii="仿宋_GB2312" w:hAnsi="仿宋_GB2312" w:eastAsia="仿宋_GB2312" w:cs="仿宋_GB2312"/>
              <w:bCs w:val="0"/>
              <w:sz w:val="28"/>
              <w:szCs w:val="28"/>
              <w:highlight w:val="none"/>
            </w:rPr>
            <w:t>有资本经营预算</w:t>
          </w:r>
          <w:r>
            <w:rPr>
              <w:rFonts w:hint="eastAsia" w:ascii="仿宋_GB2312" w:hAnsi="仿宋_GB2312" w:eastAsia="仿宋_GB2312" w:cs="仿宋_GB2312"/>
              <w:bCs w:val="0"/>
              <w:sz w:val="28"/>
              <w:szCs w:val="28"/>
              <w:highlight w:val="none"/>
              <w:lang w:eastAsia="zh-CN"/>
            </w:rPr>
            <w:t>财政拨款收入</w:t>
          </w:r>
          <w:r>
            <w:rPr>
              <w:rFonts w:hint="eastAsia" w:ascii="仿宋_GB2312" w:hAnsi="仿宋_GB2312" w:eastAsia="仿宋_GB2312" w:cs="仿宋_GB2312"/>
              <w:bCs w:val="0"/>
              <w:sz w:val="28"/>
              <w:szCs w:val="28"/>
              <w:highlight w:val="none"/>
            </w:rPr>
            <w:t>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_Toc18417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_Toc32461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bCs w:val="0"/>
              <w:sz w:val="28"/>
              <w:szCs w:val="28"/>
              <w:highlight w:val="none"/>
            </w:rPr>
            <w:t>十二、</w:t>
          </w:r>
          <w:r>
            <w:rPr>
              <w:rFonts w:hint="eastAsia" w:ascii="仿宋_GB2312" w:hAnsi="仿宋_GB2312" w:eastAsia="仿宋_GB2312" w:cs="仿宋_GB2312"/>
              <w:bCs w:val="0"/>
              <w:sz w:val="28"/>
              <w:szCs w:val="28"/>
              <w:highlight w:val="none"/>
              <w:lang w:eastAsia="zh-CN"/>
            </w:rPr>
            <w:t>国有资本经营预算财政拨款支出决算表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_Toc32461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2"/>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_Toc11777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bCs w:val="0"/>
              <w:sz w:val="28"/>
              <w:szCs w:val="28"/>
              <w:highlight w:val="none"/>
            </w:rPr>
            <w:t>十三、</w:t>
          </w:r>
          <w:r>
            <w:rPr>
              <w:rFonts w:hint="eastAsia" w:ascii="仿宋_GB2312" w:hAnsi="仿宋_GB2312" w:eastAsia="仿宋_GB2312" w:cs="仿宋_GB2312"/>
              <w:bCs w:val="0"/>
              <w:sz w:val="28"/>
              <w:szCs w:val="28"/>
              <w:highlight w:val="none"/>
              <w:lang w:eastAsia="zh-CN"/>
            </w:rPr>
            <w:t>财政拨款“三公”经费支出决算表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_Toc11777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sz w:val="28"/>
              <w:szCs w:val="28"/>
              <w:highlight w:val="none"/>
            </w:rPr>
            <w:fldChar w:fldCharType="end"/>
          </w:r>
        </w:p>
        <w:p>
          <w:pPr>
            <w:pStyle w:val="3"/>
            <w:jc w:val="center"/>
            <w:outlineLvl w:val="9"/>
            <w:rPr>
              <w:rFonts w:hint="eastAsia" w:ascii="黑体" w:hAnsi="黑体" w:eastAsia="黑体"/>
              <w:b w:val="0"/>
              <w:color w:val="auto"/>
              <w:highlight w:val="none"/>
            </w:rPr>
            <w:sectPr>
              <w:footerReference r:id="rId8" w:type="first"/>
              <w:footerReference r:id="rId7" w:type="default"/>
              <w:pgSz w:w="11906" w:h="16838"/>
              <w:pgMar w:top="1440" w:right="1800" w:bottom="1440" w:left="1800" w:header="851" w:footer="992" w:gutter="0"/>
              <w:pgNumType w:fmt="decimal" w:start="1"/>
              <w:cols w:space="425" w:num="1"/>
              <w:titlePg/>
              <w:docGrid w:type="lines" w:linePitch="312" w:charSpace="0"/>
            </w:sectPr>
          </w:pPr>
          <w:r>
            <w:rPr>
              <w:rFonts w:hint="eastAsia" w:ascii="仿宋_GB2312" w:hAnsi="仿宋_GB2312" w:eastAsia="仿宋_GB2312" w:cs="仿宋_GB2312"/>
              <w:b/>
              <w:color w:val="auto"/>
              <w:sz w:val="28"/>
              <w:szCs w:val="28"/>
              <w:highlight w:val="none"/>
            </w:rPr>
            <w:fldChar w:fldCharType="end"/>
          </w:r>
          <w:bookmarkStart w:id="146" w:name="_GoBack"/>
          <w:bookmarkEnd w:id="146"/>
        </w:p>
      </w:sdtContent>
    </w:sdt>
    <w:p>
      <w:pPr>
        <w:pStyle w:val="3"/>
        <w:jc w:val="center"/>
        <w:rPr>
          <w:rStyle w:val="16"/>
          <w:rFonts w:ascii="黑体" w:hAnsi="黑体" w:eastAsia="黑体"/>
          <w:b/>
          <w:bCs w:val="0"/>
          <w:color w:val="auto"/>
          <w:highlight w:val="none"/>
        </w:rPr>
      </w:pPr>
      <w:bookmarkStart w:id="19" w:name="_Toc8746"/>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6"/>
          <w:rFonts w:hint="eastAsia" w:ascii="黑体" w:hAnsi="黑体" w:eastAsia="黑体"/>
          <w:b w:val="0"/>
          <w:bCs w:val="0"/>
          <w:color w:val="auto"/>
          <w:highlight w:val="none"/>
        </w:rPr>
        <w:t>概况</w:t>
      </w:r>
      <w:bookmarkEnd w:id="18"/>
      <w:bookmarkEnd w:id="19"/>
    </w:p>
    <w:p>
      <w:pPr>
        <w:widowControl/>
        <w:jc w:val="left"/>
        <w:rPr>
          <w:rFonts w:ascii="黑体" w:eastAsia="黑体"/>
          <w:color w:val="auto"/>
          <w:sz w:val="32"/>
          <w:szCs w:val="32"/>
          <w:highlight w:val="none"/>
        </w:rPr>
      </w:pPr>
    </w:p>
    <w:p>
      <w:pPr>
        <w:pStyle w:val="4"/>
        <w:numPr>
          <w:ilvl w:val="0"/>
          <w:numId w:val="1"/>
        </w:numPr>
        <w:rPr>
          <w:rStyle w:val="17"/>
          <w:rFonts w:hint="eastAsia" w:ascii="黑体" w:hAnsi="黑体" w:eastAsia="黑体"/>
          <w:b w:val="0"/>
          <w:bCs w:val="0"/>
          <w:color w:val="auto"/>
          <w:highlight w:val="none"/>
          <w:lang w:eastAsia="zh-CN"/>
        </w:rPr>
      </w:pPr>
      <w:bookmarkStart w:id="20" w:name="_Toc31328"/>
      <w:bookmarkStart w:id="21" w:name="_Toc11420"/>
      <w:bookmarkStart w:id="22" w:name="_Toc15377197"/>
      <w:bookmarkStart w:id="23" w:name="_Toc15396600"/>
      <w:r>
        <w:rPr>
          <w:rStyle w:val="17"/>
          <w:rFonts w:hint="eastAsia" w:ascii="黑体" w:hAnsi="黑体" w:eastAsia="黑体"/>
          <w:b w:val="0"/>
          <w:bCs w:val="0"/>
          <w:color w:val="auto"/>
          <w:highlight w:val="none"/>
          <w:lang w:eastAsia="zh-CN"/>
        </w:rPr>
        <w:t>主要职责</w:t>
      </w:r>
      <w:bookmarkEnd w:id="20"/>
      <w:bookmarkEnd w:id="21"/>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17"/>
          <w:rFonts w:hint="eastAsia" w:ascii="仿宋_GB2312" w:hAnsi="仿宋_GB2312" w:eastAsia="仿宋_GB2312" w:cs="仿宋_GB2312"/>
          <w:b w:val="0"/>
          <w:bCs w:val="0"/>
          <w:color w:val="auto"/>
          <w:highlight w:val="none"/>
          <w:lang w:eastAsia="zh-CN"/>
        </w:rPr>
      </w:pPr>
      <w:bookmarkStart w:id="24" w:name="_Toc23118"/>
      <w:bookmarkStart w:id="25" w:name="_Toc25656"/>
      <w:bookmarkStart w:id="26" w:name="_Toc17688"/>
      <w:r>
        <w:rPr>
          <w:rStyle w:val="17"/>
          <w:rFonts w:hint="eastAsia" w:ascii="仿宋_GB2312" w:hAnsi="仿宋_GB2312" w:eastAsia="仿宋_GB2312" w:cs="仿宋_GB2312"/>
          <w:b w:val="0"/>
          <w:bCs w:val="0"/>
          <w:color w:val="auto"/>
          <w:highlight w:val="none"/>
          <w:lang w:eastAsia="zh-CN"/>
        </w:rPr>
        <w:t>负责医疗事故争议技术等鉴定组织和日常工作；负责全市医师资格考试、卫生专业技术资格考试的报名初审和考务工作；协助医疗机构等级评审、复查及医学科技项目评审的相关服务工作；负责市医学会、护理学会、中医学会等学术团体办公室日常工作；负责全市卫生技术咨询服务，医学科技查新工作；协助卫生系统信息化工作。</w:t>
      </w:r>
    </w:p>
    <w:bookmarkEnd w:id="24"/>
    <w:bookmarkEnd w:id="25"/>
    <w:bookmarkEnd w:id="26"/>
    <w:p>
      <w:pPr>
        <w:pStyle w:val="4"/>
        <w:numPr>
          <w:ilvl w:val="0"/>
          <w:numId w:val="1"/>
        </w:numPr>
        <w:ind w:left="0" w:leftChars="0" w:firstLine="0" w:firstLineChars="0"/>
        <w:rPr>
          <w:rFonts w:hint="eastAsia" w:ascii="黑体" w:hAnsi="黑体" w:eastAsia="黑体"/>
          <w:b w:val="0"/>
          <w:color w:val="auto"/>
          <w:highlight w:val="none"/>
          <w:lang w:val="en-US" w:eastAsia="zh-CN"/>
        </w:rPr>
      </w:pPr>
      <w:bookmarkStart w:id="27" w:name="_Toc19463"/>
      <w:bookmarkStart w:id="28" w:name="_Toc20862"/>
      <w:r>
        <w:rPr>
          <w:rFonts w:hint="eastAsia" w:ascii="黑体" w:hAnsi="黑体" w:eastAsia="黑体"/>
          <w:b w:val="0"/>
          <w:color w:val="auto"/>
          <w:highlight w:val="none"/>
          <w:lang w:val="en-US" w:eastAsia="zh-CN"/>
        </w:rPr>
        <w:t>机构设置</w:t>
      </w:r>
      <w:bookmarkEnd w:id="27"/>
      <w:bookmarkEnd w:id="28"/>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17"/>
          <w:rFonts w:hint="eastAsia" w:ascii="仿宋_GB2312" w:hAnsi="仿宋_GB2312" w:eastAsia="仿宋_GB2312" w:cs="仿宋_GB2312"/>
          <w:b w:val="0"/>
          <w:bCs w:val="0"/>
          <w:color w:val="auto"/>
          <w:highlight w:val="none"/>
          <w:lang w:val="en-US" w:eastAsia="zh-CN"/>
        </w:rPr>
      </w:pPr>
      <w:bookmarkStart w:id="29" w:name="_Toc3007"/>
      <w:bookmarkStart w:id="30" w:name="_Toc17032"/>
      <w:bookmarkStart w:id="31" w:name="_Toc8029"/>
      <w:r>
        <w:rPr>
          <w:rStyle w:val="17"/>
          <w:rFonts w:hint="eastAsia" w:ascii="仿宋_GB2312" w:hAnsi="仿宋_GB2312" w:eastAsia="仿宋_GB2312" w:cs="仿宋_GB2312"/>
          <w:b w:val="0"/>
          <w:bCs w:val="0"/>
          <w:color w:val="auto"/>
          <w:highlight w:val="none"/>
          <w:lang w:val="en-US" w:eastAsia="zh-CN"/>
        </w:rPr>
        <w:t>广元市医学技术服务管理中心属于广元市卫生健康委员会下属的二级预算单位，下设独立编制机构1个，其中行政机构0个，参照公务员法管理的事业机构0个，其他事业机构1个。纳入广元市医学技术服务管理中心2022年度单位决算编制范围的二级预算单位包括：广元市医学技术服务管理中心。</w:t>
      </w:r>
    </w:p>
    <w:bookmarkEnd w:id="29"/>
    <w:bookmarkEnd w:id="30"/>
    <w:bookmarkEnd w:id="31"/>
    <w:p>
      <w:pPr>
        <w:pStyle w:val="2"/>
        <w:rPr>
          <w:rFonts w:hint="eastAsia"/>
          <w:lang w:val="en-US" w:eastAsia="zh-CN"/>
        </w:rPr>
      </w:pPr>
    </w:p>
    <w:p>
      <w:pPr>
        <w:pStyle w:val="2"/>
        <w:rPr>
          <w:rFonts w:hint="eastAsia"/>
          <w:lang w:val="en-US" w:eastAsia="zh-CN"/>
        </w:rPr>
      </w:pPr>
    </w:p>
    <w:p>
      <w:pPr>
        <w:pStyle w:val="2"/>
        <w:rPr>
          <w:rFonts w:hint="eastAsia"/>
          <w:lang w:val="en-US" w:eastAsia="zh-CN"/>
        </w:rPr>
      </w:pPr>
    </w:p>
    <w:bookmarkEnd w:id="22"/>
    <w:bookmarkEnd w:id="23"/>
    <w:p>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ind w:right="440"/>
        <w:jc w:val="center"/>
        <w:rPr>
          <w:color w:val="auto"/>
          <w:highlight w:val="none"/>
        </w:rPr>
      </w:pPr>
      <w:bookmarkStart w:id="32" w:name="_Toc15377204"/>
      <w:bookmarkStart w:id="33" w:name="_Toc15396602"/>
      <w:bookmarkStart w:id="34" w:name="_Toc29080"/>
      <w:bookmarkStart w:id="35" w:name="_Toc9539"/>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6"/>
          <w:rFonts w:hint="eastAsia" w:ascii="黑体" w:hAnsi="黑体" w:eastAsia="黑体"/>
          <w:b w:val="0"/>
          <w:bCs/>
          <w:color w:val="auto"/>
          <w:highlight w:val="none"/>
          <w:lang w:eastAsia="zh-CN"/>
        </w:rPr>
        <w:t>单位</w:t>
      </w:r>
      <w:r>
        <w:rPr>
          <w:rStyle w:val="16"/>
          <w:rFonts w:hint="eastAsia" w:ascii="黑体" w:hAnsi="黑体" w:eastAsia="黑体"/>
          <w:b w:val="0"/>
          <w:bCs/>
          <w:color w:val="auto"/>
          <w:highlight w:val="none"/>
        </w:rPr>
        <w:t>决算情况说明</w:t>
      </w:r>
      <w:bookmarkEnd w:id="32"/>
      <w:bookmarkEnd w:id="33"/>
      <w:bookmarkEnd w:id="34"/>
      <w:bookmarkEnd w:id="35"/>
    </w:p>
    <w:p>
      <w:pPr>
        <w:pStyle w:val="27"/>
        <w:numPr>
          <w:ilvl w:val="0"/>
          <w:numId w:val="2"/>
        </w:numPr>
        <w:spacing w:line="600" w:lineRule="exact"/>
        <w:ind w:firstLineChars="0"/>
        <w:outlineLvl w:val="1"/>
        <w:rPr>
          <w:rStyle w:val="17"/>
          <w:rFonts w:ascii="黑体" w:hAnsi="黑体" w:eastAsia="黑体"/>
          <w:b w:val="0"/>
          <w:color w:val="auto"/>
          <w:highlight w:val="none"/>
        </w:rPr>
      </w:pPr>
      <w:bookmarkStart w:id="36" w:name="_Toc31292"/>
      <w:bookmarkStart w:id="37" w:name="_Toc15396603"/>
      <w:bookmarkStart w:id="38" w:name="_Toc15377205"/>
      <w:bookmarkStart w:id="39" w:name="_Toc26109"/>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入支出决算总体情况说明</w:t>
      </w:r>
      <w:bookmarkEnd w:id="36"/>
      <w:bookmarkEnd w:id="37"/>
      <w:bookmarkEnd w:id="38"/>
      <w:bookmarkEnd w:id="39"/>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168.43</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36.41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27.58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一</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val="en-US" w:eastAsia="zh-CN"/>
        </w:rPr>
        <w:t>2021年7月新进人员2名，22年人员相关经费增加；二是22年本土疫疫情暴发开展考试工作疫情防控等方面支出增加</w:t>
      </w:r>
      <w:r>
        <w:rPr>
          <w:rFonts w:hint="eastAsia" w:ascii="仿宋" w:hAnsi="仿宋" w:eastAsia="仿宋"/>
          <w:color w:val="auto"/>
          <w:sz w:val="32"/>
          <w:szCs w:val="32"/>
          <w:highlight w:val="none"/>
          <w:lang w:eastAsia="zh-CN"/>
        </w:rPr>
        <w:t>。</w:t>
      </w:r>
    </w:p>
    <w:p>
      <w:pPr>
        <w:spacing w:line="600" w:lineRule="exact"/>
        <w:jc w:val="center"/>
        <w:rPr>
          <w:rFonts w:hint="eastAsia" w:ascii="仿宋" w:hAnsi="仿宋" w:eastAsia="仿宋"/>
          <w:color w:val="auto"/>
          <w:sz w:val="32"/>
          <w:szCs w:val="32"/>
          <w:highlight w:val="none"/>
        </w:rPr>
      </w:pPr>
      <w:r>
        <w:drawing>
          <wp:anchor distT="0" distB="0" distL="114300" distR="114300" simplePos="0" relativeHeight="251659264" behindDoc="0" locked="0" layoutInCell="1" allowOverlap="1">
            <wp:simplePos x="0" y="0"/>
            <wp:positionH relativeFrom="column">
              <wp:posOffset>252095</wp:posOffset>
            </wp:positionH>
            <wp:positionV relativeFrom="paragraph">
              <wp:posOffset>261620</wp:posOffset>
            </wp:positionV>
            <wp:extent cx="5082540" cy="2623820"/>
            <wp:effectExtent l="4445" t="4445" r="18415" b="1968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：收、支决算总计变动情况图（单位：万元）</w:t>
      </w:r>
    </w:p>
    <w:p>
      <w:pPr>
        <w:pStyle w:val="2"/>
        <w:rPr>
          <w:rFonts w:hint="eastAsia"/>
          <w:lang w:val="en-US" w:eastAsia="zh-CN"/>
        </w:rPr>
      </w:pPr>
    </w:p>
    <w:p>
      <w:pPr>
        <w:pStyle w:val="27"/>
        <w:numPr>
          <w:ilvl w:val="0"/>
          <w:numId w:val="2"/>
        </w:numPr>
        <w:spacing w:line="600" w:lineRule="exact"/>
        <w:ind w:firstLineChars="0"/>
        <w:outlineLvl w:val="1"/>
        <w:rPr>
          <w:rStyle w:val="17"/>
          <w:rFonts w:ascii="黑体" w:hAnsi="黑体" w:eastAsia="黑体"/>
          <w:b w:val="0"/>
          <w:color w:val="auto"/>
          <w:highlight w:val="none"/>
        </w:rPr>
      </w:pPr>
      <w:bookmarkStart w:id="40" w:name="_Toc15377206"/>
      <w:bookmarkStart w:id="41" w:name="_Toc6196"/>
      <w:bookmarkStart w:id="42" w:name="_Toc15396604"/>
      <w:bookmarkStart w:id="43" w:name="_Toc26568"/>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入决算情况说明</w:t>
      </w:r>
      <w:bookmarkEnd w:id="40"/>
      <w:bookmarkEnd w:id="41"/>
      <w:bookmarkEnd w:id="42"/>
      <w:bookmarkEnd w:id="43"/>
    </w:p>
    <w:p>
      <w:pPr>
        <w:spacing w:line="600" w:lineRule="exact"/>
        <w:ind w:firstLine="640" w:firstLineChars="200"/>
        <w:outlineLvl w:val="1"/>
        <w:rPr>
          <w:rFonts w:ascii="仿宋" w:hAnsi="仿宋" w:eastAsia="仿宋"/>
          <w:color w:val="auto"/>
          <w:sz w:val="32"/>
          <w:szCs w:val="32"/>
          <w:highlight w:val="none"/>
        </w:rPr>
      </w:pPr>
      <w:bookmarkStart w:id="44" w:name="_Toc4049"/>
      <w:bookmarkStart w:id="45" w:name="_Toc14614"/>
      <w:bookmarkStart w:id="46" w:name="_Toc28143"/>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164.39</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164.39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eastAsia="仿宋"/>
          <w:color w:val="000000"/>
          <w:sz w:val="32"/>
          <w:szCs w:val="32"/>
        </w:rPr>
        <w:t>。</w:t>
      </w:r>
      <w:bookmarkEnd w:id="44"/>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4676140" cy="2360295"/>
            <wp:effectExtent l="4445" t="4445" r="5715" b="165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图2：收入决算结构图（单位：万元）</w:t>
      </w:r>
    </w:p>
    <w:p>
      <w:pPr>
        <w:spacing w:line="600" w:lineRule="exact"/>
        <w:ind w:firstLine="640" w:firstLineChars="200"/>
        <w:rPr>
          <w:rFonts w:ascii="仿宋_GB2312" w:eastAsia="仿宋_GB2312"/>
          <w:color w:val="auto"/>
          <w:sz w:val="32"/>
          <w:szCs w:val="32"/>
          <w:highlight w:val="none"/>
        </w:rPr>
      </w:pPr>
    </w:p>
    <w:p>
      <w:pPr>
        <w:pStyle w:val="27"/>
        <w:numPr>
          <w:ilvl w:val="0"/>
          <w:numId w:val="2"/>
        </w:numPr>
        <w:spacing w:line="600" w:lineRule="exact"/>
        <w:ind w:firstLineChars="0"/>
        <w:outlineLvl w:val="1"/>
        <w:rPr>
          <w:rStyle w:val="17"/>
          <w:rFonts w:ascii="黑体" w:hAnsi="黑体" w:eastAsia="黑体"/>
          <w:b w:val="0"/>
          <w:color w:val="auto"/>
          <w:highlight w:val="none"/>
        </w:rPr>
      </w:pPr>
      <w:bookmarkStart w:id="47" w:name="_Toc15377207"/>
      <w:bookmarkStart w:id="48" w:name="_Toc29322"/>
      <w:bookmarkStart w:id="49" w:name="_Toc15396605"/>
      <w:bookmarkStart w:id="50" w:name="_Toc2271"/>
      <w:r>
        <w:rPr>
          <w:rFonts w:hint="eastAsia" w:ascii="黑体" w:hAnsi="黑体" w:eastAsia="黑体"/>
          <w:color w:val="auto"/>
          <w:sz w:val="32"/>
          <w:szCs w:val="32"/>
          <w:highlight w:val="none"/>
        </w:rPr>
        <w:t>支</w:t>
      </w:r>
      <w:r>
        <w:rPr>
          <w:rStyle w:val="17"/>
          <w:rFonts w:hint="eastAsia" w:ascii="黑体" w:hAnsi="黑体" w:eastAsia="黑体"/>
          <w:b w:val="0"/>
          <w:color w:val="auto"/>
          <w:highlight w:val="none"/>
        </w:rPr>
        <w:t>出决算情况说明</w:t>
      </w:r>
      <w:bookmarkEnd w:id="47"/>
      <w:bookmarkEnd w:id="48"/>
      <w:bookmarkEnd w:id="49"/>
      <w:bookmarkEnd w:id="50"/>
    </w:p>
    <w:p>
      <w:pPr>
        <w:spacing w:line="600" w:lineRule="exact"/>
        <w:ind w:firstLine="640" w:firstLineChars="200"/>
        <w:outlineLvl w:val="1"/>
        <w:rPr>
          <w:rFonts w:ascii="仿宋" w:hAnsi="仿宋" w:eastAsia="仿宋"/>
          <w:color w:val="auto"/>
          <w:sz w:val="32"/>
          <w:szCs w:val="32"/>
          <w:highlight w:val="none"/>
        </w:rPr>
      </w:pPr>
      <w:bookmarkStart w:id="51" w:name="_Toc16929"/>
      <w:bookmarkStart w:id="52" w:name="_Toc7665"/>
      <w:bookmarkStart w:id="53" w:name="_Toc21811"/>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168.43</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101.23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60.1</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67.2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39.9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51"/>
      <w:bookmarkEnd w:id="52"/>
      <w:bookmarkEnd w:id="53"/>
    </w:p>
    <w:p>
      <w:pPr>
        <w:keepNext w:val="0"/>
        <w:keepLines w:val="0"/>
        <w:pageBreakBefore w:val="0"/>
        <w:widowControl w:val="0"/>
        <w:kinsoku/>
        <w:wordWrap/>
        <w:overflowPunct/>
        <w:topLinePunct w:val="0"/>
        <w:autoSpaceDE/>
        <w:autoSpaceDN/>
        <w:bidi w:val="0"/>
        <w:adjustRightInd/>
        <w:snapToGrid/>
        <w:spacing w:line="240" w:lineRule="auto"/>
        <w:ind w:firstLine="641"/>
        <w:jc w:val="center"/>
        <w:textAlignment w:val="auto"/>
        <w:rPr>
          <w:rFonts w:hint="eastAsia" w:ascii="仿宋" w:hAnsi="仿宋" w:eastAsia="仿宋"/>
          <w:color w:val="auto"/>
          <w:sz w:val="32"/>
          <w:szCs w:val="32"/>
          <w:highlight w:val="none"/>
          <w:shd w:val="pct10" w:color="auto" w:fill="FFFFFF"/>
          <w:lang w:eastAsia="zh-CN"/>
        </w:rPr>
      </w:pPr>
      <w:r>
        <w:rPr>
          <w:rFonts w:hint="eastAsia" w:ascii="仿宋" w:hAnsi="仿宋" w:eastAsia="仿宋"/>
          <w:color w:val="auto"/>
          <w:sz w:val="32"/>
          <w:szCs w:val="32"/>
          <w:highlight w:val="none"/>
          <w:shd w:val="pct10" w:color="auto" w:fill="FFFFFF"/>
          <w:lang w:eastAsia="zh-CN"/>
        </w:rPr>
        <w:drawing>
          <wp:inline distT="0" distB="0" distL="114300" distR="114300">
            <wp:extent cx="4389120" cy="2435860"/>
            <wp:effectExtent l="5080" t="4445" r="6350" b="1714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firstLineChars="200"/>
        <w:jc w:val="center"/>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图3：支出决算结构（单位：万元）</w:t>
      </w:r>
    </w:p>
    <w:p>
      <w:pPr>
        <w:pStyle w:val="2"/>
      </w:pPr>
    </w:p>
    <w:p>
      <w:pPr>
        <w:spacing w:line="600" w:lineRule="exact"/>
        <w:ind w:firstLine="640" w:firstLineChars="200"/>
        <w:outlineLvl w:val="1"/>
        <w:rPr>
          <w:rStyle w:val="17"/>
          <w:rFonts w:ascii="黑体" w:hAnsi="黑体" w:eastAsia="黑体"/>
          <w:b w:val="0"/>
          <w:color w:val="auto"/>
          <w:highlight w:val="none"/>
        </w:rPr>
      </w:pPr>
      <w:bookmarkStart w:id="54" w:name="_Toc15396606"/>
      <w:bookmarkStart w:id="55" w:name="_Toc31417"/>
      <w:bookmarkStart w:id="56" w:name="_Toc15931"/>
      <w:bookmarkStart w:id="57" w:name="_Toc15377208"/>
      <w:r>
        <w:rPr>
          <w:rFonts w:hint="eastAsia" w:ascii="黑体" w:hAnsi="黑体" w:eastAsia="黑体"/>
          <w:color w:val="auto"/>
          <w:sz w:val="32"/>
          <w:szCs w:val="32"/>
          <w:highlight w:val="none"/>
        </w:rPr>
        <w:t>四、财</w:t>
      </w:r>
      <w:r>
        <w:rPr>
          <w:rStyle w:val="17"/>
          <w:rFonts w:hint="eastAsia" w:ascii="黑体" w:hAnsi="黑体" w:eastAsia="黑体"/>
          <w:b w:val="0"/>
          <w:color w:val="auto"/>
          <w:highlight w:val="none"/>
        </w:rPr>
        <w:t>政拨款收入支出决算总体情况说明</w:t>
      </w:r>
      <w:bookmarkEnd w:id="54"/>
      <w:bookmarkEnd w:id="55"/>
      <w:bookmarkEnd w:id="56"/>
      <w:bookmarkEnd w:id="57"/>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168.43</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36.41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27.58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一</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val="en-US" w:eastAsia="zh-CN"/>
        </w:rPr>
        <w:t>2021年7月新进人员2名，22年人员相关经费增加；二是22年本土疫疫情暴发开展考试工作疫情防控等方面支出增加</w:t>
      </w:r>
      <w:r>
        <w:rPr>
          <w:rFonts w:hint="eastAsia" w:ascii="仿宋" w:hAnsi="仿宋" w:eastAsia="仿宋"/>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4836160" cy="2587625"/>
            <wp:effectExtent l="4445" t="4445" r="17145" b="1778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pPr>
      <w:r>
        <w:rPr>
          <w:rFonts w:hint="eastAsia" w:ascii="仿宋" w:hAnsi="仿宋" w:eastAsia="仿宋"/>
          <w:color w:val="auto"/>
          <w:sz w:val="32"/>
          <w:szCs w:val="32"/>
          <w:highlight w:val="none"/>
        </w:rPr>
        <w:t>图4：财政拨款收、支决算总计变动情况（单位：万元）</w:t>
      </w:r>
    </w:p>
    <w:p>
      <w:pPr>
        <w:spacing w:line="600" w:lineRule="exact"/>
        <w:ind w:firstLine="640" w:firstLineChars="200"/>
        <w:outlineLvl w:val="1"/>
        <w:rPr>
          <w:rStyle w:val="17"/>
          <w:rFonts w:ascii="黑体" w:hAnsi="黑体" w:eastAsia="黑体"/>
          <w:b w:val="0"/>
          <w:color w:val="auto"/>
          <w:highlight w:val="none"/>
        </w:rPr>
      </w:pPr>
      <w:bookmarkStart w:id="58" w:name="_Toc24138"/>
      <w:bookmarkStart w:id="59" w:name="_Toc1242"/>
      <w:bookmarkStart w:id="60" w:name="_Toc15377209"/>
      <w:bookmarkStart w:id="61"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般公共预算财政拨款支出决算情况说明</w:t>
      </w:r>
      <w:bookmarkEnd w:id="58"/>
      <w:bookmarkEnd w:id="59"/>
      <w:bookmarkEnd w:id="60"/>
      <w:bookmarkEnd w:id="61"/>
    </w:p>
    <w:p>
      <w:pPr>
        <w:spacing w:line="600" w:lineRule="exact"/>
        <w:ind w:firstLine="643" w:firstLineChars="200"/>
        <w:outlineLvl w:val="2"/>
        <w:rPr>
          <w:rFonts w:ascii="仿宋" w:hAnsi="仿宋" w:eastAsia="仿宋"/>
          <w:b/>
          <w:color w:val="auto"/>
          <w:sz w:val="32"/>
          <w:szCs w:val="32"/>
          <w:highlight w:val="none"/>
        </w:rPr>
      </w:pPr>
      <w:bookmarkStart w:id="62" w:name="_Toc15377210"/>
      <w:r>
        <w:rPr>
          <w:rFonts w:hint="eastAsia" w:ascii="仿宋" w:hAnsi="仿宋" w:eastAsia="仿宋"/>
          <w:b/>
          <w:color w:val="auto"/>
          <w:sz w:val="32"/>
          <w:szCs w:val="32"/>
          <w:highlight w:val="none"/>
        </w:rPr>
        <w:t>（一）一般公共预算财政拨款支出决算总体情况</w:t>
      </w:r>
      <w:bookmarkEnd w:id="62"/>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168.43</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40.75</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31.91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一</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val="en-US" w:eastAsia="zh-CN"/>
        </w:rPr>
        <w:t>2021年7月新进人员2名，22年人员相关经费增加；二是22年本土疫疫情暴发开展考试工作疫情防控等方面支出增加</w:t>
      </w:r>
      <w:r>
        <w:rPr>
          <w:rFonts w:hint="eastAsia" w:ascii="仿宋" w:hAnsi="仿宋" w:eastAsia="仿宋"/>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5240" b="1714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jc w:val="center"/>
      </w:pPr>
      <w:r>
        <w:rPr>
          <w:rFonts w:hint="eastAsia" w:ascii="仿宋" w:hAnsi="仿宋" w:eastAsia="仿宋"/>
          <w:color w:val="auto"/>
          <w:sz w:val="32"/>
          <w:szCs w:val="32"/>
          <w:highlight w:val="none"/>
        </w:rPr>
        <w:t>图5：一般公共预算财政拨款支出决算变动情况</w:t>
      </w:r>
      <w:r>
        <w:rPr>
          <w:rFonts w:hint="eastAsia" w:ascii="仿宋" w:hAnsi="仿宋" w:eastAsia="仿宋"/>
          <w:color w:val="auto"/>
          <w:spacing w:val="-20"/>
          <w:sz w:val="32"/>
          <w:szCs w:val="32"/>
          <w:highlight w:val="none"/>
        </w:rPr>
        <w:t>（单位：万元）</w:t>
      </w:r>
    </w:p>
    <w:p>
      <w:pPr>
        <w:spacing w:line="600" w:lineRule="exact"/>
        <w:ind w:firstLine="643" w:firstLineChars="200"/>
        <w:outlineLvl w:val="2"/>
        <w:rPr>
          <w:rFonts w:ascii="仿宋" w:hAnsi="仿宋" w:eastAsia="仿宋"/>
          <w:b/>
          <w:color w:val="auto"/>
          <w:sz w:val="32"/>
          <w:szCs w:val="32"/>
          <w:highlight w:val="none"/>
        </w:rPr>
      </w:pPr>
      <w:bookmarkStart w:id="63" w:name="_Toc15377211"/>
      <w:r>
        <w:rPr>
          <w:rFonts w:hint="eastAsia" w:ascii="仿宋" w:hAnsi="仿宋" w:eastAsia="仿宋"/>
          <w:b/>
          <w:color w:val="auto"/>
          <w:sz w:val="32"/>
          <w:szCs w:val="32"/>
          <w:highlight w:val="none"/>
        </w:rPr>
        <w:t>（二）一般公共预算财政拨款支出决算结构情况</w:t>
      </w:r>
      <w:bookmarkEnd w:id="63"/>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168.43</w:t>
      </w:r>
      <w:r>
        <w:rPr>
          <w:rFonts w:hint="eastAsia" w:ascii="仿宋" w:hAnsi="仿宋" w:eastAsia="仿宋"/>
          <w:color w:val="auto"/>
          <w:sz w:val="32"/>
          <w:szCs w:val="32"/>
          <w:highlight w:val="none"/>
        </w:rPr>
        <w:t>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lang w:eastAsia="zh-CN"/>
        </w:rPr>
        <w:t>社会</w:t>
      </w:r>
      <w:r>
        <w:rPr>
          <w:rFonts w:hint="eastAsia" w:ascii="仿宋" w:hAnsi="仿宋" w:eastAsia="仿宋"/>
          <w:b/>
          <w:color w:val="auto"/>
          <w:sz w:val="32"/>
          <w:szCs w:val="32"/>
          <w:highlight w:val="none"/>
        </w:rPr>
        <w:t>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7.08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151.22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89.78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10.12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6.02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4551680" cy="2626995"/>
            <wp:effectExtent l="4445" t="4445" r="15875" b="1651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图6：一般公共预算财政拨款支出决算结构（单位：万元）</w:t>
      </w:r>
    </w:p>
    <w:p>
      <w:pPr>
        <w:spacing w:line="600" w:lineRule="exact"/>
        <w:ind w:firstLine="640" w:firstLineChars="200"/>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64" w:name="_Toc15377212"/>
      <w:r>
        <w:rPr>
          <w:rFonts w:hint="eastAsia" w:ascii="仿宋" w:hAnsi="仿宋" w:eastAsia="仿宋"/>
          <w:b/>
          <w:color w:val="auto"/>
          <w:sz w:val="32"/>
          <w:szCs w:val="32"/>
          <w:highlight w:val="none"/>
        </w:rPr>
        <w:t>（三）一般公共预算财政拨款支出决算具体情况</w:t>
      </w:r>
      <w:bookmarkEnd w:id="64"/>
    </w:p>
    <w:p>
      <w:pPr>
        <w:spacing w:line="600" w:lineRule="exact"/>
        <w:ind w:firstLine="643" w:firstLineChars="200"/>
        <w:outlineLvl w:val="1"/>
        <w:rPr>
          <w:rFonts w:ascii="仿宋" w:hAnsi="仿宋" w:eastAsia="仿宋"/>
          <w:color w:val="auto"/>
          <w:sz w:val="32"/>
          <w:szCs w:val="32"/>
          <w:highlight w:val="none"/>
        </w:rPr>
      </w:pPr>
      <w:bookmarkStart w:id="65" w:name="_Toc3278"/>
      <w:bookmarkStart w:id="66" w:name="_Toc15377444"/>
      <w:bookmarkStart w:id="67" w:name="_Toc15377213"/>
      <w:bookmarkStart w:id="68" w:name="_Toc15378460"/>
      <w:bookmarkStart w:id="69" w:name="_Toc23817"/>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168.43</w:t>
      </w:r>
      <w:r>
        <w:rPr>
          <w:rFonts w:hint="eastAsia" w:ascii="仿宋" w:hAnsi="仿宋" w:eastAsia="仿宋"/>
          <w:color w:val="auto"/>
          <w:sz w:val="32"/>
          <w:szCs w:val="32"/>
          <w:highlight w:val="none"/>
        </w:rPr>
        <w:t>，</w:t>
      </w:r>
      <w:r>
        <w:rPr>
          <w:rStyle w:val="14"/>
          <w:rFonts w:hint="eastAsia" w:ascii="仿宋" w:hAnsi="仿宋" w:eastAsia="仿宋"/>
          <w:bCs/>
          <w:color w:val="auto"/>
          <w:sz w:val="32"/>
          <w:szCs w:val="32"/>
          <w:highlight w:val="none"/>
        </w:rPr>
        <w:t>完成预算</w:t>
      </w:r>
      <w:r>
        <w:rPr>
          <w:rStyle w:val="14"/>
          <w:rFonts w:hint="eastAsia" w:ascii="仿宋" w:hAnsi="仿宋" w:eastAsia="仿宋"/>
          <w:bCs/>
          <w:color w:val="auto"/>
          <w:sz w:val="32"/>
          <w:szCs w:val="32"/>
          <w:highlight w:val="none"/>
          <w:lang w:val="en-US" w:eastAsia="zh-CN"/>
        </w:rPr>
        <w:t>100</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。其中：</w:t>
      </w:r>
      <w:bookmarkEnd w:id="65"/>
      <w:bookmarkEnd w:id="66"/>
      <w:bookmarkEnd w:id="67"/>
      <w:bookmarkEnd w:id="68"/>
      <w:bookmarkEnd w:id="69"/>
    </w:p>
    <w:p>
      <w:pPr>
        <w:spacing w:line="600" w:lineRule="exact"/>
        <w:ind w:firstLine="643" w:firstLineChars="200"/>
        <w:rPr>
          <w:rStyle w:val="14"/>
          <w:rFonts w:hint="eastAsia" w:ascii="仿宋" w:eastAsia="仿宋"/>
          <w:b w:val="0"/>
          <w:bCs/>
          <w:color w:val="000000"/>
          <w:sz w:val="32"/>
          <w:szCs w:val="32"/>
        </w:rPr>
      </w:pPr>
      <w:r>
        <w:rPr>
          <w:rStyle w:val="14"/>
          <w:rFonts w:hint="eastAsia" w:ascii="仿宋" w:eastAsia="仿宋"/>
          <w:bCs/>
          <w:color w:val="000000"/>
          <w:sz w:val="32"/>
          <w:szCs w:val="32"/>
        </w:rPr>
        <w:t>1.社会保障和就业（类）行政事业单位养老支出（款）机关事业单位基本养老保险缴费支出（项）</w:t>
      </w:r>
      <w:r>
        <w:rPr>
          <w:rStyle w:val="14"/>
          <w:rFonts w:hint="eastAsia" w:ascii="仿宋" w:eastAsia="仿宋"/>
          <w:bCs/>
          <w:color w:val="000000"/>
          <w:sz w:val="32"/>
          <w:szCs w:val="32"/>
          <w:lang w:eastAsia="zh-CN"/>
        </w:rPr>
        <w:t>：</w:t>
      </w:r>
      <w:r>
        <w:rPr>
          <w:rStyle w:val="14"/>
          <w:rFonts w:hint="eastAsia" w:ascii="仿宋" w:eastAsia="仿宋"/>
          <w:b w:val="0"/>
          <w:bCs/>
          <w:color w:val="000000"/>
          <w:sz w:val="32"/>
          <w:szCs w:val="32"/>
          <w:lang w:eastAsia="zh-CN"/>
        </w:rPr>
        <w:t>支出</w:t>
      </w:r>
      <w:r>
        <w:rPr>
          <w:rStyle w:val="14"/>
          <w:rFonts w:hint="eastAsia" w:ascii="仿宋" w:eastAsia="仿宋"/>
          <w:b w:val="0"/>
          <w:bCs/>
          <w:color w:val="000000"/>
          <w:sz w:val="32"/>
          <w:szCs w:val="32"/>
          <w:lang w:val="en-US" w:eastAsia="zh-CN"/>
        </w:rPr>
        <w:t>决</w:t>
      </w:r>
      <w:r>
        <w:rPr>
          <w:rStyle w:val="14"/>
          <w:rFonts w:hint="eastAsia" w:ascii="仿宋" w:eastAsia="仿宋"/>
          <w:b w:val="0"/>
          <w:bCs/>
          <w:color w:val="000000"/>
          <w:sz w:val="32"/>
          <w:szCs w:val="32"/>
        </w:rPr>
        <w:t>算为</w:t>
      </w:r>
      <w:r>
        <w:rPr>
          <w:rStyle w:val="14"/>
          <w:rFonts w:hint="eastAsia" w:ascii="仿宋" w:eastAsia="仿宋"/>
          <w:b w:val="0"/>
          <w:bCs/>
          <w:color w:val="000000"/>
          <w:sz w:val="32"/>
          <w:szCs w:val="32"/>
          <w:lang w:val="en-US" w:eastAsia="zh-CN"/>
        </w:rPr>
        <w:t>7.08</w:t>
      </w:r>
      <w:r>
        <w:rPr>
          <w:rStyle w:val="14"/>
          <w:rFonts w:hint="eastAsia" w:ascii="仿宋" w:eastAsia="仿宋"/>
          <w:b w:val="0"/>
          <w:bCs/>
          <w:color w:val="000000"/>
          <w:sz w:val="32"/>
          <w:szCs w:val="32"/>
        </w:rPr>
        <w:t>万元，完成预算100%。</w:t>
      </w:r>
    </w:p>
    <w:p>
      <w:pPr>
        <w:spacing w:line="600" w:lineRule="exact"/>
        <w:ind w:firstLine="643" w:firstLineChars="200"/>
        <w:rPr>
          <w:rStyle w:val="14"/>
          <w:rFonts w:hint="eastAsia" w:ascii="仿宋" w:eastAsia="仿宋"/>
          <w:b w:val="0"/>
          <w:bCs/>
          <w:color w:val="000000"/>
          <w:sz w:val="32"/>
          <w:szCs w:val="32"/>
        </w:rPr>
      </w:pPr>
      <w:r>
        <w:rPr>
          <w:rStyle w:val="14"/>
          <w:rFonts w:hint="eastAsia" w:ascii="仿宋" w:eastAsia="仿宋"/>
          <w:bCs/>
          <w:color w:val="000000"/>
          <w:sz w:val="32"/>
          <w:szCs w:val="32"/>
          <w:highlight w:val="none"/>
        </w:rPr>
        <w:t>2.</w:t>
      </w:r>
      <w:r>
        <w:rPr>
          <w:rFonts w:hint="eastAsia" w:ascii="仿宋" w:eastAsia="仿宋"/>
          <w:b/>
          <w:bCs/>
          <w:color w:val="000000"/>
          <w:sz w:val="32"/>
          <w:szCs w:val="32"/>
          <w:highlight w:val="none"/>
        </w:rPr>
        <w:t>卫生健康</w:t>
      </w:r>
      <w:r>
        <w:rPr>
          <w:rStyle w:val="14"/>
          <w:rFonts w:hint="eastAsia" w:ascii="仿宋" w:eastAsia="仿宋"/>
          <w:bCs/>
          <w:color w:val="000000"/>
          <w:sz w:val="32"/>
          <w:szCs w:val="32"/>
          <w:highlight w:val="none"/>
        </w:rPr>
        <w:t>（类）卫生健康管理事务（款）其他卫生健康管理事务支出（项）:</w:t>
      </w:r>
      <w:r>
        <w:rPr>
          <w:rStyle w:val="14"/>
          <w:rFonts w:hint="eastAsia" w:ascii="仿宋" w:eastAsia="仿宋"/>
          <w:b w:val="0"/>
          <w:bCs w:val="0"/>
          <w:color w:val="000000"/>
          <w:sz w:val="32"/>
          <w:szCs w:val="32"/>
          <w:highlight w:val="none"/>
          <w:lang w:eastAsia="zh-CN"/>
        </w:rPr>
        <w:t>支出决算为</w:t>
      </w:r>
      <w:r>
        <w:rPr>
          <w:rStyle w:val="14"/>
          <w:rFonts w:hint="eastAsia" w:ascii="仿宋" w:eastAsia="仿宋" w:hAnsiTheme="minorHAnsi" w:cstheme="minorBidi"/>
          <w:b w:val="0"/>
          <w:bCs/>
          <w:color w:val="000000"/>
          <w:sz w:val="32"/>
          <w:szCs w:val="32"/>
          <w:lang w:val="en-US" w:eastAsia="zh-CN"/>
        </w:rPr>
        <w:t>67.20万元，完成预算100%。</w:t>
      </w:r>
    </w:p>
    <w:p>
      <w:pPr>
        <w:spacing w:line="600" w:lineRule="exact"/>
        <w:ind w:firstLine="643" w:firstLineChars="200"/>
        <w:rPr>
          <w:rStyle w:val="14"/>
          <w:rFonts w:hint="eastAsia" w:ascii="仿宋" w:eastAsia="仿宋"/>
          <w:b w:val="0"/>
          <w:bCs/>
          <w:color w:val="000000"/>
          <w:sz w:val="32"/>
          <w:szCs w:val="32"/>
          <w:highlight w:val="none"/>
        </w:rPr>
      </w:pPr>
      <w:r>
        <w:rPr>
          <w:rStyle w:val="14"/>
          <w:rFonts w:hint="eastAsia" w:ascii="仿宋" w:eastAsia="仿宋"/>
          <w:bCs/>
          <w:color w:val="000000"/>
          <w:sz w:val="32"/>
          <w:szCs w:val="32"/>
          <w:highlight w:val="none"/>
          <w:lang w:val="en-US" w:eastAsia="zh-CN"/>
        </w:rPr>
        <w:t>3</w:t>
      </w:r>
      <w:r>
        <w:rPr>
          <w:rStyle w:val="14"/>
          <w:rFonts w:hint="eastAsia" w:ascii="仿宋" w:eastAsia="仿宋"/>
          <w:bCs/>
          <w:color w:val="000000"/>
          <w:sz w:val="32"/>
          <w:szCs w:val="32"/>
          <w:highlight w:val="none"/>
        </w:rPr>
        <w:t>.</w:t>
      </w:r>
      <w:r>
        <w:rPr>
          <w:rFonts w:hint="eastAsia" w:ascii="仿宋" w:eastAsia="仿宋"/>
          <w:b/>
          <w:bCs/>
          <w:color w:val="000000"/>
          <w:sz w:val="32"/>
          <w:szCs w:val="32"/>
          <w:highlight w:val="none"/>
        </w:rPr>
        <w:t>卫生健康</w:t>
      </w:r>
      <w:r>
        <w:rPr>
          <w:rStyle w:val="14"/>
          <w:rFonts w:hint="eastAsia" w:ascii="仿宋" w:eastAsia="仿宋"/>
          <w:bCs/>
          <w:color w:val="000000"/>
          <w:sz w:val="32"/>
          <w:szCs w:val="32"/>
          <w:highlight w:val="none"/>
        </w:rPr>
        <w:t>（类）公共卫生（款）其他公共卫生支出（项）:</w:t>
      </w:r>
      <w:r>
        <w:rPr>
          <w:rStyle w:val="14"/>
          <w:rFonts w:hint="eastAsia" w:ascii="仿宋" w:eastAsia="仿宋"/>
          <w:b w:val="0"/>
          <w:bCs w:val="0"/>
          <w:color w:val="000000"/>
          <w:sz w:val="32"/>
          <w:szCs w:val="32"/>
          <w:highlight w:val="none"/>
          <w:lang w:eastAsia="zh-CN"/>
        </w:rPr>
        <w:t>支出决算为</w:t>
      </w:r>
      <w:r>
        <w:rPr>
          <w:rStyle w:val="14"/>
          <w:rFonts w:hint="eastAsia" w:ascii="仿宋" w:eastAsia="仿宋"/>
          <w:b w:val="0"/>
          <w:bCs/>
          <w:color w:val="000000"/>
          <w:sz w:val="32"/>
          <w:szCs w:val="32"/>
          <w:highlight w:val="none"/>
          <w:lang w:val="en-US" w:eastAsia="zh-CN"/>
        </w:rPr>
        <w:t>80.49</w:t>
      </w:r>
      <w:r>
        <w:rPr>
          <w:rStyle w:val="14"/>
          <w:rFonts w:hint="eastAsia" w:ascii="仿宋" w:eastAsia="仿宋"/>
          <w:b w:val="0"/>
          <w:bCs/>
          <w:color w:val="000000"/>
          <w:sz w:val="32"/>
          <w:szCs w:val="32"/>
          <w:highlight w:val="none"/>
        </w:rPr>
        <w:t>万元，完成预算</w:t>
      </w:r>
      <w:r>
        <w:rPr>
          <w:rStyle w:val="14"/>
          <w:rFonts w:hint="eastAsia" w:ascii="仿宋" w:eastAsia="仿宋"/>
          <w:b w:val="0"/>
          <w:bCs/>
          <w:color w:val="000000"/>
          <w:sz w:val="32"/>
          <w:szCs w:val="32"/>
          <w:highlight w:val="none"/>
          <w:lang w:val="en-US" w:eastAsia="zh-CN"/>
        </w:rPr>
        <w:t>100</w:t>
      </w:r>
      <w:r>
        <w:rPr>
          <w:rStyle w:val="14"/>
          <w:rFonts w:hint="eastAsia" w:ascii="仿宋" w:eastAsia="仿宋"/>
          <w:b w:val="0"/>
          <w:bCs/>
          <w:color w:val="000000"/>
          <w:sz w:val="32"/>
          <w:szCs w:val="32"/>
          <w:highlight w:val="none"/>
        </w:rPr>
        <w:t>%</w:t>
      </w:r>
      <w:r>
        <w:rPr>
          <w:rStyle w:val="14"/>
          <w:rFonts w:hint="eastAsia" w:ascii="仿宋" w:eastAsia="仿宋"/>
          <w:b w:val="0"/>
          <w:bCs/>
          <w:color w:val="000000"/>
          <w:sz w:val="32"/>
          <w:szCs w:val="32"/>
          <w:highlight w:val="none"/>
          <w:lang w:val="en-US" w:eastAsia="zh-CN"/>
        </w:rPr>
        <w:t>。</w:t>
      </w:r>
    </w:p>
    <w:p>
      <w:pPr>
        <w:spacing w:line="600" w:lineRule="exact"/>
        <w:ind w:firstLine="643" w:firstLineChars="200"/>
        <w:rPr>
          <w:rFonts w:hint="eastAsia" w:ascii="仿宋" w:eastAsia="仿宋"/>
          <w:b/>
          <w:color w:val="000000"/>
          <w:sz w:val="32"/>
          <w:szCs w:val="32"/>
        </w:rPr>
      </w:pPr>
      <w:r>
        <w:rPr>
          <w:rStyle w:val="14"/>
          <w:rFonts w:hint="eastAsia" w:ascii="仿宋" w:eastAsia="仿宋"/>
          <w:bCs/>
          <w:color w:val="000000"/>
          <w:sz w:val="32"/>
          <w:szCs w:val="32"/>
          <w:lang w:val="en-US" w:eastAsia="zh-CN"/>
        </w:rPr>
        <w:t>4</w:t>
      </w:r>
      <w:r>
        <w:rPr>
          <w:rStyle w:val="14"/>
          <w:rFonts w:hint="eastAsia" w:ascii="仿宋" w:eastAsia="仿宋"/>
          <w:bCs/>
          <w:color w:val="000000"/>
          <w:sz w:val="32"/>
          <w:szCs w:val="32"/>
        </w:rPr>
        <w:t>.</w:t>
      </w:r>
      <w:r>
        <w:rPr>
          <w:rFonts w:hint="eastAsia" w:ascii="仿宋" w:eastAsia="仿宋"/>
          <w:b/>
          <w:bCs/>
          <w:color w:val="000000"/>
          <w:sz w:val="32"/>
          <w:szCs w:val="32"/>
        </w:rPr>
        <w:t>卫生健康</w:t>
      </w:r>
      <w:r>
        <w:rPr>
          <w:rStyle w:val="14"/>
          <w:rFonts w:hint="eastAsia" w:ascii="仿宋" w:eastAsia="仿宋"/>
          <w:bCs/>
          <w:color w:val="000000"/>
          <w:sz w:val="32"/>
          <w:szCs w:val="32"/>
        </w:rPr>
        <w:t>（类）行政事业单位医疗（款）事业单位医疗（项）:</w:t>
      </w:r>
      <w:r>
        <w:rPr>
          <w:rStyle w:val="14"/>
          <w:rFonts w:hint="eastAsia" w:ascii="仿宋" w:eastAsia="仿宋"/>
          <w:bCs/>
          <w:color w:val="000000"/>
          <w:sz w:val="32"/>
          <w:szCs w:val="32"/>
          <w:lang w:eastAsia="zh-CN"/>
        </w:rPr>
        <w:t>支出决算为</w:t>
      </w:r>
      <w:r>
        <w:rPr>
          <w:rStyle w:val="14"/>
          <w:rFonts w:hint="eastAsia" w:ascii="仿宋" w:eastAsia="仿宋"/>
          <w:b w:val="0"/>
          <w:bCs/>
          <w:color w:val="000000"/>
          <w:sz w:val="32"/>
          <w:szCs w:val="32"/>
          <w:lang w:val="en-US" w:eastAsia="zh-CN"/>
        </w:rPr>
        <w:t>3.53</w:t>
      </w:r>
      <w:r>
        <w:rPr>
          <w:rStyle w:val="14"/>
          <w:rFonts w:hint="eastAsia" w:ascii="仿宋" w:eastAsia="仿宋"/>
          <w:b w:val="0"/>
          <w:bCs/>
          <w:color w:val="000000"/>
          <w:sz w:val="32"/>
          <w:szCs w:val="32"/>
        </w:rPr>
        <w:t>万元，完成预算100%。</w:t>
      </w:r>
    </w:p>
    <w:p>
      <w:pPr>
        <w:spacing w:line="600" w:lineRule="exact"/>
        <w:ind w:firstLine="643" w:firstLineChars="200"/>
      </w:pPr>
      <w:r>
        <w:rPr>
          <w:rStyle w:val="14"/>
          <w:rFonts w:hint="eastAsia" w:ascii="仿宋" w:eastAsia="仿宋"/>
          <w:bCs/>
          <w:color w:val="000000"/>
          <w:sz w:val="32"/>
          <w:szCs w:val="32"/>
          <w:lang w:val="en-US" w:eastAsia="zh-CN"/>
        </w:rPr>
        <w:t>5</w:t>
      </w:r>
      <w:r>
        <w:rPr>
          <w:rStyle w:val="14"/>
          <w:rFonts w:hint="eastAsia" w:ascii="仿宋" w:eastAsia="仿宋"/>
          <w:bCs/>
          <w:color w:val="000000"/>
          <w:sz w:val="32"/>
          <w:szCs w:val="32"/>
        </w:rPr>
        <w:t>.</w:t>
      </w:r>
      <w:r>
        <w:rPr>
          <w:rFonts w:hint="eastAsia" w:ascii="仿宋" w:eastAsia="仿宋"/>
          <w:b/>
          <w:bCs/>
          <w:color w:val="000000"/>
          <w:sz w:val="32"/>
          <w:szCs w:val="32"/>
        </w:rPr>
        <w:t>住房保障支出</w:t>
      </w:r>
      <w:r>
        <w:rPr>
          <w:rStyle w:val="14"/>
          <w:rFonts w:hint="eastAsia" w:ascii="仿宋" w:eastAsia="仿宋"/>
          <w:bCs/>
          <w:color w:val="000000"/>
          <w:sz w:val="32"/>
          <w:szCs w:val="32"/>
        </w:rPr>
        <w:t>（类）住房改革支出（款）住房公积金（项）:</w:t>
      </w:r>
      <w:r>
        <w:rPr>
          <w:rStyle w:val="14"/>
          <w:rFonts w:hint="eastAsia" w:ascii="仿宋" w:eastAsia="仿宋"/>
          <w:bCs/>
          <w:color w:val="000000"/>
          <w:sz w:val="32"/>
          <w:szCs w:val="32"/>
          <w:lang w:eastAsia="zh-CN"/>
        </w:rPr>
        <w:t>支出决算为</w:t>
      </w:r>
      <w:r>
        <w:rPr>
          <w:rStyle w:val="14"/>
          <w:rFonts w:hint="eastAsia" w:ascii="仿宋" w:eastAsia="仿宋"/>
          <w:b w:val="0"/>
          <w:bCs/>
          <w:color w:val="000000"/>
          <w:sz w:val="32"/>
          <w:szCs w:val="32"/>
          <w:lang w:val="en-US" w:eastAsia="zh-CN"/>
        </w:rPr>
        <w:t>10.12</w:t>
      </w:r>
      <w:r>
        <w:rPr>
          <w:rStyle w:val="14"/>
          <w:rFonts w:hint="eastAsia" w:ascii="仿宋" w:eastAsia="仿宋"/>
          <w:b w:val="0"/>
          <w:bCs/>
          <w:color w:val="000000"/>
          <w:sz w:val="32"/>
          <w:szCs w:val="32"/>
        </w:rPr>
        <w:t>万元，完成预算100%。</w:t>
      </w:r>
    </w:p>
    <w:p>
      <w:pPr>
        <w:tabs>
          <w:tab w:val="right" w:pos="8306"/>
        </w:tabs>
        <w:spacing w:line="600" w:lineRule="exact"/>
        <w:ind w:firstLine="640"/>
        <w:outlineLvl w:val="1"/>
        <w:rPr>
          <w:rStyle w:val="17"/>
          <w:color w:val="auto"/>
          <w:highlight w:val="none"/>
        </w:rPr>
      </w:pPr>
      <w:bookmarkStart w:id="70" w:name="_Toc15377214"/>
      <w:bookmarkStart w:id="71" w:name="_Toc15396608"/>
      <w:bookmarkStart w:id="72" w:name="_Toc24318"/>
      <w:bookmarkStart w:id="73" w:name="_Toc32410"/>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般公共预算财政拨款基本支出决算情况说明</w:t>
      </w:r>
      <w:bookmarkEnd w:id="70"/>
      <w:bookmarkEnd w:id="71"/>
      <w:bookmarkEnd w:id="72"/>
      <w:bookmarkEnd w:id="73"/>
      <w:r>
        <w:rPr>
          <w:rStyle w:val="17"/>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101.23</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94.98</w:t>
      </w:r>
      <w:r>
        <w:rPr>
          <w:rFonts w:hint="eastAsia" w:ascii="仿宋" w:hAnsi="仿宋" w:eastAsia="仿宋"/>
          <w:color w:val="auto"/>
          <w:sz w:val="32"/>
          <w:szCs w:val="32"/>
          <w:highlight w:val="none"/>
        </w:rPr>
        <w:t>万元，主要包括：基本工资、津贴补贴、奖金、绩效工资、机关事业单位基本养老保险缴费、职工基本医疗保险缴费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住房公积金、其他工资福利支出。</w:t>
      </w:r>
    </w:p>
    <w:p>
      <w:pPr>
        <w:spacing w:line="600" w:lineRule="exact"/>
        <w:ind w:firstLine="645"/>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6.25</w:t>
      </w:r>
      <w:r>
        <w:rPr>
          <w:rFonts w:hint="eastAsia" w:ascii="仿宋" w:hAnsi="仿宋" w:eastAsia="仿宋"/>
          <w:color w:val="auto"/>
          <w:sz w:val="32"/>
          <w:szCs w:val="32"/>
          <w:highlight w:val="none"/>
        </w:rPr>
        <w:t>万元，主要包括：办公费、印刷费、邮电费、差旅费、维修（护）费、公务接待费、委托业务费、福利费、其他商品和服务支出。</w:t>
      </w:r>
    </w:p>
    <w:p>
      <w:pPr>
        <w:spacing w:line="600" w:lineRule="exact"/>
        <w:ind w:firstLine="640"/>
        <w:outlineLvl w:val="1"/>
        <w:rPr>
          <w:rStyle w:val="17"/>
          <w:rFonts w:ascii="黑体" w:hAnsi="黑体" w:eastAsia="黑体"/>
          <w:b w:val="0"/>
          <w:color w:val="auto"/>
          <w:highlight w:val="none"/>
        </w:rPr>
      </w:pPr>
      <w:bookmarkStart w:id="74" w:name="_Toc15396609"/>
      <w:bookmarkStart w:id="75" w:name="_Toc15377215"/>
      <w:bookmarkStart w:id="76" w:name="_Toc19896"/>
      <w:bookmarkStart w:id="77" w:name="_Toc22057"/>
      <w:r>
        <w:rPr>
          <w:rFonts w:hint="eastAsia" w:ascii="黑体" w:eastAsia="黑体"/>
          <w:color w:val="auto"/>
          <w:sz w:val="32"/>
          <w:szCs w:val="32"/>
          <w:highlight w:val="none"/>
        </w:rPr>
        <w:t>七、</w:t>
      </w:r>
      <w:r>
        <w:rPr>
          <w:rStyle w:val="17"/>
          <w:rFonts w:hint="eastAsia" w:ascii="黑体" w:hAnsi="黑体" w:eastAsia="黑体"/>
          <w:b w:val="0"/>
          <w:color w:val="auto"/>
          <w:highlight w:val="none"/>
        </w:rPr>
        <w:t>财政拨款</w:t>
      </w:r>
      <w:r>
        <w:rPr>
          <w:rStyle w:val="17"/>
          <w:rFonts w:hint="eastAsia" w:ascii="黑体" w:hAnsi="黑体" w:eastAsia="黑体"/>
          <w:color w:val="auto"/>
          <w:highlight w:val="none"/>
        </w:rPr>
        <w:t>“</w:t>
      </w:r>
      <w:r>
        <w:rPr>
          <w:rStyle w:val="17"/>
          <w:rFonts w:hint="eastAsia" w:ascii="黑体" w:hAnsi="黑体" w:eastAsia="黑体"/>
          <w:b w:val="0"/>
          <w:color w:val="auto"/>
          <w:highlight w:val="none"/>
        </w:rPr>
        <w:t>三公”经费支出决算情况说明</w:t>
      </w:r>
      <w:bookmarkEnd w:id="74"/>
      <w:bookmarkEnd w:id="75"/>
      <w:bookmarkEnd w:id="76"/>
      <w:bookmarkEnd w:id="77"/>
    </w:p>
    <w:p>
      <w:pPr>
        <w:spacing w:line="600" w:lineRule="exact"/>
        <w:ind w:firstLine="640"/>
        <w:outlineLvl w:val="2"/>
        <w:rPr>
          <w:rFonts w:ascii="仿宋" w:hAnsi="仿宋" w:eastAsia="仿宋"/>
          <w:b/>
          <w:color w:val="auto"/>
          <w:sz w:val="32"/>
          <w:szCs w:val="32"/>
          <w:highlight w:val="none"/>
        </w:rPr>
      </w:pPr>
      <w:bookmarkStart w:id="78" w:name="_Toc15377216"/>
      <w:r>
        <w:rPr>
          <w:rFonts w:hint="eastAsia" w:ascii="仿宋" w:hAnsi="仿宋" w:eastAsia="仿宋"/>
          <w:b/>
          <w:color w:val="auto"/>
          <w:sz w:val="32"/>
          <w:szCs w:val="32"/>
          <w:highlight w:val="none"/>
        </w:rPr>
        <w:t>（一）“三公”经费财政拨款支出决算总体情况说明</w:t>
      </w:r>
      <w:bookmarkEnd w:id="7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0.08</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26.67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较上年增加</w:t>
      </w:r>
      <w:r>
        <w:rPr>
          <w:rFonts w:hint="eastAsia" w:ascii="仿宋" w:hAnsi="仿宋" w:eastAsia="仿宋"/>
          <w:color w:val="auto"/>
          <w:sz w:val="32"/>
          <w:szCs w:val="32"/>
          <w:highlight w:val="none"/>
          <w:lang w:val="en-US" w:eastAsia="zh-CN"/>
        </w:rPr>
        <w:t>0.08万元，增长100%。</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践行厉行节约原则，主动压减“三公”经费支出</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79" w:name="_Toc15377217"/>
      <w:r>
        <w:rPr>
          <w:rFonts w:hint="eastAsia" w:ascii="仿宋" w:hAnsi="仿宋" w:eastAsia="仿宋"/>
          <w:b/>
          <w:color w:val="auto"/>
          <w:sz w:val="32"/>
          <w:szCs w:val="32"/>
          <w:highlight w:val="none"/>
        </w:rPr>
        <w:t>（二）“三公”经费财政拨款支出决算具体情况说明</w:t>
      </w:r>
      <w:bookmarkEnd w:id="79"/>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万元；公务接待费支出决算</w:t>
      </w:r>
      <w:r>
        <w:rPr>
          <w:rFonts w:hint="eastAsia" w:ascii="仿宋" w:hAnsi="仿宋" w:eastAsia="仿宋"/>
          <w:color w:val="auto"/>
          <w:sz w:val="32"/>
          <w:szCs w:val="32"/>
          <w:highlight w:val="none"/>
          <w:lang w:val="en-US" w:eastAsia="zh-CN"/>
        </w:rPr>
        <w:t>0.08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4707890" cy="2630170"/>
            <wp:effectExtent l="4445" t="4445" r="12065"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spacing w:line="600" w:lineRule="exact"/>
        <w:ind w:firstLine="640"/>
        <w:rPr>
          <w:rFonts w:hint="eastAsia" w:ascii="仿宋_GB2312" w:hAnsi="Times New Roman" w:eastAsia="仿宋_GB2312" w:cs="Times New Roman"/>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hAnsi="Times New Roman" w:eastAsia="仿宋_GB2312" w:cs="Times New Roman"/>
          <w:color w:val="auto"/>
          <w:sz w:val="32"/>
          <w:szCs w:val="32"/>
          <w:highlight w:val="none"/>
          <w:lang w:val="en-US" w:eastAsia="zh-CN"/>
        </w:rPr>
        <w:t>0万元，年初未安排预算，</w:t>
      </w:r>
      <w:r>
        <w:rPr>
          <w:rFonts w:hint="eastAsia" w:ascii="仿宋_GB2312" w:hAnsi="Times New Roman" w:eastAsia="仿宋_GB2312" w:cs="Times New Roman"/>
          <w:color w:val="auto"/>
          <w:sz w:val="32"/>
          <w:szCs w:val="32"/>
          <w:highlight w:val="none"/>
        </w:rPr>
        <w:t>较202</w:t>
      </w:r>
      <w:r>
        <w:rPr>
          <w:rFonts w:hint="eastAsia" w:ascii="仿宋_GB2312" w:hAnsi="Times New Roman" w:eastAsia="仿宋_GB2312" w:cs="Times New Roman"/>
          <w:color w:val="auto"/>
          <w:sz w:val="32"/>
          <w:szCs w:val="32"/>
          <w:highlight w:val="none"/>
          <w:lang w:val="en-US" w:eastAsia="zh-CN"/>
        </w:rPr>
        <w:t>1</w:t>
      </w:r>
      <w:r>
        <w:rPr>
          <w:rFonts w:hint="eastAsia" w:ascii="仿宋_GB2312" w:hAnsi="Times New Roman" w:eastAsia="仿宋_GB2312" w:cs="Times New Roman"/>
          <w:color w:val="auto"/>
          <w:sz w:val="32"/>
          <w:szCs w:val="32"/>
          <w:highlight w:val="none"/>
        </w:rPr>
        <w:t>年无变化。</w:t>
      </w:r>
    </w:p>
    <w:p>
      <w:pPr>
        <w:keepNext w:val="0"/>
        <w:keepLines w:val="0"/>
        <w:widowControl/>
        <w:suppressLineNumbers w:val="0"/>
        <w:spacing w:before="0" w:beforeAutospacing="0" w:after="0" w:afterAutospacing="0" w:line="600" w:lineRule="atLeast"/>
        <w:ind w:left="0" w:right="0" w:firstLine="640"/>
        <w:jc w:val="both"/>
        <w:rPr>
          <w:rStyle w:val="14"/>
          <w:rFonts w:hint="default" w:ascii="仿宋" w:hAnsi="仿宋" w:eastAsia="仿宋"/>
          <w:b w:val="0"/>
          <w:bCs/>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Times New Roman" w:eastAsia="仿宋_GB2312" w:cs="Times New Roman"/>
          <w:color w:val="auto"/>
          <w:sz w:val="32"/>
          <w:szCs w:val="32"/>
          <w:highlight w:val="none"/>
          <w:lang w:val="en-US" w:eastAsia="zh-CN"/>
        </w:rPr>
        <w:t>年初未安排预算，</w:t>
      </w:r>
      <w:r>
        <w:rPr>
          <w:rFonts w:hint="eastAsia" w:ascii="仿宋_GB2312" w:eastAsia="仿宋_GB2312"/>
          <w:color w:val="auto"/>
          <w:sz w:val="32"/>
          <w:szCs w:val="32"/>
          <w:highlight w:val="none"/>
          <w:lang w:eastAsia="zh-CN"/>
        </w:rPr>
        <w:t>较2021年无变化</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ascii="仿宋_GB2312" w:hAnsi="Times New Roman" w:eastAsia="仿宋_GB2312" w:cs="仿宋_GB2312"/>
          <w:i w:val="0"/>
          <w:iCs w:val="0"/>
          <w:caps w:val="0"/>
          <w:color w:val="000000"/>
          <w:spacing w:val="0"/>
          <w:kern w:val="0"/>
          <w:sz w:val="32"/>
          <w:szCs w:val="32"/>
          <w:highlight w:val="none"/>
          <w:lang w:val="en-US" w:eastAsia="zh-CN" w:bidi="ar"/>
        </w:rPr>
        <w:t>截至</w:t>
      </w:r>
      <w:r>
        <w:rPr>
          <w:rFonts w:hint="default" w:ascii="仿宋_GB2312" w:hAnsi="Times New Roman" w:eastAsia="仿宋_GB2312" w:cs="仿宋_GB2312"/>
          <w:i w:val="0"/>
          <w:iCs w:val="0"/>
          <w:caps w:val="0"/>
          <w:color w:val="000000"/>
          <w:spacing w:val="0"/>
          <w:kern w:val="0"/>
          <w:sz w:val="32"/>
          <w:szCs w:val="32"/>
          <w:highlight w:val="none"/>
          <w:lang w:val="en-US" w:eastAsia="zh-CN" w:bidi="ar"/>
        </w:rPr>
        <w:t>2021年12月底，单位共有公务用车</w:t>
      </w:r>
      <w:r>
        <w:rPr>
          <w:rFonts w:hint="default" w:ascii="仿宋_GB2312" w:hAnsi="Times New Roman" w:eastAsia="仿宋_GB2312" w:cs="仿宋_GB2312"/>
          <w:i w:val="0"/>
          <w:iCs w:val="0"/>
          <w:caps w:val="0"/>
          <w:color w:val="000000"/>
          <w:spacing w:val="0"/>
          <w:kern w:val="0"/>
          <w:sz w:val="32"/>
          <w:szCs w:val="32"/>
          <w:highlight w:val="none"/>
          <w:lang w:eastAsia="zh-CN" w:bidi="ar"/>
        </w:rPr>
        <w:t>0</w:t>
      </w:r>
      <w:r>
        <w:rPr>
          <w:rFonts w:hint="default" w:ascii="仿宋_GB2312" w:hAnsi="Times New Roman" w:eastAsia="仿宋_GB2312" w:cs="仿宋_GB2312"/>
          <w:i w:val="0"/>
          <w:iCs w:val="0"/>
          <w:caps w:val="0"/>
          <w:color w:val="000000"/>
          <w:spacing w:val="0"/>
          <w:kern w:val="0"/>
          <w:sz w:val="32"/>
          <w:szCs w:val="32"/>
          <w:highlight w:val="none"/>
          <w:lang w:val="en-US" w:eastAsia="zh-CN" w:bidi="ar"/>
        </w:rPr>
        <w:t>辆</w:t>
      </w:r>
      <w:r>
        <w:rPr>
          <w:rFonts w:hint="default" w:ascii="仿宋_GB2312" w:hAnsi="Times New Roman" w:eastAsia="仿宋_GB2312" w:cs="仿宋_GB2312"/>
          <w:i w:val="0"/>
          <w:iCs w:val="0"/>
          <w:caps w:val="0"/>
          <w:color w:val="000000"/>
          <w:spacing w:val="0"/>
          <w:kern w:val="0"/>
          <w:sz w:val="32"/>
          <w:szCs w:val="32"/>
          <w:highlight w:val="none"/>
          <w:lang w:eastAsia="zh-CN" w:bidi="ar"/>
        </w:rPr>
        <w:t>。</w:t>
      </w:r>
    </w:p>
    <w:p>
      <w:pPr>
        <w:spacing w:line="600" w:lineRule="exact"/>
        <w:ind w:firstLine="640"/>
        <w:rPr>
          <w:rFonts w:ascii="仿宋_GB2312" w:eastAsia="仿宋_GB2312"/>
          <w:color w:val="000000" w:themeColor="text1"/>
          <w:sz w:val="32"/>
          <w:szCs w:val="32"/>
          <w:highlight w:val="none"/>
          <w14:textFill>
            <w14:solidFill>
              <w14:schemeClr w14:val="tx1"/>
            </w14:solidFill>
          </w14:textFill>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0.08</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26.67</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0.08</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w:t>
      </w:r>
      <w:r>
        <w:rPr>
          <w:rFonts w:hint="eastAsia" w:ascii="仿宋_GB2312" w:eastAsia="仿宋_GB2312"/>
          <w:color w:val="000000" w:themeColor="text1"/>
          <w:sz w:val="32"/>
          <w:szCs w:val="32"/>
          <w:highlight w:val="none"/>
          <w14:textFill>
            <w14:solidFill>
              <w14:schemeClr w14:val="tx1"/>
            </w14:solidFill>
          </w14:textFill>
        </w:rPr>
        <w:t>因是</w:t>
      </w:r>
      <w:r>
        <w:rPr>
          <w:rFonts w:hint="eastAsia" w:ascii="仿宋_GB2312" w:eastAsia="仿宋_GB2312"/>
          <w:color w:val="000000" w:themeColor="text1"/>
          <w:sz w:val="32"/>
          <w:szCs w:val="32"/>
          <w:highlight w:val="none"/>
          <w:lang w:eastAsia="zh-CN"/>
          <w14:textFill>
            <w14:solidFill>
              <w14:schemeClr w14:val="tx1"/>
            </w14:solidFill>
          </w14:textFill>
        </w:rPr>
        <w:t>开展人才项目工作需要</w:t>
      </w:r>
      <w:r>
        <w:rPr>
          <w:rFonts w:hint="eastAsia" w:ascii="仿宋_GB2312" w:eastAsia="仿宋_GB2312"/>
          <w:color w:val="000000" w:themeColor="text1"/>
          <w:sz w:val="32"/>
          <w:szCs w:val="32"/>
          <w:highlight w:val="none"/>
          <w14:textFill>
            <w14:solidFill>
              <w14:schemeClr w14:val="tx1"/>
            </w14:solidFill>
          </w14:textFill>
        </w:rPr>
        <w:t>。其中：</w:t>
      </w:r>
    </w:p>
    <w:p>
      <w:pPr>
        <w:spacing w:line="600" w:lineRule="exact"/>
        <w:ind w:firstLine="640"/>
        <w:rPr>
          <w:rFonts w:ascii="仿宋_GB2312" w:eastAsia="仿宋_GB2312"/>
          <w:color w:val="000000" w:themeColor="text1"/>
          <w:sz w:val="32"/>
          <w:szCs w:val="32"/>
          <w:highlight w:val="none"/>
          <w14:textFill>
            <w14:solidFill>
              <w14:schemeClr w14:val="tx1"/>
            </w14:solidFill>
          </w14:textFill>
        </w:rPr>
      </w:pPr>
      <w:r>
        <w:rPr>
          <w:rFonts w:hint="eastAsia" w:ascii="仿宋" w:hAnsi="仿宋" w:eastAsia="仿宋"/>
          <w:b/>
          <w:color w:val="000000" w:themeColor="text1"/>
          <w:sz w:val="32"/>
          <w:szCs w:val="32"/>
          <w:highlight w:val="none"/>
          <w14:textFill>
            <w14:solidFill>
              <w14:schemeClr w14:val="tx1"/>
            </w14:solidFill>
          </w14:textFill>
        </w:rPr>
        <w:t>国内公务接待支出</w:t>
      </w:r>
      <w:r>
        <w:rPr>
          <w:rFonts w:hint="eastAsia" w:ascii="仿宋" w:hAnsi="仿宋" w:eastAsia="仿宋"/>
          <w:color w:val="000000" w:themeColor="text1"/>
          <w:sz w:val="32"/>
          <w:szCs w:val="32"/>
          <w:highlight w:val="none"/>
          <w:lang w:val="en-US" w:eastAsia="zh-CN"/>
          <w14:textFill>
            <w14:solidFill>
              <w14:schemeClr w14:val="tx1"/>
            </w14:solidFill>
          </w14:textFill>
        </w:rPr>
        <w:t>0.08</w:t>
      </w:r>
      <w:r>
        <w:rPr>
          <w:rFonts w:hint="eastAsia" w:ascii="仿宋_GB2312" w:eastAsia="仿宋_GB2312"/>
          <w:color w:val="000000" w:themeColor="text1"/>
          <w:sz w:val="32"/>
          <w:szCs w:val="32"/>
          <w:highlight w:val="none"/>
          <w14:textFill>
            <w14:solidFill>
              <w14:schemeClr w14:val="tx1"/>
            </w14:solidFill>
          </w14:textFill>
        </w:rPr>
        <w:t>万元，主要用于开展业务活动开支的用餐费等。国内公务接待</w:t>
      </w: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sz w:val="32"/>
          <w:szCs w:val="32"/>
          <w:highlight w:val="none"/>
          <w14:textFill>
            <w14:solidFill>
              <w14:schemeClr w14:val="tx1"/>
            </w14:solidFill>
          </w14:textFill>
        </w:rPr>
        <w:t>批次，</w:t>
      </w:r>
      <w:r>
        <w:rPr>
          <w:rFonts w:hint="eastAsia" w:ascii="仿宋_GB2312" w:eastAsia="仿宋_GB2312"/>
          <w:color w:val="000000" w:themeColor="text1"/>
          <w:sz w:val="32"/>
          <w:szCs w:val="32"/>
          <w:highlight w:val="none"/>
          <w:lang w:val="en-US" w:eastAsia="zh-CN"/>
          <w14:textFill>
            <w14:solidFill>
              <w14:schemeClr w14:val="tx1"/>
            </w14:solidFill>
          </w14:textFill>
        </w:rPr>
        <w:t>6</w:t>
      </w:r>
      <w:r>
        <w:rPr>
          <w:rFonts w:hint="eastAsia" w:ascii="仿宋_GB2312" w:eastAsia="仿宋_GB2312"/>
          <w:color w:val="000000" w:themeColor="text1"/>
          <w:sz w:val="32"/>
          <w:szCs w:val="32"/>
          <w:highlight w:val="none"/>
          <w14:textFill>
            <w14:solidFill>
              <w14:schemeClr w14:val="tx1"/>
            </w14:solidFill>
          </w14:textFill>
        </w:rPr>
        <w:t>人次（不包括陪同人员），共计支出</w:t>
      </w:r>
      <w:r>
        <w:rPr>
          <w:rFonts w:hint="eastAsia" w:ascii="仿宋_GB2312" w:eastAsia="仿宋_GB2312"/>
          <w:color w:val="000000" w:themeColor="text1"/>
          <w:sz w:val="32"/>
          <w:szCs w:val="32"/>
          <w:highlight w:val="none"/>
          <w:lang w:val="en-US" w:eastAsia="zh-CN"/>
          <w14:textFill>
            <w14:solidFill>
              <w14:schemeClr w14:val="tx1"/>
            </w14:solidFill>
          </w14:textFill>
        </w:rPr>
        <w:t>0.08</w:t>
      </w:r>
      <w:r>
        <w:rPr>
          <w:rFonts w:hint="eastAsia" w:ascii="仿宋_GB2312" w:eastAsia="仿宋_GB2312"/>
          <w:color w:val="000000" w:themeColor="text1"/>
          <w:sz w:val="32"/>
          <w:szCs w:val="32"/>
          <w:highlight w:val="none"/>
          <w14:textFill>
            <w14:solidFill>
              <w14:schemeClr w14:val="tx1"/>
            </w14:solidFill>
          </w14:textFill>
        </w:rPr>
        <w:t>万元，具体内容包括：</w:t>
      </w:r>
      <w:r>
        <w:rPr>
          <w:rFonts w:hint="eastAsia" w:ascii="仿宋_GB2312" w:eastAsia="仿宋_GB2312"/>
          <w:color w:val="000000" w:themeColor="text1"/>
          <w:sz w:val="32"/>
          <w:szCs w:val="32"/>
          <w:highlight w:val="none"/>
          <w:lang w:eastAsia="zh-CN"/>
          <w14:textFill>
            <w14:solidFill>
              <w14:schemeClr w14:val="tx1"/>
            </w14:solidFill>
          </w14:textFill>
        </w:rPr>
        <w:t>用餐费</w:t>
      </w:r>
      <w:r>
        <w:rPr>
          <w:rFonts w:hint="eastAsia" w:ascii="仿宋_GB2312" w:eastAsia="仿宋_GB2312"/>
          <w:color w:val="000000" w:themeColor="text1"/>
          <w:sz w:val="32"/>
          <w:szCs w:val="32"/>
          <w:highlight w:val="none"/>
          <w:lang w:val="en-US" w:eastAsia="zh-CN"/>
          <w14:textFill>
            <w14:solidFill>
              <w14:schemeClr w14:val="tx1"/>
            </w14:solidFill>
          </w14:textFill>
        </w:rPr>
        <w:t>0.008万元</w:t>
      </w:r>
      <w:r>
        <w:rPr>
          <w:rFonts w:hint="eastAsia" w:ascii="仿宋_GB2312" w:eastAsia="仿宋_GB2312"/>
          <w:color w:val="000000" w:themeColor="text1"/>
          <w:sz w:val="32"/>
          <w:szCs w:val="32"/>
          <w:highlight w:val="none"/>
          <w14:textFill>
            <w14:solidFill>
              <w14:schemeClr w14:val="tx1"/>
            </w14:solidFill>
          </w14:textFill>
        </w:rPr>
        <w:t>。</w:t>
      </w:r>
    </w:p>
    <w:p>
      <w:pPr>
        <w:spacing w:line="600" w:lineRule="exact"/>
        <w:ind w:firstLine="640"/>
        <w:outlineLvl w:val="9"/>
        <w:rPr>
          <w:rFonts w:hint="eastAsia" w:ascii="仿宋_GB2312" w:eastAsia="仿宋_GB2312"/>
          <w:color w:val="auto"/>
          <w:sz w:val="32"/>
          <w:szCs w:val="32"/>
          <w:highlight w:val="none"/>
          <w:lang w:val="en-US" w:eastAsia="zh-CN"/>
        </w:rPr>
      </w:pPr>
      <w:bookmarkStart w:id="80" w:name="_Toc15377218"/>
      <w:bookmarkStart w:id="81" w:name="_Toc15396610"/>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0"/>
        <w:outlineLvl w:val="1"/>
        <w:rPr>
          <w:rStyle w:val="17"/>
          <w:rFonts w:ascii="黑体" w:hAnsi="黑体" w:eastAsia="黑体"/>
          <w:color w:val="auto"/>
          <w:highlight w:val="none"/>
        </w:rPr>
      </w:pPr>
      <w:bookmarkStart w:id="82" w:name="_Toc5676"/>
      <w:bookmarkStart w:id="83" w:name="_Toc10965"/>
      <w:r>
        <w:rPr>
          <w:rFonts w:hint="eastAsia" w:ascii="黑体" w:eastAsia="黑体"/>
          <w:color w:val="auto"/>
          <w:sz w:val="32"/>
          <w:szCs w:val="32"/>
          <w:highlight w:val="none"/>
        </w:rPr>
        <w:t>八、</w:t>
      </w:r>
      <w:r>
        <w:rPr>
          <w:rStyle w:val="17"/>
          <w:rFonts w:hint="eastAsia" w:ascii="黑体" w:hAnsi="黑体" w:eastAsia="黑体"/>
          <w:b w:val="0"/>
          <w:color w:val="auto"/>
          <w:highlight w:val="none"/>
        </w:rPr>
        <w:t>政府性基金预算支出决算情况说明</w:t>
      </w:r>
      <w:bookmarkEnd w:id="80"/>
      <w:bookmarkEnd w:id="81"/>
      <w:bookmarkEnd w:id="82"/>
      <w:bookmarkEnd w:id="8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2022年本单位未在政府性基金预算拨款安排“三公经费”支出。</w:t>
      </w:r>
    </w:p>
    <w:p>
      <w:pPr>
        <w:numPr>
          <w:ilvl w:val="0"/>
          <w:numId w:val="3"/>
        </w:numPr>
        <w:spacing w:line="600" w:lineRule="exact"/>
        <w:ind w:firstLine="640"/>
        <w:outlineLvl w:val="1"/>
        <w:rPr>
          <w:rStyle w:val="17"/>
          <w:rFonts w:ascii="黑体" w:hAnsi="黑体" w:eastAsia="黑体"/>
          <w:b w:val="0"/>
          <w:color w:val="auto"/>
          <w:highlight w:val="none"/>
        </w:rPr>
      </w:pPr>
      <w:bookmarkStart w:id="84" w:name="_Toc13369"/>
      <w:bookmarkStart w:id="85" w:name="_Toc15396611"/>
      <w:bookmarkStart w:id="86" w:name="_Toc26520"/>
      <w:bookmarkStart w:id="87" w:name="_Toc15377219"/>
      <w:r>
        <w:rPr>
          <w:rStyle w:val="17"/>
          <w:rFonts w:hint="eastAsia" w:ascii="黑体" w:hAnsi="黑体" w:eastAsia="黑体"/>
          <w:b w:val="0"/>
          <w:color w:val="auto"/>
          <w:highlight w:val="none"/>
        </w:rPr>
        <w:t>国有资本经营预算支出决算情况说明</w:t>
      </w:r>
      <w:bookmarkEnd w:id="84"/>
      <w:bookmarkEnd w:id="85"/>
      <w:bookmarkEnd w:id="86"/>
      <w:bookmarkEnd w:id="87"/>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17"/>
          <w:rFonts w:hint="eastAsia" w:ascii="黑体" w:hAnsi="黑体" w:eastAsia="黑体"/>
          <w:b w:val="0"/>
          <w:color w:val="auto"/>
          <w:highlight w:val="none"/>
        </w:rPr>
      </w:pPr>
      <w:bookmarkStart w:id="88" w:name="_Toc30954"/>
      <w:bookmarkStart w:id="89" w:name="_Toc15377221"/>
      <w:bookmarkStart w:id="90" w:name="_Toc30083"/>
      <w:bookmarkStart w:id="91" w:name="_Toc15396612"/>
      <w:r>
        <w:rPr>
          <w:rStyle w:val="17"/>
          <w:rFonts w:hint="eastAsia" w:ascii="黑体" w:hAnsi="黑体" w:eastAsia="黑体"/>
          <w:b w:val="0"/>
          <w:color w:val="auto"/>
          <w:highlight w:val="none"/>
        </w:rPr>
        <w:t>其他重要事项的情况说明</w:t>
      </w:r>
      <w:bookmarkEnd w:id="88"/>
      <w:bookmarkEnd w:id="89"/>
      <w:bookmarkEnd w:id="90"/>
      <w:bookmarkEnd w:id="91"/>
    </w:p>
    <w:p>
      <w:pPr>
        <w:spacing w:line="600" w:lineRule="exact"/>
        <w:ind w:firstLine="643" w:firstLineChars="200"/>
        <w:outlineLvl w:val="2"/>
        <w:rPr>
          <w:rFonts w:ascii="仿宋" w:hAnsi="仿宋" w:eastAsia="仿宋"/>
          <w:color w:val="auto"/>
          <w:sz w:val="32"/>
          <w:szCs w:val="32"/>
          <w:highlight w:val="none"/>
        </w:rPr>
      </w:pPr>
      <w:bookmarkStart w:id="92" w:name="_Toc15377222"/>
      <w:r>
        <w:rPr>
          <w:rFonts w:hint="eastAsia" w:ascii="仿宋" w:hAnsi="仿宋" w:eastAsia="仿宋"/>
          <w:b/>
          <w:color w:val="auto"/>
          <w:sz w:val="32"/>
          <w:szCs w:val="32"/>
          <w:highlight w:val="none"/>
        </w:rPr>
        <w:t>（一）机关运行经费支出情况</w:t>
      </w:r>
      <w:bookmarkEnd w:id="92"/>
    </w:p>
    <w:p>
      <w:pPr>
        <w:spacing w:line="600" w:lineRule="exact"/>
        <w:ind w:firstLine="640" w:firstLineChars="200"/>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年未发生机关运行经费支出，与202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年决算数持平</w:t>
      </w:r>
      <w:r>
        <w:rPr>
          <w:rFonts w:hint="eastAsia" w:ascii="仿宋_GB2312" w:eastAsia="仿宋_GB2312"/>
          <w:color w:val="auto"/>
          <w:sz w:val="32"/>
          <w:szCs w:val="32"/>
          <w:highlight w:val="none"/>
          <w:lang w:eastAsia="zh-CN"/>
        </w:rPr>
        <w:t>。</w:t>
      </w:r>
      <w:bookmarkStart w:id="93" w:name="_Toc15377223"/>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93"/>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我中心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94" w:name="_Toc15377224"/>
      <w:r>
        <w:rPr>
          <w:rFonts w:hint="eastAsia" w:ascii="仿宋" w:hAnsi="仿宋" w:eastAsia="仿宋"/>
          <w:b/>
          <w:color w:val="auto"/>
          <w:sz w:val="32"/>
          <w:szCs w:val="32"/>
          <w:highlight w:val="none"/>
        </w:rPr>
        <w:t>（三）国有资产占有使用情况</w:t>
      </w:r>
      <w:bookmarkEnd w:id="94"/>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我中心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辆。单价100万元以上专用设备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eastAsia="zh-CN"/>
        </w:rPr>
        <w:t>“</w:t>
      </w:r>
      <w:r>
        <w:rPr>
          <w:rFonts w:hint="eastAsia" w:hAnsi="仿宋_GB2312" w:cs="仿宋_GB2312"/>
          <w:color w:val="auto"/>
          <w:sz w:val="32"/>
          <w:szCs w:val="32"/>
          <w:highlight w:val="none"/>
          <w:lang w:val="en-US" w:eastAsia="zh-CN"/>
        </w:rPr>
        <w:t>卫生执业资格考试考务支出</w:t>
      </w:r>
      <w:r>
        <w:rPr>
          <w:rFonts w:hint="eastAsia" w:hAnsi="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项目等</w:t>
      </w:r>
      <w:r>
        <w:rPr>
          <w:rFonts w:hint="eastAsia"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16"/>
          <w:rFonts w:ascii="黑体" w:hAnsi="黑体" w:eastAsia="黑体"/>
          <w:b w:val="0"/>
          <w:color w:val="auto"/>
          <w:highlight w:val="none"/>
        </w:rPr>
      </w:pPr>
      <w:bookmarkStart w:id="95" w:name="_Toc15377225"/>
      <w:bookmarkStart w:id="96" w:name="_Toc25187"/>
      <w:bookmarkStart w:id="97" w:name="_Toc15396613"/>
      <w:bookmarkStart w:id="98" w:name="_Toc32311"/>
      <w:r>
        <w:rPr>
          <w:rFonts w:hint="eastAsia" w:ascii="黑体" w:hAnsi="黑体" w:eastAsia="黑体"/>
          <w:color w:val="auto"/>
          <w:sz w:val="44"/>
          <w:szCs w:val="44"/>
          <w:highlight w:val="none"/>
        </w:rPr>
        <w:t>名</w:t>
      </w:r>
      <w:r>
        <w:rPr>
          <w:rStyle w:val="16"/>
          <w:rFonts w:hint="eastAsia" w:ascii="黑体" w:hAnsi="黑体" w:eastAsia="黑体"/>
          <w:b w:val="0"/>
          <w:color w:val="auto"/>
          <w:highlight w:val="none"/>
        </w:rPr>
        <w:t>词解释</w:t>
      </w:r>
      <w:bookmarkEnd w:id="95"/>
      <w:bookmarkEnd w:id="96"/>
      <w:bookmarkEnd w:id="97"/>
      <w:bookmarkEnd w:id="98"/>
    </w:p>
    <w:p>
      <w:pPr>
        <w:spacing w:line="600" w:lineRule="exact"/>
        <w:jc w:val="left"/>
        <w:rPr>
          <w:rFonts w:ascii="宋体"/>
          <w:b/>
          <w:color w:val="auto"/>
          <w:sz w:val="44"/>
          <w:szCs w:val="44"/>
          <w:highlight w:val="none"/>
        </w:rPr>
      </w:pPr>
    </w:p>
    <w:p>
      <w:pPr>
        <w:numPr>
          <w:ilvl w:val="0"/>
          <w:numId w:val="5"/>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财政拨款收入：指单位从同级财政部门取得的财政预算资金。</w:t>
      </w:r>
    </w:p>
    <w:p>
      <w:pPr>
        <w:numPr>
          <w:ilvl w:val="0"/>
          <w:numId w:val="5"/>
        </w:numPr>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年初结转和结余</w:t>
      </w:r>
      <w:r>
        <w:rPr>
          <w:rFonts w:hint="eastAsia" w:ascii="仿宋_GB2312" w:eastAsia="仿宋_GB2312"/>
          <w:color w:val="auto"/>
          <w:sz w:val="32"/>
          <w:szCs w:val="32"/>
          <w:highlight w:val="none"/>
          <w:lang w:eastAsia="zh-CN"/>
        </w:rPr>
        <w:t xml:space="preserve">：指以前年度尚未完成、结转到本年按有关规定继续使用的资金。 </w:t>
      </w:r>
    </w:p>
    <w:p>
      <w:pPr>
        <w:numPr>
          <w:ilvl w:val="0"/>
          <w:numId w:val="5"/>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社会保障和就业支出（类）行政事业单位离退休（款）机关事业单位基本养老保险缴费支出（项）：指反映机关事业单位实施养老保险制度由单位缴纳的基本养老保险费支出。</w:t>
      </w:r>
    </w:p>
    <w:p>
      <w:pPr>
        <w:numPr>
          <w:ilvl w:val="0"/>
          <w:numId w:val="5"/>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卫生健康支出（类）卫生健康管理事务（款）其他卫生健康管理事务支出（项）：指反映除上述项目以外其他用于卫生健康管理事务方面的支出。</w:t>
      </w:r>
    </w:p>
    <w:p>
      <w:pPr>
        <w:numPr>
          <w:ilvl w:val="0"/>
          <w:numId w:val="5"/>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卫生健康支出（类）公共卫生（款）其他公共卫生支出（项）：指反映财政部门安排的事业单位基本医疗保险缴费经费，未参加医疗保险的事业单位的公费医疗经费，按国家规定享受离休人员待遇的医疗经费。</w:t>
      </w:r>
    </w:p>
    <w:p>
      <w:pPr>
        <w:numPr>
          <w:ilvl w:val="0"/>
          <w:numId w:val="5"/>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卫生健康支出（类）行政事业单位医疗（款）事业单位医疗（项）：指反映财政部门安排的事业单位基本医疗保险缴费经费，未参加医疗保险的事业单位的公费医疗经费，按国家规定享受离休人员待遇的医疗经费。</w:t>
      </w:r>
    </w:p>
    <w:p>
      <w:pPr>
        <w:numPr>
          <w:ilvl w:val="0"/>
          <w:numId w:val="5"/>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住房保障支出（类）住房改革支出（款）住房公积金（项）：指反映行政事业单位按人力资源和社会保障部、财政部规定的基本工资和津贴补贴以及规定比例为职工缴纳的住房公积金。</w:t>
      </w:r>
    </w:p>
    <w:p>
      <w:pPr>
        <w:numPr>
          <w:ilvl w:val="0"/>
          <w:numId w:val="5"/>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5"/>
        </w:numPr>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项目支出：指在基本支出之外为完成特定行政任务和事业发展目标所发生的支出。 </w:t>
      </w:r>
    </w:p>
    <w:p>
      <w:pPr>
        <w:numPr>
          <w:ilvl w:val="0"/>
          <w:numId w:val="5"/>
        </w:numPr>
        <w:ind w:left="0" w:leftChars="0" w:firstLine="400" w:firstLineChars="0"/>
        <w:jc w:val="left"/>
        <w:outlineLvl w:val="0"/>
        <w:rPr>
          <w:rFonts w:hint="eastAsia" w:ascii="仿宋_GB2312" w:eastAsia="仿宋_GB2312"/>
          <w:color w:val="auto"/>
          <w:sz w:val="32"/>
          <w:szCs w:val="32"/>
          <w:highlight w:val="none"/>
        </w:rPr>
      </w:pPr>
      <w:bookmarkStart w:id="99" w:name="_Toc3986"/>
      <w:bookmarkStart w:id="100" w:name="_Toc797"/>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End w:id="99"/>
      <w:bookmarkStart w:id="101" w:name="_Toc15377226"/>
    </w:p>
    <w:p>
      <w:pPr>
        <w:jc w:val="left"/>
        <w:outlineLvl w:val="9"/>
        <w:rPr>
          <w:rFonts w:ascii="宋体"/>
          <w:b/>
          <w:color w:val="auto"/>
          <w:sz w:val="44"/>
          <w:szCs w:val="44"/>
          <w:highlight w:val="none"/>
        </w:rPr>
        <w:sectPr>
          <w:footerReference r:id="rId10" w:type="first"/>
          <w:footerReference r:id="rId9" w:type="default"/>
          <w:pgSz w:w="11906" w:h="16838"/>
          <w:pgMar w:top="1440" w:right="1800" w:bottom="1440" w:left="1800" w:header="851" w:footer="992" w:gutter="0"/>
          <w:pgNumType w:fmt="decimal" w:start="1"/>
          <w:cols w:space="425" w:num="1"/>
          <w:docGrid w:type="lines" w:linePitch="312" w:charSpace="0"/>
        </w:sectPr>
      </w:pPr>
      <w:r>
        <w:rPr>
          <w:rFonts w:ascii="宋体"/>
          <w:b/>
          <w:color w:val="auto"/>
          <w:sz w:val="44"/>
          <w:szCs w:val="44"/>
          <w:highlight w:val="none"/>
        </w:rPr>
        <w:br w:type="page"/>
      </w:r>
      <w:bookmarkStart w:id="102" w:name="_Toc15396614"/>
    </w:p>
    <w:p>
      <w:pPr>
        <w:jc w:val="center"/>
        <w:outlineLvl w:val="0"/>
        <w:rPr>
          <w:rStyle w:val="16"/>
          <w:rFonts w:ascii="黑体" w:hAnsi="黑体" w:eastAsia="黑体"/>
          <w:b w:val="0"/>
          <w:color w:val="auto"/>
          <w:highlight w:val="none"/>
        </w:rPr>
      </w:pPr>
      <w:bookmarkStart w:id="103" w:name="_Toc25992"/>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四部分 附件</w:t>
      </w:r>
      <w:bookmarkEnd w:id="100"/>
      <w:bookmarkEnd w:id="102"/>
      <w:bookmarkEnd w:id="103"/>
    </w:p>
    <w:p>
      <w:pPr>
        <w:spacing w:line="600" w:lineRule="exact"/>
        <w:jc w:val="left"/>
        <w:outlineLvl w:val="9"/>
        <w:rPr>
          <w:rFonts w:hint="eastAsia" w:ascii="仿宋_GB2312" w:hAnsi="Calibri" w:eastAsia="仿宋_GB2312" w:cs="仿宋"/>
          <w:color w:val="auto"/>
          <w:kern w:val="0"/>
          <w:sz w:val="32"/>
          <w:szCs w:val="32"/>
          <w:highlight w:val="none"/>
          <w:lang w:val="en-US" w:eastAsia="zh-CN" w:bidi="ar-SA"/>
        </w:rPr>
      </w:pPr>
      <w:bookmarkStart w:id="104" w:name="_Toc15396618"/>
    </w:p>
    <w:tbl>
      <w:tblPr>
        <w:tblStyle w:val="12"/>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0"/>
        <w:gridCol w:w="1859"/>
        <w:gridCol w:w="1902"/>
        <w:gridCol w:w="2224"/>
        <w:gridCol w:w="518"/>
        <w:gridCol w:w="1647"/>
        <w:gridCol w:w="614"/>
        <w:gridCol w:w="989"/>
        <w:gridCol w:w="576"/>
        <w:gridCol w:w="576"/>
        <w:gridCol w:w="2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9"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5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9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9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5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9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highlight w:val="yellow"/>
                <w:u w:val="none"/>
              </w:rPr>
            </w:pPr>
            <w:r>
              <w:rPr>
                <w:rFonts w:ascii="宋体" w:hAnsi="宋体" w:eastAsia="宋体" w:cs="宋体"/>
                <w:i w:val="0"/>
                <w:iCs w:val="0"/>
                <w:color w:val="000000"/>
                <w:kern w:val="0"/>
                <w:sz w:val="18"/>
                <w:szCs w:val="18"/>
                <w:highlight w:val="none"/>
                <w:u w:val="none"/>
                <w:lang w:val="en-US" w:eastAsia="zh-CN" w:bidi="ar"/>
              </w:rPr>
              <w:t>严格执行相关政策，保障工资及时发放、足额发放，预算编制科学合理，减少结余资金</w:t>
            </w:r>
          </w:p>
        </w:tc>
        <w:tc>
          <w:tcPr>
            <w:tcW w:w="45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highlight w:val="yellow"/>
                <w:u w:val="none"/>
                <w:lang w:eastAsia="zh-CN"/>
              </w:rPr>
            </w:pPr>
            <w:r>
              <w:rPr>
                <w:rFonts w:hint="eastAsia" w:ascii="黑体" w:hAnsi="黑体" w:eastAsia="黑体" w:cs="黑体"/>
                <w:i w:val="0"/>
                <w:iCs w:val="0"/>
                <w:color w:val="000000"/>
                <w:kern w:val="0"/>
                <w:sz w:val="18"/>
                <w:szCs w:val="18"/>
                <w:u w:val="none"/>
                <w:lang w:val="en-US" w:eastAsia="zh-CN" w:bidi="ar"/>
              </w:rPr>
              <w:t>完成资金执行，无结余资金。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5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yellow"/>
                <w:u w:val="none"/>
                <w:lang w:eastAsia="zh-CN"/>
              </w:rPr>
            </w:pPr>
            <w:r>
              <w:rPr>
                <w:rFonts w:hint="eastAsia" w:ascii="宋体" w:hAnsi="宋体" w:eastAsia="宋体" w:cs="宋体"/>
                <w:i w:val="0"/>
                <w:iCs w:val="0"/>
                <w:color w:val="000000"/>
                <w:sz w:val="18"/>
                <w:szCs w:val="18"/>
                <w:highlight w:val="none"/>
                <w:u w:val="none"/>
                <w:lang w:eastAsia="zh-CN"/>
              </w:rPr>
              <w:t>按照财政要求按时足额发放，无结余资金。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8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29.61</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37.72</w:t>
            </w:r>
          </w:p>
        </w:tc>
        <w:tc>
          <w:tcPr>
            <w:tcW w:w="28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37.72</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29.61</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37.72</w:t>
            </w:r>
          </w:p>
        </w:tc>
        <w:tc>
          <w:tcPr>
            <w:tcW w:w="28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37.72</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8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9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2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严格按照年度目标执行，工资及时发放到位</w:t>
            </w:r>
            <w:r>
              <w:rPr>
                <w:rFonts w:hint="eastAsia" w:ascii="宋体" w:hAnsi="宋体" w:cs="宋体"/>
                <w:i w:val="0"/>
                <w:iCs w:val="0"/>
                <w:color w:val="000000"/>
                <w:kern w:val="0"/>
                <w:sz w:val="18"/>
                <w:szCs w:val="18"/>
                <w:u w:val="none"/>
                <w:lang w:val="en-US" w:eastAsia="zh-CN" w:bidi="ar"/>
              </w:rPr>
              <w:t>，无结余资金。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项目负责人：李向兵</w:t>
            </w:r>
          </w:p>
        </w:tc>
        <w:tc>
          <w:tcPr>
            <w:tcW w:w="684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财务负责人：安霞</w:t>
            </w:r>
          </w:p>
        </w:tc>
      </w:tr>
    </w:tbl>
    <w:p>
      <w:pPr>
        <w:spacing w:line="600" w:lineRule="exact"/>
        <w:ind w:firstLine="640" w:firstLineChars="200"/>
        <w:jc w:val="left"/>
        <w:outlineLvl w:val="9"/>
        <w:rPr>
          <w:rFonts w:hint="eastAsia" w:ascii="仿宋_GB2312" w:hAnsi="Calibri" w:eastAsia="仿宋_GB2312" w:cs="仿宋"/>
          <w:i w:val="0"/>
          <w:iCs w:val="0"/>
          <w:color w:val="auto"/>
          <w:kern w:val="0"/>
          <w:sz w:val="32"/>
          <w:szCs w:val="32"/>
          <w:highlight w:val="none"/>
          <w:lang w:val="en-US" w:eastAsia="zh-CN" w:bidi="ar-SA"/>
        </w:rPr>
      </w:pPr>
    </w:p>
    <w:p>
      <w:pPr>
        <w:pStyle w:val="2"/>
        <w:rPr>
          <w:rFonts w:hint="eastAsia" w:ascii="仿宋_GB2312" w:hAnsi="Calibri" w:eastAsia="仿宋_GB2312" w:cs="仿宋"/>
          <w:i w:val="0"/>
          <w:iCs w:val="0"/>
          <w:color w:val="auto"/>
          <w:kern w:val="0"/>
          <w:sz w:val="32"/>
          <w:szCs w:val="32"/>
          <w:highlight w:val="none"/>
          <w:lang w:val="en-US" w:eastAsia="zh-CN" w:bidi="ar-SA"/>
        </w:rPr>
      </w:pPr>
    </w:p>
    <w:p>
      <w:pPr>
        <w:pStyle w:val="2"/>
        <w:rPr>
          <w:rFonts w:hint="eastAsia" w:ascii="仿宋_GB2312" w:hAnsi="Calibri" w:eastAsia="仿宋_GB2312" w:cs="仿宋"/>
          <w:i w:val="0"/>
          <w:iCs w:val="0"/>
          <w:color w:val="auto"/>
          <w:kern w:val="0"/>
          <w:sz w:val="32"/>
          <w:szCs w:val="32"/>
          <w:highlight w:val="none"/>
          <w:lang w:val="en-US" w:eastAsia="zh-CN" w:bidi="ar-SA"/>
        </w:rPr>
      </w:pPr>
    </w:p>
    <w:p>
      <w:pPr>
        <w:pStyle w:val="2"/>
        <w:rPr>
          <w:rFonts w:hint="eastAsia" w:ascii="仿宋_GB2312" w:hAnsi="Calibri" w:eastAsia="仿宋_GB2312" w:cs="仿宋"/>
          <w:i w:val="0"/>
          <w:iCs w:val="0"/>
          <w:color w:val="auto"/>
          <w:kern w:val="0"/>
          <w:sz w:val="32"/>
          <w:szCs w:val="32"/>
          <w:highlight w:val="none"/>
          <w:lang w:val="en-US" w:eastAsia="zh-CN" w:bidi="ar-SA"/>
        </w:rPr>
      </w:pPr>
    </w:p>
    <w:tbl>
      <w:tblPr>
        <w:tblStyle w:val="12"/>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9"/>
        <w:gridCol w:w="1995"/>
        <w:gridCol w:w="1728"/>
        <w:gridCol w:w="2223"/>
        <w:gridCol w:w="516"/>
        <w:gridCol w:w="1630"/>
        <w:gridCol w:w="516"/>
        <w:gridCol w:w="1079"/>
        <w:gridCol w:w="576"/>
        <w:gridCol w:w="666"/>
        <w:gridCol w:w="24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474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保障经费开支单位正常运行。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把握资金执行情况，保障经费正常开支。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1.71</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85.80%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8.58</w:t>
            </w:r>
          </w:p>
        </w:tc>
        <w:tc>
          <w:tcPr>
            <w:tcW w:w="2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1.71</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85.80%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26.67%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98.58</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cs="宋体"/>
                <w:i w:val="0"/>
                <w:iCs w:val="0"/>
                <w:color w:val="000000"/>
                <w:sz w:val="18"/>
                <w:szCs w:val="18"/>
                <w:u w:val="none"/>
                <w:lang w:eastAsia="zh-CN"/>
              </w:rPr>
              <w:t>日常运转保障</w:t>
            </w:r>
            <w:r>
              <w:rPr>
                <w:rFonts w:hint="eastAsia" w:ascii="宋体" w:hAnsi="宋体" w:cs="宋体"/>
                <w:i w:val="0"/>
                <w:iCs w:val="0"/>
                <w:color w:val="000000"/>
                <w:sz w:val="18"/>
                <w:szCs w:val="18"/>
                <w:u w:val="none"/>
                <w:lang w:val="en-US" w:eastAsia="zh-CN"/>
              </w:rPr>
              <w:t>较</w:t>
            </w:r>
            <w:r>
              <w:rPr>
                <w:rFonts w:hint="eastAsia" w:ascii="宋体" w:hAnsi="宋体" w:cs="宋体"/>
                <w:i w:val="0"/>
                <w:iCs w:val="0"/>
                <w:color w:val="000000"/>
                <w:sz w:val="18"/>
                <w:szCs w:val="18"/>
                <w:u w:val="none"/>
                <w:lang w:eastAsia="zh-CN"/>
              </w:rPr>
              <w:t>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项目负责人：李向兵</w:t>
            </w:r>
          </w:p>
        </w:tc>
        <w:tc>
          <w:tcPr>
            <w:tcW w:w="69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财务负责人：安霞</w:t>
            </w:r>
          </w:p>
        </w:tc>
      </w:tr>
    </w:tbl>
    <w:p>
      <w:pPr>
        <w:pStyle w:val="2"/>
        <w:rPr>
          <w:rFonts w:hint="eastAsia" w:ascii="仿宋_GB2312" w:hAnsi="Calibri" w:eastAsia="仿宋_GB2312" w:cs="仿宋"/>
          <w:i w:val="0"/>
          <w:iCs w:val="0"/>
          <w:color w:val="auto"/>
          <w:kern w:val="0"/>
          <w:sz w:val="32"/>
          <w:szCs w:val="32"/>
          <w:highlight w:val="none"/>
          <w:lang w:val="en-US" w:eastAsia="zh-CN" w:bidi="ar-SA"/>
        </w:rPr>
      </w:pPr>
    </w:p>
    <w:p>
      <w:pPr>
        <w:pStyle w:val="2"/>
        <w:rPr>
          <w:rFonts w:hint="eastAsia" w:ascii="仿宋_GB2312" w:hAnsi="Calibri" w:eastAsia="仿宋_GB2312" w:cs="仿宋"/>
          <w:i w:val="0"/>
          <w:iCs w:val="0"/>
          <w:color w:val="auto"/>
          <w:kern w:val="0"/>
          <w:sz w:val="32"/>
          <w:szCs w:val="32"/>
          <w:highlight w:val="none"/>
          <w:lang w:val="en-US" w:eastAsia="zh-CN" w:bidi="ar-SA"/>
        </w:rPr>
      </w:pPr>
    </w:p>
    <w:p>
      <w:pPr>
        <w:pStyle w:val="2"/>
        <w:rPr>
          <w:rFonts w:hint="eastAsia" w:ascii="仿宋_GB2312" w:hAnsi="Calibri" w:eastAsia="仿宋_GB2312" w:cs="仿宋"/>
          <w:i w:val="0"/>
          <w:iCs w:val="0"/>
          <w:color w:val="auto"/>
          <w:kern w:val="0"/>
          <w:sz w:val="32"/>
          <w:szCs w:val="32"/>
          <w:highlight w:val="none"/>
          <w:lang w:val="en-US" w:eastAsia="zh-CN" w:bidi="ar-SA"/>
        </w:rPr>
      </w:pPr>
    </w:p>
    <w:p>
      <w:pPr>
        <w:pStyle w:val="2"/>
        <w:rPr>
          <w:rFonts w:hint="eastAsia" w:ascii="仿宋_GB2312" w:hAnsi="Calibri" w:eastAsia="仿宋_GB2312" w:cs="仿宋"/>
          <w:i w:val="0"/>
          <w:iCs w:val="0"/>
          <w:color w:val="auto"/>
          <w:kern w:val="0"/>
          <w:sz w:val="32"/>
          <w:szCs w:val="32"/>
          <w:highlight w:val="none"/>
          <w:lang w:val="en-US" w:eastAsia="zh-CN" w:bidi="ar-SA"/>
        </w:rPr>
      </w:pPr>
    </w:p>
    <w:tbl>
      <w:tblPr>
        <w:tblStyle w:val="12"/>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0"/>
        <w:gridCol w:w="2015"/>
        <w:gridCol w:w="1747"/>
        <w:gridCol w:w="2224"/>
        <w:gridCol w:w="518"/>
        <w:gridCol w:w="1647"/>
        <w:gridCol w:w="518"/>
        <w:gridCol w:w="1085"/>
        <w:gridCol w:w="576"/>
        <w:gridCol w:w="576"/>
        <w:gridCol w:w="25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完成资金执行，无结余资金。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按照财政要求按时足额发放，无结余资金。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40.38</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49.87</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49.87</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40.38</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49.87</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49.87</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严格按照年度目标执行，工资及时发放到位</w:t>
            </w:r>
            <w:r>
              <w:rPr>
                <w:rFonts w:hint="eastAsia" w:ascii="宋体" w:hAnsi="宋体" w:cs="宋体"/>
                <w:i w:val="0"/>
                <w:iCs w:val="0"/>
                <w:color w:val="000000"/>
                <w:kern w:val="0"/>
                <w:sz w:val="18"/>
                <w:szCs w:val="18"/>
                <w:u w:val="none"/>
                <w:lang w:val="en-US" w:eastAsia="zh-CN" w:bidi="ar"/>
              </w:rPr>
              <w:t>，无结余资金。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项目负责人：李向兵</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财务负责人：安霞</w:t>
            </w:r>
          </w:p>
        </w:tc>
      </w:tr>
    </w:tbl>
    <w:p>
      <w:pPr>
        <w:pStyle w:val="2"/>
        <w:rPr>
          <w:rFonts w:hint="eastAsia" w:ascii="仿宋_GB2312" w:hAnsi="Calibri" w:eastAsia="仿宋_GB2312" w:cs="仿宋"/>
          <w:i w:val="0"/>
          <w:iCs w:val="0"/>
          <w:color w:val="auto"/>
          <w:kern w:val="0"/>
          <w:sz w:val="32"/>
          <w:szCs w:val="32"/>
          <w:highlight w:val="none"/>
          <w:lang w:val="en-US" w:eastAsia="zh-CN" w:bidi="ar-SA"/>
        </w:rPr>
      </w:pPr>
    </w:p>
    <w:p>
      <w:pPr>
        <w:pStyle w:val="2"/>
        <w:rPr>
          <w:rFonts w:hint="eastAsia" w:ascii="仿宋_GB2312" w:hAnsi="Calibri" w:eastAsia="仿宋_GB2312" w:cs="仿宋"/>
          <w:i w:val="0"/>
          <w:iCs w:val="0"/>
          <w:color w:val="auto"/>
          <w:kern w:val="0"/>
          <w:sz w:val="32"/>
          <w:szCs w:val="32"/>
          <w:highlight w:val="none"/>
          <w:lang w:val="en-US" w:eastAsia="zh-CN" w:bidi="ar-SA"/>
        </w:rPr>
      </w:pPr>
    </w:p>
    <w:p>
      <w:pPr>
        <w:pStyle w:val="2"/>
        <w:rPr>
          <w:rFonts w:hint="eastAsia" w:ascii="仿宋_GB2312" w:hAnsi="Calibri" w:eastAsia="仿宋_GB2312" w:cs="仿宋"/>
          <w:i w:val="0"/>
          <w:iCs w:val="0"/>
          <w:color w:val="auto"/>
          <w:kern w:val="0"/>
          <w:sz w:val="32"/>
          <w:szCs w:val="32"/>
          <w:highlight w:val="none"/>
          <w:lang w:val="en-US" w:eastAsia="zh-CN" w:bidi="ar-SA"/>
        </w:rPr>
      </w:pPr>
    </w:p>
    <w:p>
      <w:pPr>
        <w:pStyle w:val="2"/>
        <w:rPr>
          <w:rFonts w:hint="eastAsia" w:ascii="仿宋_GB2312" w:hAnsi="Calibri" w:eastAsia="仿宋_GB2312" w:cs="仿宋"/>
          <w:i w:val="0"/>
          <w:iCs w:val="0"/>
          <w:color w:val="auto"/>
          <w:kern w:val="0"/>
          <w:sz w:val="32"/>
          <w:szCs w:val="32"/>
          <w:highlight w:val="none"/>
          <w:lang w:val="en-US" w:eastAsia="zh-CN" w:bidi="ar-SA"/>
        </w:rPr>
      </w:pPr>
    </w:p>
    <w:p>
      <w:pPr>
        <w:pStyle w:val="2"/>
        <w:rPr>
          <w:rFonts w:hint="eastAsia" w:ascii="仿宋_GB2312" w:hAnsi="Calibri" w:eastAsia="仿宋_GB2312" w:cs="仿宋"/>
          <w:i w:val="0"/>
          <w:iCs w:val="0"/>
          <w:color w:val="auto"/>
          <w:kern w:val="0"/>
          <w:sz w:val="32"/>
          <w:szCs w:val="32"/>
          <w:highlight w:val="none"/>
          <w:lang w:val="en-US" w:eastAsia="zh-CN" w:bidi="ar-SA"/>
        </w:rPr>
      </w:pPr>
    </w:p>
    <w:p>
      <w:pPr>
        <w:pStyle w:val="2"/>
        <w:rPr>
          <w:rFonts w:hint="eastAsia" w:ascii="仿宋_GB2312" w:hAnsi="Calibri" w:eastAsia="仿宋_GB2312" w:cs="仿宋"/>
          <w:i w:val="0"/>
          <w:iCs w:val="0"/>
          <w:color w:val="auto"/>
          <w:kern w:val="0"/>
          <w:sz w:val="32"/>
          <w:szCs w:val="32"/>
          <w:highlight w:val="none"/>
          <w:lang w:val="en-US" w:eastAsia="zh-CN" w:bidi="ar-SA"/>
        </w:rPr>
      </w:pPr>
    </w:p>
    <w:tbl>
      <w:tblPr>
        <w:tblStyle w:val="12"/>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1"/>
        <w:gridCol w:w="2011"/>
        <w:gridCol w:w="1745"/>
        <w:gridCol w:w="2219"/>
        <w:gridCol w:w="518"/>
        <w:gridCol w:w="1647"/>
        <w:gridCol w:w="518"/>
        <w:gridCol w:w="1082"/>
        <w:gridCol w:w="504"/>
        <w:gridCol w:w="666"/>
        <w:gridCol w:w="25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51080022T000004953036-卫生执业资格考试考务成本支出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1.顺利推进报名审核工作</w:t>
            </w:r>
          </w:p>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2.考试系统管理员培训合格，合格率100%</w:t>
            </w:r>
          </w:p>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3.完成考试实施开展，圆满完成各项考务工作</w:t>
            </w:r>
          </w:p>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4.全程无泄密失窃等严重事件发生，不因工作开展造成新冠疫情传播等重大安全事故</w:t>
            </w:r>
          </w:p>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5.2022年非税收入征收成本项目目标59.36万元</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1.考试报名工作安全顺利开展，全年完成考生报名5000余人</w:t>
            </w:r>
          </w:p>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2.考前组织机考系统管理员等相关技术人员参加国家及省考区培训，合格率100%</w:t>
            </w:r>
          </w:p>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3.全年考试工作顺利开展，圆满完成了各项考务工作</w:t>
            </w:r>
          </w:p>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4.考试工作开展全程无无泄密失窃等严重事件发生，未因此造成新冠疫情传播等重大安全事故</w:t>
            </w:r>
          </w:p>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5.完成非税征缴59.56万元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按照国家及省考区要求，严防严控压实责任，全力推进考试项目工作。创新开展报名审核；周密部署，顺利组织考试4批次。全程无无泄密失窃等严重事件发生，未因此造成新冠疫情传播等重大安全事故。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60.76</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60.76</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60.39</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99.39%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9.94</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60.76</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60.76</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60.39</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99.39%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全市卫生执业考试人数超6000人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7559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持续举行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5669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满意度达8</w:t>
            </w:r>
            <w:r>
              <w:rPr>
                <w:rFonts w:hint="eastAsia" w:ascii="宋体" w:hAnsi="宋体" w:cs="宋体"/>
                <w:i w:val="0"/>
                <w:iCs w:val="0"/>
                <w:color w:val="000000"/>
                <w:kern w:val="0"/>
                <w:sz w:val="18"/>
                <w:szCs w:val="18"/>
                <w:u w:val="none"/>
                <w:lang w:val="en-US" w:eastAsia="zh-CN" w:bidi="ar"/>
              </w:rPr>
              <w:t>0</w:t>
            </w:r>
            <w:r>
              <w:rPr>
                <w:rFonts w:ascii="宋体" w:hAnsi="宋体" w:eastAsia="宋体" w:cs="宋体"/>
                <w:i w:val="0"/>
                <w:iCs w:val="0"/>
                <w:color w:val="000000"/>
                <w:kern w:val="0"/>
                <w:sz w:val="18"/>
                <w:szCs w:val="18"/>
                <w:u w:val="none"/>
                <w:lang w:val="en-US" w:eastAsia="zh-CN" w:bidi="ar"/>
              </w:rPr>
              <w:t>%</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r>
              <w:rPr>
                <w:rFonts w:hint="eastAsia" w:ascii="宋体" w:hAnsi="宋体" w:cs="宋体"/>
                <w:i w:val="0"/>
                <w:iCs w:val="0"/>
                <w:color w:val="000000"/>
                <w:kern w:val="0"/>
                <w:sz w:val="18"/>
                <w:szCs w:val="18"/>
                <w:u w:val="none"/>
                <w:lang w:val="en-US" w:eastAsia="zh-CN" w:bidi="ar"/>
              </w:rPr>
              <w:t>0</w:t>
            </w:r>
            <w:r>
              <w:rPr>
                <w:rFonts w:ascii="宋体" w:hAnsi="宋体" w:eastAsia="宋体" w:cs="宋体"/>
                <w:i w:val="0"/>
                <w:iCs w:val="0"/>
                <w:color w:val="000000"/>
                <w:kern w:val="0"/>
                <w:sz w:val="18"/>
                <w:szCs w:val="18"/>
                <w:u w:val="none"/>
                <w:lang w:val="en-US" w:eastAsia="zh-CN" w:bidi="ar"/>
              </w:rPr>
              <w:t>%</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99%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99.94</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2022年顺利完成组织开展护士执业资格考试、卫生专业技术资格考试、卫生人才评价考试、医师资格考试，工作开展全程安全顺利，无违纪违规事件发生，没有因此产生新冠疫情传播等重大安全事件，年末总计上缴非税59.56万元，超额完成目标。总分100分，自评9</w:t>
            </w:r>
            <w:r>
              <w:rPr>
                <w:rFonts w:hint="eastAsia" w:ascii="宋体" w:hAnsi="宋体" w:cs="宋体"/>
                <w:i w:val="0"/>
                <w:iCs w:val="0"/>
                <w:color w:val="000000"/>
                <w:kern w:val="0"/>
                <w:sz w:val="18"/>
                <w:szCs w:val="18"/>
                <w:u w:val="none"/>
                <w:lang w:val="en-US" w:eastAsia="zh-CN" w:bidi="ar"/>
              </w:rPr>
              <w:t>9.94</w:t>
            </w:r>
            <w:r>
              <w:rPr>
                <w:rFonts w:hint="eastAsia" w:ascii="宋体" w:hAnsi="宋体" w:eastAsia="宋体" w:cs="宋体"/>
                <w:i w:val="0"/>
                <w:iCs w:val="0"/>
                <w:color w:val="000000"/>
                <w:kern w:val="0"/>
                <w:sz w:val="18"/>
                <w:szCs w:val="18"/>
                <w:u w:val="none"/>
                <w:lang w:val="en-US" w:eastAsia="zh-CN" w:bidi="ar"/>
              </w:rPr>
              <w:t>分，较圆满的完成了项目目标，为广大考生提供了优质服务，为卫生健康事业发展人才事业增添了一份力量。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因疫情原因，考试全国进行了延期举行，导致前期项目执行进度较慢，但后续考试组织开展之后，恢复进度。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在今后开展项目工作的过程中，提高政治站位和服务水平，严格按照省考区要求，及时健全考试领导小组，完善考试各项规章制度、方案和预案，认真组织好考前培训，加强保密管理，落实疫情防控措施，严肃考风考纪，确保各项人才考试工作圆满完成，为“健康守护工程”加强人才队伍建设打好坚实基础，为医疗人才获取从业资格和提提供优质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项目负责人：李向兵</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财务负责人：安霞</w:t>
            </w:r>
          </w:p>
        </w:tc>
      </w:tr>
    </w:tbl>
    <w:p>
      <w:pPr>
        <w:pStyle w:val="2"/>
        <w:rPr>
          <w:rFonts w:hint="eastAsia" w:ascii="仿宋_GB2312" w:hAnsi="Calibri" w:eastAsia="仿宋_GB2312" w:cs="仿宋"/>
          <w:i w:val="0"/>
          <w:iCs w:val="0"/>
          <w:color w:val="auto"/>
          <w:kern w:val="0"/>
          <w:sz w:val="32"/>
          <w:szCs w:val="32"/>
          <w:highlight w:val="none"/>
          <w:lang w:val="en-US" w:eastAsia="zh-CN" w:bidi="ar-SA"/>
        </w:rPr>
      </w:pPr>
    </w:p>
    <w:p>
      <w:pPr>
        <w:pStyle w:val="2"/>
        <w:rPr>
          <w:rFonts w:hint="eastAsia" w:ascii="仿宋_GB2312" w:hAnsi="Calibri" w:eastAsia="仿宋_GB2312" w:cs="仿宋"/>
          <w:i w:val="0"/>
          <w:iCs w:val="0"/>
          <w:color w:val="auto"/>
          <w:kern w:val="0"/>
          <w:sz w:val="32"/>
          <w:szCs w:val="32"/>
          <w:highlight w:val="none"/>
          <w:lang w:val="en-US" w:eastAsia="zh-CN" w:bidi="ar-SA"/>
        </w:rPr>
      </w:pPr>
    </w:p>
    <w:tbl>
      <w:tblPr>
        <w:tblStyle w:val="12"/>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1"/>
        <w:gridCol w:w="2015"/>
        <w:gridCol w:w="1746"/>
        <w:gridCol w:w="2222"/>
        <w:gridCol w:w="518"/>
        <w:gridCol w:w="1648"/>
        <w:gridCol w:w="518"/>
        <w:gridCol w:w="1085"/>
        <w:gridCol w:w="576"/>
        <w:gridCol w:w="576"/>
        <w:gridCol w:w="2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51080022T000005771771-2021年结转下年工资福利支出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eastAsia="zh-CN"/>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eastAsia="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预算编制科学合理，减少结余资金</w:t>
            </w:r>
          </w:p>
        </w:tc>
        <w:tc>
          <w:tcPr>
            <w:tcW w:w="4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完成资金执行，无结余资金。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严格把握政策，保障资金执行。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0.28</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0.28</w:t>
            </w:r>
          </w:p>
        </w:tc>
        <w:tc>
          <w:tcPr>
            <w:tcW w:w="2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0.28</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0.28</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0.28</w:t>
            </w:r>
          </w:p>
        </w:tc>
        <w:tc>
          <w:tcPr>
            <w:tcW w:w="2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0.28</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6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vMerge w:val="restart"/>
            <w:tcBorders>
              <w:top w:val="single" w:color="000000" w:sz="4" w:space="0"/>
              <w:left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产出指标</w:t>
            </w:r>
          </w:p>
        </w:tc>
        <w:tc>
          <w:tcPr>
            <w:tcW w:w="1746" w:type="dxa"/>
            <w:vMerge w:val="restart"/>
            <w:tcBorders>
              <w:top w:val="single" w:color="000000" w:sz="4" w:space="0"/>
              <w:left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数量指标</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科目调整次数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10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次</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微软雅黑" w:hAnsi="微软雅黑" w:eastAsia="微软雅黑" w:cs="微软雅黑"/>
                <w:i w:val="0"/>
                <w:iCs/>
                <w:color w:val="000000"/>
                <w:kern w:val="2"/>
                <w:sz w:val="16"/>
                <w:szCs w:val="16"/>
                <w:u w:val="none"/>
                <w:lang w:val="en-US" w:eastAsia="zh-CN" w:bidi="ar-SA"/>
              </w:rPr>
            </w:pPr>
            <w:r>
              <w:rPr>
                <w:rFonts w:hint="eastAsia" w:ascii="微软雅黑" w:hAnsi="微软雅黑" w:eastAsia="微软雅黑" w:cs="微软雅黑"/>
                <w:i w:val="0"/>
                <w:iCs/>
                <w:color w:val="000000"/>
                <w:kern w:val="2"/>
                <w:sz w:val="16"/>
                <w:szCs w:val="16"/>
                <w:u w:val="none"/>
                <w:lang w:val="en-US" w:eastAsia="zh-CN" w:bidi="ar-SA"/>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201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6"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足额保障率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微软雅黑" w:hAnsi="微软雅黑" w:eastAsia="微软雅黑" w:cs="微软雅黑"/>
                <w:i w:val="0"/>
                <w:iCs/>
                <w:color w:val="000000"/>
                <w:kern w:val="2"/>
                <w:sz w:val="16"/>
                <w:szCs w:val="16"/>
                <w:u w:val="none"/>
                <w:lang w:val="en-US" w:eastAsia="zh-CN" w:bidi="ar-SA"/>
              </w:rPr>
            </w:pPr>
            <w:r>
              <w:rPr>
                <w:rFonts w:hint="eastAsia" w:ascii="微软雅黑" w:hAnsi="微软雅黑" w:eastAsia="微软雅黑" w:cs="微软雅黑"/>
                <w:i w:val="0"/>
                <w:iCs/>
                <w:color w:val="000000"/>
                <w:kern w:val="2"/>
                <w:sz w:val="16"/>
                <w:szCs w:val="16"/>
                <w:u w:val="none"/>
                <w:lang w:val="en-US" w:eastAsia="zh-CN" w:bidi="ar-SA"/>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时效指标</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按时发放率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微软雅黑" w:hAnsi="微软雅黑" w:eastAsia="微软雅黑" w:cs="微软雅黑"/>
                <w:i w:val="0"/>
                <w:iCs/>
                <w:color w:val="000000"/>
                <w:kern w:val="2"/>
                <w:sz w:val="16"/>
                <w:szCs w:val="16"/>
                <w:u w:val="none"/>
                <w:lang w:val="en-US" w:eastAsia="zh-CN" w:bidi="ar-SA"/>
              </w:rPr>
            </w:pPr>
            <w:r>
              <w:rPr>
                <w:rFonts w:hint="eastAsia" w:ascii="微软雅黑" w:hAnsi="微软雅黑" w:eastAsia="微软雅黑" w:cs="微软雅黑"/>
                <w:i w:val="0"/>
                <w:iCs/>
                <w:color w:val="000000"/>
                <w:kern w:val="2"/>
                <w:sz w:val="16"/>
                <w:szCs w:val="16"/>
                <w:u w:val="none"/>
                <w:lang w:val="en-US" w:eastAsia="zh-CN" w:bidi="ar-SA"/>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效益指标</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经济效益指标</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结余率（计算方法为：结余数/预算数）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5</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微软雅黑" w:hAnsi="微软雅黑" w:eastAsia="微软雅黑" w:cs="微软雅黑"/>
                <w:i w:val="0"/>
                <w:iCs/>
                <w:color w:val="000000"/>
                <w:kern w:val="2"/>
                <w:sz w:val="16"/>
                <w:szCs w:val="16"/>
                <w:u w:val="none"/>
                <w:lang w:val="en-US" w:eastAsia="zh-CN" w:bidi="ar-SA"/>
              </w:rPr>
            </w:pPr>
            <w:r>
              <w:rPr>
                <w:rFonts w:hint="eastAsia" w:ascii="微软雅黑" w:hAnsi="微软雅黑" w:eastAsia="微软雅黑" w:cs="微软雅黑"/>
                <w:i w:val="0"/>
                <w:iCs/>
                <w:color w:val="000000"/>
                <w:kern w:val="2"/>
                <w:sz w:val="16"/>
                <w:szCs w:val="16"/>
                <w:u w:val="none"/>
                <w:lang w:val="en-US" w:eastAsia="zh-CN" w:bidi="ar-SA"/>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3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cs="宋体"/>
                <w:i w:val="0"/>
                <w:iCs w:val="0"/>
                <w:color w:val="000000"/>
                <w:kern w:val="0"/>
                <w:sz w:val="18"/>
                <w:szCs w:val="18"/>
                <w:u w:val="none"/>
                <w:lang w:val="en-US" w:eastAsia="zh-CN" w:bidi="ar"/>
              </w:rPr>
              <w:t>资金</w:t>
            </w:r>
            <w:r>
              <w:rPr>
                <w:rFonts w:hint="eastAsia" w:ascii="宋体" w:hAnsi="宋体" w:eastAsia="宋体" w:cs="宋体"/>
                <w:i w:val="0"/>
                <w:iCs w:val="0"/>
                <w:color w:val="000000"/>
                <w:kern w:val="0"/>
                <w:sz w:val="18"/>
                <w:szCs w:val="18"/>
                <w:u w:val="none"/>
                <w:lang w:val="en-US" w:eastAsia="zh-CN" w:bidi="ar"/>
              </w:rPr>
              <w:t>执行较好，无结余</w:t>
            </w:r>
            <w:r>
              <w:rPr>
                <w:rFonts w:hint="eastAsia" w:ascii="宋体" w:hAnsi="宋体" w:cs="宋体"/>
                <w:i w:val="0"/>
                <w:iCs w:val="0"/>
                <w:color w:val="000000"/>
                <w:kern w:val="0"/>
                <w:sz w:val="18"/>
                <w:szCs w:val="18"/>
                <w:u w:val="none"/>
                <w:lang w:val="en-US" w:eastAsia="zh-CN" w:bidi="ar"/>
              </w:rPr>
              <w:t>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项目负责人：李向兵</w:t>
            </w:r>
          </w:p>
        </w:tc>
        <w:tc>
          <w:tcPr>
            <w:tcW w:w="69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财务负责人：安霞</w:t>
            </w:r>
          </w:p>
        </w:tc>
      </w:tr>
    </w:tbl>
    <w:p>
      <w:pPr>
        <w:pStyle w:val="2"/>
        <w:rPr>
          <w:rFonts w:hint="eastAsia" w:ascii="仿宋_GB2312" w:hAnsi="Calibri" w:eastAsia="仿宋_GB2312" w:cs="仿宋"/>
          <w:i w:val="0"/>
          <w:iCs w:val="0"/>
          <w:color w:val="auto"/>
          <w:kern w:val="0"/>
          <w:sz w:val="32"/>
          <w:szCs w:val="32"/>
          <w:highlight w:val="none"/>
          <w:lang w:val="en-US" w:eastAsia="zh-CN" w:bidi="ar-SA"/>
        </w:rPr>
      </w:pPr>
    </w:p>
    <w:p>
      <w:pPr>
        <w:spacing w:line="600" w:lineRule="exact"/>
        <w:jc w:val="center"/>
        <w:outlineLvl w:val="9"/>
        <w:rPr>
          <w:rFonts w:hint="eastAsia" w:ascii="黑体" w:hAnsi="黑体" w:eastAsia="黑体"/>
          <w:i w:val="0"/>
          <w:iCs w:val="0"/>
          <w:color w:val="auto"/>
          <w:sz w:val="44"/>
          <w:szCs w:val="44"/>
          <w:highlight w:val="none"/>
        </w:rPr>
      </w:pPr>
      <w:bookmarkStart w:id="105" w:name="_Toc16938"/>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both"/>
        <w:outlineLvl w:val="9"/>
        <w:rPr>
          <w:rFonts w:hint="eastAsia" w:ascii="黑体" w:hAnsi="黑体" w:eastAsia="黑体"/>
          <w:i w:val="0"/>
          <w:iCs w:val="0"/>
          <w:color w:val="auto"/>
          <w:sz w:val="44"/>
          <w:szCs w:val="44"/>
          <w:highlight w:val="none"/>
        </w:rPr>
      </w:pPr>
    </w:p>
    <w:tbl>
      <w:tblPr>
        <w:tblStyle w:val="12"/>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4"/>
        <w:gridCol w:w="2051"/>
        <w:gridCol w:w="1775"/>
        <w:gridCol w:w="2263"/>
        <w:gridCol w:w="521"/>
        <w:gridCol w:w="1583"/>
        <w:gridCol w:w="330"/>
        <w:gridCol w:w="1376"/>
        <w:gridCol w:w="665"/>
        <w:gridCol w:w="768"/>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51080022T000005772112-2021年结转下年其他支出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706"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52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eastAsia="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预算编制科学合理，保障单位日常运转，提高预算编制质量，严格执行预算</w:t>
            </w:r>
            <w:r>
              <w:rPr>
                <w:rFonts w:hint="eastAsia" w:ascii="宋体" w:hAnsi="宋体" w:eastAsia="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减少结余资金</w:t>
            </w:r>
          </w:p>
        </w:tc>
        <w:tc>
          <w:tcPr>
            <w:tcW w:w="52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单位日常运转保障到位。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把握资金执行情况，保障单位日常经费开支。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3.82</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3.82</w:t>
            </w: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3.68</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96.29%</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9.63</w:t>
            </w:r>
          </w:p>
        </w:tc>
        <w:tc>
          <w:tcPr>
            <w:tcW w:w="20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3.82</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3.82</w:t>
            </w: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3.68</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96.29%</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10</w:t>
            </w: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次</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微软雅黑" w:hAnsi="微软雅黑" w:eastAsia="微软雅黑" w:cs="微软雅黑"/>
                <w:i w:val="0"/>
                <w:iCs/>
                <w:color w:val="000000"/>
                <w:kern w:val="2"/>
                <w:sz w:val="16"/>
                <w:szCs w:val="16"/>
                <w:lang w:val="en-US" w:eastAsia="zh-CN" w:bidi="ar-SA"/>
              </w:rPr>
            </w:pPr>
            <w:r>
              <w:rPr>
                <w:rFonts w:hint="eastAsia" w:ascii="微软雅黑" w:hAnsi="微软雅黑" w:eastAsia="微软雅黑" w:cs="微软雅黑"/>
                <w:i w:val="0"/>
                <w:iCs/>
                <w:color w:val="000000"/>
                <w:kern w:val="2"/>
                <w:sz w:val="16"/>
                <w:szCs w:val="16"/>
                <w:lang w:val="en-US" w:eastAsia="zh-CN" w:bidi="ar-SA"/>
              </w:rPr>
              <w:t>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5</w:t>
            </w: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微软雅黑" w:hAnsi="微软雅黑" w:eastAsia="微软雅黑" w:cs="微软雅黑"/>
                <w:i w:val="0"/>
                <w:iCs/>
                <w:color w:val="000000"/>
                <w:kern w:val="2"/>
                <w:sz w:val="16"/>
                <w:szCs w:val="16"/>
                <w:lang w:val="en-US" w:eastAsia="zh-CN" w:bidi="ar-SA"/>
              </w:rPr>
            </w:pPr>
            <w:r>
              <w:rPr>
                <w:rFonts w:hint="eastAsia" w:ascii="微软雅黑" w:hAnsi="微软雅黑" w:eastAsia="微软雅黑" w:cs="微软雅黑"/>
                <w:i w:val="0"/>
                <w:iCs/>
                <w:color w:val="000000"/>
                <w:kern w:val="2"/>
                <w:sz w:val="16"/>
                <w:szCs w:val="16"/>
                <w:lang w:val="en-US" w:eastAsia="zh-CN" w:bidi="ar-SA"/>
              </w:rPr>
              <w:t>-3.66</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经济效益指标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100</w:t>
            </w: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微软雅黑" w:hAnsi="微软雅黑" w:eastAsia="微软雅黑" w:cs="微软雅黑"/>
                <w:i w:val="0"/>
                <w:iCs/>
                <w:color w:val="000000"/>
                <w:kern w:val="2"/>
                <w:sz w:val="16"/>
                <w:szCs w:val="16"/>
                <w:lang w:val="en-US" w:eastAsia="zh-CN" w:bidi="ar-SA"/>
              </w:rPr>
            </w:pPr>
            <w:r>
              <w:rPr>
                <w:rFonts w:hint="eastAsia" w:ascii="微软雅黑" w:hAnsi="微软雅黑" w:eastAsia="微软雅黑" w:cs="微软雅黑"/>
                <w:i w:val="0"/>
                <w:iCs/>
                <w:color w:val="000000"/>
                <w:kern w:val="2"/>
                <w:sz w:val="16"/>
                <w:szCs w:val="16"/>
                <w:lang w:val="en-US" w:eastAsia="zh-CN" w:bidi="ar-SA"/>
              </w:rPr>
              <w:t>26.67</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100</w:t>
            </w: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微软雅黑" w:hAnsi="微软雅黑" w:eastAsia="微软雅黑" w:cs="微软雅黑"/>
                <w:i w:val="0"/>
                <w:iCs/>
                <w:color w:val="000000"/>
                <w:kern w:val="2"/>
                <w:sz w:val="16"/>
                <w:szCs w:val="16"/>
                <w:lang w:val="en-US" w:eastAsia="zh-CN" w:bidi="ar-SA"/>
              </w:rPr>
            </w:pPr>
            <w:r>
              <w:rPr>
                <w:rFonts w:hint="eastAsia" w:ascii="微软雅黑" w:hAnsi="微软雅黑" w:eastAsia="微软雅黑" w:cs="微软雅黑"/>
                <w:i w:val="0"/>
                <w:iCs/>
                <w:color w:val="000000"/>
                <w:kern w:val="2"/>
                <w:sz w:val="16"/>
                <w:szCs w:val="16"/>
                <w:lang w:val="en-US" w:eastAsia="zh-CN" w:bidi="ar-SA"/>
              </w:rPr>
              <w:t>100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99.63</w:t>
            </w:r>
          </w:p>
        </w:tc>
        <w:tc>
          <w:tcPr>
            <w:tcW w:w="208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cs="宋体"/>
                <w:i w:val="0"/>
                <w:iCs w:val="0"/>
                <w:color w:val="000000"/>
                <w:kern w:val="0"/>
                <w:sz w:val="18"/>
                <w:szCs w:val="18"/>
                <w:u w:val="none"/>
                <w:lang w:val="en-US" w:eastAsia="zh-CN" w:bidi="ar"/>
              </w:rPr>
              <w:t>单位日常运转保障到位。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项目负责人：李向兵</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财务负责人：安霞</w:t>
            </w:r>
          </w:p>
        </w:tc>
      </w:tr>
    </w:tbl>
    <w:p>
      <w:pPr>
        <w:spacing w:line="600" w:lineRule="exact"/>
        <w:jc w:val="both"/>
        <w:outlineLvl w:val="9"/>
        <w:rPr>
          <w:rFonts w:hint="eastAsia" w:ascii="黑体" w:hAnsi="黑体" w:eastAsia="黑体"/>
          <w:i w:val="0"/>
          <w:iCs w:val="0"/>
          <w:color w:val="auto"/>
          <w:sz w:val="44"/>
          <w:szCs w:val="44"/>
          <w:highlight w:val="none"/>
        </w:rPr>
      </w:pPr>
    </w:p>
    <w:p>
      <w:pPr>
        <w:pStyle w:val="2"/>
        <w:rPr>
          <w:rFonts w:hint="eastAsia" w:ascii="黑体" w:hAnsi="黑体" w:eastAsia="黑体"/>
          <w:i w:val="0"/>
          <w:iCs w:val="0"/>
          <w:color w:val="auto"/>
          <w:sz w:val="44"/>
          <w:szCs w:val="44"/>
          <w:highlight w:val="none"/>
        </w:rPr>
      </w:pPr>
    </w:p>
    <w:p>
      <w:pPr>
        <w:rPr>
          <w:rFonts w:hint="eastAsia" w:ascii="黑体" w:hAnsi="黑体" w:eastAsia="黑体"/>
          <w:i w:val="0"/>
          <w:iCs w:val="0"/>
          <w:color w:val="auto"/>
          <w:sz w:val="44"/>
          <w:szCs w:val="44"/>
          <w:highlight w:val="none"/>
        </w:rPr>
      </w:pPr>
    </w:p>
    <w:p>
      <w:pPr>
        <w:pStyle w:val="2"/>
        <w:rPr>
          <w:rFonts w:hint="eastAsia"/>
        </w:rPr>
      </w:pPr>
    </w:p>
    <w:p>
      <w:pPr>
        <w:rPr>
          <w:rFonts w:hint="eastAsia"/>
        </w:rPr>
      </w:pPr>
    </w:p>
    <w:tbl>
      <w:tblPr>
        <w:tblStyle w:val="12"/>
        <w:tblW w:w="141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2"/>
        <w:gridCol w:w="2029"/>
        <w:gridCol w:w="1756"/>
        <w:gridCol w:w="2239"/>
        <w:gridCol w:w="520"/>
        <w:gridCol w:w="1659"/>
        <w:gridCol w:w="520"/>
        <w:gridCol w:w="1086"/>
        <w:gridCol w:w="505"/>
        <w:gridCol w:w="576"/>
        <w:gridCol w:w="25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51080022T000005772189-2021年结转下年执业资格考试考务成本支出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1.顺利推进报名审核工作</w:t>
            </w:r>
          </w:p>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2.考试系统管理员培训合格，合格率100%</w:t>
            </w:r>
          </w:p>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3.完成考试实施开展，圆满完成各项考务工作</w:t>
            </w:r>
          </w:p>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4.全程无泄密失窃等严重事件发生，不因工作开展造成新冠疫情传播等重大安全事故</w:t>
            </w:r>
          </w:p>
          <w:p>
            <w:pP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5.2022年非税收入征收成本项目目标59.36万元</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1.考试报名工作安全顺利开展，全年完成考生报名5000余人</w:t>
            </w:r>
          </w:p>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2.考前组织机考系统管理员等相关技术人员参加国家及省考区培训，合格率100%</w:t>
            </w:r>
          </w:p>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3.全年考试工作顺利开展，圆满完成了各项考务工作</w:t>
            </w:r>
          </w:p>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4.考试工作开展全程无无泄密失窃等严重事件发生，未因此造成新冠疫情传播等重大安全事故</w:t>
            </w:r>
          </w:p>
          <w:p>
            <w:pPr>
              <w:keepNext w:val="0"/>
              <w:keepLines w:val="0"/>
              <w:widowControl/>
              <w:suppressLineNumbers w:val="0"/>
              <w:jc w:val="left"/>
              <w:textAlignment w:val="center"/>
              <w:rPr>
                <w:rFonts w:hint="eastAsia" w:ascii="黑体" w:hAnsi="黑体" w:eastAsia="黑体" w:cs="黑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5.完成非税征缴59.56万元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sz w:val="18"/>
                <w:szCs w:val="18"/>
                <w:u w:val="none"/>
              </w:rPr>
              <w:t>按照国家及省考区要求，严防严控压实责任，全力推进考试项目工作。创新开展报名审核；周密部署，顺利组织考试4批次。全程无无泄密失窃等严重事件发生，未因此造成新冠疫情传播等重大安全事故。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0.25</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0.25</w:t>
            </w:r>
          </w:p>
        </w:tc>
        <w:tc>
          <w:tcPr>
            <w:tcW w:w="27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3.4</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0.25</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0.25</w:t>
            </w:r>
          </w:p>
        </w:tc>
        <w:tc>
          <w:tcPr>
            <w:tcW w:w="27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产出指标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数量指标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全市卫生执业考试人数超6000人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6000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人/年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7559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40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40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可持续发展指标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持续举行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5000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人/年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5669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20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满意度指标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服务对象满意度指标</w:t>
            </w:r>
          </w:p>
        </w:tc>
        <w:tc>
          <w:tcPr>
            <w:tcW w:w="2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满意度达8</w:t>
            </w:r>
            <w:r>
              <w:rPr>
                <w:rFonts w:hint="eastAsia" w:ascii="宋体" w:hAnsi="宋体" w:cs="宋体"/>
                <w:i w:val="0"/>
                <w:iCs w:val="0"/>
                <w:color w:val="000000"/>
                <w:kern w:val="0"/>
                <w:sz w:val="18"/>
                <w:szCs w:val="18"/>
                <w:u w:val="none"/>
                <w:lang w:val="en-US" w:eastAsia="zh-CN" w:bidi="ar"/>
              </w:rPr>
              <w:t>0</w:t>
            </w:r>
            <w:r>
              <w:rPr>
                <w:rFonts w:ascii="宋体" w:hAnsi="宋体" w:eastAsia="宋体" w:cs="宋体"/>
                <w:i w:val="0"/>
                <w:iCs w:val="0"/>
                <w:color w:val="000000"/>
                <w:kern w:val="0"/>
                <w:sz w:val="18"/>
                <w:szCs w:val="18"/>
                <w:u w:val="none"/>
                <w:lang w:val="en-US" w:eastAsia="zh-CN" w:bidi="ar"/>
              </w:rPr>
              <w:t>%</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1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8</w:t>
            </w:r>
            <w:r>
              <w:rPr>
                <w:rFonts w:hint="eastAsia" w:ascii="宋体" w:hAnsi="宋体" w:cs="宋体"/>
                <w:i w:val="0"/>
                <w:iCs w:val="0"/>
                <w:color w:val="000000"/>
                <w:kern w:val="0"/>
                <w:sz w:val="18"/>
                <w:szCs w:val="18"/>
                <w:u w:val="none"/>
                <w:lang w:val="en-US" w:eastAsia="zh-CN" w:bidi="ar"/>
              </w:rPr>
              <w:t>0</w:t>
            </w:r>
            <w:r>
              <w:rPr>
                <w:rFonts w:ascii="宋体" w:hAnsi="宋体" w:eastAsia="宋体" w:cs="宋体"/>
                <w:i w:val="0"/>
                <w:iCs w:val="0"/>
                <w:color w:val="000000"/>
                <w:kern w:val="0"/>
                <w:sz w:val="18"/>
                <w:szCs w:val="18"/>
                <w:u w:val="none"/>
                <w:lang w:val="en-US" w:eastAsia="zh-CN" w:bidi="ar"/>
              </w:rPr>
              <w:t>%</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人数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99%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30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93.4</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2022年顺利完成组织开展护士执业资格考试、卫生专业技术资格考试、卫生人才评价考试、医师资格考试，工作开展全程安全顺利，无违纪违规事件发生，没有因此产生新冠疫情传播等重大安全事件，年末总计上缴非税59.56万元，超额完成目标。较圆满的完成了项目目标，为广大考生提供了优质服务，为卫生健康事业发展人才事业增添了一份力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因疫情原因，考试全国进行了延期举行，导致前期项目执行进度较慢，但后续考试组织开展之后，恢复进度。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在今后开展项目工作的过程中，提高政治站位和服务水平，严格按照省考区要求，及时健全考试领导小组，完善考试各项规章制度、方案和预案，认真组织好考前培训，加强保密管理，落实疫情防控措施，严肃考风考纪，确保各项人才考试工作圆满完成，为“健康守护工程”加强人才队伍建设打好坚实基础，为医疗人才获取从业资格和提提供优质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7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项目负责人：李向兵</w:t>
            </w:r>
          </w:p>
        </w:tc>
        <w:tc>
          <w:tcPr>
            <w:tcW w:w="68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财务负责人：安霞</w:t>
            </w:r>
          </w:p>
        </w:tc>
      </w:tr>
    </w:tbl>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both"/>
        <w:outlineLvl w:val="9"/>
        <w:rPr>
          <w:rFonts w:hint="eastAsia" w:ascii="黑体" w:hAnsi="黑体" w:eastAsia="黑体"/>
          <w:i w:val="0"/>
          <w:iCs w:val="0"/>
          <w:color w:val="auto"/>
          <w:sz w:val="44"/>
          <w:szCs w:val="44"/>
          <w:highlight w:val="none"/>
        </w:rPr>
      </w:pPr>
    </w:p>
    <w:tbl>
      <w:tblPr>
        <w:tblStyle w:val="12"/>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0"/>
        <w:gridCol w:w="1995"/>
        <w:gridCol w:w="1728"/>
        <w:gridCol w:w="2223"/>
        <w:gridCol w:w="516"/>
        <w:gridCol w:w="1630"/>
        <w:gridCol w:w="516"/>
        <w:gridCol w:w="1078"/>
        <w:gridCol w:w="576"/>
        <w:gridCol w:w="666"/>
        <w:gridCol w:w="24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47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单位日常运转保障到位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eastAsia="zh-CN"/>
              </w:rPr>
              <w:t>把握资金执行情况，保障单位日常经费开支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6.88</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66.29%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6.63</w:t>
            </w:r>
          </w:p>
        </w:tc>
        <w:tc>
          <w:tcPr>
            <w:tcW w:w="2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7.20</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6.88</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4.56</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66.29%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6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-3.37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26,67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96.63</w:t>
            </w:r>
          </w:p>
        </w:tc>
        <w:tc>
          <w:tcPr>
            <w:tcW w:w="25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单位日常运转保障到位</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9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项目负责人：李向兵</w:t>
            </w:r>
          </w:p>
        </w:tc>
        <w:tc>
          <w:tcPr>
            <w:tcW w:w="690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财务负责人：安霞</w:t>
            </w:r>
          </w:p>
        </w:tc>
      </w:tr>
    </w:tbl>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tbl>
      <w:tblPr>
        <w:tblStyle w:val="12"/>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0"/>
        <w:gridCol w:w="1999"/>
        <w:gridCol w:w="1733"/>
        <w:gridCol w:w="2204"/>
        <w:gridCol w:w="516"/>
        <w:gridCol w:w="1633"/>
        <w:gridCol w:w="516"/>
        <w:gridCol w:w="1079"/>
        <w:gridCol w:w="576"/>
        <w:gridCol w:w="666"/>
        <w:gridCol w:w="24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7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7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9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8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0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严格执行相关政策，及时足额发放，预算编制科学合理，减少结余资金</w:t>
            </w:r>
          </w:p>
        </w:tc>
        <w:tc>
          <w:tcPr>
            <w:tcW w:w="48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及时足额发放到位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及时足额发放到位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3.76</w:t>
            </w:r>
          </w:p>
        </w:tc>
        <w:tc>
          <w:tcPr>
            <w:tcW w:w="26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96.88%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9.69</w:t>
            </w:r>
          </w:p>
        </w:tc>
        <w:tc>
          <w:tcPr>
            <w:tcW w:w="2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3.76</w:t>
            </w:r>
          </w:p>
        </w:tc>
        <w:tc>
          <w:tcPr>
            <w:tcW w:w="26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3.64</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96.88%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6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产出指标</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数量指标</w:t>
            </w: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科目调整次数</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6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次</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微软雅黑" w:hAnsi="微软雅黑" w:eastAsia="微软雅黑" w:cs="微软雅黑"/>
                <w:i w:val="0"/>
                <w:iCs/>
                <w:color w:val="000000"/>
                <w:kern w:val="2"/>
                <w:sz w:val="16"/>
                <w:szCs w:val="16"/>
                <w:lang w:val="en-US" w:eastAsia="zh-CN" w:bidi="ar-SA"/>
              </w:rPr>
            </w:pPr>
            <w:r>
              <w:rPr>
                <w:rFonts w:hint="eastAsia" w:ascii="微软雅黑" w:hAnsi="微软雅黑" w:eastAsia="微软雅黑" w:cs="微软雅黑"/>
                <w:i w:val="0"/>
                <w:iCs/>
                <w:color w:val="000000"/>
                <w:kern w:val="2"/>
                <w:sz w:val="16"/>
                <w:szCs w:val="16"/>
                <w:lang w:val="en-US" w:eastAsia="zh-CN" w:bidi="ar-SA"/>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足额保障率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6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微软雅黑" w:hAnsi="微软雅黑" w:eastAsia="微软雅黑" w:cs="微软雅黑"/>
                <w:i w:val="0"/>
                <w:iCs/>
                <w:color w:val="000000"/>
                <w:kern w:val="2"/>
                <w:sz w:val="16"/>
                <w:szCs w:val="16"/>
                <w:lang w:val="en-US" w:eastAsia="zh-CN" w:bidi="ar-SA"/>
              </w:rPr>
            </w:pPr>
            <w:r>
              <w:rPr>
                <w:rFonts w:hint="eastAsia" w:ascii="微软雅黑" w:hAnsi="微软雅黑" w:eastAsia="微软雅黑" w:cs="微软雅黑"/>
                <w:i w:val="0"/>
                <w:iCs/>
                <w:color w:val="000000"/>
                <w:kern w:val="2"/>
                <w:sz w:val="16"/>
                <w:szCs w:val="16"/>
                <w:lang w:val="en-US" w:eastAsia="zh-CN" w:bidi="ar-SA"/>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时效指标</w:t>
            </w: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按时发放率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6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微软雅黑" w:hAnsi="微软雅黑" w:eastAsia="微软雅黑" w:cs="微软雅黑"/>
                <w:i w:val="0"/>
                <w:iCs/>
                <w:color w:val="000000"/>
                <w:kern w:val="2"/>
                <w:sz w:val="16"/>
                <w:szCs w:val="16"/>
                <w:lang w:val="en-US" w:eastAsia="zh-CN" w:bidi="ar-SA"/>
              </w:rPr>
            </w:pPr>
            <w:r>
              <w:rPr>
                <w:rFonts w:hint="eastAsia" w:ascii="微软雅黑" w:hAnsi="微软雅黑" w:eastAsia="微软雅黑" w:cs="微软雅黑"/>
                <w:i w:val="0"/>
                <w:iCs/>
                <w:color w:val="000000"/>
                <w:kern w:val="2"/>
                <w:sz w:val="16"/>
                <w:szCs w:val="16"/>
                <w:lang w:val="en-US" w:eastAsia="zh-CN" w:bidi="ar-SA"/>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效益指标</w:t>
            </w:r>
          </w:p>
        </w:tc>
        <w:tc>
          <w:tcPr>
            <w:tcW w:w="17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经济效益指标</w:t>
            </w:r>
          </w:p>
        </w:tc>
        <w:tc>
          <w:tcPr>
            <w:tcW w:w="22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结余率（计算方法为：结余数/预算数）</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6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5</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微软雅黑" w:hAnsi="微软雅黑" w:eastAsia="微软雅黑" w:cs="微软雅黑"/>
                <w:i w:val="0"/>
                <w:iCs/>
                <w:color w:val="000000"/>
                <w:kern w:val="2"/>
                <w:sz w:val="16"/>
                <w:szCs w:val="16"/>
                <w:lang w:val="en-US" w:eastAsia="zh-CN" w:bidi="ar-SA"/>
              </w:rPr>
            </w:pPr>
            <w:r>
              <w:rPr>
                <w:rFonts w:hint="eastAsia" w:ascii="微软雅黑" w:hAnsi="微软雅黑" w:eastAsia="微软雅黑" w:cs="微软雅黑"/>
                <w:i w:val="0"/>
                <w:iCs/>
                <w:color w:val="000000"/>
                <w:kern w:val="2"/>
                <w:sz w:val="16"/>
                <w:szCs w:val="16"/>
                <w:lang w:val="en-US" w:eastAsia="zh-CN" w:bidi="ar-SA"/>
              </w:rPr>
              <w:t>3.19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sz w:val="18"/>
                <w:szCs w:val="18"/>
                <w:lang w:val="en-US" w:eastAsia="zh-CN" w:bidi="ar"/>
              </w:rPr>
              <w:t>22.5</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36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99.69</w:t>
            </w:r>
          </w:p>
        </w:tc>
        <w:tc>
          <w:tcPr>
            <w:tcW w:w="24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及时足额发放到位</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项目负责人：李向兵</w:t>
            </w:r>
          </w:p>
        </w:tc>
        <w:tc>
          <w:tcPr>
            <w:tcW w:w="69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财务负责人：安霞</w:t>
            </w:r>
          </w:p>
        </w:tc>
      </w:tr>
    </w:tbl>
    <w:p>
      <w:pPr>
        <w:spacing w:line="600" w:lineRule="exact"/>
        <w:jc w:val="center"/>
        <w:outlineLvl w:val="9"/>
        <w:rPr>
          <w:rFonts w:hint="eastAsia" w:ascii="黑体" w:hAnsi="黑体" w:eastAsia="黑体"/>
          <w:i w:val="0"/>
          <w:iCs w:val="0"/>
          <w:color w:val="auto"/>
          <w:sz w:val="44"/>
          <w:szCs w:val="44"/>
          <w:highlight w:val="none"/>
        </w:rPr>
      </w:pPr>
    </w:p>
    <w:p>
      <w:pPr>
        <w:pStyle w:val="2"/>
        <w:rPr>
          <w:rFonts w:hint="eastAsia" w:ascii="黑体" w:hAnsi="黑体" w:eastAsia="黑体"/>
          <w:i w:val="0"/>
          <w:iCs w:val="0"/>
          <w:color w:val="auto"/>
          <w:sz w:val="44"/>
          <w:szCs w:val="44"/>
          <w:highlight w:val="none"/>
        </w:rPr>
      </w:pPr>
    </w:p>
    <w:p>
      <w:pPr>
        <w:rPr>
          <w:rFonts w:hint="eastAsia" w:ascii="黑体" w:hAnsi="黑体" w:eastAsia="黑体"/>
          <w:i w:val="0"/>
          <w:iCs w:val="0"/>
          <w:color w:val="auto"/>
          <w:sz w:val="44"/>
          <w:szCs w:val="44"/>
          <w:highlight w:val="none"/>
        </w:rPr>
      </w:pPr>
    </w:p>
    <w:p>
      <w:pPr>
        <w:pStyle w:val="2"/>
        <w:rPr>
          <w:rFonts w:hint="eastAsia"/>
        </w:rPr>
      </w:pPr>
    </w:p>
    <w:p>
      <w:pPr>
        <w:spacing w:line="600" w:lineRule="exact"/>
        <w:jc w:val="both"/>
        <w:outlineLvl w:val="9"/>
        <w:rPr>
          <w:rFonts w:hint="eastAsia" w:ascii="黑体" w:hAnsi="黑体" w:eastAsia="黑体"/>
          <w:i w:val="0"/>
          <w:iCs w:val="0"/>
          <w:color w:val="auto"/>
          <w:sz w:val="44"/>
          <w:szCs w:val="44"/>
          <w:highlight w:val="none"/>
        </w:rPr>
      </w:pPr>
    </w:p>
    <w:tbl>
      <w:tblPr>
        <w:tblStyle w:val="12"/>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2"/>
        <w:gridCol w:w="2015"/>
        <w:gridCol w:w="1745"/>
        <w:gridCol w:w="2221"/>
        <w:gridCol w:w="518"/>
        <w:gridCol w:w="1650"/>
        <w:gridCol w:w="686"/>
        <w:gridCol w:w="917"/>
        <w:gridCol w:w="576"/>
        <w:gridCol w:w="576"/>
        <w:gridCol w:w="25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51080023T000008544336-医考实践技能考试费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8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917"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8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8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按照国家医考中心、四川省考区和广元市卫健委要求，按时完成医师资格考试报名和两次医学综合考试相关工作，无泄密事件发生。</w:t>
            </w:r>
          </w:p>
        </w:tc>
        <w:tc>
          <w:tcPr>
            <w:tcW w:w="45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按照国家及省考区要求，严防严控压实责任，全力推进考试项目工作。全程无无泄密失窃等严重事件发生，未因此造成新冠疫情传播等重大安全事故。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8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4.11</w:t>
            </w:r>
          </w:p>
        </w:tc>
        <w:tc>
          <w:tcPr>
            <w:tcW w:w="28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4.11</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4.11</w:t>
            </w:r>
          </w:p>
        </w:tc>
        <w:tc>
          <w:tcPr>
            <w:tcW w:w="28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4.11</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8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产出指标</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质量指标</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考生报名初审完成率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22.5</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效益指标</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社会效益指标</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培养人才</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定性</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优良差</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22.5</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成本指标</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经济成本指标</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上缴非税</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4.11</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万元</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4.11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22.5</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满意度指标</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服务对象满意度</w:t>
            </w:r>
          </w:p>
        </w:tc>
        <w:tc>
          <w:tcPr>
            <w:tcW w:w="22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考生满意度</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default" w:ascii="Arial" w:hAnsi="Arial" w:eastAsia="宋体" w:cs="Arial"/>
                <w:color w:val="000000"/>
                <w:sz w:val="16"/>
                <w:szCs w:val="16"/>
                <w:lang w:val="en-US" w:eastAsia="zh-CN" w:bidi="ar"/>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22.5</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3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工作开展全程安全顺利，无违纪违规事件发生，没有因此产生新冠疫情传播等重大安全事件，年末总计上缴非税59.56万元，超额完成目标。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项目负责人：李向兵</w:t>
            </w:r>
          </w:p>
        </w:tc>
        <w:tc>
          <w:tcPr>
            <w:tcW w:w="69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财务负责人：安霞</w:t>
            </w:r>
          </w:p>
        </w:tc>
      </w:tr>
    </w:tbl>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center"/>
        <w:outlineLvl w:val="9"/>
        <w:rPr>
          <w:rFonts w:hint="eastAsia" w:ascii="黑体" w:hAnsi="黑体" w:eastAsia="黑体"/>
          <w:i w:val="0"/>
          <w:iCs w:val="0"/>
          <w:color w:val="auto"/>
          <w:sz w:val="44"/>
          <w:szCs w:val="44"/>
          <w:highlight w:val="none"/>
        </w:rPr>
      </w:pPr>
    </w:p>
    <w:p>
      <w:pPr>
        <w:spacing w:line="600" w:lineRule="exact"/>
        <w:jc w:val="both"/>
        <w:outlineLvl w:val="9"/>
        <w:rPr>
          <w:rFonts w:hint="eastAsia" w:ascii="黑体" w:hAnsi="黑体" w:eastAsia="黑体"/>
          <w:i w:val="0"/>
          <w:iCs w:val="0"/>
          <w:color w:val="auto"/>
          <w:sz w:val="44"/>
          <w:szCs w:val="44"/>
          <w:highlight w:val="none"/>
        </w:rPr>
      </w:pPr>
    </w:p>
    <w:tbl>
      <w:tblPr>
        <w:tblStyle w:val="12"/>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8"/>
        <w:gridCol w:w="2000"/>
        <w:gridCol w:w="1733"/>
        <w:gridCol w:w="2204"/>
        <w:gridCol w:w="517"/>
        <w:gridCol w:w="1633"/>
        <w:gridCol w:w="517"/>
        <w:gridCol w:w="1079"/>
        <w:gridCol w:w="575"/>
        <w:gridCol w:w="666"/>
        <w:gridCol w:w="24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0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51080023T000008613035-2022年市级重大卫生事业及发展经费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108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广元市医学技术服务管理中心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稳步推进护士执业资格考试、卫生专业技术资格考试、医师资格考试等人才考试工作，确保考试圆满完成，不因此造成新冠疫情传播等重大安全事故。</w:t>
            </w:r>
          </w:p>
        </w:tc>
        <w:tc>
          <w:tcPr>
            <w:tcW w:w="47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sz w:val="18"/>
                <w:szCs w:val="18"/>
                <w:u w:val="none"/>
                <w:lang w:eastAsia="zh-CN"/>
              </w:rPr>
              <w:t>按照规定及时</w:t>
            </w:r>
            <w:r>
              <w:rPr>
                <w:rFonts w:hint="eastAsia" w:ascii="宋体" w:hAnsi="宋体" w:cs="宋体"/>
                <w:i w:val="0"/>
                <w:iCs w:val="0"/>
                <w:color w:val="000000"/>
                <w:sz w:val="18"/>
                <w:szCs w:val="18"/>
                <w:u w:val="none"/>
                <w:lang w:eastAsia="zh-CN"/>
              </w:rPr>
              <w:t>组织开展考试，未</w:t>
            </w:r>
            <w:r>
              <w:rPr>
                <w:rFonts w:hint="eastAsia" w:ascii="宋体" w:hAnsi="宋体" w:eastAsia="宋体" w:cs="宋体"/>
                <w:i w:val="0"/>
                <w:iCs w:val="0"/>
                <w:color w:val="000000"/>
                <w:sz w:val="18"/>
                <w:szCs w:val="18"/>
                <w:u w:val="none"/>
                <w:lang w:eastAsia="zh-CN"/>
              </w:rPr>
              <w:t>因此造成新冠疫情传播等重大安全事故。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0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按照国家及省考区要求，严防严控压实责任，全力推进考试项目工作。创新开展报名审核；周密部署，顺利组织考试4批次。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26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2.38</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47.59%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4.76</w:t>
            </w:r>
          </w:p>
        </w:tc>
        <w:tc>
          <w:tcPr>
            <w:tcW w:w="25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26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2.38</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47.59%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6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产出指标</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质量指标</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宋体" w:hAnsi="宋体" w:eastAsia="宋体" w:cs="宋体"/>
                <w:i w:val="0"/>
                <w:iCs w:val="0"/>
                <w:color w:val="000000"/>
                <w:kern w:val="2"/>
                <w:sz w:val="18"/>
                <w:szCs w:val="18"/>
                <w:u w:val="none"/>
                <w:lang w:val="en-US" w:eastAsia="zh-CN" w:bidi="ar-SA"/>
              </w:rPr>
            </w:pPr>
            <w:r>
              <w:rPr>
                <w:rFonts w:hint="eastAsia" w:ascii="微软雅黑" w:hAnsi="微软雅黑" w:eastAsia="微软雅黑" w:cs="微软雅黑"/>
                <w:i w:val="0"/>
                <w:iCs w:val="0"/>
                <w:color w:val="000000"/>
                <w:kern w:val="0"/>
                <w:sz w:val="16"/>
                <w:szCs w:val="16"/>
                <w:u w:val="none"/>
                <w:lang w:val="en-US" w:eastAsia="zh-CN" w:bidi="ar"/>
              </w:rPr>
              <w:t>无新冠疫情传播等重大安全事件</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2"/>
                <w:sz w:val="18"/>
                <w:szCs w:val="18"/>
                <w:u w:val="none"/>
                <w:lang w:val="en-US" w:eastAsia="zh-CN" w:bidi="ar-SA"/>
              </w:rPr>
              <w:t>定性</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2"/>
                <w:sz w:val="18"/>
                <w:szCs w:val="18"/>
                <w:u w:val="none"/>
                <w:lang w:val="en-US" w:eastAsia="zh-CN" w:bidi="ar-SA"/>
              </w:rPr>
              <w:t>有无</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 xml:space="preserve"> </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无</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效益指标</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社会效益指标</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培养人才</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定性</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优良差</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2"/>
                <w:sz w:val="18"/>
                <w:szCs w:val="18"/>
                <w:u w:val="none"/>
                <w:lang w:val="en-US" w:eastAsia="zh-CN" w:bidi="ar-SA"/>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满意度指标</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服务对象满意度</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考生满意度</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default" w:ascii="Arial" w:hAnsi="Arial" w:eastAsia="宋体" w:cs="Arial"/>
                <w:color w:val="000000"/>
                <w:sz w:val="16"/>
                <w:szCs w:val="16"/>
                <w:lang w:val="en-US" w:eastAsia="zh-CN" w:bidi="ar"/>
              </w:rPr>
              <w:t>≥</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80</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 w:hRule="atLeast"/>
        </w:trPr>
        <w:tc>
          <w:tcPr>
            <w:tcW w:w="68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43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94.76</w:t>
            </w:r>
          </w:p>
        </w:tc>
        <w:tc>
          <w:tcPr>
            <w:tcW w:w="25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2022年顺利完成组织开展护士执业资格考试、卫生专业技术资格考试、卫生人才评价考试、医师资格考试，工作开展全程安全顺利，无违纪违规事件发生，没有因此产生新冠疫情传播等重大安全事件，为广大考生提供了优质服务，为卫生健康事业发展人才事业增添了一份力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项目负责人：李向兵</w:t>
            </w:r>
          </w:p>
        </w:tc>
        <w:tc>
          <w:tcPr>
            <w:tcW w:w="691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财务负责人：安霞</w:t>
            </w:r>
          </w:p>
        </w:tc>
      </w:tr>
    </w:tbl>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sectPr>
          <w:pgSz w:w="16838" w:h="11906" w:orient="landscape"/>
          <w:pgMar w:top="1800" w:right="1440" w:bottom="1800" w:left="1440" w:header="851" w:footer="992" w:gutter="0"/>
          <w:pgNumType w:fmt="decimal"/>
          <w:cols w:space="425" w:num="1"/>
          <w:docGrid w:type="lines" w:linePitch="312" w:charSpace="0"/>
        </w:sectPr>
      </w:pPr>
    </w:p>
    <w:p>
      <w:pPr>
        <w:spacing w:line="600" w:lineRule="exact"/>
        <w:jc w:val="center"/>
        <w:outlineLvl w:val="0"/>
        <w:rPr>
          <w:rFonts w:hint="eastAsia" w:ascii="仿宋" w:hAnsi="仿宋" w:eastAsia="仿宋"/>
          <w:b w:val="0"/>
          <w:color w:val="auto"/>
          <w:highlight w:val="none"/>
        </w:rPr>
      </w:pPr>
      <w:bookmarkStart w:id="106" w:name="_Toc24642"/>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五部分 附表</w:t>
      </w:r>
      <w:bookmarkEnd w:id="101"/>
      <w:bookmarkEnd w:id="104"/>
      <w:bookmarkEnd w:id="105"/>
      <w:bookmarkEnd w:id="106"/>
      <w:bookmarkStart w:id="107" w:name="_Toc15396619"/>
    </w:p>
    <w:p>
      <w:pPr>
        <w:pStyle w:val="4"/>
        <w:rPr>
          <w:rFonts w:ascii="仿宋" w:hAnsi="仿宋" w:eastAsia="仿宋"/>
          <w:color w:val="auto"/>
          <w:highlight w:val="none"/>
        </w:rPr>
      </w:pPr>
      <w:bookmarkStart w:id="108" w:name="_Toc27185"/>
      <w:bookmarkStart w:id="109" w:name="_Toc4898"/>
      <w:r>
        <w:rPr>
          <w:rFonts w:hint="eastAsia" w:ascii="仿宋" w:hAnsi="仿宋" w:eastAsia="仿宋"/>
          <w:b w:val="0"/>
          <w:color w:val="auto"/>
          <w:highlight w:val="none"/>
        </w:rPr>
        <w:t>一、收</w:t>
      </w:r>
      <w:r>
        <w:rPr>
          <w:rStyle w:val="17"/>
          <w:rFonts w:hint="eastAsia" w:ascii="仿宋" w:hAnsi="仿宋" w:eastAsia="仿宋"/>
          <w:b w:val="0"/>
          <w:bCs w:val="0"/>
          <w:color w:val="auto"/>
          <w:highlight w:val="none"/>
        </w:rPr>
        <w:t>入支出决算总表</w:t>
      </w:r>
      <w:bookmarkEnd w:id="107"/>
      <w:bookmarkEnd w:id="108"/>
      <w:bookmarkEnd w:id="109"/>
    </w:p>
    <w:p>
      <w:pPr>
        <w:pStyle w:val="4"/>
        <w:rPr>
          <w:rFonts w:ascii="仿宋" w:hAnsi="仿宋" w:eastAsia="仿宋"/>
          <w:color w:val="auto"/>
          <w:highlight w:val="none"/>
        </w:rPr>
      </w:pPr>
      <w:bookmarkStart w:id="110" w:name="_Toc15396620"/>
      <w:bookmarkStart w:id="111" w:name="_Toc20026"/>
      <w:bookmarkStart w:id="112" w:name="_Toc22611"/>
      <w:r>
        <w:rPr>
          <w:rFonts w:hint="eastAsia" w:ascii="仿宋" w:hAnsi="仿宋" w:eastAsia="仿宋"/>
          <w:b w:val="0"/>
          <w:color w:val="auto"/>
          <w:highlight w:val="none"/>
        </w:rPr>
        <w:t>二、收</w:t>
      </w:r>
      <w:r>
        <w:rPr>
          <w:rStyle w:val="17"/>
          <w:rFonts w:hint="eastAsia" w:ascii="仿宋" w:hAnsi="仿宋" w:eastAsia="仿宋"/>
          <w:b w:val="0"/>
          <w:bCs w:val="0"/>
          <w:color w:val="auto"/>
          <w:highlight w:val="none"/>
        </w:rPr>
        <w:t>入决算表</w:t>
      </w:r>
      <w:bookmarkEnd w:id="110"/>
      <w:bookmarkEnd w:id="111"/>
      <w:bookmarkEnd w:id="112"/>
    </w:p>
    <w:p>
      <w:pPr>
        <w:pStyle w:val="4"/>
        <w:rPr>
          <w:rFonts w:ascii="仿宋" w:hAnsi="仿宋" w:eastAsia="仿宋"/>
          <w:color w:val="auto"/>
          <w:highlight w:val="none"/>
        </w:rPr>
      </w:pPr>
      <w:bookmarkStart w:id="113" w:name="_Toc15396621"/>
      <w:bookmarkStart w:id="114" w:name="_Toc3169"/>
      <w:bookmarkStart w:id="115" w:name="_Toc3089"/>
      <w:r>
        <w:rPr>
          <w:rStyle w:val="1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7"/>
          <w:rFonts w:hint="eastAsia" w:ascii="仿宋" w:hAnsi="仿宋" w:eastAsia="仿宋"/>
          <w:b w:val="0"/>
          <w:bCs w:val="0"/>
          <w:color w:val="auto"/>
          <w:highlight w:val="none"/>
        </w:rPr>
        <w:t>出决算表</w:t>
      </w:r>
      <w:bookmarkEnd w:id="113"/>
      <w:bookmarkEnd w:id="114"/>
      <w:bookmarkEnd w:id="115"/>
    </w:p>
    <w:p>
      <w:pPr>
        <w:pStyle w:val="4"/>
        <w:rPr>
          <w:rFonts w:ascii="仿宋" w:hAnsi="仿宋" w:eastAsia="仿宋"/>
          <w:b w:val="0"/>
          <w:color w:val="auto"/>
          <w:highlight w:val="none"/>
        </w:rPr>
      </w:pPr>
      <w:bookmarkStart w:id="116" w:name="_Toc1642"/>
      <w:bookmarkStart w:id="117" w:name="_Toc15396622"/>
      <w:bookmarkStart w:id="118" w:name="_Toc8579"/>
      <w:r>
        <w:rPr>
          <w:rStyle w:val="1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政拨款收入支出决算总表</w:t>
      </w:r>
      <w:bookmarkEnd w:id="116"/>
      <w:bookmarkEnd w:id="117"/>
      <w:bookmarkEnd w:id="118"/>
    </w:p>
    <w:p>
      <w:pPr>
        <w:pStyle w:val="4"/>
        <w:rPr>
          <w:rStyle w:val="17"/>
          <w:rFonts w:ascii="仿宋" w:hAnsi="仿宋" w:eastAsia="仿宋"/>
          <w:b w:val="0"/>
          <w:bCs w:val="0"/>
          <w:color w:val="auto"/>
          <w:highlight w:val="none"/>
        </w:rPr>
      </w:pPr>
      <w:bookmarkStart w:id="119" w:name="_Toc26293"/>
      <w:bookmarkStart w:id="120" w:name="_Toc22955"/>
      <w:bookmarkStart w:id="121" w:name="_Toc15396623"/>
      <w:r>
        <w:rPr>
          <w:rStyle w:val="1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政拨款支出决算明细表</w:t>
      </w:r>
      <w:bookmarkEnd w:id="119"/>
      <w:bookmarkEnd w:id="120"/>
      <w:bookmarkEnd w:id="121"/>
      <w:bookmarkStart w:id="122" w:name="_Toc15396624"/>
    </w:p>
    <w:p>
      <w:pPr>
        <w:pStyle w:val="4"/>
        <w:rPr>
          <w:rFonts w:ascii="仿宋" w:hAnsi="仿宋" w:eastAsia="仿宋"/>
          <w:color w:val="auto"/>
          <w:highlight w:val="none"/>
        </w:rPr>
      </w:pPr>
      <w:bookmarkStart w:id="123" w:name="_Toc22273"/>
      <w:bookmarkStart w:id="124" w:name="_Toc26688"/>
      <w:r>
        <w:rPr>
          <w:rStyle w:val="1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般公共预算财政拨款支出决算表</w:t>
      </w:r>
      <w:bookmarkEnd w:id="122"/>
      <w:bookmarkEnd w:id="123"/>
      <w:bookmarkEnd w:id="124"/>
    </w:p>
    <w:p>
      <w:pPr>
        <w:pStyle w:val="4"/>
        <w:rPr>
          <w:rFonts w:ascii="仿宋" w:hAnsi="仿宋" w:eastAsia="仿宋"/>
          <w:color w:val="auto"/>
          <w:highlight w:val="none"/>
        </w:rPr>
      </w:pPr>
      <w:bookmarkStart w:id="125" w:name="_Toc32330"/>
      <w:bookmarkStart w:id="126" w:name="_Toc15396625"/>
      <w:bookmarkStart w:id="127" w:name="_Toc5380"/>
      <w:r>
        <w:rPr>
          <w:rStyle w:val="1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般公共预算财政拨款支出决算明细表</w:t>
      </w:r>
      <w:bookmarkEnd w:id="125"/>
      <w:bookmarkEnd w:id="126"/>
      <w:bookmarkEnd w:id="127"/>
    </w:p>
    <w:p>
      <w:pPr>
        <w:pStyle w:val="4"/>
        <w:rPr>
          <w:rFonts w:ascii="仿宋" w:hAnsi="仿宋" w:eastAsia="仿宋"/>
          <w:color w:val="auto"/>
          <w:highlight w:val="none"/>
        </w:rPr>
      </w:pPr>
      <w:bookmarkStart w:id="128" w:name="_Toc9976"/>
      <w:bookmarkStart w:id="129" w:name="_Toc512"/>
      <w:bookmarkStart w:id="130" w:name="_Toc15396626"/>
      <w:r>
        <w:rPr>
          <w:rStyle w:val="1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般公共预算财政拨款基本支出决算表</w:t>
      </w:r>
      <w:bookmarkEnd w:id="128"/>
      <w:bookmarkEnd w:id="129"/>
      <w:bookmarkEnd w:id="130"/>
    </w:p>
    <w:p>
      <w:pPr>
        <w:pStyle w:val="4"/>
        <w:rPr>
          <w:rFonts w:ascii="仿宋" w:hAnsi="仿宋" w:eastAsia="仿宋"/>
          <w:color w:val="auto"/>
          <w:highlight w:val="none"/>
        </w:rPr>
      </w:pPr>
      <w:bookmarkStart w:id="131" w:name="_Toc25366"/>
      <w:bookmarkStart w:id="132" w:name="_Toc17360"/>
      <w:bookmarkStart w:id="133" w:name="_Toc15396627"/>
      <w:r>
        <w:rPr>
          <w:rStyle w:val="1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般公共预算财政拨款项目支出决算表</w:t>
      </w:r>
      <w:bookmarkEnd w:id="131"/>
      <w:bookmarkEnd w:id="132"/>
      <w:bookmarkEnd w:id="133"/>
    </w:p>
    <w:p>
      <w:pPr>
        <w:pStyle w:val="4"/>
        <w:rPr>
          <w:rFonts w:ascii="仿宋" w:hAnsi="仿宋" w:eastAsia="仿宋"/>
          <w:color w:val="auto"/>
          <w:highlight w:val="none"/>
        </w:rPr>
      </w:pPr>
      <w:bookmarkStart w:id="134" w:name="_Toc15396628"/>
      <w:bookmarkStart w:id="135" w:name="_Toc31804"/>
      <w:bookmarkStart w:id="136" w:name="_Toc5885"/>
      <w:r>
        <w:rPr>
          <w:rStyle w:val="17"/>
          <w:rFonts w:hint="eastAsia" w:ascii="仿宋" w:hAnsi="仿宋" w:eastAsia="仿宋"/>
          <w:b w:val="0"/>
          <w:bCs w:val="0"/>
          <w:color w:val="auto"/>
          <w:highlight w:val="none"/>
        </w:rPr>
        <w:t>十、</w:t>
      </w:r>
      <w:bookmarkEnd w:id="134"/>
      <w:r>
        <w:rPr>
          <w:rFonts w:hint="eastAsia" w:ascii="仿宋" w:hAnsi="仿宋" w:eastAsia="仿宋"/>
          <w:b w:val="0"/>
          <w:color w:val="auto"/>
          <w:highlight w:val="none"/>
        </w:rPr>
        <w:t>政</w:t>
      </w:r>
      <w:r>
        <w:rPr>
          <w:rStyle w:val="17"/>
          <w:rFonts w:hint="eastAsia" w:ascii="仿宋" w:hAnsi="仿宋" w:eastAsia="仿宋"/>
          <w:b w:val="0"/>
          <w:bCs w:val="0"/>
          <w:color w:val="auto"/>
          <w:highlight w:val="none"/>
        </w:rPr>
        <w:t>府性基金预算财政拨款收入支出决算表</w:t>
      </w:r>
      <w:bookmarkEnd w:id="135"/>
      <w:bookmarkEnd w:id="136"/>
    </w:p>
    <w:p>
      <w:pPr>
        <w:pStyle w:val="4"/>
        <w:rPr>
          <w:rFonts w:ascii="仿宋" w:hAnsi="仿宋" w:eastAsia="仿宋"/>
          <w:color w:val="auto"/>
          <w:highlight w:val="none"/>
        </w:rPr>
      </w:pPr>
      <w:bookmarkStart w:id="137" w:name="_Toc15396629"/>
      <w:bookmarkStart w:id="138" w:name="_Toc18417"/>
      <w:bookmarkStart w:id="139" w:name="_Toc27477"/>
      <w:r>
        <w:rPr>
          <w:rStyle w:val="17"/>
          <w:rFonts w:hint="eastAsia" w:ascii="仿宋" w:hAnsi="仿宋" w:eastAsia="仿宋"/>
          <w:b w:val="0"/>
          <w:bCs w:val="0"/>
          <w:color w:val="auto"/>
          <w:highlight w:val="none"/>
        </w:rPr>
        <w:t>十一、</w:t>
      </w:r>
      <w:bookmarkEnd w:id="137"/>
      <w:r>
        <w:rPr>
          <w:rFonts w:hint="eastAsia" w:ascii="仿宋" w:hAnsi="仿宋" w:eastAsia="仿宋"/>
          <w:b w:val="0"/>
          <w:color w:val="auto"/>
          <w:highlight w:val="none"/>
        </w:rPr>
        <w:t>国</w:t>
      </w:r>
      <w:r>
        <w:rPr>
          <w:rStyle w:val="17"/>
          <w:rFonts w:hint="eastAsia" w:ascii="仿宋" w:hAnsi="仿宋" w:eastAsia="仿宋"/>
          <w:b w:val="0"/>
          <w:bCs w:val="0"/>
          <w:color w:val="auto"/>
          <w:highlight w:val="none"/>
        </w:rPr>
        <w:t>有资本经营预算</w:t>
      </w:r>
      <w:r>
        <w:rPr>
          <w:rStyle w:val="17"/>
          <w:rFonts w:hint="eastAsia" w:ascii="仿宋" w:hAnsi="仿宋" w:eastAsia="仿宋"/>
          <w:b w:val="0"/>
          <w:bCs w:val="0"/>
          <w:color w:val="auto"/>
          <w:highlight w:val="none"/>
          <w:lang w:eastAsia="zh-CN"/>
        </w:rPr>
        <w:t>财政拨款收入</w:t>
      </w:r>
      <w:r>
        <w:rPr>
          <w:rStyle w:val="17"/>
          <w:rFonts w:hint="eastAsia" w:ascii="仿宋" w:hAnsi="仿宋" w:eastAsia="仿宋"/>
          <w:b w:val="0"/>
          <w:bCs w:val="0"/>
          <w:color w:val="auto"/>
          <w:highlight w:val="none"/>
        </w:rPr>
        <w:t>支出决算表</w:t>
      </w:r>
      <w:bookmarkEnd w:id="138"/>
      <w:bookmarkEnd w:id="139"/>
    </w:p>
    <w:p>
      <w:pPr>
        <w:pStyle w:val="4"/>
        <w:rPr>
          <w:rFonts w:ascii="仿宋" w:hAnsi="仿宋" w:eastAsia="仿宋"/>
          <w:color w:val="auto"/>
          <w:highlight w:val="none"/>
        </w:rPr>
      </w:pPr>
      <w:bookmarkStart w:id="140" w:name="_Toc15396630"/>
      <w:bookmarkStart w:id="141" w:name="_Toc32461"/>
      <w:bookmarkStart w:id="142" w:name="_Toc24355"/>
      <w:r>
        <w:rPr>
          <w:rStyle w:val="17"/>
          <w:rFonts w:hint="eastAsia" w:ascii="仿宋" w:hAnsi="仿宋" w:eastAsia="仿宋"/>
          <w:b w:val="0"/>
          <w:bCs w:val="0"/>
          <w:color w:val="auto"/>
          <w:highlight w:val="none"/>
        </w:rPr>
        <w:t>十二、</w:t>
      </w:r>
      <w:bookmarkEnd w:id="140"/>
      <w:r>
        <w:rPr>
          <w:rStyle w:val="17"/>
          <w:rFonts w:hint="eastAsia" w:ascii="仿宋" w:hAnsi="仿宋" w:eastAsia="仿宋"/>
          <w:b w:val="0"/>
          <w:bCs w:val="0"/>
          <w:color w:val="auto"/>
          <w:highlight w:val="none"/>
          <w:lang w:eastAsia="zh-CN"/>
        </w:rPr>
        <w:t>国有资本经营预算财政拨款支出决算表</w:t>
      </w:r>
      <w:bookmarkEnd w:id="141"/>
      <w:bookmarkEnd w:id="142"/>
    </w:p>
    <w:p>
      <w:pPr>
        <w:pStyle w:val="4"/>
        <w:rPr>
          <w:rFonts w:hint="eastAsia" w:eastAsia="仿宋"/>
          <w:color w:val="auto"/>
          <w:highlight w:val="none"/>
          <w:lang w:eastAsia="zh-CN"/>
        </w:rPr>
      </w:pPr>
      <w:bookmarkStart w:id="143" w:name="_Toc15396631"/>
      <w:bookmarkStart w:id="144" w:name="_Toc25050"/>
      <w:bookmarkStart w:id="145" w:name="_Toc11777"/>
      <w:r>
        <w:rPr>
          <w:rStyle w:val="17"/>
          <w:rFonts w:hint="eastAsia" w:ascii="仿宋" w:hAnsi="仿宋" w:eastAsia="仿宋"/>
          <w:b w:val="0"/>
          <w:bCs w:val="0"/>
          <w:color w:val="auto"/>
          <w:highlight w:val="none"/>
        </w:rPr>
        <w:t>十三、</w:t>
      </w:r>
      <w:bookmarkEnd w:id="143"/>
      <w:r>
        <w:rPr>
          <w:rStyle w:val="17"/>
          <w:rFonts w:hint="eastAsia" w:ascii="仿宋" w:hAnsi="仿宋" w:eastAsia="仿宋"/>
          <w:b w:val="0"/>
          <w:bCs w:val="0"/>
          <w:color w:val="auto"/>
          <w:highlight w:val="none"/>
          <w:lang w:eastAsia="zh-CN"/>
        </w:rPr>
        <w:t>财政拨款“三公”经费支出决算表</w:t>
      </w:r>
      <w:bookmarkEnd w:id="144"/>
      <w:bookmarkEnd w:id="145"/>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CB3A6AD-B52E-48A2-B77A-05D675962A25}"/>
  </w:font>
  <w:font w:name="黑体">
    <w:panose1 w:val="02010609060101010101"/>
    <w:charset w:val="86"/>
    <w:family w:val="auto"/>
    <w:pitch w:val="default"/>
    <w:sig w:usb0="800002BF" w:usb1="38CF7CFA" w:usb2="00000016" w:usb3="00000000" w:csb0="00040001" w:csb1="00000000"/>
    <w:embedRegular r:id="rId2" w:fontKey="{35CFD063-A74C-4E84-A703-BCA4A2F868A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73354A96-1563-4891-8558-66BF99310FDA}"/>
  </w:font>
  <w:font w:name="Cambria">
    <w:panose1 w:val="02040503050406030204"/>
    <w:charset w:val="00"/>
    <w:family w:val="roman"/>
    <w:pitch w:val="default"/>
    <w:sig w:usb0="E00002FF" w:usb1="400004FF" w:usb2="00000000" w:usb3="00000000" w:csb0="2000019F" w:csb1="00000000"/>
    <w:embedRegular r:id="rId4" w:fontKey="{BAAE9374-5E71-4028-BE02-A00E4BECD9C4}"/>
  </w:font>
  <w:font w:name="仿宋_GB2312">
    <w:panose1 w:val="02010609030101010101"/>
    <w:charset w:val="86"/>
    <w:family w:val="modern"/>
    <w:pitch w:val="default"/>
    <w:sig w:usb0="00000001" w:usb1="080E0000" w:usb2="00000000" w:usb3="00000000" w:csb0="00040000" w:csb1="00000000"/>
    <w:embedRegular r:id="rId5" w:fontKey="{C2CB5FE3-92A9-4B41-8704-4C1FA2557972}"/>
  </w:font>
  <w:font w:name="仿宋">
    <w:panose1 w:val="02010609060101010101"/>
    <w:charset w:val="86"/>
    <w:family w:val="auto"/>
    <w:pitch w:val="default"/>
    <w:sig w:usb0="800002BF" w:usb1="38CF7CFA" w:usb2="00000016" w:usb3="00000000" w:csb0="00040001" w:csb1="00000000"/>
    <w:embedRegular r:id="rId6" w:fontKey="{B29C68BB-FE87-407E-8BC6-1049D410970C}"/>
  </w:font>
  <w:font w:name="方正小标宋简体">
    <w:panose1 w:val="03000509000000000000"/>
    <w:charset w:val="86"/>
    <w:family w:val="script"/>
    <w:pitch w:val="default"/>
    <w:sig w:usb0="00000001" w:usb1="080E0000" w:usb2="00000000" w:usb3="00000000" w:csb0="00040000" w:csb1="00000000"/>
    <w:embedRegular r:id="rId7" w:fontKey="{9C875E6C-4784-4E9D-9A62-0D06602E4F8C}"/>
  </w:font>
  <w:font w:name="微软雅黑">
    <w:panose1 w:val="020B0503020204020204"/>
    <w:charset w:val="86"/>
    <w:family w:val="auto"/>
    <w:pitch w:val="default"/>
    <w:sig w:usb0="80000287" w:usb1="280F3C52" w:usb2="00000016" w:usb3="00000000" w:csb0="0004001F" w:csb1="00000000"/>
    <w:embedRegular r:id="rId8" w:fontKey="{DB2EC0C5-05B3-4535-97B4-85959B6CEE85}"/>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8"/>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pPr>
      <w:pStyle w:val="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EF01745F"/>
    <w:multiLevelType w:val="singleLevel"/>
    <w:tmpl w:val="EF01745F"/>
    <w:lvl w:ilvl="0" w:tentative="0">
      <w:start w:val="1"/>
      <w:numFmt w:val="decimal"/>
      <w:suff w:val="nothing"/>
      <w:lvlText w:val="%1．"/>
      <w:lvlJc w:val="left"/>
      <w:pPr>
        <w:ind w:left="0" w:firstLine="400"/>
      </w:pPr>
      <w:rPr>
        <w:rFonts w:hint="default"/>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ZDNhMjhkOWY3OTNiYjkxMjEyZjk4MDgwODIyNm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914CEF"/>
    <w:rsid w:val="053A62B5"/>
    <w:rsid w:val="05656433"/>
    <w:rsid w:val="0A2032A3"/>
    <w:rsid w:val="0B8A37D8"/>
    <w:rsid w:val="0E792F4F"/>
    <w:rsid w:val="10C055FF"/>
    <w:rsid w:val="118107EC"/>
    <w:rsid w:val="11DD6519"/>
    <w:rsid w:val="12BE7183"/>
    <w:rsid w:val="16BB723D"/>
    <w:rsid w:val="18015F3F"/>
    <w:rsid w:val="187F281D"/>
    <w:rsid w:val="1BE8440E"/>
    <w:rsid w:val="1D155CEE"/>
    <w:rsid w:val="20F57F95"/>
    <w:rsid w:val="23DE58D7"/>
    <w:rsid w:val="240371BF"/>
    <w:rsid w:val="247C6E9E"/>
    <w:rsid w:val="24E3577E"/>
    <w:rsid w:val="25711CC6"/>
    <w:rsid w:val="25C741E6"/>
    <w:rsid w:val="260D1569"/>
    <w:rsid w:val="268E784D"/>
    <w:rsid w:val="27842671"/>
    <w:rsid w:val="28924EE2"/>
    <w:rsid w:val="290D4568"/>
    <w:rsid w:val="295C2DFA"/>
    <w:rsid w:val="29FD04D3"/>
    <w:rsid w:val="2ABE7A3E"/>
    <w:rsid w:val="2B917277"/>
    <w:rsid w:val="2CA234A8"/>
    <w:rsid w:val="2DFD6942"/>
    <w:rsid w:val="2EFA178C"/>
    <w:rsid w:val="30B46D73"/>
    <w:rsid w:val="319F7F4E"/>
    <w:rsid w:val="31F32A7C"/>
    <w:rsid w:val="33FE7369"/>
    <w:rsid w:val="37762614"/>
    <w:rsid w:val="37CD4008"/>
    <w:rsid w:val="383D272C"/>
    <w:rsid w:val="39AE70AB"/>
    <w:rsid w:val="3C0C0783"/>
    <w:rsid w:val="3D1F4B98"/>
    <w:rsid w:val="3F943AA6"/>
    <w:rsid w:val="3F9F3A96"/>
    <w:rsid w:val="3FD21DEA"/>
    <w:rsid w:val="41085755"/>
    <w:rsid w:val="46391A5A"/>
    <w:rsid w:val="47ED75E7"/>
    <w:rsid w:val="48BF60AB"/>
    <w:rsid w:val="493C27E9"/>
    <w:rsid w:val="496F39ED"/>
    <w:rsid w:val="497649A6"/>
    <w:rsid w:val="49FF41D3"/>
    <w:rsid w:val="4A037596"/>
    <w:rsid w:val="4A791606"/>
    <w:rsid w:val="4BE068DB"/>
    <w:rsid w:val="4BF6002B"/>
    <w:rsid w:val="4D7F0CE1"/>
    <w:rsid w:val="4ECE2238"/>
    <w:rsid w:val="51DB4B86"/>
    <w:rsid w:val="52237678"/>
    <w:rsid w:val="55333C3E"/>
    <w:rsid w:val="55A86557"/>
    <w:rsid w:val="57430FD1"/>
    <w:rsid w:val="5E3D2C1E"/>
    <w:rsid w:val="5E875C48"/>
    <w:rsid w:val="5FE27EDD"/>
    <w:rsid w:val="61F513E7"/>
    <w:rsid w:val="62B15989"/>
    <w:rsid w:val="62C70D09"/>
    <w:rsid w:val="64CA39A1"/>
    <w:rsid w:val="68262975"/>
    <w:rsid w:val="69630ADE"/>
    <w:rsid w:val="6B8C2AEF"/>
    <w:rsid w:val="6C4A05C8"/>
    <w:rsid w:val="6D3B1A89"/>
    <w:rsid w:val="6F3E2978"/>
    <w:rsid w:val="71BF4EC2"/>
    <w:rsid w:val="72734D90"/>
    <w:rsid w:val="7412278C"/>
    <w:rsid w:val="7904082E"/>
    <w:rsid w:val="79E7B28D"/>
    <w:rsid w:val="7F9F20EE"/>
    <w:rsid w:val="7FFDFAF9"/>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5"/>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9"/>
    <w:semiHidden/>
    <w:unhideWhenUsed/>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kern w:val="2"/>
      <w:sz w:val="32"/>
      <w:szCs w:val="32"/>
    </w:rPr>
  </w:style>
  <w:style w:type="character" w:customStyle="1" w:styleId="18">
    <w:name w:val="标题 3 Char"/>
    <w:basedOn w:val="13"/>
    <w:link w:val="5"/>
    <w:qFormat/>
    <w:uiPriority w:val="9"/>
    <w:rPr>
      <w:rFonts w:ascii="Times New Roman" w:hAnsi="Times New Roman"/>
      <w:b/>
      <w:bCs/>
      <w:kern w:val="2"/>
      <w:sz w:val="32"/>
      <w:szCs w:val="32"/>
    </w:rPr>
  </w:style>
  <w:style w:type="paragraph" w:customStyle="1" w:styleId="19">
    <w:name w:val="样式 行距: 固定值 28.9 磅"/>
    <w:basedOn w:val="1"/>
    <w:qFormat/>
    <w:uiPriority w:val="0"/>
    <w:pPr>
      <w:spacing w:line="578" w:lineRule="exact"/>
    </w:pPr>
    <w:rPr>
      <w:rFonts w:cs="宋体"/>
      <w:szCs w:val="20"/>
      <w:lang w:bidi="ar-SA"/>
    </w:rPr>
  </w:style>
  <w:style w:type="character" w:customStyle="1" w:styleId="20">
    <w:name w:val="Header Char"/>
    <w:basedOn w:val="13"/>
    <w:semiHidden/>
    <w:qFormat/>
    <w:uiPriority w:val="99"/>
    <w:rPr>
      <w:rFonts w:ascii="Times New Roman" w:hAnsi="Times New Roman"/>
      <w:sz w:val="18"/>
      <w:szCs w:val="18"/>
    </w:rPr>
  </w:style>
  <w:style w:type="character" w:customStyle="1" w:styleId="21">
    <w:name w:val="页眉 Char"/>
    <w:link w:val="9"/>
    <w:semiHidden/>
    <w:qFormat/>
    <w:locked/>
    <w:uiPriority w:val="99"/>
    <w:rPr>
      <w:sz w:val="18"/>
    </w:rPr>
  </w:style>
  <w:style w:type="character" w:customStyle="1" w:styleId="22">
    <w:name w:val="Footer Char"/>
    <w:basedOn w:val="13"/>
    <w:semiHidden/>
    <w:qFormat/>
    <w:uiPriority w:val="99"/>
    <w:rPr>
      <w:rFonts w:ascii="Times New Roman" w:hAnsi="Times New Roman"/>
      <w:sz w:val="18"/>
      <w:szCs w:val="18"/>
    </w:rPr>
  </w:style>
  <w:style w:type="character" w:customStyle="1" w:styleId="23">
    <w:name w:val="页脚 Char"/>
    <w:link w:val="8"/>
    <w:qFormat/>
    <w:locked/>
    <w:uiPriority w:val="99"/>
    <w:rPr>
      <w:sz w:val="18"/>
    </w:rPr>
  </w:style>
  <w:style w:type="character" w:customStyle="1" w:styleId="24">
    <w:name w:val="Body Text Char"/>
    <w:basedOn w:val="13"/>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3"/>
    <w:link w:val="7"/>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chart" Target="charts/chart7.xml"/><Relationship Id="rId17" Type="http://schemas.openxmlformats.org/officeDocument/2006/relationships/chart" Target="charts/chart6.xml"/><Relationship Id="rId16" Type="http://schemas.openxmlformats.org/officeDocument/2006/relationships/chart" Target="charts/chart5.xml"/><Relationship Id="rId15" Type="http://schemas.openxmlformats.org/officeDocument/2006/relationships/chart" Target="charts/chart4.xml"/><Relationship Id="rId14" Type="http://schemas.openxmlformats.org/officeDocument/2006/relationships/chart" Target="charts/chart3.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21307;&#31649;&#20013;&#24515;\&#36130;&#21153;&#20986;&#32435;\&#19987;&#39033;&#24037;&#20316;\&#20915;&#31639;\&#30011;&#22270;&#34920;&#26684;%20-%20&#21103;&#26412;.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收、支合计</a:t>
            </a:r>
          </a:p>
        </c:rich>
      </c:tx>
      <c:layout/>
      <c:overlay val="0"/>
      <c:spPr>
        <a:noFill/>
        <a:ln>
          <a:noFill/>
        </a:ln>
        <a:effectLst/>
      </c:spPr>
    </c:title>
    <c:autoTitleDeleted val="0"/>
    <c:plotArea>
      <c:layout/>
      <c:barChart>
        <c:barDir val="col"/>
        <c:grouping val="clustered"/>
        <c:varyColors val="0"/>
        <c:ser>
          <c:idx val="0"/>
          <c:order val="0"/>
          <c:tx>
            <c:strRef>
              <c:f>'22决算'!$B$2</c:f>
              <c:strCache>
                <c:ptCount val="1"/>
                <c:pt idx="0">
                  <c:v>收、支合计</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'22决算'!$A$3:$A$4</c:f>
              <c:strCache>
                <c:ptCount val="2"/>
                <c:pt idx="0">
                  <c:v>2021年</c:v>
                </c:pt>
                <c:pt idx="1">
                  <c:v>2022年</c:v>
                </c:pt>
              </c:strCache>
            </c:strRef>
          </c:cat>
          <c:val>
            <c:numRef>
              <c:f>'22决算'!$B$3:$B$4</c:f>
              <c:numCache>
                <c:formatCode>General</c:formatCode>
                <c:ptCount val="2"/>
                <c:pt idx="0">
                  <c:v>132.02</c:v>
                </c:pt>
                <c:pt idx="1">
                  <c:v>168.43</c:v>
                </c:pt>
              </c:numCache>
            </c:numRef>
          </c:val>
        </c:ser>
        <c:dLbls>
          <c:showLegendKey val="0"/>
          <c:showVal val="1"/>
          <c:showCatName val="0"/>
          <c:showSerName val="0"/>
          <c:showPercent val="0"/>
          <c:showBubbleSize val="0"/>
        </c:dLbls>
        <c:gapWidth val="150"/>
        <c:overlap val="0"/>
        <c:axId val="864634156"/>
        <c:axId val="248170648"/>
      </c:barChart>
      <c:catAx>
        <c:axId val="86463415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8170648"/>
        <c:crosses val="autoZero"/>
        <c:auto val="1"/>
        <c:lblAlgn val="ctr"/>
        <c:lblOffset val="100"/>
        <c:noMultiLvlLbl val="0"/>
      </c:catAx>
      <c:valAx>
        <c:axId val="248170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46341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本年收入</c:v>
                </c:pt>
              </c:strCache>
            </c:strRef>
          </c:tx>
          <c:spPr/>
          <c:explosion val="0"/>
          <c:dPt>
            <c:idx val="0"/>
            <c:bubble3D val="0"/>
            <c:spPr>
              <a:solidFill>
                <a:schemeClr val="accent1"/>
              </a:solidFill>
              <a:ln>
                <a:solidFill>
                  <a:schemeClr val="bg1"/>
                </a:solidFill>
              </a:ln>
              <a:effectLst/>
            </c:spPr>
          </c:dPt>
          <c:dLbls>
            <c:dLbl>
              <c:idx val="0"/>
              <c:layout>
                <c:manualLayout>
                  <c:x val="0.123142250530786"/>
                  <c:y val="-0.10869565217391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164.39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本年支出 </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101.23</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101.23</c:v>
                </c:pt>
                <c:pt idx="1">
                  <c:v>67.2</c:v>
                </c:pt>
              </c:numCache>
            </c:numRef>
          </c:val>
        </c:ser>
        <c:ser>
          <c:idx val="1"/>
          <c:order val="1"/>
          <c:tx>
            <c:strRef>
              <c:f>Sheet1!#REF!</c:f>
              <c:strCache>
                <c:ptCount val="1"/>
                <c:pt idx="0">
                  <c:v/>
                </c:pt>
              </c:strCache>
            </c:strRef>
          </c:tx>
          <c:spPr/>
          <c:explosion val="0"/>
          <c:dPt>
            <c:idx val="0"/>
            <c:bubble3D val="0"/>
            <c:spPr>
              <a:solidFill>
                <a:schemeClr val="accent1"/>
              </a:solidFill>
              <a:ln>
                <a:solidFill>
                  <a:schemeClr val="bg1"/>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Sheet1!#REF!</c:f>
              <c:numCache>
                <c:formatCode>General</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财政拨款收、支总计 </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trendline>
            <c:spPr>
              <a:ln w="19050" cap="rnd">
                <a:solidFill>
                  <a:schemeClr val="accent1"/>
                </a:solidFill>
                <a:prstDash val="sysDot"/>
              </a:ln>
              <a:effectLst/>
            </c:spPr>
            <c:trendlineType val="linear"/>
            <c:dispRSqr val="0"/>
            <c:dispEq val="0"/>
          </c:trendline>
          <c:cat>
            <c:strRef>
              <c:f>Sheet1!$A$2:$A$3</c:f>
              <c:strCache>
                <c:ptCount val="2"/>
                <c:pt idx="0">
                  <c:v>2021年</c:v>
                </c:pt>
                <c:pt idx="1">
                  <c:v>2022年</c:v>
                </c:pt>
              </c:strCache>
            </c:strRef>
          </c:cat>
          <c:val>
            <c:numRef>
              <c:f>Sheet1!$B$2:$B$3</c:f>
              <c:numCache>
                <c:formatCode>General</c:formatCode>
                <c:ptCount val="2"/>
                <c:pt idx="0">
                  <c:v>132.02</c:v>
                </c:pt>
                <c:pt idx="1">
                  <c:v>164.39</c:v>
                </c:pt>
              </c:numCache>
            </c:numRef>
          </c:val>
        </c:ser>
        <c:dLbls>
          <c:showLegendKey val="0"/>
          <c:showVal val="1"/>
          <c:showCatName val="0"/>
          <c:showSerName val="0"/>
          <c:showPercent val="0"/>
          <c:showBubbleSize val="0"/>
        </c:dLbls>
        <c:gapWidth val="246"/>
        <c:overlap val="-28"/>
        <c:axId val="37035648"/>
        <c:axId val="116564318"/>
      </c:barChart>
      <c:catAx>
        <c:axId val="3703564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6564318"/>
        <c:crosses val="autoZero"/>
        <c:auto val="1"/>
        <c:lblAlgn val="ctr"/>
        <c:lblOffset val="100"/>
        <c:noMultiLvlLbl val="0"/>
      </c:catAx>
      <c:valAx>
        <c:axId val="116564318"/>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035648"/>
        <c:crosses val="autoZero"/>
        <c:crossBetween val="between"/>
      </c:valAx>
      <c:spPr>
        <a:noFill/>
        <a:ln>
          <a:noFill/>
        </a:ln>
        <a:effectLst/>
      </c:spPr>
    </c:plotArea>
    <c:legend>
      <c:legendPos val="b"/>
      <c:legendEntry>
        <c:idx val="1"/>
        <c:delete val="1"/>
      </c:legendEntry>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一般公共预算财政拨款支出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strRef>
              <c:f>Sheet1!$A$2:$A$3</c:f>
              <c:strCache>
                <c:ptCount val="2"/>
                <c:pt idx="0">
                  <c:v>2021年</c:v>
                </c:pt>
                <c:pt idx="1">
                  <c:v>2022年</c:v>
                </c:pt>
              </c:strCache>
            </c:strRef>
          </c:cat>
          <c:val>
            <c:numRef>
              <c:f>Sheet1!$B$2:$B$3</c:f>
              <c:numCache>
                <c:formatCode>General</c:formatCode>
                <c:ptCount val="2"/>
                <c:pt idx="0">
                  <c:v>127.68</c:v>
                </c:pt>
                <c:pt idx="1">
                  <c:v>168.43</c:v>
                </c:pt>
              </c:numCache>
            </c:numRef>
          </c:val>
        </c:ser>
        <c:dLbls>
          <c:showLegendKey val="0"/>
          <c:showVal val="1"/>
          <c:showCatName val="0"/>
          <c:showSerName val="0"/>
          <c:showPercent val="0"/>
          <c:showBubbleSize val="0"/>
        </c:dLbls>
        <c:gapWidth val="246"/>
        <c:overlap val="-28"/>
        <c:axId val="218459284"/>
        <c:axId val="361033168"/>
      </c:barChart>
      <c:catAx>
        <c:axId val="21845928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1033168"/>
        <c:crosses val="autoZero"/>
        <c:auto val="1"/>
        <c:lblAlgn val="ctr"/>
        <c:lblOffset val="100"/>
        <c:noMultiLvlLbl val="0"/>
      </c:catAx>
      <c:valAx>
        <c:axId val="361033168"/>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8459284"/>
        <c:crosses val="autoZero"/>
        <c:crossBetween val="between"/>
      </c:valAx>
      <c:spPr>
        <a:noFill/>
        <a:ln>
          <a:noFill/>
        </a:ln>
        <a:effectLst/>
      </c:spPr>
    </c:plotArea>
    <c:legend>
      <c:legendPos val="b"/>
      <c:legendEntry>
        <c:idx val="1"/>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卫生健康支出</c:v>
                </c:pt>
                <c:pt idx="1">
                  <c:v>社会保障和就业支出</c:v>
                </c:pt>
                <c:pt idx="2">
                  <c:v>住房保障支出</c:v>
                </c:pt>
              </c:strCache>
            </c:strRef>
          </c:cat>
          <c:val>
            <c:numRef>
              <c:f>Sheet1!$B$2:$B$4</c:f>
              <c:numCache>
                <c:formatCode>General</c:formatCode>
                <c:ptCount val="3"/>
                <c:pt idx="0">
                  <c:v>151.22</c:v>
                </c:pt>
                <c:pt idx="1">
                  <c:v>7.08</c:v>
                </c:pt>
                <c:pt idx="2">
                  <c:v>10.12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公务接待费支出</c:v>
                </c:pt>
                <c:pt idx="1">
                  <c:v>公务用车购置及运行维护费支出</c:v>
                </c:pt>
                <c:pt idx="2">
                  <c:v>因公出国（境）费支出</c:v>
                </c:pt>
              </c:strCache>
            </c:strRef>
          </c:cat>
          <c:val>
            <c:numRef>
              <c:f>Sheet1!$B$2:$B$4</c:f>
              <c:numCache>
                <c:formatCode>General</c:formatCode>
                <c:ptCount val="3"/>
                <c:pt idx="0">
                  <c:v>0.08</c:v>
                </c:pt>
                <c:pt idx="1">
                  <c:v>0</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0</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鲁西西</cp:lastModifiedBy>
  <cp:lastPrinted>2023-09-28T10:22:00Z</cp:lastPrinted>
  <dcterms:modified xsi:type="dcterms:W3CDTF">2023-10-18T07:30:49Z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