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hint="eastAsia" w:ascii="方正小标宋_GBK" w:hAnsi="方正小标宋_GBK" w:eastAsia="方正小标宋_GBK" w:cs="方正小标宋_GBK"/>
          <w:sz w:val="64"/>
          <w:szCs w:val="64"/>
        </w:rPr>
      </w:pPr>
      <w:bookmarkStart w:id="0" w:name="_Toc15396475"/>
      <w:bookmarkStart w:id="1" w:name="_Toc15396597"/>
      <w:bookmarkStart w:id="2" w:name="_Toc15377425"/>
      <w:bookmarkStart w:id="3" w:name="_Toc15377193"/>
      <w:bookmarkStart w:id="4" w:name="_Toc15378441"/>
      <w:bookmarkStart w:id="5" w:name="_Toc15306267"/>
    </w:p>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hint="eastAsia" w:ascii="方正小标宋_GBK" w:hAnsi="方正小标宋_GBK" w:eastAsia="方正小标宋_GBK" w:cs="方正小标宋_GBK"/>
          <w:sz w:val="64"/>
          <w:szCs w:val="64"/>
        </w:rPr>
      </w:pPr>
    </w:p>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hint="eastAsia" w:ascii="方正小标宋_GBK" w:hAnsi="方正小标宋_GBK" w:eastAsia="方正小标宋_GBK" w:cs="方正小标宋_GBK"/>
          <w:sz w:val="64"/>
          <w:szCs w:val="64"/>
        </w:rPr>
      </w:pPr>
    </w:p>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hint="eastAsia" w:ascii="方正小标宋_GBK" w:hAnsi="方正小标宋_GBK" w:eastAsia="方正小标宋_GBK" w:cs="方正小标宋_GBK"/>
          <w:sz w:val="64"/>
          <w:szCs w:val="64"/>
        </w:rPr>
      </w:pPr>
    </w:p>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hint="eastAsia" w:ascii="方正小标宋_GBK" w:hAnsi="方正小标宋_GBK" w:eastAsia="方正小标宋_GBK" w:cs="方正小标宋_GBK"/>
          <w:sz w:val="64"/>
          <w:szCs w:val="64"/>
        </w:rPr>
      </w:pPr>
      <w:bookmarkStart w:id="6" w:name="_Toc5225"/>
      <w:bookmarkStart w:id="7" w:name="_Toc18001"/>
      <w:bookmarkStart w:id="8" w:name="_Toc24960"/>
      <w:bookmarkStart w:id="9" w:name="_Toc2670"/>
      <w:bookmarkStart w:id="10" w:name="_Toc6769"/>
      <w:bookmarkStart w:id="11" w:name="_Toc319"/>
      <w:bookmarkStart w:id="12" w:name="_Toc20027"/>
      <w:r>
        <w:rPr>
          <w:rFonts w:hint="eastAsia" w:ascii="方正小标宋_GBK" w:hAnsi="方正小标宋_GBK" w:eastAsia="方正小标宋_GBK" w:cs="方正小标宋_GBK"/>
          <w:sz w:val="64"/>
          <w:szCs w:val="64"/>
        </w:rPr>
        <w:t>2022年度</w:t>
      </w:r>
      <w:bookmarkEnd w:id="0"/>
      <w:bookmarkEnd w:id="1"/>
      <w:bookmarkEnd w:id="2"/>
      <w:bookmarkEnd w:id="3"/>
      <w:bookmarkEnd w:id="4"/>
      <w:bookmarkEnd w:id="5"/>
      <w:bookmarkEnd w:id="6"/>
      <w:bookmarkEnd w:id="7"/>
      <w:bookmarkEnd w:id="8"/>
      <w:bookmarkEnd w:id="9"/>
      <w:bookmarkEnd w:id="10"/>
      <w:bookmarkEnd w:id="11"/>
      <w:bookmarkEnd w:id="12"/>
      <w:bookmarkStart w:id="13" w:name="_Toc35"/>
      <w:bookmarkStart w:id="14" w:name="_Toc13268"/>
      <w:bookmarkStart w:id="15" w:name="_Toc15378442"/>
      <w:bookmarkStart w:id="16" w:name="_Toc15377426"/>
      <w:bookmarkStart w:id="17" w:name="_Toc15377194"/>
      <w:bookmarkStart w:id="18" w:name="_Toc110"/>
      <w:bookmarkStart w:id="19" w:name="_Toc13891"/>
      <w:bookmarkStart w:id="20" w:name="_Toc15396598"/>
      <w:bookmarkStart w:id="21" w:name="_Toc26077"/>
      <w:bookmarkStart w:id="22" w:name="_Toc12241"/>
      <w:bookmarkStart w:id="23" w:name="_Toc15306268"/>
      <w:bookmarkStart w:id="24" w:name="_Toc575"/>
      <w:bookmarkStart w:id="25" w:name="_Toc15396476"/>
      <w:r>
        <w:rPr>
          <w:rFonts w:hint="eastAsia" w:ascii="方正小标宋_GBK" w:hAnsi="方正小标宋_GBK" w:eastAsia="方正小标宋_GBK" w:cs="方正小标宋_GBK"/>
          <w:sz w:val="64"/>
          <w:szCs w:val="64"/>
        </w:rPr>
        <w:t>广元经济技术开发区国土空间规划编制研究中心</w:t>
      </w:r>
    </w:p>
    <w:p>
      <w:pPr>
        <w:keepNext w:val="0"/>
        <w:keepLines w:val="0"/>
        <w:pageBreakBefore w:val="0"/>
        <w:widowControl w:val="0"/>
        <w:kinsoku/>
        <w:wordWrap/>
        <w:overflowPunct/>
        <w:topLinePunct w:val="0"/>
        <w:autoSpaceDE/>
        <w:autoSpaceDN/>
        <w:bidi w:val="0"/>
        <w:adjustRightInd w:val="0"/>
        <w:snapToGrid w:val="0"/>
        <w:spacing w:line="800" w:lineRule="exact"/>
        <w:jc w:val="center"/>
        <w:textAlignment w:val="auto"/>
        <w:outlineLvl w:val="0"/>
        <w:rPr>
          <w:rFonts w:hint="eastAsia" w:ascii="方正小标宋_GBK" w:hAnsi="方正小标宋_GBK" w:eastAsia="方正小标宋_GBK" w:cs="方正小标宋_GBK"/>
          <w:sz w:val="64"/>
          <w:szCs w:val="64"/>
        </w:rPr>
      </w:pPr>
      <w:r>
        <w:rPr>
          <w:rFonts w:hint="eastAsia" w:ascii="方正小标宋_GBK" w:hAnsi="方正小标宋_GBK" w:eastAsia="方正小标宋_GBK" w:cs="方正小标宋_GBK"/>
          <w:sz w:val="64"/>
          <w:szCs w:val="64"/>
        </w:rPr>
        <w:t>单位决算</w:t>
      </w:r>
      <w:bookmarkEnd w:id="13"/>
      <w:bookmarkEnd w:id="14"/>
      <w:bookmarkEnd w:id="15"/>
      <w:bookmarkEnd w:id="16"/>
      <w:bookmarkEnd w:id="17"/>
      <w:bookmarkEnd w:id="18"/>
      <w:bookmarkEnd w:id="19"/>
      <w:bookmarkEnd w:id="20"/>
      <w:bookmarkEnd w:id="21"/>
      <w:bookmarkEnd w:id="22"/>
      <w:bookmarkEnd w:id="23"/>
      <w:bookmarkEnd w:id="24"/>
      <w:bookmarkEnd w:id="25"/>
    </w:p>
    <w:p>
      <w:pPr>
        <w:widowControl/>
        <w:spacing w:line="576" w:lineRule="exact"/>
        <w:jc w:val="center"/>
        <w:rPr>
          <w:rFonts w:hint="eastAsia" w:ascii="方正小标宋_GBK" w:hAnsi="方正小标宋_GBK" w:eastAsia="方正小标宋_GBK" w:cs="方正小标宋_GBK"/>
          <w:sz w:val="44"/>
          <w:szCs w:val="44"/>
        </w:rPr>
      </w:pPr>
      <w:r>
        <w:rPr>
          <w:rFonts w:ascii="方正小标宋_GBK" w:hAnsi="宋体" w:eastAsia="方正小标宋_GBK"/>
          <w:sz w:val="36"/>
          <w:szCs w:val="36"/>
        </w:rPr>
        <w:br w:type="page"/>
      </w:r>
      <w:r>
        <w:rPr>
          <w:rFonts w:hint="eastAsia" w:ascii="方正小标宋_GBK" w:hAnsi="方正小标宋_GBK" w:eastAsia="方正小标宋_GBK" w:cs="方正小标宋_GBK"/>
          <w:sz w:val="44"/>
          <w:szCs w:val="44"/>
        </w:rPr>
        <w:t>目</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录</w:t>
      </w:r>
    </w:p>
    <w:p>
      <w:pPr>
        <w:pStyle w:val="11"/>
        <w:spacing w:before="0" w:line="576" w:lineRule="exact"/>
      </w:pPr>
    </w:p>
    <w:p>
      <w:pPr>
        <w:pStyle w:val="11"/>
        <w:spacing w:before="0" w:line="576" w:lineRule="exact"/>
      </w:pPr>
      <w:r>
        <w:rPr>
          <w:rFonts w:hint="eastAsia"/>
        </w:rPr>
        <w:t>公开时间：2023年10月10日</w:t>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\l "_Toc9576" </w:instrText>
      </w:r>
      <w:r>
        <w:rPr>
          <w:rFonts w:hint="eastAsia" w:ascii="黑体" w:hAnsi="黑体" w:eastAsia="黑体" w:cs="黑体"/>
          <w:sz w:val="32"/>
          <w:szCs w:val="32"/>
        </w:rPr>
        <w:fldChar w:fldCharType="separate"/>
      </w:r>
      <w:r>
        <w:rPr>
          <w:rFonts w:hint="eastAsia" w:ascii="黑体" w:hAnsi="黑体" w:eastAsia="黑体" w:cs="黑体"/>
          <w:sz w:val="32"/>
          <w:szCs w:val="32"/>
        </w:rPr>
        <w:t>第一部分 单位概况</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_Toc9576 \h </w:instrText>
      </w:r>
      <w:r>
        <w:rPr>
          <w:rFonts w:hint="eastAsia" w:ascii="黑体" w:hAnsi="黑体" w:eastAsia="黑体" w:cs="黑体"/>
          <w:sz w:val="32"/>
          <w:szCs w:val="32"/>
        </w:rPr>
        <w:fldChar w:fldCharType="separate"/>
      </w:r>
      <w:r>
        <w:rPr>
          <w:rFonts w:hint="eastAsia" w:ascii="黑体" w:hAnsi="黑体" w:eastAsia="黑体" w:cs="黑体"/>
          <w:sz w:val="32"/>
          <w:szCs w:val="32"/>
        </w:rPr>
        <w:t>1</w:t>
      </w:r>
      <w:r>
        <w:rPr>
          <w:rFonts w:hint="eastAsia" w:ascii="黑体" w:hAnsi="黑体" w:eastAsia="黑体" w:cs="黑体"/>
          <w:sz w:val="32"/>
          <w:szCs w:val="32"/>
        </w:rPr>
        <w:fldChar w:fldCharType="end"/>
      </w:r>
      <w:r>
        <w:rPr>
          <w:rFonts w:hint="eastAsia" w:ascii="黑体" w:hAnsi="黑体" w:eastAsia="黑体" w:cs="黑体"/>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"_Toc13240"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一、部门职责</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_Toc13240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"_Toc25764"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二、机构设置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_Toc25764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\l "_Toc13881" </w:instrText>
      </w:r>
      <w:r>
        <w:rPr>
          <w:rFonts w:hint="eastAsia" w:ascii="黑体" w:hAnsi="黑体" w:eastAsia="黑体" w:cs="黑体"/>
          <w:sz w:val="32"/>
          <w:szCs w:val="32"/>
        </w:rPr>
        <w:fldChar w:fldCharType="separate"/>
      </w:r>
      <w:r>
        <w:rPr>
          <w:rFonts w:hint="eastAsia" w:ascii="黑体" w:hAnsi="黑体" w:eastAsia="黑体" w:cs="黑体"/>
          <w:sz w:val="32"/>
          <w:szCs w:val="32"/>
        </w:rPr>
        <w:t>第二部分 2022年度单位决算情况说明</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_Toc13881 \h </w:instrText>
      </w:r>
      <w:r>
        <w:rPr>
          <w:rFonts w:hint="eastAsia" w:ascii="黑体" w:hAnsi="黑体" w:eastAsia="黑体" w:cs="黑体"/>
          <w:sz w:val="32"/>
          <w:szCs w:val="32"/>
        </w:rPr>
        <w:fldChar w:fldCharType="separate"/>
      </w:r>
      <w:r>
        <w:rPr>
          <w:rFonts w:hint="eastAsia" w:ascii="黑体" w:hAnsi="黑体" w:eastAsia="黑体" w:cs="黑体"/>
          <w:sz w:val="32"/>
          <w:szCs w:val="32"/>
        </w:rPr>
        <w:t>2</w:t>
      </w:r>
      <w:r>
        <w:rPr>
          <w:rFonts w:hint="eastAsia" w:ascii="黑体" w:hAnsi="黑体" w:eastAsia="黑体" w:cs="黑体"/>
          <w:sz w:val="32"/>
          <w:szCs w:val="32"/>
        </w:rPr>
        <w:fldChar w:fldCharType="end"/>
      </w:r>
      <w:r>
        <w:rPr>
          <w:rFonts w:hint="eastAsia" w:ascii="黑体" w:hAnsi="黑体" w:eastAsia="黑体" w:cs="黑体"/>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"_Toc27809"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一、收入支出决算总体情况说明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_Toc27809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"_Toc32611"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 收入决算情况说明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_Toc32611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"_Toc16092"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_Toc16092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"_Toc26733"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四、财政拨款收入支出决算总体情况说明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_Toc26733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"_Toc4512"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五、一般公共预算财政拨款支出决算情况说明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_Toc4512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"_Toc31876"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六、一般公共预算财政拨款基本支出决算情况说明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_Toc31876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"_Toc26189"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七、财政“三公”经费财政拨款支出决算情况说明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_Toc26189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"_Toc20422"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八、政府性基金预算支出决算情况说明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_Toc20422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"_Toc27724"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九、 国有资本经营预算支出决算情况说明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_Toc27724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"_Toc25492"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十、 其他重要事项的情况说明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_Toc25492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\l "_Toc10366" </w:instrText>
      </w:r>
      <w:r>
        <w:rPr>
          <w:rFonts w:hint="eastAsia" w:ascii="黑体" w:hAnsi="黑体" w:eastAsia="黑体" w:cs="黑体"/>
          <w:sz w:val="32"/>
          <w:szCs w:val="32"/>
        </w:rPr>
        <w:fldChar w:fldCharType="separate"/>
      </w:r>
      <w:r>
        <w:rPr>
          <w:rFonts w:hint="eastAsia" w:ascii="黑体" w:hAnsi="黑体" w:eastAsia="黑体" w:cs="黑体"/>
          <w:sz w:val="32"/>
          <w:szCs w:val="32"/>
        </w:rPr>
        <w:t>第三部分 名词解释</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_Toc10366 \h </w:instrText>
      </w:r>
      <w:r>
        <w:rPr>
          <w:rFonts w:hint="eastAsia" w:ascii="黑体" w:hAnsi="黑体" w:eastAsia="黑体" w:cs="黑体"/>
          <w:sz w:val="32"/>
          <w:szCs w:val="32"/>
        </w:rPr>
        <w:fldChar w:fldCharType="separate"/>
      </w:r>
      <w:r>
        <w:rPr>
          <w:rFonts w:hint="eastAsia" w:ascii="黑体" w:hAnsi="黑体" w:eastAsia="黑体" w:cs="黑体"/>
          <w:sz w:val="32"/>
          <w:szCs w:val="32"/>
        </w:rPr>
        <w:t>9</w:t>
      </w:r>
      <w:r>
        <w:rPr>
          <w:rFonts w:hint="eastAsia" w:ascii="黑体" w:hAnsi="黑体" w:eastAsia="黑体" w:cs="黑体"/>
          <w:sz w:val="32"/>
          <w:szCs w:val="32"/>
        </w:rPr>
        <w:fldChar w:fldCharType="end"/>
      </w:r>
      <w:r>
        <w:rPr>
          <w:rFonts w:hint="eastAsia" w:ascii="黑体" w:hAnsi="黑体" w:eastAsia="黑体" w:cs="黑体"/>
          <w:sz w:val="32"/>
          <w:szCs w:val="32"/>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\l "_Toc17865" </w:instrText>
      </w:r>
      <w:r>
        <w:rPr>
          <w:rFonts w:hint="eastAsia" w:ascii="黑体" w:hAnsi="黑体" w:eastAsia="黑体" w:cs="黑体"/>
          <w:sz w:val="32"/>
          <w:szCs w:val="32"/>
        </w:rPr>
        <w:fldChar w:fldCharType="separate"/>
      </w:r>
      <w:r>
        <w:rPr>
          <w:rFonts w:hint="eastAsia" w:ascii="黑体" w:hAnsi="黑体" w:eastAsia="黑体" w:cs="黑体"/>
          <w:sz w:val="32"/>
          <w:szCs w:val="32"/>
        </w:rPr>
        <w:t>第四部分 附件</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_Toc17865 \h </w:instrText>
      </w:r>
      <w:r>
        <w:rPr>
          <w:rFonts w:hint="eastAsia" w:ascii="黑体" w:hAnsi="黑体" w:eastAsia="黑体" w:cs="黑体"/>
          <w:sz w:val="32"/>
          <w:szCs w:val="32"/>
        </w:rPr>
        <w:fldChar w:fldCharType="separate"/>
      </w:r>
      <w:r>
        <w:rPr>
          <w:rFonts w:hint="eastAsia" w:ascii="黑体" w:hAnsi="黑体" w:eastAsia="黑体" w:cs="黑体"/>
          <w:sz w:val="32"/>
          <w:szCs w:val="32"/>
        </w:rPr>
        <w:t>11</w:t>
      </w:r>
      <w:r>
        <w:rPr>
          <w:rFonts w:hint="eastAsia" w:ascii="黑体" w:hAnsi="黑体" w:eastAsia="黑体" w:cs="黑体"/>
          <w:sz w:val="32"/>
          <w:szCs w:val="32"/>
        </w:rPr>
        <w:fldChar w:fldCharType="end"/>
      </w:r>
      <w:r>
        <w:rPr>
          <w:rFonts w:hint="eastAsia" w:ascii="黑体" w:hAnsi="黑体" w:eastAsia="黑体" w:cs="黑体"/>
          <w:sz w:val="32"/>
          <w:szCs w:val="32"/>
        </w:rPr>
        <w:fldChar w:fldCharType="end"/>
      </w:r>
    </w:p>
    <w:p>
      <w:pPr>
        <w:pStyle w:val="11"/>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\l "_Toc14712" </w:instrText>
      </w:r>
      <w:r>
        <w:rPr>
          <w:rFonts w:hint="eastAsia" w:ascii="黑体" w:hAnsi="黑体" w:eastAsia="黑体" w:cs="黑体"/>
          <w:sz w:val="32"/>
          <w:szCs w:val="32"/>
        </w:rPr>
        <w:fldChar w:fldCharType="separate"/>
      </w:r>
      <w:r>
        <w:rPr>
          <w:rFonts w:hint="eastAsia" w:ascii="黑体" w:hAnsi="黑体" w:eastAsia="黑体" w:cs="黑体"/>
          <w:sz w:val="32"/>
          <w:szCs w:val="32"/>
        </w:rPr>
        <w:t>第五部分 附表</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_Toc14712 \h </w:instrText>
      </w:r>
      <w:r>
        <w:rPr>
          <w:rFonts w:hint="eastAsia" w:ascii="黑体" w:hAnsi="黑体" w:eastAsia="黑体" w:cs="黑体"/>
          <w:sz w:val="32"/>
          <w:szCs w:val="32"/>
        </w:rPr>
        <w:fldChar w:fldCharType="separate"/>
      </w:r>
      <w:r>
        <w:rPr>
          <w:rFonts w:hint="eastAsia" w:ascii="黑体" w:hAnsi="黑体" w:eastAsia="黑体" w:cs="黑体"/>
          <w:sz w:val="32"/>
          <w:szCs w:val="32"/>
        </w:rPr>
        <w:t>24</w:t>
      </w:r>
      <w:r>
        <w:rPr>
          <w:rFonts w:hint="eastAsia" w:ascii="黑体" w:hAnsi="黑体" w:eastAsia="黑体" w:cs="黑体"/>
          <w:sz w:val="32"/>
          <w:szCs w:val="32"/>
        </w:rPr>
        <w:fldChar w:fldCharType="end"/>
      </w:r>
      <w:r>
        <w:rPr>
          <w:rFonts w:hint="eastAsia" w:ascii="黑体" w:hAnsi="黑体" w:eastAsia="黑体" w:cs="黑体"/>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"_Toc32680"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一、收入支出决算总表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_Toc32680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"_Toc32139"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二、收入决算表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_Toc32139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"_Toc13821"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_Toc13821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"_Toc19465"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四、财政拨款收入支出决算总表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_Toc19465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"_Toc2731"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五、财政拨款支出决算明细表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_Toc2731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"_Toc20386"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六、一般公共预算财政拨款支出决算表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_Toc20386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"_Toc13469"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七、一般公共预算财政拨款支出决算明细表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_Toc13469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"_Toc1725"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八、一般公共预算财政拨款基本支出决算表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"_Toc30488"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九、一般公共预算财政拨款项目支出决算表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_Toc30488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"_Toc29703"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十、政府性基金预算财政拨款收入支出决算表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_Toc29703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"_Toc19627"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十一、国有资本经营预算财政拨款收入支出决算表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_Toc19627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"_Toc26650"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十二、国有资本经营预算财政拨款支出决算表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_Toc26650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keepNext w:val="0"/>
        <w:keepLines w:val="0"/>
        <w:pageBreakBefore w:val="0"/>
        <w:widowControl w:val="0"/>
        <w:tabs>
          <w:tab w:val="right" w:leader="dot" w:pos="8845"/>
          <w:tab w:val="clear" w:pos="8296"/>
        </w:tabs>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"_Toc10918"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十三、财政拨款“三公”经费支出决算表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_Toc10918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ascii="宋体" w:hAnsi="宋体" w:cs="宋体"/>
          <w:sz w:val="28"/>
          <w:szCs w:val="28"/>
        </w:rPr>
      </w:pPr>
      <w:r>
        <w:rPr>
          <w:rFonts w:hint="eastAsia" w:ascii="仿宋_GB2312" w:hAnsi="仿宋_GB2312" w:eastAsia="仿宋_GB2312" w:cs="仿宋_GB2312"/>
          <w:sz w:val="32"/>
          <w:szCs w:val="32"/>
        </w:rPr>
        <w:fldChar w:fldCharType="end"/>
      </w:r>
    </w:p>
    <w:p>
      <w:pPr>
        <w:pStyle w:val="31"/>
        <w:tabs>
          <w:tab w:val="right" w:leader="dot" w:pos="8845"/>
        </w:tabs>
        <w:rPr>
          <w:rFonts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p>
    <w:p>
      <w:pPr>
        <w:rPr>
          <w:rFonts w:ascii="仿宋" w:hAnsi="仿宋" w:eastAsia="仿宋" w:cs="仿宋"/>
          <w:sz w:val="28"/>
          <w:szCs w:val="28"/>
        </w:rPr>
      </w:pPr>
      <w:r>
        <w:rPr>
          <w:rFonts w:hint="eastAsia" w:ascii="仿宋" w:hAnsi="仿宋" w:eastAsia="仿宋" w:cs="仿宋"/>
          <w:sz w:val="28"/>
          <w:szCs w:val="28"/>
        </w:rPr>
        <w:fldChar w:fldCharType="end"/>
      </w:r>
    </w:p>
    <w:p>
      <w:pPr>
        <w:spacing w:line="576" w:lineRule="exact"/>
      </w:pPr>
    </w:p>
    <w:p>
      <w:pPr>
        <w:pStyle w:val="6"/>
        <w:spacing w:before="93"/>
      </w:pPr>
    </w:p>
    <w:p>
      <w:pPr>
        <w:pStyle w:val="2"/>
        <w:spacing w:before="0" w:after="0" w:line="576" w:lineRule="exact"/>
        <w:jc w:val="center"/>
        <w:rPr>
          <w:rFonts w:ascii="黑体" w:hAnsi="黑体" w:eastAsia="黑体"/>
          <w:b w:val="0"/>
        </w:rPr>
        <w:sectPr>
          <w:headerReference r:id="rId3" w:type="default"/>
          <w:footerReference r:id="rId4" w:type="default"/>
          <w:pgSz w:w="11906" w:h="16838"/>
          <w:pgMar w:top="2098" w:right="1474" w:bottom="1984" w:left="1587" w:header="851" w:footer="1559" w:gutter="0"/>
          <w:pgNumType w:start="1"/>
          <w:cols w:space="720" w:num="1"/>
          <w:titlePg/>
          <w:docGrid w:type="lines" w:linePitch="312" w:charSpace="0"/>
        </w:sectPr>
      </w:pPr>
      <w:bookmarkStart w:id="26" w:name="_Toc15396599"/>
      <w:bookmarkStart w:id="27" w:name="_Toc29198"/>
      <w:bookmarkStart w:id="28" w:name="_Toc15377196"/>
      <w:bookmarkStart w:id="29" w:name="_Toc24886"/>
      <w:bookmarkStart w:id="30" w:name="_Toc9576"/>
      <w:bookmarkStart w:id="31" w:name="_Toc23179"/>
      <w:bookmarkStart w:id="32" w:name="_Toc26028"/>
    </w:p>
    <w:p>
      <w:pPr>
        <w:pStyle w:val="2"/>
        <w:pageBreakBefore w:val="0"/>
        <w:widowControl w:val="0"/>
        <w:kinsoku/>
        <w:wordWrap/>
        <w:overflowPunct/>
        <w:topLinePunct w:val="0"/>
        <w:autoSpaceDE/>
        <w:autoSpaceDN/>
        <w:bidi w:val="0"/>
        <w:spacing w:before="0" w:after="0" w:line="576" w:lineRule="exact"/>
        <w:jc w:val="center"/>
        <w:textAlignment w:val="auto"/>
        <w:rPr>
          <w:rFonts w:ascii="黑体" w:eastAsia="黑体"/>
          <w:sz w:val="32"/>
          <w:szCs w:val="32"/>
        </w:rPr>
      </w:pPr>
      <w:r>
        <w:rPr>
          <w:rFonts w:hint="eastAsia" w:ascii="黑体" w:hAnsi="黑体" w:eastAsia="黑体"/>
          <w:b w:val="0"/>
        </w:rPr>
        <w:t xml:space="preserve">第一部分 </w:t>
      </w:r>
      <w:r>
        <w:rPr>
          <w:rFonts w:hint="eastAsia" w:ascii="黑体" w:hAnsi="黑体" w:eastAsia="黑体"/>
          <w:b w:val="0"/>
          <w:lang w:val="en-US" w:eastAsia="zh-CN"/>
        </w:rPr>
        <w:t xml:space="preserve"> </w:t>
      </w:r>
      <w:r>
        <w:rPr>
          <w:rFonts w:hint="eastAsia" w:ascii="黑体" w:hAnsi="黑体" w:eastAsia="黑体"/>
          <w:b w:val="0"/>
        </w:rPr>
        <w:t>单位</w:t>
      </w:r>
      <w:r>
        <w:rPr>
          <w:rStyle w:val="27"/>
          <w:rFonts w:hint="eastAsia" w:ascii="黑体" w:hAnsi="黑体" w:eastAsia="黑体"/>
          <w:b w:val="0"/>
          <w:bCs w:val="0"/>
        </w:rPr>
        <w:t>概况</w:t>
      </w:r>
      <w:bookmarkEnd w:id="26"/>
      <w:bookmarkEnd w:id="27"/>
      <w:bookmarkEnd w:id="28"/>
      <w:bookmarkEnd w:id="29"/>
      <w:bookmarkEnd w:id="30"/>
      <w:bookmarkEnd w:id="31"/>
      <w:bookmarkEnd w:id="32"/>
    </w:p>
    <w:p>
      <w:pPr>
        <w:pStyle w:val="3"/>
        <w:pageBreakBefore w:val="0"/>
        <w:widowControl w:val="0"/>
        <w:kinsoku/>
        <w:wordWrap/>
        <w:overflowPunct/>
        <w:topLinePunct w:val="0"/>
        <w:autoSpaceDE/>
        <w:autoSpaceDN/>
        <w:bidi w:val="0"/>
        <w:spacing w:before="0" w:after="0" w:line="576" w:lineRule="exact"/>
        <w:textAlignment w:val="auto"/>
        <w:rPr>
          <w:rFonts w:ascii="黑体" w:hAnsi="黑体" w:eastAsia="黑体"/>
          <w:b w:val="0"/>
        </w:rPr>
      </w:pPr>
      <w:bookmarkStart w:id="33" w:name="_Toc15396600"/>
      <w:bookmarkStart w:id="34" w:name="_Toc15377197"/>
    </w:p>
    <w:p>
      <w:pPr>
        <w:pStyle w:val="3"/>
        <w:pageBreakBefore w:val="0"/>
        <w:widowControl w:val="0"/>
        <w:kinsoku/>
        <w:wordWrap/>
        <w:overflowPunct/>
        <w:topLinePunct w:val="0"/>
        <w:autoSpaceDE/>
        <w:autoSpaceDN/>
        <w:bidi w:val="0"/>
        <w:spacing w:before="0" w:after="0" w:line="576" w:lineRule="exact"/>
        <w:ind w:firstLine="640" w:firstLineChars="200"/>
        <w:textAlignment w:val="auto"/>
        <w:rPr>
          <w:rStyle w:val="28"/>
          <w:rFonts w:ascii="仿宋" w:hAnsi="仿宋" w:eastAsia="仿宋"/>
          <w:b w:val="0"/>
          <w:bCs w:val="0"/>
        </w:rPr>
      </w:pPr>
      <w:bookmarkStart w:id="35" w:name="_Toc8311"/>
      <w:bookmarkStart w:id="36" w:name="_Toc20152"/>
      <w:bookmarkStart w:id="37" w:name="_Toc13240"/>
      <w:bookmarkStart w:id="38" w:name="_Toc11406"/>
      <w:bookmarkStart w:id="39" w:name="_Toc16754"/>
      <w:r>
        <w:rPr>
          <w:rFonts w:hint="eastAsia" w:ascii="黑体" w:hAnsi="黑体" w:eastAsia="黑体"/>
          <w:b w:val="0"/>
        </w:rPr>
        <w:t>一、</w:t>
      </w:r>
      <w:bookmarkEnd w:id="33"/>
      <w:bookmarkEnd w:id="34"/>
      <w:bookmarkEnd w:id="35"/>
      <w:bookmarkEnd w:id="36"/>
      <w:bookmarkEnd w:id="37"/>
      <w:bookmarkEnd w:id="38"/>
      <w:bookmarkEnd w:id="39"/>
      <w:r>
        <w:rPr>
          <w:rFonts w:hint="eastAsia" w:ascii="黑体" w:hAnsi="黑体" w:eastAsia="黑体"/>
          <w:b w:val="0"/>
        </w:rPr>
        <w:t>部门职责</w:t>
      </w:r>
    </w:p>
    <w:p>
      <w:pPr>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Cs/>
          <w:sz w:val="32"/>
          <w:szCs w:val="32"/>
        </w:rPr>
      </w:pPr>
      <w:bookmarkStart w:id="40" w:name="_Toc15377199"/>
      <w:bookmarkStart w:id="41" w:name="_Toc15378446"/>
      <w:r>
        <w:rPr>
          <w:rFonts w:hint="eastAsia" w:ascii="仿宋_GB2312" w:hAnsi="仿宋" w:eastAsia="仿宋_GB2312" w:cs="黑体"/>
          <w:bCs/>
          <w:kern w:val="0"/>
          <w:sz w:val="32"/>
          <w:szCs w:val="32"/>
        </w:rPr>
        <w:t>受市自然资源局、辖区人民政府委托，组织编制本辖区国土空间规划、城市设计、慨念规划等；负责指定管辖范围内的项目选址、规划设计前期研究和规划设计方案审查；承担辖区规划管理审批相关事务工作。</w:t>
      </w:r>
    </w:p>
    <w:bookmarkEnd w:id="40"/>
    <w:bookmarkEnd w:id="41"/>
    <w:p>
      <w:pPr>
        <w:pStyle w:val="3"/>
        <w:pageBreakBefore w:val="0"/>
        <w:widowControl w:val="0"/>
        <w:kinsoku/>
        <w:wordWrap/>
        <w:overflowPunct/>
        <w:topLinePunct w:val="0"/>
        <w:autoSpaceDE/>
        <w:autoSpaceDN/>
        <w:bidi w:val="0"/>
        <w:spacing w:before="0" w:after="0" w:line="576" w:lineRule="exact"/>
        <w:ind w:firstLine="640" w:firstLineChars="200"/>
        <w:textAlignment w:val="auto"/>
        <w:rPr>
          <w:rFonts w:ascii="黑体" w:hAnsi="黑体" w:eastAsia="黑体"/>
          <w:b w:val="0"/>
        </w:rPr>
      </w:pPr>
      <w:bookmarkStart w:id="42" w:name="_Toc15377200"/>
      <w:bookmarkStart w:id="43" w:name="_Toc15396601"/>
      <w:bookmarkStart w:id="44" w:name="_Toc26608"/>
      <w:bookmarkStart w:id="45" w:name="_Toc24746"/>
      <w:bookmarkStart w:id="46" w:name="_Toc25764"/>
      <w:bookmarkStart w:id="47" w:name="_Toc15858"/>
      <w:bookmarkStart w:id="48" w:name="_Toc1578"/>
      <w:r>
        <w:rPr>
          <w:rFonts w:hint="eastAsia" w:ascii="黑体" w:hAnsi="黑体" w:eastAsia="黑体"/>
          <w:b w:val="0"/>
        </w:rPr>
        <w:t>二、机构设置</w:t>
      </w:r>
      <w:bookmarkEnd w:id="42"/>
      <w:bookmarkEnd w:id="43"/>
      <w:bookmarkEnd w:id="44"/>
      <w:bookmarkEnd w:id="45"/>
      <w:bookmarkEnd w:id="46"/>
      <w:bookmarkEnd w:id="47"/>
      <w:bookmarkEnd w:id="48"/>
    </w:p>
    <w:p>
      <w:pPr>
        <w:pStyle w:val="6"/>
        <w:pageBreakBefore w:val="0"/>
        <w:widowControl w:val="0"/>
        <w:kinsoku/>
        <w:wordWrap/>
        <w:overflowPunct/>
        <w:topLinePunct w:val="0"/>
        <w:autoSpaceDE/>
        <w:autoSpaceDN/>
        <w:bidi w:val="0"/>
        <w:adjustRightInd w:val="0"/>
        <w:snapToGrid w:val="0"/>
        <w:spacing w:beforeLines="0" w:line="576" w:lineRule="exact"/>
        <w:ind w:firstLine="640" w:firstLineChars="200"/>
        <w:textAlignment w:val="auto"/>
        <w:rPr>
          <w:rFonts w:hint="eastAsia" w:ascii="仿宋" w:hAnsi="仿宋" w:eastAsia="仿宋"/>
          <w:sz w:val="32"/>
          <w:szCs w:val="32"/>
        </w:rPr>
      </w:pPr>
      <w:bookmarkStart w:id="49" w:name="_Toc4891"/>
      <w:bookmarkStart w:id="50" w:name="_Toc73"/>
      <w:bookmarkStart w:id="51" w:name="_Toc20352"/>
      <w:r>
        <w:rPr>
          <w:rFonts w:hint="eastAsia" w:hAnsi="仿宋_GB2312" w:cs="仿宋_GB2312"/>
          <w:sz w:val="32"/>
          <w:szCs w:val="32"/>
        </w:rPr>
        <w:t>广元经济技术开发区国土空间规划编制研究中心</w:t>
      </w:r>
      <w:r>
        <w:rPr>
          <w:rFonts w:hint="eastAsia" w:ascii="仿宋" w:hAnsi="仿宋" w:eastAsia="仿宋"/>
          <w:sz w:val="32"/>
          <w:szCs w:val="32"/>
        </w:rPr>
        <w:t>属于财政二级预算单位，在编人数13人。</w:t>
      </w:r>
      <w:bookmarkEnd w:id="49"/>
      <w:bookmarkEnd w:id="50"/>
      <w:bookmarkEnd w:id="51"/>
      <w:bookmarkStart w:id="52" w:name="_Toc15396602"/>
      <w:bookmarkStart w:id="53" w:name="_Toc1341"/>
      <w:bookmarkStart w:id="54" w:name="_Toc13881"/>
      <w:bookmarkStart w:id="55" w:name="_Toc3228"/>
      <w:bookmarkStart w:id="56" w:name="_Toc15377204"/>
      <w:bookmarkStart w:id="57" w:name="_Toc22090"/>
      <w:bookmarkStart w:id="58" w:name="_Toc25790"/>
    </w:p>
    <w:p>
      <w:pPr>
        <w:pStyle w:val="6"/>
        <w:pageBreakBefore w:val="0"/>
        <w:widowControl w:val="0"/>
        <w:kinsoku/>
        <w:wordWrap/>
        <w:overflowPunct/>
        <w:topLinePunct w:val="0"/>
        <w:autoSpaceDE/>
        <w:autoSpaceDN/>
        <w:bidi w:val="0"/>
        <w:adjustRightInd w:val="0"/>
        <w:snapToGrid w:val="0"/>
        <w:spacing w:beforeLines="0" w:line="576" w:lineRule="exact"/>
        <w:jc w:val="center"/>
        <w:textAlignment w:val="auto"/>
        <w:rPr>
          <w:rStyle w:val="27"/>
          <w:rFonts w:ascii="黑体" w:hAnsi="黑体" w:eastAsia="黑体"/>
          <w:b w:val="0"/>
        </w:rPr>
      </w:pPr>
      <w:r>
        <w:rPr>
          <w:rFonts w:hint="eastAsia" w:ascii="仿宋" w:hAnsi="仿宋" w:eastAsia="仿宋"/>
          <w:sz w:val="32"/>
          <w:szCs w:val="32"/>
        </w:rPr>
        <w:br w:type="page"/>
      </w:r>
      <w:r>
        <w:rPr>
          <w:rStyle w:val="27"/>
          <w:rFonts w:hint="eastAsia" w:ascii="黑体" w:hAnsi="黑体" w:eastAsia="黑体"/>
          <w:b w:val="0"/>
        </w:rPr>
        <w:t xml:space="preserve">第二部分 </w:t>
      </w:r>
      <w:r>
        <w:rPr>
          <w:rStyle w:val="27"/>
          <w:rFonts w:hint="eastAsia" w:ascii="黑体" w:hAnsi="黑体" w:eastAsia="黑体"/>
          <w:b w:val="0"/>
          <w:lang w:val="en-US" w:eastAsia="zh-CN"/>
        </w:rPr>
        <w:t xml:space="preserve"> </w:t>
      </w:r>
      <w:r>
        <w:rPr>
          <w:rStyle w:val="27"/>
          <w:rFonts w:hint="eastAsia" w:ascii="黑体" w:hAnsi="黑体" w:eastAsia="黑体"/>
          <w:b w:val="0"/>
        </w:rPr>
        <w:t>2022年度单位决算情况说明</w:t>
      </w:r>
      <w:bookmarkEnd w:id="52"/>
      <w:bookmarkEnd w:id="53"/>
      <w:bookmarkEnd w:id="54"/>
      <w:bookmarkEnd w:id="55"/>
      <w:bookmarkEnd w:id="56"/>
      <w:bookmarkEnd w:id="57"/>
      <w:bookmarkEnd w:id="58"/>
    </w:p>
    <w:p>
      <w:pPr>
        <w:pageBreakBefore w:val="0"/>
        <w:widowControl w:val="0"/>
        <w:kinsoku/>
        <w:wordWrap/>
        <w:overflowPunct/>
        <w:topLinePunct w:val="0"/>
        <w:autoSpaceDE/>
        <w:autoSpaceDN/>
        <w:bidi w:val="0"/>
        <w:spacing w:line="576" w:lineRule="exact"/>
        <w:textAlignment w:val="auto"/>
      </w:pPr>
    </w:p>
    <w:p>
      <w:pPr>
        <w:pStyle w:val="18"/>
        <w:pageBreakBefore w:val="0"/>
        <w:widowControl w:val="0"/>
        <w:kinsoku/>
        <w:wordWrap/>
        <w:overflowPunct/>
        <w:topLinePunct w:val="0"/>
        <w:autoSpaceDE/>
        <w:autoSpaceDN/>
        <w:bidi w:val="0"/>
        <w:spacing w:line="576" w:lineRule="exact"/>
        <w:ind w:firstLine="640"/>
        <w:textAlignment w:val="auto"/>
        <w:outlineLvl w:val="1"/>
        <w:rPr>
          <w:rStyle w:val="28"/>
          <w:rFonts w:ascii="黑体" w:hAnsi="黑体" w:eastAsia="黑体"/>
          <w:b w:val="0"/>
        </w:rPr>
      </w:pPr>
      <w:bookmarkStart w:id="59" w:name="_Toc15396603"/>
      <w:bookmarkStart w:id="60" w:name="_Toc22503"/>
      <w:bookmarkStart w:id="61" w:name="_Toc10931"/>
      <w:bookmarkStart w:id="62" w:name="_Toc27809"/>
      <w:bookmarkStart w:id="63" w:name="_Toc28569"/>
      <w:bookmarkStart w:id="64" w:name="_Toc15377205"/>
      <w:bookmarkStart w:id="65" w:name="_Toc20450"/>
      <w:r>
        <w:rPr>
          <w:rFonts w:hint="eastAsia" w:ascii="黑体" w:hAnsi="黑体" w:eastAsia="黑体"/>
          <w:sz w:val="32"/>
          <w:szCs w:val="32"/>
        </w:rPr>
        <w:t>一、收</w:t>
      </w:r>
      <w:r>
        <w:rPr>
          <w:rStyle w:val="28"/>
          <w:rFonts w:hint="eastAsia" w:ascii="黑体" w:hAnsi="黑体" w:eastAsia="黑体"/>
          <w:b w:val="0"/>
        </w:rPr>
        <w:t>入支出决算总体情况说明</w:t>
      </w:r>
      <w:bookmarkEnd w:id="59"/>
      <w:bookmarkEnd w:id="60"/>
      <w:bookmarkEnd w:id="61"/>
      <w:bookmarkEnd w:id="62"/>
      <w:bookmarkEnd w:id="63"/>
      <w:bookmarkEnd w:id="64"/>
      <w:bookmarkEnd w:id="65"/>
    </w:p>
    <w:p>
      <w:pPr>
        <w:keepNext/>
        <w:keepLines/>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2022年度收、支总计</w:t>
      </w:r>
      <w:r>
        <w:rPr>
          <w:rFonts w:hint="eastAsia" w:ascii="仿宋_GB2312" w:hAnsi="仿宋_GB2312" w:eastAsia="仿宋_GB2312"/>
          <w:color w:val="000000"/>
          <w:sz w:val="32"/>
        </w:rPr>
        <w:t>250.47</w:t>
      </w:r>
      <w:r>
        <w:rPr>
          <w:rFonts w:hint="eastAsia" w:ascii="仿宋_GB2312" w:hAnsi="仿宋_GB2312" w:eastAsia="仿宋_GB2312"/>
          <w:color w:val="000000"/>
          <w:sz w:val="32"/>
          <w:lang w:val="zh-CN"/>
        </w:rPr>
        <w:t>万元。与2021年相比，收、支总计各</w:t>
      </w:r>
      <w:r>
        <w:rPr>
          <w:rFonts w:hint="eastAsia" w:ascii="仿宋_GB2312" w:hAnsi="仿宋_GB2312" w:eastAsia="仿宋_GB2312"/>
          <w:color w:val="000000"/>
          <w:sz w:val="32"/>
        </w:rPr>
        <w:t>增加6.17</w:t>
      </w:r>
      <w:r>
        <w:rPr>
          <w:rFonts w:hint="eastAsia" w:ascii="仿宋_GB2312" w:hAnsi="仿宋_GB2312" w:eastAsia="仿宋_GB2312"/>
          <w:color w:val="000000"/>
          <w:sz w:val="32"/>
          <w:lang w:val="zh-CN"/>
        </w:rPr>
        <w:t>万元，</w:t>
      </w:r>
      <w:r>
        <w:rPr>
          <w:rFonts w:hint="eastAsia" w:ascii="仿宋_GB2312" w:hAnsi="仿宋_GB2312" w:eastAsia="仿宋_GB2312"/>
          <w:color w:val="000000"/>
          <w:sz w:val="32"/>
        </w:rPr>
        <w:t>增长2.46</w:t>
      </w:r>
      <w:r>
        <w:rPr>
          <w:rFonts w:hint="eastAsia" w:ascii="仿宋_GB2312" w:hAnsi="仿宋_GB2312" w:eastAsia="仿宋_GB2312"/>
          <w:color w:val="000000"/>
          <w:sz w:val="32"/>
          <w:lang w:val="zh-CN"/>
        </w:rPr>
        <w:t>%。主要变动原因是</w:t>
      </w:r>
      <w:r>
        <w:rPr>
          <w:rFonts w:hint="eastAsia" w:ascii="仿宋_GB2312" w:hAnsi="仿宋_GB2312" w:eastAsia="仿宋_GB2312"/>
          <w:color w:val="000000"/>
          <w:sz w:val="32"/>
        </w:rPr>
        <w:t>财政结转资金增加</w:t>
      </w:r>
      <w:r>
        <w:rPr>
          <w:rFonts w:hint="eastAsia" w:ascii="仿宋_GB2312" w:hAnsi="仿宋_GB2312" w:eastAsia="仿宋_GB2312"/>
          <w:color w:val="000000"/>
          <w:sz w:val="32"/>
          <w:lang w:val="zh-CN"/>
        </w:rPr>
        <w:t>。</w:t>
      </w:r>
    </w:p>
    <w:p>
      <w:pPr>
        <w:pStyle w:val="6"/>
        <w:spacing w:before="94"/>
        <w:jc w:val="center"/>
        <w:rPr>
          <w:rFonts w:hAnsi="仿宋_GB2312" w:cs="仿宋_GB2312"/>
          <w:sz w:val="32"/>
          <w:szCs w:val="32"/>
        </w:rPr>
      </w:pPr>
      <w:r>
        <w:rPr>
          <w:rFonts w:hAnsi="仿宋_GB2312" w:cs="仿宋_GB2312"/>
          <w:sz w:val="32"/>
          <w:szCs w:val="32"/>
        </w:rPr>
        <w:pict>
          <v:shape id="_x0000_i1025" o:spt="75" alt="1" type="#_x0000_t75" style="height:234.15pt;width:381.9pt;" filled="f" o:preferrelative="t" stroked="f" coordsize="21600,21600">
            <v:path/>
            <v:fill on="f" focussize="0,0"/>
            <v:stroke on="f" joinstyle="miter"/>
            <v:imagedata r:id="rId7" o:title="1"/>
            <o:lock v:ext="edit" aspectratio="t"/>
            <w10:wrap type="none"/>
            <w10:anchorlock/>
          </v:shape>
        </w:pict>
      </w:r>
    </w:p>
    <w:p>
      <w:pPr>
        <w:spacing w:line="576"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图1：收、支决算总计变动情况图</w:t>
      </w:r>
    </w:p>
    <w:p>
      <w:pPr>
        <w:spacing w:line="576" w:lineRule="exact"/>
        <w:jc w:val="center"/>
        <w:rPr>
          <w:rFonts w:ascii="仿宋_GB2312" w:hAnsi="仿宋_GB2312" w:eastAsia="仿宋_GB2312" w:cs="仿宋_GB2312"/>
          <w:sz w:val="32"/>
          <w:szCs w:val="32"/>
        </w:rPr>
      </w:pPr>
    </w:p>
    <w:p>
      <w:pPr>
        <w:pStyle w:val="18"/>
        <w:numPr>
          <w:ilvl w:val="0"/>
          <w:numId w:val="1"/>
        </w:numPr>
        <w:spacing w:line="576" w:lineRule="exact"/>
        <w:ind w:firstLine="640"/>
        <w:outlineLvl w:val="1"/>
        <w:rPr>
          <w:rStyle w:val="28"/>
          <w:rFonts w:ascii="黑体" w:hAnsi="黑体" w:eastAsia="黑体"/>
          <w:b w:val="0"/>
        </w:rPr>
      </w:pPr>
      <w:bookmarkStart w:id="66" w:name="_Toc32611"/>
      <w:bookmarkStart w:id="67" w:name="_Toc5295"/>
      <w:bookmarkStart w:id="68" w:name="_Toc15377206"/>
      <w:bookmarkStart w:id="69" w:name="_Toc22630"/>
      <w:bookmarkStart w:id="70" w:name="_Toc4338"/>
      <w:bookmarkStart w:id="71" w:name="_Toc15396604"/>
      <w:bookmarkStart w:id="72" w:name="_Toc14560"/>
      <w:r>
        <w:rPr>
          <w:rStyle w:val="28"/>
          <w:rFonts w:hint="eastAsia" w:ascii="黑体" w:hAnsi="黑体" w:eastAsia="黑体"/>
          <w:b w:val="0"/>
        </w:rPr>
        <w:t>收入决算情况说明</w:t>
      </w:r>
      <w:bookmarkEnd w:id="66"/>
      <w:bookmarkEnd w:id="67"/>
      <w:bookmarkEnd w:id="68"/>
      <w:bookmarkEnd w:id="69"/>
      <w:bookmarkEnd w:id="70"/>
      <w:bookmarkEnd w:id="71"/>
      <w:bookmarkEnd w:id="72"/>
    </w:p>
    <w:p>
      <w:pPr>
        <w:keepNext/>
        <w:keepLines/>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2022年本年收入合计245.41万元，其中：一般公共预算财政拨款收入226.07万元，占92.1%；其他收入19.35万元，占7.9%。</w:t>
      </w:r>
    </w:p>
    <w:p>
      <w:pPr>
        <w:pStyle w:val="18"/>
        <w:spacing w:line="576" w:lineRule="exact"/>
        <w:ind w:firstLine="0" w:firstLineChars="0"/>
        <w:outlineLvl w:val="1"/>
        <w:rPr>
          <w:rStyle w:val="28"/>
          <w:rFonts w:ascii="黑体" w:hAnsi="黑体" w:eastAsia="黑体"/>
          <w:b w:val="0"/>
        </w:rPr>
      </w:pPr>
    </w:p>
    <w:p>
      <w:pPr>
        <w:pStyle w:val="6"/>
        <w:spacing w:before="94"/>
        <w:ind w:firstLine="640" w:firstLineChars="200"/>
        <w:jc w:val="left"/>
        <w:rPr>
          <w:sz w:val="32"/>
          <w:szCs w:val="32"/>
        </w:rPr>
      </w:pPr>
      <w:r>
        <w:rPr>
          <w:sz w:val="32"/>
          <w:szCs w:val="32"/>
        </w:rPr>
        <w:pict>
          <v:shape id="_x0000_i1026" o:spt="75" type="#_x0000_t75" style="height:217.25pt;width:394.45pt;" filled="f" o:preferrelative="t" stroked="f" coordsize="21600,21600">
            <v:path/>
            <v:fill on="f" focussize="0,0"/>
            <v:stroke on="f" joinstyle="miter"/>
            <v:imagedata r:id="rId8" o:title="2"/>
            <o:lock v:ext="edit" aspectratio="t"/>
            <w10:wrap type="none"/>
            <w10:anchorlock/>
          </v:shape>
        </w:pict>
      </w:r>
    </w:p>
    <w:p>
      <w:pPr>
        <w:spacing w:line="600" w:lineRule="exact"/>
        <w:jc w:val="center"/>
        <w:rPr>
          <w:rFonts w:ascii="仿宋_GB2312" w:eastAsia="仿宋_GB2312"/>
          <w:sz w:val="32"/>
          <w:szCs w:val="32"/>
        </w:rPr>
      </w:pPr>
      <w:r>
        <w:rPr>
          <w:rFonts w:hint="eastAsia" w:ascii="仿宋" w:hAnsi="仿宋" w:eastAsia="仿宋"/>
          <w:sz w:val="32"/>
          <w:szCs w:val="32"/>
        </w:rPr>
        <w:t>图2：收入决算结构图</w:t>
      </w:r>
    </w:p>
    <w:p>
      <w:pPr>
        <w:pStyle w:val="18"/>
        <w:spacing w:line="576" w:lineRule="exact"/>
        <w:ind w:firstLine="640"/>
        <w:outlineLvl w:val="1"/>
        <w:rPr>
          <w:rStyle w:val="28"/>
          <w:rFonts w:ascii="黑体" w:hAnsi="黑体" w:eastAsia="黑体"/>
          <w:b w:val="0"/>
        </w:rPr>
      </w:pPr>
      <w:bookmarkStart w:id="73" w:name="_Toc15396605"/>
      <w:bookmarkStart w:id="74" w:name="_Toc15377207"/>
      <w:bookmarkStart w:id="75" w:name="_Toc17566"/>
      <w:bookmarkStart w:id="76" w:name="_Toc16092"/>
      <w:bookmarkStart w:id="77" w:name="_Toc22528"/>
      <w:bookmarkStart w:id="78" w:name="_Toc27316"/>
      <w:bookmarkStart w:id="79" w:name="_Toc32515"/>
    </w:p>
    <w:p>
      <w:pPr>
        <w:pStyle w:val="18"/>
        <w:spacing w:line="576" w:lineRule="exact"/>
        <w:ind w:firstLine="640"/>
        <w:outlineLvl w:val="1"/>
        <w:rPr>
          <w:rStyle w:val="28"/>
          <w:rFonts w:ascii="黑体" w:hAnsi="黑体" w:eastAsia="黑体"/>
          <w:b w:val="0"/>
        </w:rPr>
      </w:pPr>
      <w:r>
        <w:rPr>
          <w:rStyle w:val="28"/>
          <w:rFonts w:hint="eastAsia" w:ascii="黑体" w:hAnsi="黑体" w:eastAsia="黑体"/>
          <w:b w:val="0"/>
        </w:rPr>
        <w:t>三、支出决算情况说明</w:t>
      </w:r>
      <w:bookmarkEnd w:id="73"/>
      <w:bookmarkEnd w:id="74"/>
      <w:bookmarkEnd w:id="75"/>
      <w:bookmarkEnd w:id="76"/>
      <w:bookmarkEnd w:id="77"/>
      <w:bookmarkEnd w:id="78"/>
      <w:bookmarkEnd w:id="79"/>
    </w:p>
    <w:p>
      <w:pPr>
        <w:spacing w:line="576" w:lineRule="exact"/>
        <w:ind w:firstLine="640" w:firstLineChars="200"/>
        <w:outlineLvl w:val="1"/>
        <w:rPr>
          <w:rFonts w:ascii="仿宋_GB2312" w:hAnsi="仿宋_GB2312" w:eastAsia="仿宋_GB2312" w:cs="仿宋_GB2312"/>
          <w:sz w:val="32"/>
          <w:szCs w:val="32"/>
          <w:shd w:val="pct10" w:color="auto" w:fill="FFFFFF"/>
        </w:rPr>
      </w:pPr>
      <w:bookmarkStart w:id="80" w:name="_Toc3107"/>
      <w:r>
        <w:rPr>
          <w:rFonts w:hint="eastAsia" w:ascii="仿宋_GB2312" w:hAnsi="仿宋_GB2312" w:eastAsia="仿宋_GB2312"/>
          <w:color w:val="000000"/>
          <w:sz w:val="32"/>
          <w:lang w:val="zh-CN"/>
        </w:rPr>
        <w:t>2022年本年支出合计249.38万元，其中：基本支出246.58万元，占98.9%；项目支出2.8万元，占1.1%。</w:t>
      </w:r>
      <w:bookmarkEnd w:id="80"/>
    </w:p>
    <w:p>
      <w:pPr>
        <w:pStyle w:val="6"/>
        <w:spacing w:before="94"/>
        <w:jc w:val="center"/>
      </w:pPr>
      <w:r>
        <w:pict>
          <v:shape id="_x0000_i1027" o:spt="75" type="#_x0000_t75" style="height:231.05pt;width:427.6pt;" filled="f" o:preferrelative="t" stroked="f" coordsize="21600,21600">
            <v:path/>
            <v:fill on="f" focussize="0,0"/>
            <v:stroke on="f" joinstyle="miter"/>
            <v:imagedata r:id="rId9" o:title="3"/>
            <o:lock v:ext="edit" aspectratio="t"/>
            <w10:wrap type="none"/>
            <w10:anchorlock/>
          </v:shape>
        </w:pict>
      </w:r>
    </w:p>
    <w:p>
      <w:pPr>
        <w:spacing w:line="576"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图3：支出决算结构图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28"/>
          <w:rFonts w:ascii="黑体" w:hAnsi="黑体" w:eastAsia="黑体"/>
          <w:b w:val="0"/>
        </w:rPr>
      </w:pPr>
      <w:r>
        <w:rPr>
          <w:rFonts w:ascii="仿宋_GB2312" w:eastAsia="仿宋_GB2312"/>
          <w:sz w:val="32"/>
          <w:szCs w:val="32"/>
        </w:rPr>
        <w:br w:type="page"/>
      </w:r>
      <w:bookmarkStart w:id="81" w:name="_Toc31232"/>
      <w:bookmarkStart w:id="82" w:name="_Toc23076"/>
      <w:bookmarkStart w:id="83" w:name="_Toc15377208"/>
      <w:bookmarkStart w:id="84" w:name="_Toc15396606"/>
      <w:bookmarkStart w:id="85" w:name="_Toc22088"/>
      <w:bookmarkStart w:id="86" w:name="_Toc26733"/>
      <w:bookmarkStart w:id="87" w:name="_Toc1428"/>
      <w:r>
        <w:rPr>
          <w:rFonts w:hint="eastAsia" w:ascii="黑体" w:hAnsi="黑体" w:eastAsia="黑体"/>
          <w:sz w:val="32"/>
          <w:szCs w:val="32"/>
        </w:rPr>
        <w:t>四、财</w:t>
      </w:r>
      <w:r>
        <w:rPr>
          <w:rStyle w:val="28"/>
          <w:rFonts w:hint="eastAsia" w:ascii="黑体" w:hAnsi="黑体" w:eastAsia="黑体"/>
          <w:b w:val="0"/>
        </w:rPr>
        <w:t>政拨款收入支出决算总体情况说明</w:t>
      </w:r>
      <w:bookmarkEnd w:id="81"/>
      <w:bookmarkEnd w:id="82"/>
      <w:bookmarkEnd w:id="83"/>
      <w:bookmarkEnd w:id="84"/>
      <w:bookmarkEnd w:id="85"/>
      <w:bookmarkEnd w:id="86"/>
      <w:bookmarkEnd w:id="8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olor w:val="000000"/>
          <w:sz w:val="32"/>
          <w:lang w:val="zh-CN"/>
        </w:rPr>
        <w:t>2022年财政拨款收、支总计231.13万元。与2021年相比，财政拨款收、支总计各增加</w:t>
      </w:r>
      <w:r>
        <w:rPr>
          <w:rFonts w:hint="eastAsia" w:ascii="仿宋_GB2312" w:hAnsi="仿宋_GB2312" w:eastAsia="仿宋_GB2312"/>
          <w:color w:val="000000"/>
          <w:sz w:val="32"/>
        </w:rPr>
        <w:t>27.12</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13.29</w:t>
      </w:r>
      <w:r>
        <w:rPr>
          <w:rFonts w:hint="eastAsia" w:ascii="仿宋_GB2312" w:hAnsi="仿宋_GB2312" w:eastAsia="仿宋_GB2312"/>
          <w:color w:val="000000"/>
          <w:sz w:val="32"/>
          <w:lang w:val="zh-CN"/>
        </w:rPr>
        <w:t>%。主要变动原因是</w:t>
      </w:r>
      <w:r>
        <w:rPr>
          <w:rFonts w:hint="eastAsia" w:ascii="仿宋_GB2312" w:hAnsi="仿宋_GB2312" w:eastAsia="仿宋_GB2312"/>
          <w:color w:val="000000"/>
          <w:sz w:val="32"/>
        </w:rPr>
        <w:t>财政拨付本年度基础绩效及考核绩效</w:t>
      </w:r>
      <w:r>
        <w:rPr>
          <w:rFonts w:hint="eastAsia" w:ascii="仿宋_GB2312" w:hAnsi="仿宋_GB2312" w:eastAsia="仿宋_GB2312"/>
          <w:color w:val="000000"/>
          <w:sz w:val="32"/>
          <w:lang w:val="zh-CN"/>
        </w:rPr>
        <w:t>。</w:t>
      </w:r>
    </w:p>
    <w:p>
      <w:pPr>
        <w:pStyle w:val="6"/>
        <w:spacing w:before="94"/>
        <w:jc w:val="center"/>
        <w:rPr>
          <w:rFonts w:ascii="仿宋" w:hAnsi="仿宋" w:eastAsia="仿宋"/>
          <w:sz w:val="32"/>
          <w:szCs w:val="32"/>
        </w:rPr>
      </w:pPr>
      <w:r>
        <w:rPr>
          <w:rFonts w:ascii="仿宋" w:hAnsi="仿宋" w:eastAsia="仿宋"/>
          <w:sz w:val="32"/>
          <w:szCs w:val="32"/>
        </w:rPr>
        <w:pict>
          <v:shape id="_x0000_i1028" o:spt="75" type="#_x0000_t75" style="height:222.25pt;width:442pt;" filled="f" o:preferrelative="t" stroked="f" coordsize="21600,21600">
            <v:path/>
            <v:fill on="f" focussize="0,0"/>
            <v:stroke on="f" joinstyle="miter"/>
            <v:imagedata r:id="rId10" o:title="4"/>
            <o:lock v:ext="edit" aspectratio="t"/>
            <w10:wrap type="none"/>
            <w10:anchorlock/>
          </v:shape>
        </w:pict>
      </w:r>
    </w:p>
    <w:p>
      <w:pPr>
        <w:spacing w:line="576" w:lineRule="exact"/>
        <w:jc w:val="center"/>
        <w:rPr>
          <w:rFonts w:ascii="仿宋" w:hAnsi="仿宋" w:eastAsia="仿宋"/>
          <w:b/>
          <w:sz w:val="32"/>
          <w:szCs w:val="32"/>
        </w:rPr>
      </w:pPr>
      <w:r>
        <w:rPr>
          <w:rFonts w:hint="eastAsia" w:ascii="仿宋" w:hAnsi="仿宋" w:eastAsia="仿宋"/>
          <w:sz w:val="32"/>
          <w:szCs w:val="32"/>
        </w:rPr>
        <w:t>图4：财政拨款收、支决算总计变动情况</w:t>
      </w:r>
    </w:p>
    <w:p>
      <w:pPr>
        <w:spacing w:line="576" w:lineRule="exact"/>
        <w:ind w:firstLine="640" w:firstLineChars="200"/>
        <w:outlineLvl w:val="1"/>
        <w:rPr>
          <w:rFonts w:ascii="黑体" w:hAnsi="黑体" w:eastAsia="黑体"/>
          <w:sz w:val="32"/>
          <w:szCs w:val="32"/>
        </w:rPr>
      </w:pPr>
      <w:bookmarkStart w:id="88" w:name="_Toc15186"/>
      <w:bookmarkStart w:id="89" w:name="_Toc21886"/>
      <w:bookmarkStart w:id="90" w:name="_Toc15396607"/>
      <w:bookmarkStart w:id="91" w:name="_Toc4512"/>
      <w:bookmarkStart w:id="92" w:name="_Toc23879"/>
      <w:bookmarkStart w:id="93" w:name="_Toc15377209"/>
      <w:bookmarkStart w:id="94" w:name="_Toc10163"/>
    </w:p>
    <w:p>
      <w:pPr>
        <w:spacing w:line="576" w:lineRule="exact"/>
        <w:ind w:firstLine="640" w:firstLineChars="200"/>
        <w:outlineLvl w:val="1"/>
        <w:rPr>
          <w:rStyle w:val="28"/>
          <w:rFonts w:ascii="黑体" w:hAnsi="黑体" w:eastAsia="黑体"/>
          <w:b w:val="0"/>
        </w:rPr>
      </w:pPr>
      <w:r>
        <w:rPr>
          <w:rFonts w:hint="eastAsia" w:ascii="黑体" w:hAnsi="黑体" w:eastAsia="黑体"/>
          <w:sz w:val="32"/>
          <w:szCs w:val="32"/>
        </w:rPr>
        <w:t>五、</w:t>
      </w:r>
      <w:r>
        <w:rPr>
          <w:rFonts w:hint="eastAsia" w:ascii="黑体" w:hAnsi="黑体" w:eastAsia="黑体"/>
          <w:b/>
          <w:sz w:val="32"/>
          <w:szCs w:val="32"/>
        </w:rPr>
        <w:t>一</w:t>
      </w:r>
      <w:r>
        <w:rPr>
          <w:rStyle w:val="28"/>
          <w:rFonts w:hint="eastAsia" w:ascii="黑体" w:hAnsi="黑体" w:eastAsia="黑体"/>
          <w:b w:val="0"/>
        </w:rPr>
        <w:t>般公共预算财政拨款支出决算情况说明</w:t>
      </w:r>
      <w:bookmarkEnd w:id="88"/>
      <w:bookmarkEnd w:id="89"/>
      <w:bookmarkEnd w:id="90"/>
      <w:bookmarkEnd w:id="91"/>
      <w:bookmarkEnd w:id="92"/>
      <w:bookmarkEnd w:id="93"/>
      <w:bookmarkEnd w:id="94"/>
    </w:p>
    <w:p>
      <w:pPr>
        <w:spacing w:line="576" w:lineRule="exact"/>
        <w:ind w:firstLine="640" w:firstLineChars="200"/>
        <w:outlineLvl w:val="2"/>
        <w:rPr>
          <w:rFonts w:hint="eastAsia" w:ascii="楷体_GB2312" w:hAnsi="楷体_GB2312" w:eastAsia="楷体_GB2312" w:cs="楷体_GB2312"/>
          <w:b w:val="0"/>
          <w:bCs/>
          <w:sz w:val="32"/>
          <w:szCs w:val="32"/>
        </w:rPr>
      </w:pPr>
      <w:bookmarkStart w:id="95" w:name="_Toc15377210"/>
      <w:r>
        <w:rPr>
          <w:rFonts w:hint="eastAsia" w:ascii="楷体_GB2312" w:hAnsi="楷体_GB2312" w:eastAsia="楷体_GB2312" w:cs="楷体_GB2312"/>
          <w:b w:val="0"/>
          <w:bCs/>
          <w:sz w:val="32"/>
          <w:szCs w:val="32"/>
        </w:rPr>
        <w:t>（一）一般公共预算财政拨款支出决算总体情况</w:t>
      </w:r>
      <w:bookmarkEnd w:id="95"/>
      <w:r>
        <w:rPr>
          <w:rFonts w:hint="eastAsia" w:ascii="楷体_GB2312" w:hAnsi="楷体_GB2312" w:eastAsia="楷体_GB2312" w:cs="楷体_GB2312"/>
          <w:b w:val="0"/>
          <w:bCs/>
          <w:sz w:val="32"/>
          <w:szCs w:val="32"/>
        </w:rPr>
        <w:t>。</w:t>
      </w:r>
    </w:p>
    <w:p>
      <w:pPr>
        <w:spacing w:line="576"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olor w:val="000000"/>
          <w:sz w:val="32"/>
          <w:lang w:val="zh-CN"/>
        </w:rPr>
        <w:t>2022年一般公共预算财政拨款支出231.13万元，占本年支出合计的92.7%。其中：与2021年相比，一般公共预算财政拨款支出增加</w:t>
      </w:r>
      <w:r>
        <w:rPr>
          <w:rFonts w:hint="eastAsia" w:ascii="仿宋_GB2312" w:hAnsi="仿宋_GB2312" w:eastAsia="仿宋_GB2312"/>
          <w:color w:val="000000"/>
          <w:sz w:val="32"/>
        </w:rPr>
        <w:t>32.18</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16.18</w:t>
      </w:r>
      <w:r>
        <w:rPr>
          <w:rFonts w:hint="eastAsia" w:ascii="仿宋_GB2312" w:hAnsi="仿宋_GB2312" w:eastAsia="仿宋_GB2312"/>
          <w:color w:val="000000"/>
          <w:sz w:val="32"/>
          <w:lang w:val="zh-CN"/>
        </w:rPr>
        <w:t>%。</w:t>
      </w:r>
      <w:r>
        <w:rPr>
          <w:rFonts w:hint="eastAsia" w:ascii="仿宋_GB2312" w:hAnsi="仿宋_GB2312" w:eastAsia="仿宋_GB2312" w:cs="仿宋_GB2312"/>
          <w:sz w:val="32"/>
          <w:szCs w:val="32"/>
        </w:rPr>
        <w:t>主要变动原因</w:t>
      </w:r>
      <w:r>
        <w:rPr>
          <w:rFonts w:hint="eastAsia" w:ascii="仿宋_GB2312" w:hAnsi="仿宋_GB2312" w:eastAsia="仿宋_GB2312"/>
          <w:color w:val="000000"/>
          <w:sz w:val="32"/>
        </w:rPr>
        <w:t>财政拨付本年度基础绩效及考核绩效</w:t>
      </w:r>
      <w:r>
        <w:rPr>
          <w:rFonts w:hint="eastAsia" w:ascii="仿宋_GB2312" w:hAnsi="仿宋_GB2312" w:eastAsia="仿宋_GB2312"/>
          <w:color w:val="000000"/>
          <w:sz w:val="32"/>
          <w:lang w:val="zh-CN"/>
        </w:rPr>
        <w:t>。</w:t>
      </w:r>
    </w:p>
    <w:p>
      <w:pPr>
        <w:jc w:val="center"/>
        <w:rPr>
          <w:rFonts w:ascii="仿宋" w:hAnsi="仿宋" w:eastAsia="仿宋"/>
          <w:sz w:val="32"/>
          <w:szCs w:val="32"/>
        </w:rPr>
      </w:pPr>
      <w:r>
        <w:rPr>
          <w:rFonts w:ascii="仿宋" w:hAnsi="仿宋" w:eastAsia="仿宋"/>
          <w:sz w:val="32"/>
          <w:szCs w:val="32"/>
        </w:rPr>
        <w:pict>
          <v:shape id="_x0000_i1029" o:spt="75" alt="5" type="#_x0000_t75" style="height:193.45pt;width:420.1pt;" filled="f" o:preferrelative="t" stroked="f" coordsize="21600,21600">
            <v:path/>
            <v:fill on="f" focussize="0,0"/>
            <v:stroke on="f" joinstyle="miter"/>
            <v:imagedata r:id="rId11" o:title="5"/>
            <o:lock v:ext="edit" aspectratio="t"/>
            <w10:wrap type="none"/>
            <w10:anchorlock/>
          </v:shape>
        </w:pict>
      </w:r>
    </w:p>
    <w:p>
      <w:pPr>
        <w:spacing w:line="576" w:lineRule="exact"/>
        <w:jc w:val="center"/>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576" w:lineRule="exact"/>
        <w:ind w:firstLine="640" w:firstLineChars="200"/>
        <w:outlineLvl w:val="2"/>
        <w:rPr>
          <w:rFonts w:hint="eastAsia" w:ascii="楷体_GB2312" w:hAnsi="楷体_GB2312" w:eastAsia="楷体_GB2312" w:cs="楷体_GB2312"/>
          <w:b w:val="0"/>
          <w:bCs/>
          <w:sz w:val="32"/>
          <w:szCs w:val="32"/>
          <w:lang w:val="zh-CN"/>
        </w:rPr>
      </w:pPr>
      <w:bookmarkStart w:id="96" w:name="_Toc15377211"/>
      <w:r>
        <w:rPr>
          <w:rFonts w:hint="eastAsia" w:ascii="楷体_GB2312" w:hAnsi="楷体_GB2312" w:eastAsia="楷体_GB2312" w:cs="楷体_GB2312"/>
          <w:b w:val="0"/>
          <w:bCs/>
          <w:sz w:val="32"/>
          <w:szCs w:val="32"/>
          <w:lang w:eastAsia="zh-CN"/>
        </w:rPr>
        <w:t>（二）</w:t>
      </w:r>
      <w:r>
        <w:rPr>
          <w:rFonts w:hint="eastAsia" w:ascii="楷体_GB2312" w:hAnsi="楷体_GB2312" w:eastAsia="楷体_GB2312" w:cs="楷体_GB2312"/>
          <w:b w:val="0"/>
          <w:bCs/>
          <w:sz w:val="32"/>
          <w:szCs w:val="32"/>
        </w:rPr>
        <w:t>一般公共预算财政拨款支出决算结构情况</w:t>
      </w:r>
      <w:bookmarkEnd w:id="96"/>
      <w:r>
        <w:rPr>
          <w:rFonts w:hint="eastAsia" w:ascii="楷体_GB2312" w:hAnsi="楷体_GB2312" w:eastAsia="楷体_GB2312" w:cs="楷体_GB2312"/>
          <w:b w:val="0"/>
          <w:bCs/>
          <w:sz w:val="32"/>
          <w:szCs w:val="32"/>
        </w:rPr>
        <w:t>。</w:t>
      </w:r>
    </w:p>
    <w:p>
      <w:pPr>
        <w:spacing w:line="576" w:lineRule="exact"/>
        <w:ind w:firstLine="640" w:firstLineChars="200"/>
        <w:outlineLvl w:val="2"/>
        <w:rPr>
          <w:rFonts w:ascii="仿宋_GB2312" w:hAnsi="仿宋_GB2312" w:eastAsia="仿宋_GB2312"/>
          <w:color w:val="000000"/>
          <w:sz w:val="32"/>
          <w:lang w:val="zh-CN"/>
        </w:rPr>
      </w:pPr>
      <w:r>
        <w:rPr>
          <w:rFonts w:hint="eastAsia" w:ascii="仿宋_GB2312" w:hAnsi="仿宋_GB2312" w:eastAsia="仿宋_GB2312"/>
          <w:color w:val="000000"/>
          <w:sz w:val="32"/>
          <w:lang w:val="zh-CN"/>
        </w:rPr>
        <w:t>2022年一般公共预算财政拨款支出231.13万元，主要用于以下方面:社会保障和就业支出15.19万元，占6.6%；卫生健康支出7.84万元，占3.4%；城乡社区支出189.69万元，占82%；住房保障支出18.41万元，占8%；</w:t>
      </w:r>
    </w:p>
    <w:p>
      <w:pPr>
        <w:keepNext/>
        <w:keepLines/>
        <w:ind w:firstLine="640"/>
        <w:jc w:val="center"/>
        <w:rPr>
          <w:rFonts w:ascii="仿宋" w:hAnsi="仿宋" w:eastAsia="仿宋"/>
          <w:sz w:val="32"/>
          <w:szCs w:val="32"/>
        </w:rPr>
      </w:pPr>
      <w:r>
        <w:rPr>
          <w:rFonts w:ascii="仿宋_GB2312" w:hAnsi="仿宋_GB2312" w:eastAsia="仿宋_GB2312"/>
          <w:color w:val="000000"/>
          <w:sz w:val="32"/>
          <w:lang w:val="zh-CN"/>
        </w:rPr>
        <w:pict>
          <v:shape id="_x0000_i1030" o:spt="75" alt="6" type="#_x0000_t75" style="height:214.1pt;width:367.5pt;" filled="f" o:preferrelative="t" stroked="f" coordsize="21600,21600">
            <v:path/>
            <v:fill on="f" focussize="0,0"/>
            <v:stroke on="f" joinstyle="miter"/>
            <v:imagedata r:id="rId12" o:title="6"/>
            <o:lock v:ext="edit" aspectratio="t"/>
            <w10:wrap type="none"/>
            <w10:anchorlock/>
          </v:shape>
        </w:pict>
      </w:r>
    </w:p>
    <w:p>
      <w:pPr>
        <w:spacing w:line="576" w:lineRule="exact"/>
        <w:jc w:val="center"/>
        <w:rPr>
          <w:rFonts w:ascii="仿宋" w:hAnsi="仿宋" w:eastAsia="仿宋"/>
          <w:sz w:val="32"/>
          <w:szCs w:val="32"/>
        </w:rPr>
      </w:pPr>
      <w:r>
        <w:rPr>
          <w:rFonts w:hint="eastAsia" w:ascii="仿宋" w:hAnsi="仿宋" w:eastAsia="仿宋"/>
          <w:sz w:val="32"/>
          <w:szCs w:val="32"/>
        </w:rPr>
        <w:t>图6：一般公共预算财政拨款支出决算结构</w:t>
      </w:r>
    </w:p>
    <w:p>
      <w:pPr>
        <w:spacing w:line="576" w:lineRule="exact"/>
        <w:ind w:firstLine="640" w:firstLineChars="200"/>
        <w:outlineLvl w:val="2"/>
        <w:rPr>
          <w:rFonts w:hint="eastAsia" w:ascii="楷体_GB2312" w:hAnsi="楷体_GB2312" w:eastAsia="楷体_GB2312" w:cs="楷体_GB2312"/>
          <w:b w:val="0"/>
          <w:bCs/>
          <w:sz w:val="32"/>
          <w:szCs w:val="32"/>
        </w:rPr>
      </w:pPr>
      <w:bookmarkStart w:id="97" w:name="_Toc15377212"/>
      <w:r>
        <w:rPr>
          <w:rFonts w:hint="eastAsia" w:ascii="楷体_GB2312" w:hAnsi="楷体_GB2312" w:eastAsia="楷体_GB2312" w:cs="楷体_GB2312"/>
          <w:b w:val="0"/>
          <w:bCs/>
          <w:sz w:val="32"/>
          <w:szCs w:val="32"/>
        </w:rPr>
        <w:t>（三）一般公共预算财政拨款支出决算具体情况</w:t>
      </w:r>
      <w:bookmarkEnd w:id="97"/>
      <w:r>
        <w:rPr>
          <w:rFonts w:hint="eastAsia" w:ascii="楷体_GB2312" w:hAnsi="楷体_GB2312" w:eastAsia="楷体_GB2312" w:cs="楷体_GB2312"/>
          <w:b w:val="0"/>
          <w:bCs/>
          <w:sz w:val="32"/>
          <w:szCs w:val="32"/>
        </w:rPr>
        <w:t>。</w:t>
      </w:r>
    </w:p>
    <w:p>
      <w:pPr>
        <w:spacing w:line="576" w:lineRule="exact"/>
        <w:ind w:firstLine="640" w:firstLineChars="200"/>
        <w:outlineLvl w:val="2"/>
        <w:rPr>
          <w:rFonts w:ascii="仿宋_GB2312" w:hAnsi="仿宋_GB2312" w:eastAsia="仿宋_GB2312" w:cs="仿宋_GB2312"/>
          <w:bCs/>
          <w:color w:val="FF0000"/>
          <w:sz w:val="32"/>
          <w:szCs w:val="32"/>
        </w:rPr>
      </w:pPr>
      <w:bookmarkStart w:id="98" w:name="_Toc15377444"/>
      <w:bookmarkStart w:id="99" w:name="_Toc15378460"/>
      <w:bookmarkStart w:id="100" w:name="_Toc15377213"/>
      <w:r>
        <w:rPr>
          <w:rFonts w:hint="eastAsia" w:ascii="仿宋_GB2312" w:hAnsi="仿宋_GB2312" w:eastAsia="仿宋_GB2312" w:cs="仿宋_GB2312"/>
          <w:bCs/>
          <w:color w:val="000000"/>
          <w:sz w:val="32"/>
          <w:lang w:val="zh-CN"/>
        </w:rPr>
        <w:t>2022年一般公共预算支出决算数为</w:t>
      </w:r>
      <w:r>
        <w:rPr>
          <w:rFonts w:hint="eastAsia" w:ascii="仿宋_GB2312" w:hAnsi="仿宋_GB2312" w:eastAsia="仿宋_GB2312"/>
          <w:bCs/>
          <w:color w:val="000000"/>
          <w:sz w:val="32"/>
          <w:lang w:val="zh-CN"/>
        </w:rPr>
        <w:t>231.13</w:t>
      </w:r>
      <w:r>
        <w:rPr>
          <w:rFonts w:hint="eastAsia" w:ascii="仿宋_GB2312" w:hAnsi="仿宋_GB2312" w:eastAsia="仿宋_GB2312" w:cs="仿宋_GB2312"/>
          <w:bCs/>
          <w:color w:val="000000"/>
          <w:sz w:val="32"/>
          <w:lang w:val="zh-CN"/>
        </w:rPr>
        <w:t>万元，完成预算</w:t>
      </w:r>
      <w:r>
        <w:rPr>
          <w:rFonts w:hint="eastAsia" w:ascii="仿宋_GB2312" w:hAnsi="仿宋_GB2312" w:eastAsia="仿宋_GB2312"/>
          <w:bCs/>
          <w:color w:val="000000"/>
          <w:sz w:val="32"/>
          <w:lang w:val="zh-CN"/>
        </w:rPr>
        <w:t>100</w:t>
      </w:r>
      <w:r>
        <w:rPr>
          <w:rFonts w:hint="eastAsia" w:ascii="仿宋_GB2312" w:hAnsi="仿宋_GB2312" w:eastAsia="仿宋_GB2312" w:cs="仿宋_GB2312"/>
          <w:bCs/>
          <w:color w:val="000000"/>
          <w:sz w:val="32"/>
          <w:lang w:val="zh-CN"/>
        </w:rPr>
        <w:t>%，</w:t>
      </w:r>
      <w:r>
        <w:rPr>
          <w:rStyle w:val="15"/>
          <w:rFonts w:hint="eastAsia" w:ascii="仿宋_GB2312" w:hAnsi="仿宋_GB2312" w:eastAsia="仿宋_GB2312" w:cs="仿宋_GB2312"/>
          <w:b w:val="0"/>
          <w:bCs/>
          <w:sz w:val="32"/>
          <w:szCs w:val="32"/>
        </w:rPr>
        <w:t>其中：</w:t>
      </w:r>
      <w:bookmarkEnd w:id="98"/>
      <w:bookmarkEnd w:id="99"/>
      <w:bookmarkEnd w:id="100"/>
    </w:p>
    <w:p>
      <w:pPr>
        <w:spacing w:line="576" w:lineRule="exact"/>
        <w:ind w:firstLine="643" w:firstLineChars="200"/>
        <w:rPr>
          <w:rStyle w:val="15"/>
          <w:rFonts w:ascii="仿宋_GB2312" w:hAnsi="仿宋_GB2312" w:eastAsia="仿宋_GB2312" w:cs="仿宋_GB2312"/>
          <w:b w:val="0"/>
          <w:bCs/>
          <w:color w:val="000000"/>
          <w:sz w:val="32"/>
          <w:szCs w:val="32"/>
        </w:rPr>
      </w:pPr>
      <w:r>
        <w:rPr>
          <w:rStyle w:val="15"/>
          <w:rFonts w:hint="eastAsia" w:ascii="仿宋_GB2312" w:hAnsi="仿宋_GB2312" w:eastAsia="仿宋_GB2312" w:cs="仿宋_GB2312"/>
          <w:bCs/>
          <w:color w:val="000000"/>
          <w:sz w:val="32"/>
          <w:szCs w:val="32"/>
        </w:rPr>
        <w:t>1.社会保障和就业支出（类）行政事业单位养老支出（款）机关事业单位基本养老保险缴费支出（项）:</w:t>
      </w:r>
      <w:r>
        <w:rPr>
          <w:rStyle w:val="15"/>
          <w:rFonts w:hint="eastAsia" w:ascii="仿宋_GB2312" w:hAnsi="仿宋_GB2312" w:eastAsia="仿宋_GB2312" w:cs="仿宋_GB2312"/>
          <w:b w:val="0"/>
          <w:bCs/>
          <w:color w:val="000000"/>
          <w:sz w:val="32"/>
          <w:szCs w:val="32"/>
        </w:rPr>
        <w:t>支出决算为14.23万元，完成预算100%</w:t>
      </w:r>
      <w:r>
        <w:rPr>
          <w:rStyle w:val="15"/>
          <w:rFonts w:hint="eastAsia" w:ascii="仿宋_GB2312" w:hAnsi="仿宋_GB2312" w:eastAsia="仿宋_GB2312" w:cs="仿宋_GB2312"/>
          <w:b w:val="0"/>
          <w:bCs/>
          <w:sz w:val="32"/>
          <w:szCs w:val="32"/>
        </w:rPr>
        <w:t>；</w:t>
      </w:r>
      <w:r>
        <w:rPr>
          <w:rStyle w:val="15"/>
          <w:rFonts w:hint="eastAsia" w:ascii="仿宋_GB2312" w:hAnsi="仿宋_GB2312" w:eastAsia="仿宋_GB2312" w:cs="仿宋_GB2312"/>
          <w:bCs/>
          <w:color w:val="000000"/>
          <w:sz w:val="32"/>
          <w:szCs w:val="32"/>
        </w:rPr>
        <w:t>社会保障和就业支出（类）其他社会和保障就业支出（款）其他社会和保障就业支出（项）:</w:t>
      </w:r>
      <w:r>
        <w:rPr>
          <w:rStyle w:val="15"/>
          <w:rFonts w:hint="eastAsia" w:ascii="仿宋_GB2312" w:hAnsi="仿宋_GB2312" w:eastAsia="仿宋_GB2312" w:cs="仿宋_GB2312"/>
          <w:b w:val="0"/>
          <w:bCs/>
          <w:color w:val="000000"/>
          <w:sz w:val="32"/>
          <w:szCs w:val="32"/>
        </w:rPr>
        <w:t>支出决算为2.27万元，完成预算100%。</w:t>
      </w:r>
    </w:p>
    <w:p>
      <w:pPr>
        <w:spacing w:line="576" w:lineRule="exact"/>
        <w:ind w:firstLine="643" w:firstLineChars="200"/>
        <w:rPr>
          <w:rFonts w:ascii="仿宋_GB2312" w:hAnsi="仿宋_GB2312" w:eastAsia="仿宋_GB2312" w:cs="仿宋_GB2312"/>
          <w:b/>
          <w:sz w:val="32"/>
          <w:szCs w:val="32"/>
        </w:rPr>
      </w:pPr>
      <w:r>
        <w:rPr>
          <w:rStyle w:val="15"/>
          <w:rFonts w:hint="eastAsia" w:ascii="仿宋_GB2312" w:hAnsi="仿宋_GB2312" w:eastAsia="仿宋_GB2312" w:cs="仿宋_GB2312"/>
          <w:bCs/>
          <w:sz w:val="32"/>
          <w:szCs w:val="32"/>
        </w:rPr>
        <w:t>2.</w:t>
      </w:r>
      <w:r>
        <w:rPr>
          <w:rStyle w:val="15"/>
          <w:rFonts w:hint="eastAsia" w:ascii="仿宋_GB2312" w:hAnsi="仿宋_GB2312" w:eastAsia="仿宋_GB2312" w:cs="仿宋_GB2312"/>
          <w:bCs/>
          <w:color w:val="000000"/>
          <w:sz w:val="32"/>
          <w:szCs w:val="32"/>
        </w:rPr>
        <w:t>卫生健康支出（类）行政事业单位医疗（款）事业单位医疗（项）</w:t>
      </w:r>
      <w:r>
        <w:rPr>
          <w:rStyle w:val="15"/>
          <w:rFonts w:hint="eastAsia" w:ascii="仿宋_GB2312" w:hAnsi="仿宋_GB2312" w:eastAsia="仿宋_GB2312" w:cs="仿宋_GB2312"/>
          <w:bCs/>
          <w:sz w:val="32"/>
          <w:szCs w:val="32"/>
        </w:rPr>
        <w:t>:</w:t>
      </w:r>
      <w:r>
        <w:rPr>
          <w:rStyle w:val="15"/>
          <w:rFonts w:hint="eastAsia" w:ascii="仿宋_GB2312" w:hAnsi="仿宋_GB2312" w:eastAsia="仿宋_GB2312" w:cs="仿宋_GB2312"/>
          <w:b w:val="0"/>
          <w:bCs/>
          <w:sz w:val="32"/>
          <w:szCs w:val="32"/>
        </w:rPr>
        <w:t>支出决算为7.84万元，完成预算100%。</w:t>
      </w:r>
    </w:p>
    <w:p>
      <w:pPr>
        <w:spacing w:line="576" w:lineRule="exact"/>
        <w:ind w:firstLine="643" w:firstLineChars="200"/>
        <w:rPr>
          <w:rStyle w:val="15"/>
          <w:rFonts w:ascii="仿宋_GB2312" w:hAnsi="仿宋_GB2312" w:eastAsia="仿宋_GB2312" w:cs="仿宋_GB2312"/>
          <w:b w:val="0"/>
          <w:bCs/>
          <w:sz w:val="32"/>
          <w:szCs w:val="32"/>
        </w:rPr>
      </w:pPr>
      <w:r>
        <w:rPr>
          <w:rStyle w:val="15"/>
          <w:rFonts w:hint="eastAsia" w:ascii="仿宋_GB2312" w:hAnsi="仿宋_GB2312" w:eastAsia="仿宋_GB2312" w:cs="仿宋_GB2312"/>
          <w:bCs/>
          <w:sz w:val="32"/>
          <w:szCs w:val="32"/>
        </w:rPr>
        <w:t>3.</w:t>
      </w:r>
      <w:r>
        <w:rPr>
          <w:rStyle w:val="15"/>
          <w:rFonts w:hint="eastAsia" w:ascii="仿宋_GB2312" w:hAnsi="仿宋_GB2312" w:eastAsia="仿宋_GB2312" w:cs="仿宋_GB2312"/>
          <w:bCs/>
          <w:color w:val="000000"/>
          <w:sz w:val="32"/>
          <w:szCs w:val="32"/>
        </w:rPr>
        <w:t>城乡社区（类）城乡社区规划与管理（款）城乡社区</w:t>
      </w:r>
      <w:r>
        <w:rPr>
          <w:rStyle w:val="15"/>
          <w:rFonts w:hint="eastAsia" w:ascii="仿宋_GB2312" w:hAnsi="仿宋_GB2312" w:eastAsia="仿宋_GB2312" w:cs="仿宋_GB2312"/>
          <w:bCs/>
          <w:sz w:val="32"/>
          <w:szCs w:val="32"/>
        </w:rPr>
        <w:t>规划与管理（项）:</w:t>
      </w:r>
      <w:r>
        <w:rPr>
          <w:rStyle w:val="15"/>
          <w:rFonts w:hint="eastAsia" w:ascii="仿宋_GB2312" w:hAnsi="仿宋_GB2312" w:eastAsia="仿宋_GB2312" w:cs="仿宋_GB2312"/>
          <w:b w:val="0"/>
          <w:bCs/>
          <w:sz w:val="32"/>
          <w:szCs w:val="32"/>
        </w:rPr>
        <w:t>支出决算为205.33万元，完成预算100%。</w:t>
      </w:r>
    </w:p>
    <w:p>
      <w:pPr>
        <w:spacing w:line="576" w:lineRule="exact"/>
        <w:ind w:firstLine="643" w:firstLineChars="200"/>
        <w:rPr>
          <w:rFonts w:ascii="仿宋_GB2312" w:hAnsi="仿宋_GB2312" w:eastAsia="仿宋_GB2312" w:cs="仿宋_GB2312"/>
          <w:b/>
          <w:sz w:val="32"/>
          <w:szCs w:val="32"/>
        </w:rPr>
      </w:pPr>
      <w:r>
        <w:rPr>
          <w:rStyle w:val="15"/>
          <w:rFonts w:hint="eastAsia" w:ascii="仿宋_GB2312" w:hAnsi="仿宋_GB2312" w:eastAsia="仿宋_GB2312" w:cs="仿宋_GB2312"/>
          <w:bCs/>
          <w:sz w:val="32"/>
          <w:szCs w:val="32"/>
        </w:rPr>
        <w:t>4.</w:t>
      </w:r>
      <w:r>
        <w:rPr>
          <w:rStyle w:val="15"/>
          <w:rFonts w:hint="eastAsia" w:ascii="仿宋_GB2312" w:hAnsi="仿宋_GB2312" w:eastAsia="仿宋_GB2312" w:cs="仿宋_GB2312"/>
          <w:bCs/>
          <w:color w:val="000000"/>
          <w:sz w:val="32"/>
          <w:szCs w:val="32"/>
        </w:rPr>
        <w:t>住房保障（类）住房改革支出（款）住房公积金（项）</w:t>
      </w:r>
      <w:r>
        <w:rPr>
          <w:rStyle w:val="15"/>
          <w:rFonts w:hint="eastAsia" w:ascii="仿宋_GB2312" w:hAnsi="仿宋_GB2312" w:eastAsia="仿宋_GB2312" w:cs="仿宋_GB2312"/>
          <w:bCs/>
          <w:sz w:val="32"/>
          <w:szCs w:val="32"/>
        </w:rPr>
        <w:t>:</w:t>
      </w:r>
      <w:r>
        <w:rPr>
          <w:rStyle w:val="15"/>
          <w:rFonts w:hint="eastAsia" w:ascii="仿宋_GB2312" w:hAnsi="仿宋_GB2312" w:eastAsia="仿宋_GB2312" w:cs="仿宋_GB2312"/>
          <w:b w:val="0"/>
          <w:bCs/>
          <w:sz w:val="32"/>
          <w:szCs w:val="32"/>
        </w:rPr>
        <w:t>支出决算为19.71元，完成预算100%。</w:t>
      </w:r>
    </w:p>
    <w:p>
      <w:pPr>
        <w:tabs>
          <w:tab w:val="right" w:pos="8306"/>
        </w:tabs>
        <w:spacing w:line="576" w:lineRule="exact"/>
        <w:ind w:firstLine="640" w:firstLineChars="200"/>
        <w:outlineLvl w:val="1"/>
        <w:rPr>
          <w:rStyle w:val="28"/>
          <w:rFonts w:hint="eastAsia" w:ascii="黑体" w:hAnsi="黑体" w:eastAsia="黑体" w:cs="黑体"/>
          <w:b w:val="0"/>
          <w:bCs w:val="0"/>
        </w:rPr>
      </w:pPr>
      <w:bookmarkStart w:id="101" w:name="_Toc15377214"/>
      <w:bookmarkStart w:id="102" w:name="_Toc15396608"/>
      <w:bookmarkStart w:id="103" w:name="_Toc26748"/>
      <w:bookmarkStart w:id="104" w:name="_Toc5353"/>
      <w:bookmarkStart w:id="105" w:name="_Toc31876"/>
      <w:bookmarkStart w:id="106" w:name="_Toc1463"/>
      <w:bookmarkStart w:id="107" w:name="_Toc6506"/>
      <w:r>
        <w:rPr>
          <w:rFonts w:hint="eastAsia" w:ascii="黑体" w:hAnsi="黑体" w:eastAsia="黑体" w:cs="黑体"/>
          <w:b w:val="0"/>
          <w:bCs w:val="0"/>
          <w:sz w:val="32"/>
          <w:szCs w:val="32"/>
        </w:rPr>
        <w:t>六、一</w:t>
      </w:r>
      <w:r>
        <w:rPr>
          <w:rStyle w:val="28"/>
          <w:rFonts w:hint="eastAsia" w:ascii="黑体" w:hAnsi="黑体" w:eastAsia="黑体" w:cs="黑体"/>
          <w:b w:val="0"/>
          <w:bCs w:val="0"/>
        </w:rPr>
        <w:t>般公共预算财政拨款基本支出决算情况说明</w:t>
      </w:r>
      <w:bookmarkEnd w:id="101"/>
      <w:bookmarkEnd w:id="102"/>
      <w:bookmarkEnd w:id="103"/>
      <w:bookmarkEnd w:id="104"/>
      <w:bookmarkEnd w:id="105"/>
      <w:bookmarkEnd w:id="106"/>
      <w:bookmarkEnd w:id="107"/>
      <w:r>
        <w:rPr>
          <w:rStyle w:val="28"/>
          <w:rFonts w:hint="eastAsia" w:ascii="黑体" w:hAnsi="黑体" w:eastAsia="黑体" w:cs="黑体"/>
          <w:b w:val="0"/>
          <w:bCs w:val="0"/>
        </w:rPr>
        <w:tab/>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2022年一般公共预算财政拨款基本支出231.13万元，其中：</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color w:val="000000"/>
          <w:sz w:val="32"/>
          <w:lang w:val="zh-CN"/>
        </w:rPr>
        <w:t>207.41</w:t>
      </w:r>
      <w:r>
        <w:rPr>
          <w:rFonts w:hint="eastAsia" w:ascii="仿宋_GB2312" w:hAnsi="仿宋_GB2312" w:eastAsia="仿宋_GB2312" w:cs="仿宋_GB2312"/>
          <w:sz w:val="32"/>
          <w:szCs w:val="32"/>
        </w:rPr>
        <w:t>万元，主要包括：基本工资、津贴补贴、奖金、绩效工资、机关事业单位基本养老保险缴费、职工基本医疗保险缴费、其他社会保障缴费、住房公积金、其他工资福利支出、生活补助、其他对个人和家庭的补助等。</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公用经费</w:t>
      </w:r>
      <w:r>
        <w:rPr>
          <w:rFonts w:hint="eastAsia" w:ascii="仿宋_GB2312" w:hAnsi="仿宋_GB2312" w:eastAsia="仿宋_GB2312" w:cs="仿宋_GB2312"/>
          <w:color w:val="000000"/>
          <w:sz w:val="32"/>
          <w:lang w:val="zh-CN"/>
        </w:rPr>
        <w:t>23.72</w:t>
      </w:r>
      <w:r>
        <w:rPr>
          <w:rFonts w:hint="eastAsia" w:ascii="仿宋_GB2312" w:hAnsi="仿宋_GB2312" w:eastAsia="仿宋_GB2312" w:cs="仿宋_GB2312"/>
          <w:sz w:val="32"/>
          <w:szCs w:val="32"/>
        </w:rPr>
        <w:t>万元，主要包括：办公费、印刷费、水费、邮电费、差旅费、培训费、劳务费、工会经费、福利费、其他交通费、其他商品和服务支出、办公设备购置等。</w:t>
      </w:r>
    </w:p>
    <w:p>
      <w:pPr>
        <w:spacing w:line="576" w:lineRule="exact"/>
        <w:ind w:firstLine="640" w:firstLineChars="200"/>
        <w:outlineLvl w:val="1"/>
        <w:rPr>
          <w:rStyle w:val="28"/>
          <w:rFonts w:hint="eastAsia" w:ascii="黑体" w:hAnsi="黑体" w:eastAsia="黑体" w:cs="黑体"/>
          <w:b w:val="0"/>
        </w:rPr>
      </w:pPr>
      <w:bookmarkStart w:id="108" w:name="_Toc15377215"/>
      <w:bookmarkStart w:id="109" w:name="_Toc15396609"/>
      <w:bookmarkStart w:id="110" w:name="_Toc26189"/>
      <w:bookmarkStart w:id="111" w:name="_Toc8681"/>
      <w:bookmarkStart w:id="112" w:name="_Toc17107"/>
      <w:bookmarkStart w:id="113" w:name="_Toc18483"/>
      <w:bookmarkStart w:id="114" w:name="_Toc20254"/>
      <w:r>
        <w:rPr>
          <w:rFonts w:hint="eastAsia" w:ascii="黑体" w:hAnsi="黑体" w:eastAsia="黑体" w:cs="黑体"/>
          <w:sz w:val="32"/>
          <w:szCs w:val="32"/>
        </w:rPr>
        <w:t>七、</w:t>
      </w:r>
      <w:r>
        <w:rPr>
          <w:rStyle w:val="28"/>
          <w:rFonts w:hint="eastAsia" w:ascii="黑体" w:hAnsi="黑体" w:eastAsia="黑体" w:cs="黑体"/>
        </w:rPr>
        <w:t>“</w:t>
      </w:r>
      <w:r>
        <w:rPr>
          <w:rStyle w:val="28"/>
          <w:rFonts w:hint="eastAsia" w:ascii="黑体" w:hAnsi="黑体" w:eastAsia="黑体" w:cs="黑体"/>
          <w:b w:val="0"/>
        </w:rPr>
        <w:t>三公”经费财政拨款支出决算情况说明</w:t>
      </w:r>
      <w:bookmarkEnd w:id="108"/>
      <w:bookmarkEnd w:id="109"/>
      <w:bookmarkEnd w:id="110"/>
      <w:bookmarkEnd w:id="111"/>
      <w:bookmarkEnd w:id="112"/>
      <w:bookmarkEnd w:id="113"/>
      <w:bookmarkEnd w:id="114"/>
    </w:p>
    <w:p>
      <w:pPr>
        <w:spacing w:line="576" w:lineRule="exact"/>
        <w:ind w:firstLine="640" w:firstLineChars="200"/>
        <w:outlineLvl w:val="2"/>
        <w:rPr>
          <w:rFonts w:hint="eastAsia" w:ascii="楷体_GB2312" w:hAnsi="楷体_GB2312" w:eastAsia="楷体_GB2312" w:cs="楷体_GB2312"/>
          <w:b w:val="0"/>
          <w:bCs/>
          <w:sz w:val="32"/>
          <w:szCs w:val="32"/>
        </w:rPr>
      </w:pPr>
      <w:bookmarkStart w:id="115" w:name="_Toc15377216"/>
      <w:r>
        <w:rPr>
          <w:rFonts w:hint="eastAsia" w:ascii="楷体_GB2312" w:hAnsi="楷体_GB2312" w:eastAsia="楷体_GB2312" w:cs="楷体_GB2312"/>
          <w:b w:val="0"/>
          <w:bCs/>
          <w:sz w:val="32"/>
          <w:szCs w:val="32"/>
        </w:rPr>
        <w:t>（一）“三公”经费财政拨款支出决算总体情况说明</w:t>
      </w:r>
      <w:bookmarkEnd w:id="115"/>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2022年“三公”经费财政拨款支出决算为0万元，</w:t>
      </w:r>
      <w:r>
        <w:rPr>
          <w:rStyle w:val="15"/>
          <w:rFonts w:hint="eastAsia" w:ascii="仿宋_GB2312" w:hAnsi="仿宋_GB2312" w:eastAsia="仿宋_GB2312" w:cs="仿宋_GB2312"/>
          <w:b w:val="0"/>
          <w:bCs/>
          <w:color w:val="000000"/>
          <w:sz w:val="32"/>
          <w:szCs w:val="32"/>
        </w:rPr>
        <w:t>年初未安排预算</w:t>
      </w:r>
      <w:r>
        <w:rPr>
          <w:rFonts w:hint="eastAsia" w:ascii="仿宋_GB2312" w:hAnsi="仿宋_GB2312" w:eastAsia="仿宋_GB2312" w:cs="仿宋_GB2312"/>
          <w:color w:val="000000"/>
          <w:sz w:val="32"/>
          <w:szCs w:val="32"/>
        </w:rPr>
        <w:t>。</w:t>
      </w:r>
    </w:p>
    <w:p>
      <w:pPr>
        <w:spacing w:line="576" w:lineRule="exact"/>
        <w:ind w:firstLine="640" w:firstLineChars="200"/>
        <w:outlineLvl w:val="2"/>
        <w:rPr>
          <w:rFonts w:hint="eastAsia" w:ascii="楷体_GB2312" w:hAnsi="楷体_GB2312" w:eastAsia="楷体_GB2312" w:cs="楷体_GB2312"/>
          <w:b w:val="0"/>
          <w:bCs/>
          <w:sz w:val="32"/>
          <w:szCs w:val="32"/>
        </w:rPr>
      </w:pPr>
      <w:bookmarkStart w:id="116" w:name="_Toc15377217"/>
      <w:r>
        <w:rPr>
          <w:rFonts w:hint="eastAsia" w:ascii="楷体_GB2312" w:hAnsi="楷体_GB2312" w:eastAsia="楷体_GB2312" w:cs="楷体_GB2312"/>
          <w:b w:val="0"/>
          <w:bCs/>
          <w:sz w:val="32"/>
          <w:szCs w:val="32"/>
        </w:rPr>
        <w:t>（二）“三公”经费财政拨款支出决算具体情况说明</w:t>
      </w:r>
      <w:bookmarkEnd w:id="116"/>
    </w:p>
    <w:p>
      <w:pPr>
        <w:pStyle w:val="6"/>
        <w:spacing w:before="94"/>
        <w:ind w:firstLine="640" w:firstLineChars="200"/>
        <w:jc w:val="left"/>
        <w:rPr>
          <w:rFonts w:ascii="仿宋" w:hAnsi="仿宋" w:eastAsia="仿宋"/>
          <w:sz w:val="32"/>
          <w:szCs w:val="32"/>
        </w:rPr>
      </w:pPr>
      <w:r>
        <w:rPr>
          <w:rFonts w:hint="eastAsia" w:ascii="仿宋_GB2312" w:hAnsi="仿宋_GB2312" w:eastAsia="仿宋_GB2312" w:cs="仿宋_GB2312"/>
          <w:sz w:val="32"/>
          <w:szCs w:val="32"/>
        </w:rPr>
        <w:t>“三公”经费财政拨款支出决算中，因公出国（境）费支出决算0万元，占0%；公务用车购置及运行维护费支出决算0万元，占0%；公务接待费支出决算0万元，占0%。</w:t>
      </w:r>
      <w:r>
        <w:rPr>
          <w:rFonts w:ascii="仿宋" w:hAnsi="仿宋" w:eastAsia="仿宋"/>
          <w:sz w:val="32"/>
          <w:szCs w:val="32"/>
        </w:rPr>
        <w:pict>
          <v:shape id="_x0000_i1031" o:spt="75" alt="7" type="#_x0000_t75" style="height:267.95pt;width:449.55pt;" filled="f" o:preferrelative="t" stroked="f" coordsize="21600,21600">
            <v:path/>
            <v:fill on="f" focussize="0,0"/>
            <v:stroke on="f" joinstyle="miter"/>
            <v:imagedata r:id="rId13" o:title="7"/>
            <o:lock v:ext="edit" aspectratio="t"/>
            <w10:wrap type="none"/>
            <w10:anchorlock/>
          </v:shape>
        </w:pict>
      </w:r>
    </w:p>
    <w:p>
      <w:pPr>
        <w:spacing w:line="576" w:lineRule="exact"/>
        <w:jc w:val="center"/>
        <w:rPr>
          <w:rFonts w:ascii="仿宋" w:hAnsi="仿宋" w:eastAsia="仿宋"/>
          <w:sz w:val="32"/>
          <w:szCs w:val="32"/>
        </w:rPr>
      </w:pPr>
    </w:p>
    <w:p>
      <w:pPr>
        <w:spacing w:line="576" w:lineRule="exact"/>
        <w:jc w:val="center"/>
        <w:rPr>
          <w:rFonts w:ascii="仿宋" w:hAnsi="仿宋" w:eastAsia="仿宋"/>
          <w:sz w:val="32"/>
          <w:szCs w:val="32"/>
        </w:rPr>
      </w:pPr>
      <w:r>
        <w:rPr>
          <w:rFonts w:hint="eastAsia" w:ascii="仿宋" w:hAnsi="仿宋" w:eastAsia="仿宋"/>
          <w:sz w:val="32"/>
          <w:szCs w:val="32"/>
        </w:rPr>
        <w:t>图7：“三公”经费财政拨款支出结构</w:t>
      </w:r>
    </w:p>
    <w:p>
      <w:pPr>
        <w:spacing w:line="576" w:lineRule="exact"/>
        <w:ind w:firstLine="643" w:firstLineChars="200"/>
        <w:rPr>
          <w:rStyle w:val="15"/>
          <w:rFonts w:hint="eastAsia" w:ascii="仿宋_GB2312" w:hAnsi="仿宋_GB2312" w:eastAsia="仿宋_GB2312" w:cs="仿宋_GB2312"/>
          <w:b w:val="0"/>
          <w:bCs/>
          <w:color w:val="000000"/>
          <w:sz w:val="32"/>
          <w:szCs w:val="32"/>
        </w:rPr>
      </w:pPr>
      <w:bookmarkStart w:id="117" w:name="_Toc15396610"/>
      <w:bookmarkStart w:id="118" w:name="_Toc20422"/>
      <w:bookmarkStart w:id="119" w:name="_Toc23592"/>
      <w:bookmarkStart w:id="120" w:name="_Toc17733"/>
      <w:bookmarkStart w:id="121" w:name="_Toc10120"/>
      <w:bookmarkStart w:id="122" w:name="_Toc25935"/>
      <w:bookmarkStart w:id="123" w:name="_Toc15377218"/>
      <w:r>
        <w:rPr>
          <w:rFonts w:hint="eastAsia" w:ascii="仿宋_GB2312" w:hAnsi="仿宋_GB2312" w:eastAsia="仿宋_GB2312" w:cs="仿宋_GB2312"/>
          <w:b/>
          <w:sz w:val="32"/>
          <w:szCs w:val="32"/>
        </w:rPr>
        <w:t>1.因公出国（境）经费支出</w:t>
      </w:r>
      <w:r>
        <w:rPr>
          <w:rFonts w:hint="eastAsia" w:ascii="仿宋_GB2312" w:hAnsi="仿宋_GB2312" w:eastAsia="仿宋_GB2312" w:cs="仿宋_GB2312"/>
          <w:sz w:val="32"/>
          <w:szCs w:val="32"/>
        </w:rPr>
        <w:t>0万元，</w:t>
      </w:r>
      <w:r>
        <w:rPr>
          <w:rStyle w:val="15"/>
          <w:rFonts w:hint="eastAsia" w:ascii="仿宋_GB2312" w:hAnsi="仿宋_GB2312" w:eastAsia="仿宋_GB2312" w:cs="仿宋_GB2312"/>
          <w:b w:val="0"/>
          <w:bCs/>
          <w:color w:val="000000"/>
          <w:sz w:val="32"/>
          <w:szCs w:val="32"/>
        </w:rPr>
        <w:t>年初未安排预算。</w:t>
      </w:r>
    </w:p>
    <w:p>
      <w:pPr>
        <w:spacing w:line="576"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2.公务用车购置及运行维护费支出</w:t>
      </w:r>
      <w:r>
        <w:rPr>
          <w:rFonts w:hint="eastAsia" w:ascii="仿宋_GB2312" w:hAnsi="仿宋_GB2312" w:eastAsia="仿宋_GB2312" w:cs="仿宋_GB2312"/>
          <w:sz w:val="32"/>
          <w:szCs w:val="32"/>
        </w:rPr>
        <w:t>0万元，</w:t>
      </w:r>
      <w:r>
        <w:rPr>
          <w:rStyle w:val="15"/>
          <w:rFonts w:hint="eastAsia" w:ascii="仿宋_GB2312" w:hAnsi="仿宋_GB2312" w:eastAsia="仿宋_GB2312" w:cs="仿宋_GB2312"/>
          <w:b w:val="0"/>
          <w:bCs/>
          <w:color w:val="000000"/>
          <w:sz w:val="32"/>
          <w:szCs w:val="32"/>
        </w:rPr>
        <w:t>年初未安排预算。</w:t>
      </w:r>
    </w:p>
    <w:p>
      <w:pPr>
        <w:spacing w:line="576" w:lineRule="exact"/>
        <w:ind w:firstLine="640" w:firstLineChars="20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0万元。全年按规定更新购置公务用车0辆。截至2022年12月底，单位共有公务用车0辆。</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0万元。</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3.公务接待费支出</w:t>
      </w:r>
      <w:r>
        <w:rPr>
          <w:rFonts w:hint="eastAsia" w:ascii="仿宋_GB2312" w:hAnsi="仿宋_GB2312" w:eastAsia="仿宋_GB2312" w:cs="仿宋_GB2312"/>
          <w:sz w:val="32"/>
          <w:szCs w:val="32"/>
        </w:rPr>
        <w:t>0万元，</w:t>
      </w:r>
      <w:r>
        <w:rPr>
          <w:rStyle w:val="15"/>
          <w:rFonts w:hint="eastAsia" w:ascii="仿宋_GB2312" w:hAnsi="仿宋_GB2312" w:eastAsia="仿宋_GB2312" w:cs="仿宋_GB2312"/>
          <w:b w:val="0"/>
          <w:bCs/>
          <w:color w:val="000000"/>
          <w:sz w:val="32"/>
          <w:szCs w:val="32"/>
        </w:rPr>
        <w:t>年初未安排预算。</w:t>
      </w:r>
      <w:r>
        <w:rPr>
          <w:rFonts w:hint="eastAsia" w:ascii="仿宋_GB2312" w:hAnsi="仿宋_GB2312" w:eastAsia="仿宋_GB2312" w:cs="仿宋_GB2312"/>
          <w:sz w:val="32"/>
          <w:szCs w:val="32"/>
        </w:rPr>
        <w:t>其中：</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国内公务接待支出</w:t>
      </w:r>
      <w:r>
        <w:rPr>
          <w:rFonts w:hint="eastAsia" w:ascii="仿宋_GB2312" w:hAnsi="仿宋_GB2312" w:eastAsia="仿宋_GB2312" w:cs="仿宋_GB2312"/>
          <w:sz w:val="32"/>
          <w:szCs w:val="32"/>
        </w:rPr>
        <w:t>0万元。</w:t>
      </w:r>
      <w:r>
        <w:rPr>
          <w:rFonts w:hint="eastAsia" w:ascii="仿宋_GB2312" w:hAnsi="仿宋_GB2312" w:eastAsia="仿宋_GB2312" w:cs="仿宋_GB2312"/>
          <w:b/>
          <w:sz w:val="32"/>
          <w:szCs w:val="32"/>
        </w:rPr>
        <w:t>外事接待支出</w:t>
      </w:r>
      <w:r>
        <w:rPr>
          <w:rFonts w:hint="eastAsia" w:ascii="仿宋_GB2312" w:hAnsi="仿宋_GB2312" w:eastAsia="仿宋_GB2312" w:cs="仿宋_GB2312"/>
          <w:sz w:val="32"/>
          <w:szCs w:val="32"/>
        </w:rPr>
        <w:t>0万元。</w:t>
      </w:r>
    </w:p>
    <w:p>
      <w:pPr>
        <w:spacing w:line="576" w:lineRule="exact"/>
        <w:ind w:firstLine="640" w:firstLineChars="200"/>
        <w:outlineLvl w:val="1"/>
        <w:rPr>
          <w:rStyle w:val="28"/>
          <w:rFonts w:ascii="黑体" w:hAnsi="黑体" w:eastAsia="黑体"/>
        </w:rPr>
      </w:pPr>
      <w:r>
        <w:rPr>
          <w:rFonts w:hint="eastAsia" w:ascii="黑体" w:eastAsia="黑体"/>
          <w:sz w:val="32"/>
          <w:szCs w:val="32"/>
        </w:rPr>
        <w:t>八、</w:t>
      </w:r>
      <w:r>
        <w:rPr>
          <w:rStyle w:val="28"/>
          <w:rFonts w:hint="eastAsia" w:ascii="黑体" w:hAnsi="黑体" w:eastAsia="黑体"/>
          <w:b w:val="0"/>
        </w:rPr>
        <w:t>政府性基金预算支出决算情况说明</w:t>
      </w:r>
      <w:bookmarkEnd w:id="117"/>
      <w:bookmarkEnd w:id="118"/>
      <w:bookmarkEnd w:id="119"/>
      <w:bookmarkEnd w:id="120"/>
      <w:bookmarkEnd w:id="121"/>
      <w:bookmarkEnd w:id="122"/>
      <w:bookmarkEnd w:id="123"/>
    </w:p>
    <w:p>
      <w:pPr>
        <w:spacing w:line="576" w:lineRule="exact"/>
        <w:ind w:firstLine="640" w:firstLineChars="200"/>
        <w:rPr>
          <w:rFonts w:hint="eastAsia" w:ascii="仿宋_GB2312" w:hAnsi="仿宋_GB2312" w:eastAsia="仿宋_GB2312" w:cs="仿宋_GB2312"/>
          <w:sz w:val="32"/>
          <w:szCs w:val="32"/>
        </w:rPr>
      </w:pPr>
      <w:bookmarkStart w:id="124" w:name="_Toc8198"/>
      <w:bookmarkStart w:id="125" w:name="_Toc599"/>
      <w:bookmarkStart w:id="126" w:name="_Toc27724"/>
      <w:bookmarkStart w:id="127" w:name="_Toc2494"/>
      <w:bookmarkStart w:id="128" w:name="_Toc15396611"/>
      <w:bookmarkStart w:id="129" w:name="_Toc15377219"/>
      <w:bookmarkStart w:id="130" w:name="_Toc29974"/>
      <w:r>
        <w:rPr>
          <w:rFonts w:hint="eastAsia" w:ascii="仿宋_GB2312" w:hAnsi="仿宋_GB2312" w:eastAsia="仿宋_GB2312" w:cs="仿宋_GB2312"/>
          <w:sz w:val="32"/>
          <w:szCs w:val="32"/>
        </w:rPr>
        <w:t>2022年政府性基金预算财政拨款支出0万元，</w:t>
      </w:r>
      <w:r>
        <w:rPr>
          <w:rFonts w:hint="eastAsia" w:ascii="仿宋_GB2312" w:hAnsi="仿宋_GB2312" w:eastAsia="仿宋_GB2312" w:cs="仿宋_GB2312"/>
          <w:color w:val="000000"/>
          <w:sz w:val="32"/>
          <w:szCs w:val="32"/>
        </w:rPr>
        <w:t>未在政府性基金预算拨款安排“三公经费”支出。</w:t>
      </w:r>
    </w:p>
    <w:p>
      <w:pPr>
        <w:numPr>
          <w:ilvl w:val="0"/>
          <w:numId w:val="2"/>
        </w:numPr>
        <w:spacing w:line="576" w:lineRule="exact"/>
        <w:ind w:left="0" w:firstLine="640" w:firstLineChars="200"/>
        <w:outlineLvl w:val="1"/>
        <w:rPr>
          <w:rStyle w:val="28"/>
          <w:rFonts w:ascii="黑体" w:hAnsi="黑体" w:eastAsia="黑体"/>
          <w:b w:val="0"/>
        </w:rPr>
      </w:pPr>
      <w:r>
        <w:rPr>
          <w:rStyle w:val="28"/>
          <w:rFonts w:hint="eastAsia" w:ascii="黑体" w:hAnsi="黑体" w:eastAsia="黑体"/>
          <w:b w:val="0"/>
        </w:rPr>
        <w:t>国有资本经营预算支出决算情况说明</w:t>
      </w:r>
      <w:bookmarkEnd w:id="124"/>
      <w:bookmarkEnd w:id="125"/>
      <w:bookmarkEnd w:id="126"/>
      <w:bookmarkEnd w:id="127"/>
      <w:bookmarkEnd w:id="128"/>
      <w:bookmarkEnd w:id="129"/>
      <w:bookmarkEnd w:id="130"/>
    </w:p>
    <w:p>
      <w:pPr>
        <w:spacing w:line="576" w:lineRule="exact"/>
        <w:ind w:firstLine="640" w:firstLineChars="200"/>
        <w:rPr>
          <w:sz w:val="32"/>
          <w:szCs w:val="32"/>
        </w:rPr>
      </w:pPr>
      <w:r>
        <w:rPr>
          <w:rFonts w:ascii="仿宋_GB2312" w:eastAsia="仿宋_GB2312"/>
          <w:sz w:val="32"/>
          <w:szCs w:val="32"/>
        </w:rPr>
        <w:t>20</w:t>
      </w:r>
      <w:r>
        <w:rPr>
          <w:rFonts w:hint="eastAsia" w:ascii="仿宋_GB2312" w:eastAsia="仿宋_GB2312"/>
          <w:sz w:val="32"/>
          <w:szCs w:val="32"/>
        </w:rPr>
        <w:t>22年国有资本经营预算财政拨款支出0万元。</w:t>
      </w:r>
      <w:bookmarkStart w:id="131" w:name="_Toc15396612"/>
      <w:bookmarkStart w:id="132" w:name="_Toc15377221"/>
    </w:p>
    <w:p>
      <w:pPr>
        <w:numPr>
          <w:ilvl w:val="0"/>
          <w:numId w:val="2"/>
        </w:numPr>
        <w:spacing w:line="576" w:lineRule="exact"/>
        <w:ind w:left="0" w:firstLine="640" w:firstLineChars="200"/>
        <w:outlineLvl w:val="1"/>
        <w:rPr>
          <w:rStyle w:val="28"/>
          <w:rFonts w:ascii="黑体" w:hAnsi="黑体" w:eastAsia="黑体"/>
          <w:b w:val="0"/>
        </w:rPr>
      </w:pPr>
      <w:bookmarkStart w:id="133" w:name="_Toc25492"/>
      <w:bookmarkStart w:id="134" w:name="_Toc16322"/>
      <w:bookmarkStart w:id="135" w:name="_Toc1576"/>
      <w:bookmarkStart w:id="136" w:name="_Toc17862"/>
      <w:bookmarkStart w:id="137" w:name="_Toc28465"/>
      <w:r>
        <w:rPr>
          <w:rStyle w:val="28"/>
          <w:rFonts w:hint="eastAsia" w:ascii="黑体" w:hAnsi="黑体" w:eastAsia="黑体"/>
          <w:b w:val="0"/>
        </w:rPr>
        <w:t>其他重要事项的情况说明</w:t>
      </w:r>
      <w:bookmarkEnd w:id="131"/>
      <w:bookmarkEnd w:id="132"/>
      <w:bookmarkEnd w:id="133"/>
      <w:bookmarkEnd w:id="134"/>
      <w:bookmarkEnd w:id="135"/>
      <w:bookmarkEnd w:id="136"/>
      <w:bookmarkEnd w:id="137"/>
    </w:p>
    <w:p>
      <w:pPr>
        <w:spacing w:line="576" w:lineRule="exact"/>
        <w:ind w:firstLine="640" w:firstLineChars="200"/>
        <w:outlineLvl w:val="2"/>
        <w:rPr>
          <w:rFonts w:hint="eastAsia" w:ascii="楷体_GB2312" w:hAnsi="楷体_GB2312" w:eastAsia="楷体_GB2312" w:cs="楷体_GB2312"/>
          <w:b w:val="0"/>
          <w:bCs/>
          <w:sz w:val="32"/>
          <w:szCs w:val="32"/>
        </w:rPr>
      </w:pPr>
      <w:bookmarkStart w:id="138" w:name="_Toc15377222"/>
      <w:r>
        <w:rPr>
          <w:rFonts w:hint="eastAsia" w:ascii="楷体_GB2312" w:hAnsi="楷体_GB2312" w:eastAsia="楷体_GB2312" w:cs="楷体_GB2312"/>
          <w:b w:val="0"/>
          <w:bCs/>
          <w:sz w:val="32"/>
          <w:szCs w:val="32"/>
        </w:rPr>
        <w:t>（一）机关运行经费支出情况</w:t>
      </w:r>
      <w:bookmarkEnd w:id="138"/>
    </w:p>
    <w:p>
      <w:pPr>
        <w:spacing w:line="576" w:lineRule="exact"/>
        <w:ind w:firstLine="640" w:firstLineChars="200"/>
        <w:rPr>
          <w:rFonts w:ascii="仿宋_GB2312" w:eastAsia="仿宋_GB2312"/>
          <w:sz w:val="32"/>
          <w:szCs w:val="32"/>
        </w:rPr>
      </w:pPr>
      <w:bookmarkStart w:id="139" w:name="_Toc15377223"/>
      <w:r>
        <w:rPr>
          <w:rFonts w:hint="eastAsia" w:ascii="仿宋_GB2312" w:eastAsia="仿宋_GB2312"/>
          <w:sz w:val="32"/>
          <w:szCs w:val="32"/>
        </w:rPr>
        <w:t xml:space="preserve">2022年未发生机关运行经费支出，与2022年决算数持平。    </w:t>
      </w:r>
    </w:p>
    <w:p>
      <w:pPr>
        <w:spacing w:line="576" w:lineRule="exact"/>
        <w:ind w:firstLine="640" w:firstLineChars="200"/>
        <w:outlineLvl w:val="2"/>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（二）政府采购支出情况</w:t>
      </w:r>
      <w:bookmarkEnd w:id="139"/>
    </w:p>
    <w:p>
      <w:pPr>
        <w:spacing w:line="576" w:lineRule="exact"/>
        <w:ind w:firstLine="640" w:firstLineChars="200"/>
        <w:rPr>
          <w:rFonts w:ascii="仿宋_GB2312" w:eastAsia="仿宋_GB2312"/>
          <w:sz w:val="32"/>
          <w:szCs w:val="32"/>
        </w:rPr>
      </w:pPr>
      <w:bookmarkStart w:id="140" w:name="_Toc15377224"/>
      <w:r>
        <w:rPr>
          <w:rFonts w:ascii="仿宋_GB2312" w:eastAsia="仿宋_GB2312"/>
          <w:sz w:val="32"/>
          <w:szCs w:val="32"/>
        </w:rPr>
        <w:t>20</w:t>
      </w:r>
      <w:r>
        <w:rPr>
          <w:rFonts w:hint="eastAsia" w:ascii="仿宋_GB2312" w:eastAsia="仿宋_GB2312"/>
          <w:sz w:val="32"/>
          <w:szCs w:val="32"/>
        </w:rPr>
        <w:t>22年，广元经济技术开发区国土空间规划编制研究中心政府采购支出总额1.64万元。授予中小企业合同金额1.64万元，占政府采购支出总额的100</w:t>
      </w:r>
      <w:r>
        <w:rPr>
          <w:rFonts w:ascii="仿宋_GB2312" w:eastAsia="仿宋_GB2312"/>
          <w:sz w:val="32"/>
          <w:szCs w:val="32"/>
        </w:rPr>
        <w:t>%</w:t>
      </w:r>
      <w:r>
        <w:rPr>
          <w:rFonts w:hint="eastAsia" w:ascii="仿宋_GB2312" w:eastAsia="仿宋_GB2312"/>
          <w:sz w:val="32"/>
          <w:szCs w:val="32"/>
        </w:rPr>
        <w:t>，其中：授予小微企业合同金额1.64万元，占政府采购支出总额的100</w:t>
      </w:r>
      <w:r>
        <w:rPr>
          <w:rFonts w:ascii="仿宋_GB2312" w:eastAsia="仿宋_GB2312"/>
          <w:sz w:val="32"/>
          <w:szCs w:val="32"/>
        </w:rPr>
        <w:t>%</w:t>
      </w:r>
      <w:r>
        <w:rPr>
          <w:rFonts w:hint="eastAsia" w:ascii="仿宋_GB2312" w:eastAsia="仿宋_GB2312"/>
          <w:sz w:val="32"/>
          <w:szCs w:val="32"/>
        </w:rPr>
        <w:t>。</w:t>
      </w:r>
    </w:p>
    <w:p>
      <w:pPr>
        <w:spacing w:line="576" w:lineRule="exact"/>
        <w:ind w:firstLine="640" w:firstLineChars="200"/>
        <w:outlineLvl w:val="2"/>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（三）国有资产占有使用情况</w:t>
      </w:r>
      <w:bookmarkEnd w:id="140"/>
    </w:p>
    <w:p>
      <w:pPr>
        <w:autoSpaceDE w:val="0"/>
        <w:autoSpaceDN w:val="0"/>
        <w:adjustRightInd w:val="0"/>
        <w:spacing w:line="576"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日，共有车辆0辆。单价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万元以上专用设备0台（套）。</w:t>
      </w:r>
    </w:p>
    <w:p>
      <w:pPr>
        <w:spacing w:line="576" w:lineRule="exact"/>
        <w:ind w:firstLine="640" w:firstLineChars="200"/>
        <w:outlineLvl w:val="2"/>
        <w:rPr>
          <w:rFonts w:hint="eastAsia" w:ascii="楷体_GB2312" w:hAnsi="楷体_GB2312" w:eastAsia="楷体_GB2312" w:cs="楷体_GB2312"/>
          <w:b w:val="0"/>
          <w:bCs/>
          <w:sz w:val="32"/>
          <w:szCs w:val="32"/>
        </w:rPr>
      </w:pPr>
      <w:bookmarkStart w:id="141" w:name="_Toc26278"/>
      <w:bookmarkStart w:id="142" w:name="_Toc1813"/>
      <w:bookmarkStart w:id="143" w:name="_Toc15523"/>
      <w:bookmarkStart w:id="144" w:name="_Toc32070"/>
      <w:r>
        <w:rPr>
          <w:rFonts w:hint="eastAsia" w:ascii="楷体_GB2312" w:hAnsi="楷体_GB2312" w:eastAsia="楷体_GB2312" w:cs="楷体_GB2312"/>
          <w:b w:val="0"/>
          <w:bCs/>
          <w:sz w:val="32"/>
          <w:szCs w:val="32"/>
        </w:rPr>
        <w:t>（四）预算绩效管理情况</w:t>
      </w:r>
      <w:bookmarkEnd w:id="141"/>
      <w:bookmarkEnd w:id="142"/>
      <w:bookmarkEnd w:id="143"/>
      <w:bookmarkEnd w:id="144"/>
    </w:p>
    <w:p>
      <w:pPr>
        <w:spacing w:line="576" w:lineRule="exact"/>
        <w:ind w:firstLine="640" w:firstLineChars="200"/>
        <w:outlineLvl w:val="1"/>
        <w:rPr>
          <w:rFonts w:ascii="仿宋_GB2312" w:hAnsi="仿宋_GB2312" w:eastAsia="仿宋_GB2312" w:cs="仿宋_GB2312"/>
          <w:sz w:val="32"/>
          <w:szCs w:val="32"/>
        </w:rPr>
      </w:pPr>
      <w:bookmarkStart w:id="145" w:name="_Toc30532"/>
      <w:bookmarkStart w:id="146" w:name="_Toc11966"/>
      <w:bookmarkStart w:id="147" w:name="_Toc13001"/>
      <w:bookmarkStart w:id="148" w:name="_Toc1139"/>
      <w:bookmarkStart w:id="149" w:name="_Toc12311"/>
      <w:bookmarkStart w:id="150" w:name="_Toc25307"/>
      <w:bookmarkStart w:id="151" w:name="_Toc14681"/>
      <w:bookmarkStart w:id="152" w:name="_Toc24345"/>
      <w:bookmarkStart w:id="153" w:name="_Toc23390"/>
      <w:bookmarkStart w:id="154" w:name="_Toc27638"/>
      <w:bookmarkStart w:id="155" w:name="_Toc15377225"/>
      <w:bookmarkStart w:id="156" w:name="_Toc10219"/>
      <w:bookmarkStart w:id="157" w:name="_Toc10366"/>
      <w:bookmarkStart w:id="158" w:name="_Toc15396613"/>
      <w:r>
        <w:rPr>
          <w:rFonts w:hint="eastAsia" w:ascii="仿宋_GB2312" w:hAnsi="仿宋_GB2312" w:eastAsia="仿宋_GB2312" w:cs="仿宋_GB2312"/>
          <w:sz w:val="32"/>
          <w:szCs w:val="32"/>
        </w:rPr>
        <w:t>根</w:t>
      </w:r>
      <w:bookmarkEnd w:id="145"/>
      <w:bookmarkEnd w:id="146"/>
      <w:bookmarkEnd w:id="147"/>
      <w:bookmarkEnd w:id="148"/>
      <w:bookmarkEnd w:id="149"/>
      <w:bookmarkEnd w:id="150"/>
      <w:bookmarkStart w:id="159" w:name="_Toc20513"/>
      <w:r>
        <w:rPr>
          <w:rFonts w:hint="eastAsia" w:ascii="仿宋_GB2312" w:hAnsi="仿宋_GB2312" w:eastAsia="仿宋_GB2312" w:cs="仿宋_GB2312"/>
          <w:sz w:val="32"/>
          <w:szCs w:val="32"/>
        </w:rPr>
        <w:t>根据预算绩效管理要求，本单位在2022年度预算编制阶段，未开展预算事前绩效评估，对8个项目编制了绩效目标，预算执行过程中，选取8个项目开展绩效监控，组织对8个项目开展了绩效自评</w:t>
      </w:r>
      <w:bookmarkEnd w:id="159"/>
      <w:r>
        <w:rPr>
          <w:rFonts w:hint="eastAsia" w:ascii="仿宋_GB2312" w:hAnsi="仿宋_GB2312" w:eastAsia="仿宋_GB2312" w:cs="仿宋_GB2312"/>
          <w:sz w:val="32"/>
          <w:szCs w:val="32"/>
        </w:rPr>
        <w:t>,绩效自评表详见第四部分附件。</w:t>
      </w:r>
    </w:p>
    <w:p>
      <w:pPr>
        <w:keepNext w:val="0"/>
        <w:keepLines w:val="0"/>
        <w:pageBreakBefore w:val="0"/>
        <w:widowControl w:val="0"/>
        <w:kinsoku/>
        <w:wordWrap/>
        <w:overflowPunct/>
        <w:topLinePunct w:val="0"/>
        <w:bidi w:val="0"/>
        <w:snapToGrid/>
        <w:spacing w:line="540" w:lineRule="exact"/>
        <w:jc w:val="center"/>
        <w:textAlignment w:val="auto"/>
        <w:rPr>
          <w:rStyle w:val="27"/>
          <w:rFonts w:ascii="黑体" w:hAnsi="黑体" w:eastAsia="黑体"/>
          <w:b w:val="0"/>
        </w:rPr>
      </w:pPr>
      <w:r>
        <w:rPr>
          <w:rFonts w:hint="eastAsia" w:ascii="黑体" w:hAnsi="黑体" w:eastAsia="黑体"/>
          <w:sz w:val="44"/>
          <w:szCs w:val="44"/>
        </w:rPr>
        <w:br w:type="page"/>
      </w:r>
      <w:r>
        <w:rPr>
          <w:rFonts w:hint="eastAsia" w:ascii="黑体" w:hAnsi="黑体" w:eastAsia="黑体"/>
          <w:sz w:val="44"/>
          <w:szCs w:val="44"/>
        </w:rPr>
        <w:t>第三部分</w:t>
      </w:r>
      <w:r>
        <w:rPr>
          <w:rFonts w:hint="eastAsia" w:ascii="黑体" w:hAnsi="黑体" w:eastAsia="黑体"/>
          <w:sz w:val="44"/>
          <w:szCs w:val="44"/>
          <w:lang w:val="en-US" w:eastAsia="zh-CN"/>
        </w:rPr>
        <w:t xml:space="preserve">  </w:t>
      </w:r>
      <w:r>
        <w:rPr>
          <w:rFonts w:hint="eastAsia" w:ascii="黑体" w:hAnsi="黑体" w:eastAsia="黑体"/>
          <w:sz w:val="44"/>
          <w:szCs w:val="44"/>
        </w:rPr>
        <w:t>名</w:t>
      </w:r>
      <w:r>
        <w:rPr>
          <w:rStyle w:val="27"/>
          <w:rFonts w:hint="eastAsia" w:ascii="黑体" w:hAnsi="黑体" w:eastAsia="黑体"/>
          <w:b w:val="0"/>
        </w:rPr>
        <w:t>词解释</w:t>
      </w:r>
      <w:bookmarkEnd w:id="151"/>
      <w:bookmarkEnd w:id="152"/>
      <w:bookmarkEnd w:id="153"/>
      <w:bookmarkEnd w:id="154"/>
      <w:bookmarkEnd w:id="155"/>
      <w:bookmarkEnd w:id="156"/>
      <w:bookmarkEnd w:id="157"/>
      <w:bookmarkEnd w:id="158"/>
    </w:p>
    <w:p>
      <w:pPr>
        <w:keepNext w:val="0"/>
        <w:keepLines w:val="0"/>
        <w:pageBreakBefore w:val="0"/>
        <w:widowControl w:val="0"/>
        <w:kinsoku/>
        <w:wordWrap/>
        <w:overflowPunct/>
        <w:topLinePunct w:val="0"/>
        <w:bidi w:val="0"/>
        <w:snapToGrid/>
        <w:spacing w:line="540" w:lineRule="exact"/>
        <w:jc w:val="left"/>
        <w:textAlignment w:val="auto"/>
        <w:rPr>
          <w:rFonts w:ascii="仿宋_GB2312" w:hAnsi="仿宋_GB2312" w:eastAsia="仿宋_GB2312" w:cs="仿宋_GB2312"/>
          <w:b/>
          <w:sz w:val="32"/>
          <w:szCs w:val="32"/>
        </w:rPr>
      </w:pPr>
    </w:p>
    <w:p>
      <w:pPr>
        <w:pStyle w:val="17"/>
        <w:keepNext w:val="0"/>
        <w:keepLines w:val="0"/>
        <w:pageBreakBefore w:val="0"/>
        <w:widowControl w:val="0"/>
        <w:kinsoku/>
        <w:wordWrap/>
        <w:overflowPunct/>
        <w:topLinePunct w:val="0"/>
        <w:bidi w:val="0"/>
        <w:snapToGrid/>
        <w:spacing w:line="540" w:lineRule="exact"/>
        <w:ind w:firstLine="640" w:firstLineChars="200"/>
        <w:jc w:val="both"/>
        <w:textAlignment w:val="auto"/>
        <w:rPr>
          <w:rFonts w:ascii="仿宋_GB2312" w:hAnsi="仿宋_GB2312" w:eastAsia="仿宋_GB2312" w:cs="仿宋_GB2312"/>
          <w:sz w:val="32"/>
          <w:szCs w:val="32"/>
        </w:rPr>
      </w:pPr>
      <w:bookmarkStart w:id="160" w:name="_Toc15396614"/>
      <w:bookmarkStart w:id="161" w:name="_Toc15377226"/>
      <w:r>
        <w:rPr>
          <w:rFonts w:hint="eastAsia" w:ascii="仿宋_GB2312" w:hAnsi="仿宋_GB2312" w:eastAsia="仿宋_GB2312" w:cs="仿宋_GB2312"/>
          <w:sz w:val="32"/>
          <w:szCs w:val="32"/>
        </w:rPr>
        <w:t>1.财政拨款收入：指单位从同级财政部门取得的财政预算资金。</w:t>
      </w:r>
    </w:p>
    <w:p>
      <w:pPr>
        <w:pStyle w:val="17"/>
        <w:keepNext w:val="0"/>
        <w:keepLines w:val="0"/>
        <w:pageBreakBefore w:val="0"/>
        <w:widowControl w:val="0"/>
        <w:kinsoku/>
        <w:wordWrap/>
        <w:overflowPunct/>
        <w:topLinePunct w:val="0"/>
        <w:bidi w:val="0"/>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2.其他收入：指单位取得的除上述收入以外的各项收入，主要用于核算银行存款收入。</w:t>
      </w:r>
    </w:p>
    <w:p>
      <w:pPr>
        <w:pStyle w:val="17"/>
        <w:keepNext w:val="0"/>
        <w:keepLines w:val="0"/>
        <w:pageBreakBefore w:val="0"/>
        <w:widowControl w:val="0"/>
        <w:kinsoku/>
        <w:wordWrap/>
        <w:overflowPunct/>
        <w:topLinePunct w:val="0"/>
        <w:bidi w:val="0"/>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3.年初结转和结余：指以前年度尚未完成、结转到本年按有关规定继续使用的资金。</w:t>
      </w:r>
    </w:p>
    <w:p>
      <w:pPr>
        <w:pStyle w:val="17"/>
        <w:keepNext w:val="0"/>
        <w:keepLines w:val="0"/>
        <w:pageBreakBefore w:val="0"/>
        <w:widowControl w:val="0"/>
        <w:kinsoku/>
        <w:wordWrap/>
        <w:overflowPunct/>
        <w:topLinePunct w:val="0"/>
        <w:bidi w:val="0"/>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4、年末结转和结余：指单位按有关规定结转到下年或以后年度继续使用的资金。</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r>
        <w:rPr>
          <w:rStyle w:val="15"/>
          <w:rFonts w:hint="eastAsia" w:ascii="仿宋_GB2312" w:hAnsi="仿宋_GB2312" w:eastAsia="仿宋_GB2312" w:cs="仿宋_GB2312"/>
          <w:b w:val="0"/>
          <w:bCs/>
          <w:color w:val="000000"/>
          <w:sz w:val="32"/>
          <w:szCs w:val="32"/>
        </w:rPr>
        <w:t>社会保障和就业支出（类）</w:t>
      </w:r>
      <w:r>
        <w:rPr>
          <w:rFonts w:hint="eastAsia" w:ascii="仿宋_GB2312" w:hAnsi="仿宋_GB2312" w:eastAsia="仿宋_GB2312" w:cs="仿宋_GB2312"/>
          <w:color w:val="000000"/>
          <w:kern w:val="0"/>
          <w:sz w:val="32"/>
          <w:szCs w:val="32"/>
        </w:rPr>
        <w:t>行政事业单位养老支出（</w:t>
      </w:r>
      <w:r>
        <w:rPr>
          <w:rStyle w:val="15"/>
          <w:rFonts w:hint="eastAsia" w:ascii="仿宋_GB2312" w:hAnsi="仿宋_GB2312" w:eastAsia="仿宋_GB2312" w:cs="仿宋_GB2312"/>
          <w:b w:val="0"/>
          <w:bCs/>
          <w:color w:val="000000"/>
          <w:sz w:val="32"/>
          <w:szCs w:val="32"/>
        </w:rPr>
        <w:t>款）机关事业单位基本养老保险缴费支出（项）</w:t>
      </w:r>
      <w:r>
        <w:rPr>
          <w:rFonts w:hint="eastAsia" w:ascii="仿宋_GB2312" w:hAnsi="仿宋_GB2312" w:eastAsia="仿宋_GB2312" w:cs="仿宋_GB2312"/>
          <w:color w:val="000000"/>
          <w:sz w:val="32"/>
          <w:szCs w:val="32"/>
        </w:rPr>
        <w:t>：指反映机关事业单位实施养老保险制度由单位缴纳的基本养老保险支出。</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r>
        <w:rPr>
          <w:rStyle w:val="15"/>
          <w:rFonts w:hint="eastAsia" w:ascii="仿宋_GB2312" w:hAnsi="仿宋_GB2312" w:eastAsia="仿宋_GB2312" w:cs="仿宋_GB2312"/>
          <w:b w:val="0"/>
          <w:bCs/>
          <w:color w:val="000000"/>
          <w:sz w:val="32"/>
          <w:szCs w:val="32"/>
        </w:rPr>
        <w:t>卫生健康支出（类）行政事业单位医疗（款）事业单位医疗（项）</w:t>
      </w:r>
      <w:r>
        <w:rPr>
          <w:rFonts w:hint="eastAsia" w:ascii="仿宋_GB2312" w:hAnsi="仿宋_GB2312" w:eastAsia="仿宋_GB2312" w:cs="仿宋_GB2312"/>
          <w:color w:val="000000"/>
          <w:sz w:val="32"/>
          <w:szCs w:val="32"/>
        </w:rPr>
        <w:t>：指反映财政部门集中安排的事业单位基本医疗保险缴费经费，未参加医疗保险的事业单位的公费医疗经费，按国家规定享受离休人员待遇的医疗经费。</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w:t>
      </w:r>
      <w:r>
        <w:rPr>
          <w:rStyle w:val="15"/>
          <w:rFonts w:hint="eastAsia" w:ascii="仿宋_GB2312" w:hAnsi="仿宋_GB2312" w:eastAsia="仿宋_GB2312" w:cs="仿宋_GB2312"/>
          <w:b w:val="0"/>
          <w:bCs/>
          <w:color w:val="000000"/>
          <w:sz w:val="32"/>
          <w:szCs w:val="32"/>
        </w:rPr>
        <w:t>城乡社区（类）城乡社区规划与管理（款）城乡社区规划与管理（项）</w:t>
      </w:r>
      <w:r>
        <w:rPr>
          <w:rFonts w:hint="eastAsia" w:ascii="仿宋_GB2312" w:hAnsi="仿宋_GB2312" w:eastAsia="仿宋_GB2312" w:cs="仿宋_GB2312"/>
          <w:color w:val="000000"/>
          <w:sz w:val="32"/>
          <w:szCs w:val="32"/>
        </w:rPr>
        <w:t>：指反映城乡社区、名胜风景区、防灾减灾、历史名城规划制定与管理方面的支出。</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w:t>
      </w:r>
      <w:r>
        <w:rPr>
          <w:rStyle w:val="15"/>
          <w:rFonts w:hint="eastAsia" w:ascii="仿宋_GB2312" w:hAnsi="仿宋_GB2312" w:eastAsia="仿宋_GB2312" w:cs="仿宋_GB2312"/>
          <w:b w:val="0"/>
          <w:bCs/>
          <w:sz w:val="32"/>
          <w:szCs w:val="32"/>
        </w:rPr>
        <w:t>住房保障</w:t>
      </w:r>
      <w:r>
        <w:rPr>
          <w:rStyle w:val="15"/>
          <w:rFonts w:hint="eastAsia" w:ascii="仿宋_GB2312" w:hAnsi="仿宋_GB2312" w:eastAsia="仿宋_GB2312" w:cs="仿宋_GB2312"/>
          <w:b w:val="0"/>
          <w:bCs/>
          <w:color w:val="000000"/>
          <w:sz w:val="32"/>
          <w:szCs w:val="32"/>
        </w:rPr>
        <w:t>（类）住房改革支出（款）住房公积金（项）</w:t>
      </w:r>
      <w:r>
        <w:rPr>
          <w:rFonts w:hint="eastAsia" w:ascii="仿宋_GB2312" w:hAnsi="仿宋_GB2312" w:eastAsia="仿宋_GB2312" w:cs="仿宋_GB2312"/>
          <w:color w:val="000000"/>
          <w:sz w:val="32"/>
          <w:szCs w:val="32"/>
        </w:rPr>
        <w:t>：指反映行政事业单位按人力资源和社会保障部、财政部规定的基本工资和津贴补贴以及规定比例为职工缴纳住房公积金。</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hAnsi="仿宋_GB2312" w:eastAsia="仿宋_GB2312" w:cs="仿宋_GB2312"/>
          <w:color w:val="000000"/>
          <w:sz w:val="32"/>
          <w:szCs w:val="32"/>
        </w:rPr>
      </w:pPr>
      <w:r>
        <w:rPr>
          <w:rStyle w:val="15"/>
          <w:rFonts w:hint="eastAsia" w:ascii="仿宋_GB2312" w:hAnsi="仿宋_GB2312" w:eastAsia="仿宋_GB2312" w:cs="仿宋_GB2312"/>
          <w:b w:val="0"/>
          <w:bCs/>
          <w:color w:val="000000"/>
          <w:sz w:val="32"/>
          <w:szCs w:val="32"/>
        </w:rPr>
        <w:t>9.</w:t>
      </w:r>
      <w:r>
        <w:rPr>
          <w:rFonts w:hint="eastAsia" w:ascii="仿宋_GB2312" w:hAnsi="仿宋_GB2312" w:eastAsia="仿宋_GB2312" w:cs="仿宋_GB2312"/>
          <w:color w:val="000000"/>
          <w:sz w:val="32"/>
          <w:szCs w:val="32"/>
        </w:rPr>
        <w:t>社会保障和就业支出（类）行政事业单位养老支出（款）机关事业单位职业年金缴费支出（项）:指反映机关事业单位实施养老保险制度由单位缴纳的职业年金支出。</w:t>
      </w:r>
    </w:p>
    <w:p>
      <w:pPr>
        <w:keepNext w:val="0"/>
        <w:keepLines w:val="0"/>
        <w:pageBreakBefore w:val="0"/>
        <w:widowControl w:val="0"/>
        <w:kinsoku/>
        <w:wordWrap/>
        <w:overflowPunct/>
        <w:topLinePunct w:val="0"/>
        <w:bidi w:val="0"/>
        <w:snapToGrid/>
        <w:spacing w:line="540" w:lineRule="exact"/>
        <w:ind w:firstLine="640" w:firstLineChars="200"/>
        <w:textAlignment w:val="auto"/>
        <w:rPr>
          <w:rStyle w:val="15"/>
          <w:rFonts w:ascii="仿宋_GB2312" w:hAnsi="仿宋_GB2312" w:eastAsia="仿宋_GB2312" w:cs="仿宋_GB2312"/>
          <w:b w:val="0"/>
          <w:bCs/>
          <w:color w:val="000000"/>
          <w:sz w:val="32"/>
          <w:szCs w:val="32"/>
        </w:rPr>
      </w:pPr>
      <w:r>
        <w:rPr>
          <w:rFonts w:hint="eastAsia" w:ascii="仿宋_GB2312" w:hAnsi="仿宋_GB2312" w:eastAsia="仿宋_GB2312" w:cs="仿宋_GB2312"/>
          <w:color w:val="000000"/>
          <w:sz w:val="32"/>
          <w:szCs w:val="32"/>
        </w:rPr>
        <w:t>10.社会保障和就业支出（类）其他社会和保障就业支出（款）其他社会和保障就业支出（项）指反映机关事业单位实施指反映机关事业单位实施保险制度由单位缴纳的其他社会和保障就业支出。</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11.基本支出：指为保障机构正常运转、完成日常工作任务而发生的人员支出和公用支出。</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12.项目支出：指在基本支出之外为完成特定行政任务和事业发展目标所发生的支出。</w:t>
      </w:r>
    </w:p>
    <w:p>
      <w:pPr>
        <w:pStyle w:val="17"/>
        <w:keepNext w:val="0"/>
        <w:keepLines w:val="0"/>
        <w:pageBreakBefore w:val="0"/>
        <w:widowControl w:val="0"/>
        <w:kinsoku/>
        <w:wordWrap/>
        <w:overflowPunct/>
        <w:topLinePunct w:val="0"/>
        <w:bidi w:val="0"/>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13.“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7"/>
        <w:keepNext w:val="0"/>
        <w:keepLines w:val="0"/>
        <w:pageBreakBefore w:val="0"/>
        <w:widowControl w:val="0"/>
        <w:kinsoku/>
        <w:wordWrap/>
        <w:overflowPunct/>
        <w:topLinePunct w:val="0"/>
        <w:bidi w:val="0"/>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162" w:name="_Toc20001"/>
      <w:bookmarkStart w:id="163" w:name="_Toc22663"/>
      <w:bookmarkStart w:id="164" w:name="_Toc17548"/>
      <w:bookmarkStart w:id="165" w:name="_Toc26741"/>
      <w:bookmarkStart w:id="166" w:name="_Toc30782"/>
      <w:bookmarkStart w:id="167" w:name="_Toc17865"/>
    </w:p>
    <w:p>
      <w:pPr>
        <w:pStyle w:val="17"/>
        <w:spacing w:line="500" w:lineRule="exact"/>
        <w:jc w:val="center"/>
        <w:rPr>
          <w:rStyle w:val="27"/>
          <w:rFonts w:ascii="黑体" w:hAnsi="黑体" w:eastAsia="黑体" w:cs="Times New Roman"/>
          <w:b w:val="0"/>
        </w:rPr>
      </w:pPr>
      <w:r>
        <w:rPr>
          <w:rFonts w:hint="eastAsia" w:hAnsi="仿宋"/>
          <w:sz w:val="32"/>
          <w:szCs w:val="32"/>
        </w:rPr>
        <w:br w:type="page"/>
      </w:r>
      <w:bookmarkEnd w:id="160"/>
      <w:bookmarkEnd w:id="161"/>
      <w:bookmarkEnd w:id="162"/>
      <w:bookmarkEnd w:id="163"/>
      <w:bookmarkEnd w:id="164"/>
      <w:bookmarkEnd w:id="165"/>
      <w:bookmarkEnd w:id="166"/>
      <w:bookmarkEnd w:id="167"/>
      <w:r>
        <w:rPr>
          <w:rStyle w:val="27"/>
          <w:rFonts w:hint="eastAsia" w:ascii="黑体" w:hAnsi="黑体" w:eastAsia="黑体" w:cs="Times New Roman"/>
          <w:b w:val="0"/>
        </w:rPr>
        <w:t>第四部分</w:t>
      </w:r>
      <w:r>
        <w:rPr>
          <w:rStyle w:val="27"/>
          <w:rFonts w:hint="eastAsia" w:ascii="黑体" w:hAnsi="黑体" w:eastAsia="黑体" w:cs="Times New Roman"/>
          <w:b w:val="0"/>
          <w:lang w:val="en-US" w:eastAsia="zh-CN"/>
        </w:rPr>
        <w:t xml:space="preserve">  </w:t>
      </w:r>
      <w:r>
        <w:rPr>
          <w:rStyle w:val="27"/>
          <w:rFonts w:hint="eastAsia" w:ascii="黑体" w:hAnsi="黑体" w:eastAsia="黑体" w:cs="Times New Roman"/>
          <w:b w:val="0"/>
        </w:rPr>
        <w:t>附件</w:t>
      </w:r>
    </w:p>
    <w:p>
      <w:pPr>
        <w:spacing w:line="576" w:lineRule="exact"/>
        <w:ind w:left="315" w:leftChars="150"/>
        <w:outlineLvl w:val="0"/>
        <w:rPr>
          <w:rStyle w:val="27"/>
          <w:rFonts w:ascii="黑体" w:hAnsi="黑体" w:eastAsia="黑体"/>
          <w:b w:val="0"/>
        </w:rPr>
      </w:pPr>
    </w:p>
    <w:p>
      <w:pPr>
        <w:spacing w:line="660" w:lineRule="exact"/>
        <w:jc w:val="center"/>
        <w:outlineLvl w:val="1"/>
        <w:rPr>
          <w:rFonts w:ascii="方正小标宋_GBK" w:eastAsia="方正小标宋_GBK"/>
          <w:bCs/>
          <w:spacing w:val="-17"/>
          <w:sz w:val="44"/>
          <w:szCs w:val="44"/>
        </w:rPr>
      </w:pPr>
      <w:bookmarkStart w:id="168" w:name="_Toc14705"/>
      <w:r>
        <w:rPr>
          <w:rFonts w:hint="eastAsia" w:ascii="方正小标宋_GBK" w:eastAsia="方正小标宋_GBK"/>
          <w:bCs/>
          <w:spacing w:val="-17"/>
          <w:sz w:val="44"/>
          <w:szCs w:val="44"/>
        </w:rPr>
        <w:t>广元</w:t>
      </w:r>
      <w:bookmarkEnd w:id="168"/>
      <w:r>
        <w:rPr>
          <w:rFonts w:hint="eastAsia" w:ascii="方正小标宋_GBK" w:eastAsia="方正小标宋_GBK"/>
          <w:bCs/>
          <w:spacing w:val="-17"/>
          <w:sz w:val="44"/>
          <w:szCs w:val="44"/>
        </w:rPr>
        <w:t>经济技术开发区国土空间规划编制研究中心</w:t>
      </w:r>
    </w:p>
    <w:p>
      <w:pPr>
        <w:spacing w:line="660" w:lineRule="exact"/>
        <w:jc w:val="center"/>
        <w:outlineLvl w:val="0"/>
        <w:rPr>
          <w:rFonts w:ascii="方正小标宋_GBK" w:eastAsia="方正小标宋_GBK"/>
          <w:bCs/>
          <w:sz w:val="44"/>
          <w:szCs w:val="44"/>
        </w:rPr>
      </w:pPr>
      <w:bookmarkStart w:id="169" w:name="_Toc10376"/>
      <w:r>
        <w:rPr>
          <w:rFonts w:hint="eastAsia" w:ascii="方正小标宋_GBK" w:eastAsia="方正小标宋_GBK"/>
          <w:bCs/>
          <w:sz w:val="44"/>
          <w:szCs w:val="44"/>
        </w:rPr>
        <w:t>2022年单位预算项目支出绩效自评表</w:t>
      </w:r>
      <w:bookmarkEnd w:id="169"/>
    </w:p>
    <w:p>
      <w:pPr>
        <w:spacing w:line="576" w:lineRule="exact"/>
        <w:jc w:val="center"/>
        <w:rPr>
          <w:rFonts w:ascii="方正小标宋_GBK" w:hAnsi="宋体" w:eastAsia="方正小标宋_GBK"/>
          <w:kern w:val="0"/>
          <w:sz w:val="40"/>
          <w:szCs w:val="44"/>
        </w:rPr>
      </w:pPr>
    </w:p>
    <w:p>
      <w:pPr>
        <w:spacing w:line="576" w:lineRule="exact"/>
        <w:outlineLvl w:val="0"/>
        <w:rPr>
          <w:rFonts w:ascii="方正小标宋_GBK" w:hAnsi="方正小标宋_GBK" w:eastAsia="方正小标宋_GBK" w:cs="方正小标宋_GBK"/>
          <w:bCs/>
          <w:sz w:val="44"/>
          <w:szCs w:val="44"/>
          <w:shd w:val="clear" w:color="auto" w:fill="FFFFFF"/>
        </w:rPr>
        <w:sectPr>
          <w:footerReference r:id="rId5" w:type="default"/>
          <w:pgSz w:w="11905" w:h="16838"/>
          <w:pgMar w:top="2098" w:right="1474" w:bottom="1984" w:left="1587" w:header="851" w:footer="1559" w:gutter="0"/>
          <w:pgNumType w:start="1"/>
          <w:cols w:space="0" w:num="1"/>
          <w:docGrid w:type="lines" w:linePitch="315" w:charSpace="0"/>
        </w:sectPr>
      </w:pPr>
    </w:p>
    <w:p>
      <w:pPr>
        <w:spacing w:line="576" w:lineRule="exact"/>
        <w:jc w:val="center"/>
        <w:rPr>
          <w:rFonts w:ascii="方正小标宋_GBK" w:hAnsi="宋体" w:eastAsia="方正小标宋_GBK"/>
          <w:kern w:val="0"/>
          <w:sz w:val="40"/>
          <w:szCs w:val="44"/>
        </w:rPr>
      </w:pPr>
    </w:p>
    <w:tbl>
      <w:tblPr>
        <w:tblStyle w:val="13"/>
        <w:tblW w:w="14620" w:type="dxa"/>
        <w:tblInd w:w="96" w:type="dxa"/>
        <w:tblLayout w:type="autofit"/>
        <w:tblCellMar>
          <w:top w:w="0" w:type="dxa"/>
          <w:left w:w="108" w:type="dxa"/>
          <w:bottom w:w="0" w:type="dxa"/>
          <w:right w:w="108" w:type="dxa"/>
        </w:tblCellMar>
      </w:tblPr>
      <w:tblGrid>
        <w:gridCol w:w="712"/>
        <w:gridCol w:w="2063"/>
        <w:gridCol w:w="1783"/>
        <w:gridCol w:w="2274"/>
        <w:gridCol w:w="539"/>
        <w:gridCol w:w="1685"/>
        <w:gridCol w:w="544"/>
        <w:gridCol w:w="1122"/>
        <w:gridCol w:w="662"/>
        <w:gridCol w:w="662"/>
        <w:gridCol w:w="2574"/>
      </w:tblGrid>
      <w:tr>
        <w:tblPrEx>
          <w:tblCellMar>
            <w:top w:w="0" w:type="dxa"/>
            <w:left w:w="108" w:type="dxa"/>
            <w:bottom w:w="0" w:type="dxa"/>
            <w:right w:w="108" w:type="dxa"/>
          </w:tblCellMar>
        </w:tblPrEx>
        <w:trPr>
          <w:trHeight w:val="575" w:hRule="atLeast"/>
        </w:trPr>
        <w:tc>
          <w:tcPr>
            <w:tcW w:w="146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单位预算项目支出绩效自评表（2022年度）</w:t>
            </w:r>
          </w:p>
        </w:tc>
      </w:tr>
      <w:tr>
        <w:tblPrEx>
          <w:tblCellMar>
            <w:top w:w="0" w:type="dxa"/>
            <w:left w:w="108" w:type="dxa"/>
            <w:bottom w:w="0" w:type="dxa"/>
            <w:right w:w="108" w:type="dxa"/>
          </w:tblCellMar>
        </w:tblPrEx>
        <w:trPr>
          <w:trHeight w:val="292"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11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trHeight w:val="9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68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广元市国土空间规划编制研究中心部门</w:t>
            </w:r>
          </w:p>
        </w:tc>
        <w:tc>
          <w:tcPr>
            <w:tcW w:w="1122" w:type="dxa"/>
            <w:tcBorders>
              <w:top w:val="nil"/>
              <w:left w:val="nil"/>
              <w:bottom w:val="nil"/>
              <w:right w:val="nil"/>
            </w:tcBorders>
            <w:shd w:val="clear" w:color="auto" w:fill="auto"/>
            <w:vAlign w:val="center"/>
          </w:tcPr>
          <w:p>
            <w:pPr>
              <w:widowControl/>
              <w:spacing w:line="22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38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广元经济技术开发区国土空间规划编制研究中心</w:t>
            </w:r>
          </w:p>
        </w:tc>
      </w:tr>
      <w:tr>
        <w:tblPrEx>
          <w:tblCellMar>
            <w:top w:w="0" w:type="dxa"/>
            <w:left w:w="108" w:type="dxa"/>
            <w:bottom w:w="0" w:type="dxa"/>
            <w:right w:w="108" w:type="dxa"/>
          </w:tblCellMar>
        </w:tblPrEx>
        <w:trPr>
          <w:trHeight w:val="292" w:hRule="atLeast"/>
        </w:trPr>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2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68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5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575"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c>
          <w:tcPr>
            <w:tcW w:w="2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c>
          <w:tcPr>
            <w:tcW w:w="68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严格执行相关政策，保障工资及时发放、足额发放，预算编制科学合理，减少结余资金</w:t>
            </w:r>
          </w:p>
        </w:tc>
        <w:tc>
          <w:tcPr>
            <w:tcW w:w="50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严格执行相关政策，保障工资及时发放、足额发放，预算编制科学合理，减少结余资金</w:t>
            </w:r>
          </w:p>
        </w:tc>
      </w:tr>
      <w:tr>
        <w:tblPrEx>
          <w:tblCellMar>
            <w:top w:w="0" w:type="dxa"/>
            <w:left w:w="108" w:type="dxa"/>
            <w:bottom w:w="0" w:type="dxa"/>
            <w:right w:w="108" w:type="dxa"/>
          </w:tblCellMar>
        </w:tblPrEx>
        <w:trPr>
          <w:trHeight w:val="110"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11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保障人员工资按月足额发放</w:t>
            </w:r>
          </w:p>
        </w:tc>
      </w:tr>
      <w:tr>
        <w:tblPrEx>
          <w:tblCellMar>
            <w:top w:w="0" w:type="dxa"/>
            <w:left w:w="108" w:type="dxa"/>
            <w:bottom w:w="0" w:type="dxa"/>
            <w:right w:w="108" w:type="dxa"/>
          </w:tblCellMar>
        </w:tblPrEx>
        <w:trPr>
          <w:trHeight w:val="90" w:hRule="atLeast"/>
        </w:trPr>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7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292"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62.29</w:t>
            </w: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79.41</w:t>
            </w:r>
          </w:p>
        </w:tc>
        <w:tc>
          <w:tcPr>
            <w:tcW w:w="27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78.30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98.60%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5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292"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62.29</w:t>
            </w: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79.41</w:t>
            </w:r>
          </w:p>
        </w:tc>
        <w:tc>
          <w:tcPr>
            <w:tcW w:w="27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78.30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98.60%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295"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292"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90"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27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239" w:hRule="atLeast"/>
        </w:trPr>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292"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7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足额保障率</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92"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17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92"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按时发放率</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473"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2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结余率（计算方法为：结余数/预算数）</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92" w:hRule="atLeast"/>
        </w:trPr>
        <w:tc>
          <w:tcPr>
            <w:tcW w:w="107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right"/>
              <w:textAlignment w:val="center"/>
              <w:rPr>
                <w:rFonts w:ascii="宋体" w:hAnsi="宋体" w:cs="宋体"/>
                <w:color w:val="000000"/>
                <w:sz w:val="18"/>
                <w:szCs w:val="18"/>
              </w:rPr>
            </w:pPr>
            <w:r>
              <w:rPr>
                <w:rFonts w:ascii="宋体" w:hAnsi="宋体" w:cs="宋体"/>
                <w:color w:val="000000"/>
                <w:kern w:val="0"/>
                <w:sz w:val="18"/>
                <w:szCs w:val="18"/>
              </w:rPr>
              <w:t>100</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r>
      <w:tr>
        <w:tblPrEx>
          <w:tblCellMar>
            <w:top w:w="0" w:type="dxa"/>
            <w:left w:w="108" w:type="dxa"/>
            <w:bottom w:w="0" w:type="dxa"/>
            <w:right w:w="108" w:type="dxa"/>
          </w:tblCellMar>
        </w:tblPrEx>
        <w:trPr>
          <w:trHeight w:val="90"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1390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自评得分100分。</w:t>
            </w:r>
          </w:p>
        </w:tc>
      </w:tr>
      <w:tr>
        <w:tblPrEx>
          <w:tblCellMar>
            <w:top w:w="0" w:type="dxa"/>
            <w:left w:w="108" w:type="dxa"/>
            <w:bottom w:w="0" w:type="dxa"/>
            <w:right w:w="108" w:type="dxa"/>
          </w:tblCellMar>
        </w:tblPrEx>
        <w:trPr>
          <w:trHeight w:val="90"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1390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90"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1390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99" w:hRule="atLeast"/>
        </w:trPr>
        <w:tc>
          <w:tcPr>
            <w:tcW w:w="73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项目负责人：韩林</w:t>
            </w:r>
          </w:p>
        </w:tc>
        <w:tc>
          <w:tcPr>
            <w:tcW w:w="72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财务负责人：尚海</w:t>
            </w:r>
          </w:p>
        </w:tc>
      </w:tr>
    </w:tbl>
    <w:p>
      <w:pPr>
        <w:spacing w:line="576" w:lineRule="exact"/>
        <w:jc w:val="center"/>
        <w:rPr>
          <w:rFonts w:ascii="方正小标宋_GBK" w:hAnsi="宋体" w:eastAsia="方正小标宋_GBK"/>
          <w:kern w:val="0"/>
          <w:sz w:val="40"/>
          <w:szCs w:val="44"/>
        </w:rPr>
      </w:pPr>
      <w:r>
        <w:rPr>
          <w:rFonts w:hint="eastAsia" w:ascii="方正小标宋_GBK" w:hAnsi="宋体" w:eastAsia="方正小标宋_GBK"/>
          <w:kern w:val="0"/>
          <w:sz w:val="40"/>
          <w:szCs w:val="44"/>
        </w:rPr>
        <w:br w:type="page"/>
      </w:r>
    </w:p>
    <w:tbl>
      <w:tblPr>
        <w:tblStyle w:val="13"/>
        <w:tblW w:w="14640" w:type="dxa"/>
        <w:tblInd w:w="96" w:type="dxa"/>
        <w:tblLayout w:type="autofit"/>
        <w:tblCellMar>
          <w:top w:w="0" w:type="dxa"/>
          <w:left w:w="108" w:type="dxa"/>
          <w:bottom w:w="0" w:type="dxa"/>
          <w:right w:w="108" w:type="dxa"/>
        </w:tblCellMar>
      </w:tblPr>
      <w:tblGrid>
        <w:gridCol w:w="711"/>
        <w:gridCol w:w="2067"/>
        <w:gridCol w:w="1782"/>
        <w:gridCol w:w="2273"/>
        <w:gridCol w:w="541"/>
        <w:gridCol w:w="1689"/>
        <w:gridCol w:w="547"/>
        <w:gridCol w:w="1129"/>
        <w:gridCol w:w="663"/>
        <w:gridCol w:w="663"/>
        <w:gridCol w:w="2575"/>
      </w:tblGrid>
      <w:tr>
        <w:tblPrEx>
          <w:tblCellMar>
            <w:top w:w="0" w:type="dxa"/>
            <w:left w:w="108" w:type="dxa"/>
            <w:bottom w:w="0" w:type="dxa"/>
            <w:right w:w="108" w:type="dxa"/>
          </w:tblCellMar>
        </w:tblPrEx>
        <w:trPr>
          <w:trHeight w:val="232" w:hRule="atLeast"/>
        </w:trPr>
        <w:tc>
          <w:tcPr>
            <w:tcW w:w="146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单位预算项目支出绩效自评表（2022年度）</w:t>
            </w:r>
          </w:p>
        </w:tc>
      </w:tr>
      <w:tr>
        <w:tblPrEx>
          <w:tblCellMar>
            <w:top w:w="0" w:type="dxa"/>
            <w:left w:w="108" w:type="dxa"/>
            <w:bottom w:w="0" w:type="dxa"/>
            <w:right w:w="108" w:type="dxa"/>
          </w:tblCellMar>
        </w:tblPrEx>
        <w:trPr>
          <w:trHeight w:val="100" w:hRule="atLeast"/>
        </w:trPr>
        <w:tc>
          <w:tcPr>
            <w:tcW w:w="2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118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51000021R000000019956-离退休费支出</w:t>
            </w:r>
          </w:p>
        </w:tc>
      </w:tr>
      <w:tr>
        <w:tblPrEx>
          <w:tblCellMar>
            <w:top w:w="0" w:type="dxa"/>
            <w:left w:w="108" w:type="dxa"/>
            <w:bottom w:w="0" w:type="dxa"/>
            <w:right w:w="108" w:type="dxa"/>
          </w:tblCellMar>
        </w:tblPrEx>
        <w:trPr>
          <w:trHeight w:val="196" w:hRule="atLeast"/>
        </w:trPr>
        <w:tc>
          <w:tcPr>
            <w:tcW w:w="2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68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广元市国土空间规划编制研究中心部门</w:t>
            </w:r>
          </w:p>
        </w:tc>
        <w:tc>
          <w:tcPr>
            <w:tcW w:w="1129" w:type="dxa"/>
            <w:tcBorders>
              <w:top w:val="nil"/>
              <w:left w:val="nil"/>
              <w:bottom w:val="nil"/>
              <w:right w:val="nil"/>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39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广元经济技术开发区国土空间规划编制研究中心</w:t>
            </w:r>
          </w:p>
        </w:tc>
      </w:tr>
      <w:tr>
        <w:tblPrEx>
          <w:tblCellMar>
            <w:top w:w="0" w:type="dxa"/>
            <w:left w:w="108" w:type="dxa"/>
            <w:bottom w:w="0" w:type="dxa"/>
            <w:right w:w="108" w:type="dxa"/>
          </w:tblCellMar>
        </w:tblPrEx>
        <w:trPr>
          <w:trHeight w:val="100"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2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68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50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196"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2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68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严格执行相关政策，保障工资及时发放、足额发放，预算编制科学合理，减少结余资金</w:t>
            </w:r>
          </w:p>
        </w:tc>
        <w:tc>
          <w:tcPr>
            <w:tcW w:w="50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严格执行相关政策，保障工资及时发放、足额发放，预算编制科学合理，减少结余资金</w:t>
            </w:r>
          </w:p>
        </w:tc>
      </w:tr>
      <w:tr>
        <w:tblPrEx>
          <w:tblCellMar>
            <w:top w:w="0" w:type="dxa"/>
            <w:left w:w="108" w:type="dxa"/>
            <w:bottom w:w="0" w:type="dxa"/>
            <w:right w:w="108" w:type="dxa"/>
          </w:tblCellMar>
        </w:tblPrEx>
        <w:trPr>
          <w:trHeight w:val="196"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118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按月足额发放退休人员生活补助。</w:t>
            </w:r>
          </w:p>
        </w:tc>
      </w:tr>
      <w:tr>
        <w:tblPrEx>
          <w:tblCellMar>
            <w:top w:w="0" w:type="dxa"/>
            <w:left w:w="108" w:type="dxa"/>
            <w:bottom w:w="0" w:type="dxa"/>
            <w:right w:w="108" w:type="dxa"/>
          </w:tblCellMar>
        </w:tblPrEx>
        <w:trPr>
          <w:trHeight w:val="167"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103"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5.60</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5.60</w:t>
            </w:r>
          </w:p>
        </w:tc>
        <w:tc>
          <w:tcPr>
            <w:tcW w:w="2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5.60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114"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5.60</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5.60</w:t>
            </w:r>
          </w:p>
        </w:tc>
        <w:tc>
          <w:tcPr>
            <w:tcW w:w="2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5.60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18"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07"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237"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2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88"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10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0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1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足额保障率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0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按时发放率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96"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结余率（计算方法为：结余数/预算数）</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00" w:hRule="atLeast"/>
        </w:trPr>
        <w:tc>
          <w:tcPr>
            <w:tcW w:w="107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trHeight w:val="196"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13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自评得分100分。</w:t>
            </w:r>
          </w:p>
        </w:tc>
      </w:tr>
      <w:tr>
        <w:tblPrEx>
          <w:tblCellMar>
            <w:top w:w="0" w:type="dxa"/>
            <w:left w:w="108" w:type="dxa"/>
            <w:bottom w:w="0" w:type="dxa"/>
            <w:right w:w="108" w:type="dxa"/>
          </w:tblCellMar>
        </w:tblPrEx>
        <w:trPr>
          <w:trHeight w:val="196"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13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196"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13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103" w:hRule="atLeast"/>
        </w:trPr>
        <w:tc>
          <w:tcPr>
            <w:tcW w:w="7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项目负责人：韩林</w:t>
            </w:r>
          </w:p>
        </w:tc>
        <w:tc>
          <w:tcPr>
            <w:tcW w:w="72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财务负责人：尚海</w:t>
            </w:r>
          </w:p>
        </w:tc>
      </w:tr>
    </w:tbl>
    <w:p>
      <w:pPr>
        <w:spacing w:line="576" w:lineRule="exact"/>
        <w:jc w:val="center"/>
        <w:rPr>
          <w:rFonts w:ascii="方正小标宋_GBK" w:hAnsi="宋体" w:eastAsia="方正小标宋_GBK"/>
          <w:kern w:val="0"/>
          <w:sz w:val="40"/>
          <w:szCs w:val="44"/>
        </w:rPr>
      </w:pPr>
      <w:r>
        <w:rPr>
          <w:rFonts w:hint="eastAsia" w:ascii="方正小标宋_GBK" w:hAnsi="宋体" w:eastAsia="方正小标宋_GBK"/>
          <w:kern w:val="0"/>
          <w:sz w:val="40"/>
          <w:szCs w:val="44"/>
        </w:rPr>
        <w:br w:type="page"/>
      </w:r>
    </w:p>
    <w:tbl>
      <w:tblPr>
        <w:tblStyle w:val="13"/>
        <w:tblW w:w="14640" w:type="dxa"/>
        <w:tblInd w:w="96" w:type="dxa"/>
        <w:tblLayout w:type="autofit"/>
        <w:tblCellMar>
          <w:top w:w="0" w:type="dxa"/>
          <w:left w:w="108" w:type="dxa"/>
          <w:bottom w:w="0" w:type="dxa"/>
          <w:right w:w="108" w:type="dxa"/>
        </w:tblCellMar>
      </w:tblPr>
      <w:tblGrid>
        <w:gridCol w:w="711"/>
        <w:gridCol w:w="2060"/>
        <w:gridCol w:w="1777"/>
        <w:gridCol w:w="2302"/>
        <w:gridCol w:w="539"/>
        <w:gridCol w:w="1683"/>
        <w:gridCol w:w="545"/>
        <w:gridCol w:w="1127"/>
        <w:gridCol w:w="662"/>
        <w:gridCol w:w="662"/>
        <w:gridCol w:w="2572"/>
      </w:tblGrid>
      <w:tr>
        <w:tblPrEx>
          <w:tblCellMar>
            <w:top w:w="0" w:type="dxa"/>
            <w:left w:w="108" w:type="dxa"/>
            <w:bottom w:w="0" w:type="dxa"/>
            <w:right w:w="108" w:type="dxa"/>
          </w:tblCellMar>
        </w:tblPrEx>
        <w:trPr>
          <w:trHeight w:val="90" w:hRule="atLeast"/>
        </w:trPr>
        <w:tc>
          <w:tcPr>
            <w:tcW w:w="146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单位预算项目支出绩效自评表（2022年度）</w:t>
            </w:r>
          </w:p>
        </w:tc>
      </w:tr>
      <w:tr>
        <w:tblPrEx>
          <w:tblCellMar>
            <w:top w:w="0" w:type="dxa"/>
            <w:left w:w="108" w:type="dxa"/>
            <w:bottom w:w="0" w:type="dxa"/>
            <w:right w:w="108" w:type="dxa"/>
          </w:tblCellMar>
        </w:tblPrEx>
        <w:trPr>
          <w:trHeight w:val="90" w:hRule="atLeast"/>
        </w:trPr>
        <w:tc>
          <w:tcPr>
            <w:tcW w:w="27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118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trHeight w:val="90" w:hRule="atLeast"/>
        </w:trPr>
        <w:tc>
          <w:tcPr>
            <w:tcW w:w="27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6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广元市国土空间规划编制研究中心部门</w:t>
            </w:r>
          </w:p>
        </w:tc>
        <w:tc>
          <w:tcPr>
            <w:tcW w:w="1127" w:type="dxa"/>
            <w:tcBorders>
              <w:top w:val="nil"/>
              <w:left w:val="nil"/>
              <w:bottom w:val="nil"/>
              <w:right w:val="nil"/>
            </w:tcBorders>
            <w:shd w:val="clear" w:color="auto" w:fill="auto"/>
            <w:vAlign w:val="center"/>
          </w:tcPr>
          <w:p>
            <w:pPr>
              <w:widowControl/>
              <w:spacing w:line="22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3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广元经济技术开发区国土空间规划编制研究中心</w:t>
            </w:r>
          </w:p>
        </w:tc>
      </w:tr>
      <w:tr>
        <w:tblPrEx>
          <w:tblCellMar>
            <w:top w:w="0" w:type="dxa"/>
            <w:left w:w="108" w:type="dxa"/>
            <w:bottom w:w="0" w:type="dxa"/>
            <w:right w:w="108" w:type="dxa"/>
          </w:tblCellMar>
        </w:tblPrEx>
        <w:trPr>
          <w:trHeight w:val="90"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6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50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c>
          <w:tcPr>
            <w:tcW w:w="6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保障单位日常运转，提高预算编制质量，严格执行预算</w:t>
            </w:r>
          </w:p>
        </w:tc>
        <w:tc>
          <w:tcPr>
            <w:tcW w:w="50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保障单位日常运转，提高预算编制质量，严格执行预算</w:t>
            </w: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118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保障单位日常运转，单位参公人员交通补贴按月足额发放，员工福利、工会、党建、退休人员活动经费，按《财务管理制度》报销。</w:t>
            </w:r>
          </w:p>
        </w:tc>
      </w:tr>
      <w:tr>
        <w:tblPrEx>
          <w:tblCellMar>
            <w:top w:w="0" w:type="dxa"/>
            <w:left w:w="108" w:type="dxa"/>
            <w:bottom w:w="0" w:type="dxa"/>
            <w:right w:w="108" w:type="dxa"/>
          </w:tblCellMar>
        </w:tblPrEx>
        <w:trPr>
          <w:trHeight w:val="90"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4.67</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4.67</w:t>
            </w: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4.67</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4.67</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4.67</w:t>
            </w: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4.67</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90"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1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预算编制准确率（计算方法为：∣（执行数-预算数）/预算数∣）</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“三公经费”控制率[计算方法为：（三公经费实际支出数/预算安排数]×100%）</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90"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1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运转保障率</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90" w:hRule="atLeast"/>
        </w:trPr>
        <w:tc>
          <w:tcPr>
            <w:tcW w:w="1074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r>
      <w:tr>
        <w:tblPrEx>
          <w:tblCellMar>
            <w:top w:w="0" w:type="dxa"/>
            <w:left w:w="108" w:type="dxa"/>
            <w:bottom w:w="0" w:type="dxa"/>
            <w:right w:w="108" w:type="dxa"/>
          </w:tblCellMar>
        </w:tblPrEx>
        <w:trPr>
          <w:trHeight w:val="90"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13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自评得分100分。</w:t>
            </w:r>
          </w:p>
        </w:tc>
      </w:tr>
      <w:tr>
        <w:tblPrEx>
          <w:tblCellMar>
            <w:top w:w="0" w:type="dxa"/>
            <w:left w:w="108" w:type="dxa"/>
            <w:bottom w:w="0" w:type="dxa"/>
            <w:right w:w="108" w:type="dxa"/>
          </w:tblCellMar>
        </w:tblPrEx>
        <w:trPr>
          <w:trHeight w:val="90"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13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90"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13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90" w:hRule="atLeast"/>
        </w:trPr>
        <w:tc>
          <w:tcPr>
            <w:tcW w:w="73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项目负责人：韩林</w:t>
            </w:r>
          </w:p>
        </w:tc>
        <w:tc>
          <w:tcPr>
            <w:tcW w:w="72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财务负责人：尚海</w:t>
            </w:r>
          </w:p>
        </w:tc>
      </w:tr>
    </w:tbl>
    <w:p>
      <w:pPr>
        <w:spacing w:line="576" w:lineRule="exact"/>
        <w:jc w:val="center"/>
        <w:rPr>
          <w:rFonts w:ascii="方正小标宋_GBK" w:hAnsi="宋体" w:eastAsia="方正小标宋_GBK"/>
          <w:kern w:val="0"/>
          <w:sz w:val="40"/>
          <w:szCs w:val="44"/>
        </w:rPr>
      </w:pPr>
      <w:r>
        <w:rPr>
          <w:rFonts w:hint="eastAsia" w:ascii="方正小标宋_GBK" w:hAnsi="宋体" w:eastAsia="方正小标宋_GBK"/>
          <w:kern w:val="0"/>
          <w:sz w:val="40"/>
          <w:szCs w:val="44"/>
        </w:rPr>
        <w:br w:type="page"/>
      </w:r>
    </w:p>
    <w:tbl>
      <w:tblPr>
        <w:tblStyle w:val="13"/>
        <w:tblW w:w="14600" w:type="dxa"/>
        <w:tblInd w:w="96" w:type="dxa"/>
        <w:tblLayout w:type="autofit"/>
        <w:tblCellMar>
          <w:top w:w="0" w:type="dxa"/>
          <w:left w:w="108" w:type="dxa"/>
          <w:bottom w:w="0" w:type="dxa"/>
          <w:right w:w="108" w:type="dxa"/>
        </w:tblCellMar>
      </w:tblPr>
      <w:tblGrid>
        <w:gridCol w:w="710"/>
        <w:gridCol w:w="2059"/>
        <w:gridCol w:w="1780"/>
        <w:gridCol w:w="2273"/>
        <w:gridCol w:w="538"/>
        <w:gridCol w:w="1682"/>
        <w:gridCol w:w="543"/>
        <w:gridCol w:w="1125"/>
        <w:gridCol w:w="661"/>
        <w:gridCol w:w="661"/>
        <w:gridCol w:w="2568"/>
      </w:tblGrid>
      <w:tr>
        <w:tblPrEx>
          <w:tblCellMar>
            <w:top w:w="0" w:type="dxa"/>
            <w:left w:w="108" w:type="dxa"/>
            <w:bottom w:w="0" w:type="dxa"/>
            <w:right w:w="108" w:type="dxa"/>
          </w:tblCellMar>
        </w:tblPrEx>
        <w:trPr>
          <w:trHeight w:val="567" w:hRule="atLeast"/>
        </w:trPr>
        <w:tc>
          <w:tcPr>
            <w:tcW w:w="14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单位预算项目支出绩效自评表（2022年度）</w:t>
            </w:r>
          </w:p>
        </w:tc>
      </w:tr>
      <w:tr>
        <w:tblPrEx>
          <w:tblCellMar>
            <w:top w:w="0" w:type="dxa"/>
            <w:left w:w="108" w:type="dxa"/>
            <w:bottom w:w="0" w:type="dxa"/>
            <w:right w:w="108" w:type="dxa"/>
          </w:tblCellMar>
        </w:tblPrEx>
        <w:trPr>
          <w:trHeight w:val="288" w:hRule="atLeast"/>
        </w:trPr>
        <w:tc>
          <w:tcPr>
            <w:tcW w:w="2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1183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51080022R000000267546-工资性支出（事业）</w:t>
            </w:r>
          </w:p>
        </w:tc>
      </w:tr>
      <w:tr>
        <w:tblPrEx>
          <w:tblCellMar>
            <w:top w:w="0" w:type="dxa"/>
            <w:left w:w="108" w:type="dxa"/>
            <w:bottom w:w="0" w:type="dxa"/>
            <w:right w:w="108" w:type="dxa"/>
          </w:tblCellMar>
        </w:tblPrEx>
        <w:trPr>
          <w:trHeight w:val="90" w:hRule="atLeast"/>
        </w:trPr>
        <w:tc>
          <w:tcPr>
            <w:tcW w:w="2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6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广元市国土空间规划编制研究中心部门</w:t>
            </w:r>
          </w:p>
        </w:tc>
        <w:tc>
          <w:tcPr>
            <w:tcW w:w="1125" w:type="dxa"/>
            <w:tcBorders>
              <w:top w:val="nil"/>
              <w:left w:val="nil"/>
              <w:bottom w:val="nil"/>
              <w:right w:val="nil"/>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3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广元经济技术开发区国土空间规划编制研究中心</w:t>
            </w:r>
          </w:p>
        </w:tc>
      </w:tr>
      <w:tr>
        <w:tblPrEx>
          <w:tblCellMar>
            <w:top w:w="0" w:type="dxa"/>
            <w:left w:w="108" w:type="dxa"/>
            <w:bottom w:w="0" w:type="dxa"/>
            <w:right w:w="108" w:type="dxa"/>
          </w:tblCellMar>
        </w:tblPrEx>
        <w:trPr>
          <w:trHeight w:val="288"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2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6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50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90"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c>
          <w:tcPr>
            <w:tcW w:w="2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c>
          <w:tcPr>
            <w:tcW w:w="6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严格执行相关政策，保障工资及时发放、足额发放，预算编制科学合理，减少结余资金</w:t>
            </w:r>
          </w:p>
        </w:tc>
        <w:tc>
          <w:tcPr>
            <w:tcW w:w="50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严格执行相关政策，保障工资及时发放、足额发放，无结余资金。</w:t>
            </w:r>
          </w:p>
        </w:tc>
      </w:tr>
      <w:tr>
        <w:tblPrEx>
          <w:tblCellMar>
            <w:top w:w="0" w:type="dxa"/>
            <w:left w:w="108" w:type="dxa"/>
            <w:bottom w:w="0" w:type="dxa"/>
            <w:right w:w="108" w:type="dxa"/>
          </w:tblCellMar>
        </w:tblPrEx>
        <w:trPr>
          <w:trHeight w:val="90"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1183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宋体" w:hAnsi="宋体" w:cs="宋体"/>
                <w:color w:val="000000"/>
                <w:sz w:val="18"/>
                <w:szCs w:val="18"/>
              </w:rPr>
            </w:pPr>
            <w:r>
              <w:rPr>
                <w:rFonts w:ascii="宋体" w:hAnsi="宋体" w:cs="宋体"/>
                <w:color w:val="000000"/>
                <w:kern w:val="0"/>
                <w:sz w:val="18"/>
                <w:szCs w:val="18"/>
              </w:rPr>
              <w:t>按时足额发放事业人员工资。</w:t>
            </w:r>
          </w:p>
        </w:tc>
      </w:tr>
      <w:tr>
        <w:tblPrEx>
          <w:tblCellMar>
            <w:top w:w="0" w:type="dxa"/>
            <w:left w:w="108" w:type="dxa"/>
            <w:bottom w:w="0" w:type="dxa"/>
            <w:right w:w="108" w:type="dxa"/>
          </w:tblCellMar>
        </w:tblPrEx>
        <w:trPr>
          <w:trHeight w:val="298"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7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288"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82.47</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104.40</w:t>
            </w:r>
          </w:p>
        </w:tc>
        <w:tc>
          <w:tcPr>
            <w:tcW w:w="27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104.40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288"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82.47</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104.40</w:t>
            </w:r>
          </w:p>
        </w:tc>
        <w:tc>
          <w:tcPr>
            <w:tcW w:w="27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104.40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288"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288"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90"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27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90" w:hRule="atLeast"/>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288"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足额保障率</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8"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1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8"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按时发放率</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567" w:hRule="atLeast"/>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宋体" w:hAnsi="宋体" w:cs="宋体"/>
                <w:color w:val="000000"/>
                <w:sz w:val="18"/>
                <w:szCs w:val="18"/>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结余率（计算方法为：结余数/预算数）</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8" w:hRule="atLeast"/>
        </w:trPr>
        <w:tc>
          <w:tcPr>
            <w:tcW w:w="1071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5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rPr>
                <w:rFonts w:ascii="宋体" w:hAnsi="宋体" w:cs="宋体"/>
                <w:color w:val="000000"/>
                <w:sz w:val="18"/>
                <w:szCs w:val="18"/>
              </w:rPr>
            </w:pPr>
          </w:p>
        </w:tc>
      </w:tr>
      <w:tr>
        <w:tblPrEx>
          <w:tblCellMar>
            <w:top w:w="0" w:type="dxa"/>
            <w:left w:w="108" w:type="dxa"/>
            <w:bottom w:w="0" w:type="dxa"/>
            <w:right w:w="108" w:type="dxa"/>
          </w:tblCellMar>
        </w:tblPrEx>
        <w:trPr>
          <w:trHeight w:val="90"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138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自评得分100分。</w:t>
            </w:r>
          </w:p>
        </w:tc>
      </w:tr>
      <w:tr>
        <w:tblPrEx>
          <w:tblCellMar>
            <w:top w:w="0" w:type="dxa"/>
            <w:left w:w="108" w:type="dxa"/>
            <w:bottom w:w="0" w:type="dxa"/>
            <w:right w:w="108" w:type="dxa"/>
          </w:tblCellMar>
        </w:tblPrEx>
        <w:trPr>
          <w:trHeight w:val="90"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138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90"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138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297" w:hRule="atLeast"/>
        </w:trPr>
        <w:tc>
          <w:tcPr>
            <w:tcW w:w="7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项目负责人：韩林</w:t>
            </w:r>
          </w:p>
        </w:tc>
        <w:tc>
          <w:tcPr>
            <w:tcW w:w="72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财务负责人：尚海</w:t>
            </w:r>
          </w:p>
        </w:tc>
      </w:tr>
    </w:tbl>
    <w:p>
      <w:pPr>
        <w:spacing w:line="576" w:lineRule="exact"/>
        <w:jc w:val="center"/>
        <w:rPr>
          <w:rFonts w:ascii="方正小标宋_GBK" w:hAnsi="宋体" w:eastAsia="方正小标宋_GBK"/>
          <w:kern w:val="0"/>
          <w:sz w:val="40"/>
          <w:szCs w:val="44"/>
        </w:rPr>
      </w:pPr>
      <w:r>
        <w:rPr>
          <w:rFonts w:hint="eastAsia" w:ascii="方正小标宋_GBK" w:hAnsi="宋体" w:eastAsia="方正小标宋_GBK"/>
          <w:kern w:val="0"/>
          <w:sz w:val="40"/>
          <w:szCs w:val="44"/>
        </w:rPr>
        <w:br w:type="page"/>
      </w:r>
    </w:p>
    <w:tbl>
      <w:tblPr>
        <w:tblStyle w:val="13"/>
        <w:tblW w:w="14520" w:type="dxa"/>
        <w:tblInd w:w="96" w:type="dxa"/>
        <w:tblLayout w:type="autofit"/>
        <w:tblCellMar>
          <w:top w:w="0" w:type="dxa"/>
          <w:left w:w="108" w:type="dxa"/>
          <w:bottom w:w="0" w:type="dxa"/>
          <w:right w:w="108" w:type="dxa"/>
        </w:tblCellMar>
      </w:tblPr>
      <w:tblGrid>
        <w:gridCol w:w="707"/>
        <w:gridCol w:w="2092"/>
        <w:gridCol w:w="1799"/>
        <w:gridCol w:w="2301"/>
        <w:gridCol w:w="537"/>
        <w:gridCol w:w="1707"/>
        <w:gridCol w:w="546"/>
        <w:gridCol w:w="1120"/>
        <w:gridCol w:w="555"/>
        <w:gridCol w:w="555"/>
        <w:gridCol w:w="2601"/>
      </w:tblGrid>
      <w:tr>
        <w:tblPrEx>
          <w:tblCellMar>
            <w:top w:w="0" w:type="dxa"/>
            <w:left w:w="108" w:type="dxa"/>
            <w:bottom w:w="0" w:type="dxa"/>
            <w:right w:w="108" w:type="dxa"/>
          </w:tblCellMar>
        </w:tblPrEx>
        <w:trPr>
          <w:trHeight w:val="423" w:hRule="atLeast"/>
        </w:trPr>
        <w:tc>
          <w:tcPr>
            <w:tcW w:w="145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单位预算项目支出绩效自评表（2022年度）</w:t>
            </w:r>
          </w:p>
        </w:tc>
      </w:tr>
      <w:tr>
        <w:tblPrEx>
          <w:tblCellMar>
            <w:top w:w="0" w:type="dxa"/>
            <w:left w:w="108" w:type="dxa"/>
            <w:bottom w:w="0" w:type="dxa"/>
            <w:right w:w="108" w:type="dxa"/>
          </w:tblCellMar>
        </w:tblPrEx>
        <w:trPr>
          <w:trHeight w:val="215" w:hRule="atLeast"/>
        </w:trPr>
        <w:tc>
          <w:tcPr>
            <w:tcW w:w="2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117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51080022R000006887034-职业年金做实</w:t>
            </w:r>
          </w:p>
        </w:tc>
      </w:tr>
      <w:tr>
        <w:tblPrEx>
          <w:tblCellMar>
            <w:top w:w="0" w:type="dxa"/>
            <w:left w:w="108" w:type="dxa"/>
            <w:bottom w:w="0" w:type="dxa"/>
            <w:right w:w="108" w:type="dxa"/>
          </w:tblCellMar>
        </w:tblPrEx>
        <w:trPr>
          <w:trHeight w:val="423" w:hRule="atLeast"/>
        </w:trPr>
        <w:tc>
          <w:tcPr>
            <w:tcW w:w="2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68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广元市国土空间规划编制研究中心部门</w:t>
            </w:r>
          </w:p>
        </w:tc>
        <w:tc>
          <w:tcPr>
            <w:tcW w:w="1120" w:type="dxa"/>
            <w:tcBorders>
              <w:top w:val="nil"/>
              <w:left w:val="nil"/>
              <w:bottom w:val="nil"/>
              <w:right w:val="nil"/>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37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广元经济技术开发区国土空间规划编制研究中心</w:t>
            </w:r>
          </w:p>
        </w:tc>
      </w:tr>
      <w:tr>
        <w:tblPrEx>
          <w:tblCellMar>
            <w:top w:w="0" w:type="dxa"/>
            <w:left w:w="108" w:type="dxa"/>
            <w:bottom w:w="0" w:type="dxa"/>
            <w:right w:w="108" w:type="dxa"/>
          </w:tblCellMar>
        </w:tblPrEx>
        <w:trPr>
          <w:trHeight w:val="215" w:hRule="atLeast"/>
        </w:trPr>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2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68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48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307"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2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68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按财政预算文件职业年金做实，及时足额支付到位.</w:t>
            </w:r>
          </w:p>
        </w:tc>
        <w:tc>
          <w:tcPr>
            <w:tcW w:w="48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按财政预算文件职业年金做实，及时足额支付到位，</w:t>
            </w:r>
          </w:p>
        </w:tc>
      </w:tr>
      <w:tr>
        <w:tblPrEx>
          <w:tblCellMar>
            <w:top w:w="0" w:type="dxa"/>
            <w:left w:w="108" w:type="dxa"/>
            <w:bottom w:w="0" w:type="dxa"/>
            <w:right w:w="108" w:type="dxa"/>
          </w:tblCellMar>
        </w:tblPrEx>
        <w:trPr>
          <w:trHeight w:val="423"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117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按财政预算文件职业年金做实，及时足额支付到位.</w:t>
            </w:r>
          </w:p>
        </w:tc>
      </w:tr>
      <w:tr>
        <w:tblPrEx>
          <w:tblCellMar>
            <w:top w:w="0" w:type="dxa"/>
            <w:left w:w="108" w:type="dxa"/>
            <w:bottom w:w="0" w:type="dxa"/>
            <w:right w:w="108" w:type="dxa"/>
          </w:tblCellMar>
        </w:tblPrEx>
        <w:trPr>
          <w:trHeight w:val="423" w:hRule="atLeast"/>
        </w:trPr>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215"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3.48</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215"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3.48</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215"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215"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605"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839" w:hRule="atLeast"/>
        </w:trPr>
        <w:tc>
          <w:tcPr>
            <w:tcW w:w="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215"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足额保障率</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r>
      <w:tr>
        <w:tblPrEx>
          <w:tblCellMar>
            <w:top w:w="0" w:type="dxa"/>
            <w:left w:w="108" w:type="dxa"/>
            <w:bottom w:w="0" w:type="dxa"/>
            <w:right w:w="108" w:type="dxa"/>
          </w:tblCellMar>
        </w:tblPrEx>
        <w:trPr>
          <w:trHeight w:val="215"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按时发放率</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r>
      <w:tr>
        <w:tblPrEx>
          <w:tblCellMar>
            <w:top w:w="0" w:type="dxa"/>
            <w:left w:w="108" w:type="dxa"/>
            <w:bottom w:w="0" w:type="dxa"/>
            <w:right w:w="108" w:type="dxa"/>
          </w:tblCellMar>
        </w:tblPrEx>
        <w:trPr>
          <w:trHeight w:val="423" w:hRule="atLeast"/>
        </w:trPr>
        <w:tc>
          <w:tcPr>
            <w:tcW w:w="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结余率（计算方法为：结余数/预算数）</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15" w:hRule="atLeast"/>
        </w:trPr>
        <w:tc>
          <w:tcPr>
            <w:tcW w:w="1080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right"/>
              <w:textAlignment w:val="center"/>
              <w:rPr>
                <w:rFonts w:ascii="宋体" w:hAnsi="宋体" w:cs="宋体"/>
                <w:color w:val="000000"/>
                <w:sz w:val="18"/>
                <w:szCs w:val="18"/>
              </w:rPr>
            </w:pPr>
            <w:r>
              <w:rPr>
                <w:rFonts w:ascii="宋体" w:hAnsi="宋体" w:cs="宋体"/>
                <w:color w:val="000000"/>
                <w:kern w:val="0"/>
                <w:sz w:val="18"/>
                <w:szCs w:val="18"/>
              </w:rPr>
              <w:t>100</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trHeight w:val="423"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138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自评得分100分。</w:t>
            </w:r>
          </w:p>
        </w:tc>
      </w:tr>
      <w:tr>
        <w:tblPrEx>
          <w:tblCellMar>
            <w:top w:w="0" w:type="dxa"/>
            <w:left w:w="108" w:type="dxa"/>
            <w:bottom w:w="0" w:type="dxa"/>
            <w:right w:w="108" w:type="dxa"/>
          </w:tblCellMar>
        </w:tblPrEx>
        <w:trPr>
          <w:trHeight w:val="423"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138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423"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138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221" w:hRule="atLeast"/>
        </w:trPr>
        <w:tc>
          <w:tcPr>
            <w:tcW w:w="74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项目负责人：韩林</w:t>
            </w:r>
          </w:p>
        </w:tc>
        <w:tc>
          <w:tcPr>
            <w:tcW w:w="70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财务负责人：尚海</w:t>
            </w:r>
          </w:p>
        </w:tc>
      </w:tr>
    </w:tbl>
    <w:p>
      <w:pPr>
        <w:spacing w:line="576" w:lineRule="exact"/>
        <w:jc w:val="center"/>
        <w:rPr>
          <w:rFonts w:ascii="方正小标宋_GBK" w:hAnsi="宋体" w:eastAsia="方正小标宋_GBK"/>
          <w:kern w:val="0"/>
          <w:sz w:val="40"/>
          <w:szCs w:val="44"/>
        </w:rPr>
      </w:pPr>
      <w:r>
        <w:rPr>
          <w:rFonts w:hint="eastAsia" w:ascii="方正小标宋_GBK" w:hAnsi="宋体" w:eastAsia="方正小标宋_GBK"/>
          <w:kern w:val="0"/>
          <w:sz w:val="40"/>
          <w:szCs w:val="44"/>
        </w:rPr>
        <w:br w:type="page"/>
      </w:r>
    </w:p>
    <w:tbl>
      <w:tblPr>
        <w:tblStyle w:val="13"/>
        <w:tblW w:w="14600" w:type="dxa"/>
        <w:tblInd w:w="96" w:type="dxa"/>
        <w:tblLayout w:type="autofit"/>
        <w:tblCellMar>
          <w:top w:w="0" w:type="dxa"/>
          <w:left w:w="108" w:type="dxa"/>
          <w:bottom w:w="0" w:type="dxa"/>
          <w:right w:w="108" w:type="dxa"/>
        </w:tblCellMar>
      </w:tblPr>
      <w:tblGrid>
        <w:gridCol w:w="711"/>
        <w:gridCol w:w="2101"/>
        <w:gridCol w:w="1810"/>
        <w:gridCol w:w="2313"/>
        <w:gridCol w:w="541"/>
        <w:gridCol w:w="1718"/>
        <w:gridCol w:w="547"/>
        <w:gridCol w:w="1130"/>
        <w:gridCol w:w="558"/>
        <w:gridCol w:w="558"/>
        <w:gridCol w:w="2613"/>
      </w:tblGrid>
      <w:tr>
        <w:tblPrEx>
          <w:tblCellMar>
            <w:top w:w="0" w:type="dxa"/>
            <w:left w:w="108" w:type="dxa"/>
            <w:bottom w:w="0" w:type="dxa"/>
            <w:right w:w="108" w:type="dxa"/>
          </w:tblCellMar>
        </w:tblPrEx>
        <w:trPr>
          <w:trHeight w:val="784" w:hRule="atLeast"/>
        </w:trPr>
        <w:tc>
          <w:tcPr>
            <w:tcW w:w="14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单位预算项目支出绩效自评表（2022年度）</w:t>
            </w:r>
          </w:p>
        </w:tc>
      </w:tr>
      <w:tr>
        <w:tblPrEx>
          <w:tblCellMar>
            <w:top w:w="0" w:type="dxa"/>
            <w:left w:w="108" w:type="dxa"/>
            <w:bottom w:w="0" w:type="dxa"/>
            <w:right w:w="108" w:type="dxa"/>
          </w:tblCellMar>
        </w:tblPrEx>
        <w:trPr>
          <w:trHeight w:val="326" w:hRule="atLeast"/>
        </w:trPr>
        <w:tc>
          <w:tcPr>
            <w:tcW w:w="2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117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51080022T000004938842-工业项目方案技术审查工作经费</w:t>
            </w:r>
          </w:p>
        </w:tc>
      </w:tr>
      <w:tr>
        <w:tblPrEx>
          <w:tblCellMar>
            <w:top w:w="0" w:type="dxa"/>
            <w:left w:w="108" w:type="dxa"/>
            <w:bottom w:w="0" w:type="dxa"/>
            <w:right w:w="108" w:type="dxa"/>
          </w:tblCellMar>
        </w:tblPrEx>
        <w:trPr>
          <w:trHeight w:val="641" w:hRule="atLeast"/>
        </w:trPr>
        <w:tc>
          <w:tcPr>
            <w:tcW w:w="2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69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广元市国土空间规划编制研究中心部门</w:t>
            </w:r>
          </w:p>
        </w:tc>
        <w:tc>
          <w:tcPr>
            <w:tcW w:w="1130" w:type="dxa"/>
            <w:tcBorders>
              <w:top w:val="nil"/>
              <w:left w:val="nil"/>
              <w:bottom w:val="nil"/>
              <w:right w:val="nil"/>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3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广元经济技术开发区国土空间规划编制研究中心</w:t>
            </w:r>
          </w:p>
        </w:tc>
      </w:tr>
      <w:tr>
        <w:tblPrEx>
          <w:tblCellMar>
            <w:top w:w="0" w:type="dxa"/>
            <w:left w:w="108" w:type="dxa"/>
            <w:bottom w:w="0" w:type="dxa"/>
            <w:right w:w="108" w:type="dxa"/>
          </w:tblCellMar>
        </w:tblPrEx>
        <w:trPr>
          <w:trHeight w:val="326"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2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69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48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641"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2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69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立足经开区规划管理，坚持规划引领，做好要素保障，全力助推经开区重点项目建设</w:t>
            </w:r>
          </w:p>
        </w:tc>
        <w:tc>
          <w:tcPr>
            <w:tcW w:w="48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召开9期工业项目方案技术审查会、完成对40个项目规划设计方案进行审查。</w:t>
            </w:r>
          </w:p>
        </w:tc>
      </w:tr>
      <w:tr>
        <w:tblPrEx>
          <w:tblCellMar>
            <w:top w:w="0" w:type="dxa"/>
            <w:left w:w="108" w:type="dxa"/>
            <w:bottom w:w="0" w:type="dxa"/>
            <w:right w:w="108" w:type="dxa"/>
          </w:tblCellMar>
        </w:tblPrEx>
        <w:trPr>
          <w:trHeight w:val="641"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117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立足经开区规划设计工作，邀请组织相关专家对项目规划设计方案进行审查，增强城市规划的科学性和权威性，服务广元城乡规划建设，做好项目要素保障。</w:t>
            </w:r>
          </w:p>
        </w:tc>
      </w:tr>
      <w:tr>
        <w:tblPrEx>
          <w:tblCellMar>
            <w:top w:w="0" w:type="dxa"/>
            <w:left w:w="108" w:type="dxa"/>
            <w:bottom w:w="0" w:type="dxa"/>
            <w:right w:w="108" w:type="dxa"/>
          </w:tblCellMar>
        </w:tblPrEx>
        <w:trPr>
          <w:trHeight w:val="641"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0.81</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0.81</w:t>
            </w:r>
          </w:p>
        </w:tc>
        <w:tc>
          <w:tcPr>
            <w:tcW w:w="2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0.81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85"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0.81</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0.81</w:t>
            </w:r>
          </w:p>
        </w:tc>
        <w:tc>
          <w:tcPr>
            <w:tcW w:w="2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0.81</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97"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59"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747"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2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272" w:hRule="atLeast"/>
        </w:trPr>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641"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召开工业项目方案技术审查会</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6</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期/年</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6</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562"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召开工业项目方案技术审查会</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24</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个</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24</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26"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26"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图纸制作</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0.81</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万</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0.81</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26"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对城市规划的影响</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641" w:hRule="atLeast"/>
        </w:trPr>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23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相关部门通过率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26" w:hRule="atLeast"/>
        </w:trPr>
        <w:tc>
          <w:tcPr>
            <w:tcW w:w="108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trHeight w:val="641"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1388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自评得分100分。</w:t>
            </w:r>
          </w:p>
        </w:tc>
      </w:tr>
      <w:tr>
        <w:tblPrEx>
          <w:tblCellMar>
            <w:top w:w="0" w:type="dxa"/>
            <w:left w:w="108" w:type="dxa"/>
            <w:bottom w:w="0" w:type="dxa"/>
            <w:right w:w="108" w:type="dxa"/>
          </w:tblCellMar>
        </w:tblPrEx>
        <w:trPr>
          <w:trHeight w:val="641"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1388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641" w:hRule="atLeast"/>
        </w:trPr>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1388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335" w:hRule="atLeast"/>
        </w:trPr>
        <w:tc>
          <w:tcPr>
            <w:tcW w:w="74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项目负责人：韩林</w:t>
            </w:r>
          </w:p>
        </w:tc>
        <w:tc>
          <w:tcPr>
            <w:tcW w:w="71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财务负责人：尚海</w:t>
            </w:r>
          </w:p>
        </w:tc>
      </w:tr>
    </w:tbl>
    <w:p>
      <w:pPr>
        <w:spacing w:line="576" w:lineRule="exact"/>
        <w:jc w:val="center"/>
        <w:rPr>
          <w:rFonts w:ascii="方正小标宋_GBK" w:hAnsi="宋体" w:eastAsia="方正小标宋_GBK"/>
          <w:kern w:val="0"/>
          <w:sz w:val="40"/>
          <w:szCs w:val="44"/>
        </w:rPr>
      </w:pPr>
      <w:r>
        <w:rPr>
          <w:rFonts w:hint="eastAsia" w:ascii="方正小标宋_GBK" w:hAnsi="宋体" w:eastAsia="方正小标宋_GBK"/>
          <w:kern w:val="0"/>
          <w:sz w:val="40"/>
          <w:szCs w:val="44"/>
        </w:rPr>
        <w:br w:type="page"/>
      </w:r>
    </w:p>
    <w:tbl>
      <w:tblPr>
        <w:tblStyle w:val="13"/>
        <w:tblW w:w="14640" w:type="dxa"/>
        <w:tblInd w:w="96" w:type="dxa"/>
        <w:tblLayout w:type="autofit"/>
        <w:tblCellMar>
          <w:top w:w="0" w:type="dxa"/>
          <w:left w:w="108" w:type="dxa"/>
          <w:bottom w:w="0" w:type="dxa"/>
          <w:right w:w="108" w:type="dxa"/>
        </w:tblCellMar>
      </w:tblPr>
      <w:tblGrid>
        <w:gridCol w:w="713"/>
        <w:gridCol w:w="2060"/>
        <w:gridCol w:w="1783"/>
        <w:gridCol w:w="2302"/>
        <w:gridCol w:w="540"/>
        <w:gridCol w:w="1684"/>
        <w:gridCol w:w="543"/>
        <w:gridCol w:w="1123"/>
        <w:gridCol w:w="664"/>
        <w:gridCol w:w="664"/>
        <w:gridCol w:w="2564"/>
      </w:tblGrid>
      <w:tr>
        <w:tblPrEx>
          <w:tblCellMar>
            <w:top w:w="0" w:type="dxa"/>
            <w:left w:w="108" w:type="dxa"/>
            <w:bottom w:w="0" w:type="dxa"/>
            <w:right w:w="108" w:type="dxa"/>
          </w:tblCellMar>
        </w:tblPrEx>
        <w:trPr>
          <w:trHeight w:val="783" w:hRule="atLeast"/>
        </w:trPr>
        <w:tc>
          <w:tcPr>
            <w:tcW w:w="146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单位预算项目支出绩效自评表（2022年度）</w:t>
            </w:r>
          </w:p>
        </w:tc>
      </w:tr>
      <w:tr>
        <w:tblPrEx>
          <w:tblCellMar>
            <w:top w:w="0" w:type="dxa"/>
            <w:left w:w="108" w:type="dxa"/>
            <w:bottom w:w="0" w:type="dxa"/>
            <w:right w:w="108" w:type="dxa"/>
          </w:tblCellMar>
        </w:tblPrEx>
        <w:trPr>
          <w:trHeight w:val="284" w:hRule="atLeast"/>
        </w:trPr>
        <w:tc>
          <w:tcPr>
            <w:tcW w:w="2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118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51080022Y000000267568-定额公用经费（事业）</w:t>
            </w:r>
          </w:p>
        </w:tc>
      </w:tr>
      <w:tr>
        <w:tblPrEx>
          <w:tblCellMar>
            <w:top w:w="0" w:type="dxa"/>
            <w:left w:w="108" w:type="dxa"/>
            <w:bottom w:w="0" w:type="dxa"/>
            <w:right w:w="108" w:type="dxa"/>
          </w:tblCellMar>
        </w:tblPrEx>
        <w:trPr>
          <w:trHeight w:val="559" w:hRule="atLeast"/>
        </w:trPr>
        <w:tc>
          <w:tcPr>
            <w:tcW w:w="2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6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广元市国土空间规划编制研究中心部门</w:t>
            </w:r>
          </w:p>
        </w:tc>
        <w:tc>
          <w:tcPr>
            <w:tcW w:w="1123" w:type="dxa"/>
            <w:tcBorders>
              <w:top w:val="nil"/>
              <w:left w:val="nil"/>
              <w:bottom w:val="nil"/>
              <w:right w:val="nil"/>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38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广元经济技术开发区国土空间规划编制研究中心</w:t>
            </w:r>
          </w:p>
        </w:tc>
      </w:tr>
      <w:tr>
        <w:tblPrEx>
          <w:tblCellMar>
            <w:top w:w="0" w:type="dxa"/>
            <w:left w:w="108" w:type="dxa"/>
            <w:bottom w:w="0" w:type="dxa"/>
            <w:right w:w="108" w:type="dxa"/>
          </w:tblCellMar>
        </w:tblPrEx>
        <w:trPr>
          <w:trHeight w:val="284"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6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50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616"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6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保障单位日常运转，提高预算编制质量，严格执行预算</w:t>
            </w:r>
          </w:p>
        </w:tc>
        <w:tc>
          <w:tcPr>
            <w:tcW w:w="50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保障单位日常运转，严格执行预算按月按进度支付相关费用，资金无结余，</w:t>
            </w:r>
          </w:p>
        </w:tc>
      </w:tr>
      <w:tr>
        <w:tblPrEx>
          <w:tblCellMar>
            <w:top w:w="0" w:type="dxa"/>
            <w:left w:w="108" w:type="dxa"/>
            <w:bottom w:w="0" w:type="dxa"/>
            <w:right w:w="108" w:type="dxa"/>
          </w:tblCellMar>
        </w:tblPrEx>
        <w:trPr>
          <w:trHeight w:val="60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118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保障单位日常运转，单位参公人员交通补贴按月足额发放，员工福利、工会、党建、退休人员活动经费，按《财务管理制度》报销。</w:t>
            </w:r>
          </w:p>
        </w:tc>
      </w:tr>
      <w:tr>
        <w:tblPrEx>
          <w:tblCellMar>
            <w:top w:w="0" w:type="dxa"/>
            <w:left w:w="108" w:type="dxa"/>
            <w:bottom w:w="0" w:type="dxa"/>
            <w:right w:w="108" w:type="dxa"/>
          </w:tblCellMar>
        </w:tblPrEx>
        <w:trPr>
          <w:trHeight w:val="559"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19.50</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19.50</w:t>
            </w: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19.14</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98.14%</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5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19.50</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19.50</w:t>
            </w: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19.14</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98.14%</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9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5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745"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27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108"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29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834"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预算编制准确率（计算方法为：∣（执行数-预算数）/预算数∣）</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9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7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运转保障率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1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17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3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“三公经费”控制率[计算方法为：（三公经费实际支出数/预算安排数]×100%）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4" w:hRule="atLeast"/>
        </w:trPr>
        <w:tc>
          <w:tcPr>
            <w:tcW w:w="1074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trHeight w:val="559"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139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自评得分100分。</w:t>
            </w:r>
          </w:p>
        </w:tc>
      </w:tr>
      <w:tr>
        <w:tblPrEx>
          <w:tblCellMar>
            <w:top w:w="0" w:type="dxa"/>
            <w:left w:w="108" w:type="dxa"/>
            <w:bottom w:w="0" w:type="dxa"/>
            <w:right w:w="108" w:type="dxa"/>
          </w:tblCellMar>
        </w:tblPrEx>
        <w:trPr>
          <w:trHeight w:val="559"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139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559"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139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292" w:hRule="atLeast"/>
        </w:trPr>
        <w:tc>
          <w:tcPr>
            <w:tcW w:w="73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项目负责人：韩林</w:t>
            </w:r>
          </w:p>
        </w:tc>
        <w:tc>
          <w:tcPr>
            <w:tcW w:w="72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财务负责人：尚海</w:t>
            </w:r>
          </w:p>
        </w:tc>
      </w:tr>
    </w:tbl>
    <w:p>
      <w:pPr>
        <w:spacing w:line="576" w:lineRule="exact"/>
        <w:jc w:val="center"/>
        <w:rPr>
          <w:rFonts w:ascii="方正小标宋_GBK" w:hAnsi="宋体" w:eastAsia="方正小标宋_GBK"/>
          <w:kern w:val="0"/>
          <w:sz w:val="40"/>
          <w:szCs w:val="44"/>
        </w:rPr>
      </w:pPr>
      <w:r>
        <w:rPr>
          <w:rFonts w:hint="eastAsia" w:ascii="方正小标宋_GBK" w:hAnsi="宋体" w:eastAsia="方正小标宋_GBK"/>
          <w:kern w:val="0"/>
          <w:sz w:val="40"/>
          <w:szCs w:val="44"/>
        </w:rPr>
        <w:br w:type="page"/>
      </w:r>
    </w:p>
    <w:tbl>
      <w:tblPr>
        <w:tblStyle w:val="13"/>
        <w:tblW w:w="14660" w:type="dxa"/>
        <w:tblInd w:w="96" w:type="dxa"/>
        <w:tblLayout w:type="autofit"/>
        <w:tblCellMar>
          <w:top w:w="0" w:type="dxa"/>
          <w:left w:w="108" w:type="dxa"/>
          <w:bottom w:w="0" w:type="dxa"/>
          <w:right w:w="108" w:type="dxa"/>
        </w:tblCellMar>
      </w:tblPr>
      <w:tblGrid>
        <w:gridCol w:w="712"/>
        <w:gridCol w:w="2069"/>
        <w:gridCol w:w="1785"/>
        <w:gridCol w:w="2282"/>
        <w:gridCol w:w="541"/>
        <w:gridCol w:w="1692"/>
        <w:gridCol w:w="546"/>
        <w:gridCol w:w="1126"/>
        <w:gridCol w:w="664"/>
        <w:gridCol w:w="664"/>
        <w:gridCol w:w="2579"/>
      </w:tblGrid>
      <w:tr>
        <w:tblPrEx>
          <w:tblCellMar>
            <w:top w:w="0" w:type="dxa"/>
            <w:left w:w="108" w:type="dxa"/>
            <w:bottom w:w="0" w:type="dxa"/>
            <w:right w:w="108" w:type="dxa"/>
          </w:tblCellMar>
        </w:tblPrEx>
        <w:trPr>
          <w:trHeight w:val="756" w:hRule="atLeast"/>
        </w:trPr>
        <w:tc>
          <w:tcPr>
            <w:tcW w:w="146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rPr>
              <w:t>部门预算项目支出绩效自评表（2022年度）</w:t>
            </w:r>
          </w:p>
        </w:tc>
      </w:tr>
      <w:tr>
        <w:tblPrEx>
          <w:tblCellMar>
            <w:top w:w="0" w:type="dxa"/>
            <w:left w:w="108" w:type="dxa"/>
            <w:bottom w:w="0" w:type="dxa"/>
            <w:right w:w="108" w:type="dxa"/>
          </w:tblCellMar>
        </w:tblPrEx>
        <w:trPr>
          <w:trHeight w:val="306" w:hRule="atLeast"/>
        </w:trPr>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118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51080023R000007612345-规范后市级基础绩效奖及生活补助</w:t>
            </w:r>
          </w:p>
        </w:tc>
      </w:tr>
      <w:tr>
        <w:tblPrEx>
          <w:tblCellMar>
            <w:top w:w="0" w:type="dxa"/>
            <w:left w:w="108" w:type="dxa"/>
            <w:bottom w:w="0" w:type="dxa"/>
            <w:right w:w="108" w:type="dxa"/>
          </w:tblCellMar>
        </w:tblPrEx>
        <w:trPr>
          <w:trHeight w:val="602" w:hRule="atLeast"/>
        </w:trPr>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6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广元市国土空间规划编制研究中心部门</w:t>
            </w:r>
          </w:p>
        </w:tc>
        <w:tc>
          <w:tcPr>
            <w:tcW w:w="1126" w:type="dxa"/>
            <w:tcBorders>
              <w:top w:val="nil"/>
              <w:left w:val="nil"/>
              <w:bottom w:val="nil"/>
              <w:right w:val="nil"/>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39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广元经济技术开发区国土空间规划编制研究中心</w:t>
            </w:r>
          </w:p>
        </w:tc>
      </w:tr>
      <w:tr>
        <w:tblPrEx>
          <w:tblCellMar>
            <w:top w:w="0" w:type="dxa"/>
            <w:left w:w="108" w:type="dxa"/>
            <w:bottom w:w="0" w:type="dxa"/>
            <w:right w:w="108" w:type="dxa"/>
          </w:tblCellMar>
        </w:tblPrEx>
        <w:trPr>
          <w:trHeight w:val="306" w:hRule="atLeast"/>
        </w:trPr>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20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6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50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598"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2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6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及时足额发放基础绩效奖励及退休人员生活补助</w:t>
            </w:r>
          </w:p>
        </w:tc>
        <w:tc>
          <w:tcPr>
            <w:tcW w:w="50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按预算文件及时足额发放基础绩效奖励及退休人员生活补助，</w:t>
            </w:r>
          </w:p>
        </w:tc>
      </w:tr>
      <w:tr>
        <w:tblPrEx>
          <w:tblCellMar>
            <w:top w:w="0" w:type="dxa"/>
            <w:left w:w="108" w:type="dxa"/>
            <w:bottom w:w="0" w:type="dxa"/>
            <w:right w:w="108" w:type="dxa"/>
          </w:tblCellMar>
        </w:tblPrEx>
        <w:trPr>
          <w:trHeight w:val="602"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118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按预算文件及时足额发放基础绩效奖励及退休人员生活补助</w:t>
            </w:r>
          </w:p>
        </w:tc>
      </w:tr>
      <w:tr>
        <w:tblPrEx>
          <w:tblCellMar>
            <w:top w:w="0" w:type="dxa"/>
            <w:left w:w="108" w:type="dxa"/>
            <w:bottom w:w="0" w:type="dxa"/>
            <w:right w:w="108" w:type="dxa"/>
          </w:tblCellMar>
        </w:tblPrEx>
        <w:trPr>
          <w:trHeight w:val="542" w:hRule="atLeast"/>
        </w:trPr>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35"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17.74</w:t>
            </w:r>
          </w:p>
        </w:tc>
        <w:tc>
          <w:tcPr>
            <w:tcW w:w="2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13.14</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74.10%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i/>
                <w:iCs/>
                <w:color w:val="000000"/>
                <w:sz w:val="18"/>
                <w:szCs w:val="18"/>
              </w:rPr>
            </w:pPr>
            <w:r>
              <w:rPr>
                <w:rFonts w:hint="eastAsia" w:ascii="黑体" w:hAnsi="黑体" w:eastAsia="黑体" w:cs="黑体"/>
                <w:i/>
                <w:iCs/>
                <w:color w:val="000000"/>
                <w:kern w:val="0"/>
                <w:sz w:val="18"/>
                <w:szCs w:val="18"/>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71"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17.74</w:t>
            </w:r>
          </w:p>
        </w:tc>
        <w:tc>
          <w:tcPr>
            <w:tcW w:w="2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13.14</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74.10%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83"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47"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720"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2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195" w:hRule="atLeast"/>
        </w:trPr>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25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89"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足额保障率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r>
      <w:tr>
        <w:tblPrEx>
          <w:tblCellMar>
            <w:top w:w="0" w:type="dxa"/>
            <w:left w:w="108" w:type="dxa"/>
            <w:bottom w:w="0" w:type="dxa"/>
            <w:right w:w="108" w:type="dxa"/>
          </w:tblCellMar>
        </w:tblPrEx>
        <w:trPr>
          <w:trHeight w:val="389"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1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r>
      <w:tr>
        <w:tblPrEx>
          <w:tblCellMar>
            <w:top w:w="0" w:type="dxa"/>
            <w:left w:w="108" w:type="dxa"/>
            <w:bottom w:w="0" w:type="dxa"/>
            <w:right w:w="108" w:type="dxa"/>
          </w:tblCellMar>
        </w:tblPrEx>
        <w:trPr>
          <w:trHeight w:val="389"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按时发放率</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r>
      <w:tr>
        <w:tblPrEx>
          <w:tblCellMar>
            <w:top w:w="0" w:type="dxa"/>
            <w:left w:w="108" w:type="dxa"/>
            <w:bottom w:w="0" w:type="dxa"/>
            <w:right w:w="108" w:type="dxa"/>
          </w:tblCellMar>
        </w:tblPrEx>
        <w:trPr>
          <w:trHeight w:val="602" w:hRule="atLeast"/>
        </w:trPr>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22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结余率（计算方法为：结余数/预算数）</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25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06" w:hRule="atLeast"/>
        </w:trPr>
        <w:tc>
          <w:tcPr>
            <w:tcW w:w="1075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宋体"/>
                <w:color w:val="000000"/>
                <w:sz w:val="18"/>
                <w:szCs w:val="18"/>
              </w:rPr>
            </w:pPr>
            <w:r>
              <w:rPr>
                <w:rFonts w:hint="eastAsia" w:ascii="宋体" w:hAnsi="宋体" w:cs="宋体"/>
                <w:color w:val="000000"/>
                <w:sz w:val="18"/>
                <w:szCs w:val="18"/>
              </w:rPr>
              <w:t>100</w:t>
            </w:r>
          </w:p>
        </w:tc>
        <w:tc>
          <w:tcPr>
            <w:tcW w:w="25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trHeight w:val="602"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139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自评得分100分。</w:t>
            </w:r>
          </w:p>
        </w:tc>
      </w:tr>
      <w:tr>
        <w:tblPrEx>
          <w:tblCellMar>
            <w:top w:w="0" w:type="dxa"/>
            <w:left w:w="108" w:type="dxa"/>
            <w:bottom w:w="0" w:type="dxa"/>
            <w:right w:w="108" w:type="dxa"/>
          </w:tblCellMar>
        </w:tblPrEx>
        <w:trPr>
          <w:trHeight w:val="602"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139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602"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139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306" w:hRule="atLeast"/>
        </w:trPr>
        <w:tc>
          <w:tcPr>
            <w:tcW w:w="73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项目负责人：韩林</w:t>
            </w:r>
          </w:p>
        </w:tc>
        <w:tc>
          <w:tcPr>
            <w:tcW w:w="727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财务负责人：尚海</w:t>
            </w:r>
          </w:p>
        </w:tc>
      </w:tr>
      <w:tr>
        <w:tblPrEx>
          <w:tblCellMar>
            <w:top w:w="0" w:type="dxa"/>
            <w:left w:w="108" w:type="dxa"/>
            <w:bottom w:w="0" w:type="dxa"/>
            <w:right w:w="108" w:type="dxa"/>
          </w:tblCellMar>
        </w:tblPrEx>
        <w:trPr>
          <w:trHeight w:val="306" w:hRule="atLeast"/>
        </w:trPr>
        <w:tc>
          <w:tcPr>
            <w:tcW w:w="712"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c>
          <w:tcPr>
            <w:tcW w:w="2069"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c>
          <w:tcPr>
            <w:tcW w:w="1785"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c>
          <w:tcPr>
            <w:tcW w:w="2282"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c>
          <w:tcPr>
            <w:tcW w:w="541"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c>
          <w:tcPr>
            <w:tcW w:w="1692"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c>
          <w:tcPr>
            <w:tcW w:w="546"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c>
          <w:tcPr>
            <w:tcW w:w="1126"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c>
          <w:tcPr>
            <w:tcW w:w="664"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c>
          <w:tcPr>
            <w:tcW w:w="664"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c>
          <w:tcPr>
            <w:tcW w:w="2579" w:type="dxa"/>
            <w:tcBorders>
              <w:top w:val="nil"/>
              <w:left w:val="nil"/>
              <w:bottom w:val="nil"/>
              <w:right w:val="nil"/>
            </w:tcBorders>
            <w:shd w:val="clear" w:color="auto" w:fill="auto"/>
            <w:vAlign w:val="center"/>
          </w:tcPr>
          <w:p>
            <w:pPr>
              <w:widowControl/>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trHeight w:val="297" w:hRule="atLeast"/>
        </w:trPr>
        <w:tc>
          <w:tcPr>
            <w:tcW w:w="14660" w:type="dxa"/>
            <w:gridSpan w:val="11"/>
            <w:tcBorders>
              <w:top w:val="nil"/>
              <w:left w:val="nil"/>
              <w:bottom w:val="nil"/>
              <w:right w:val="nil"/>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1、报表说明:该报表查询项目信息、绩效目标信息、预算及执行情况，用于预算单位查询导出开展项目自评。</w:t>
            </w:r>
          </w:p>
        </w:tc>
      </w:tr>
      <w:tr>
        <w:tblPrEx>
          <w:tblCellMar>
            <w:top w:w="0" w:type="dxa"/>
            <w:left w:w="108" w:type="dxa"/>
            <w:bottom w:w="0" w:type="dxa"/>
            <w:right w:w="108" w:type="dxa"/>
          </w:tblCellMar>
        </w:tblPrEx>
        <w:trPr>
          <w:trHeight w:val="297" w:hRule="atLeast"/>
        </w:trPr>
        <w:tc>
          <w:tcPr>
            <w:tcW w:w="14660" w:type="dxa"/>
            <w:gridSpan w:val="11"/>
            <w:tcBorders>
              <w:top w:val="nil"/>
              <w:left w:val="nil"/>
              <w:bottom w:val="nil"/>
              <w:right w:val="nil"/>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2、取数口径：部门项目绩效目标表信息，包括年初预算、追加预算、结转预算和调整预算的绩效目标（以项目的最终绩效目标为准）。</w:t>
            </w:r>
          </w:p>
        </w:tc>
      </w:tr>
      <w:tr>
        <w:tblPrEx>
          <w:tblCellMar>
            <w:top w:w="0" w:type="dxa"/>
            <w:left w:w="108" w:type="dxa"/>
            <w:bottom w:w="0" w:type="dxa"/>
            <w:right w:w="108" w:type="dxa"/>
          </w:tblCellMar>
        </w:tblPrEx>
        <w:trPr>
          <w:trHeight w:val="297" w:hRule="atLeast"/>
        </w:trPr>
        <w:tc>
          <w:tcPr>
            <w:tcW w:w="14660" w:type="dxa"/>
            <w:gridSpan w:val="11"/>
            <w:tcBorders>
              <w:top w:val="nil"/>
              <w:left w:val="nil"/>
              <w:bottom w:val="nil"/>
              <w:right w:val="nil"/>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适用地区：全省范围</w:t>
            </w:r>
          </w:p>
        </w:tc>
      </w:tr>
      <w:tr>
        <w:tblPrEx>
          <w:tblCellMar>
            <w:top w:w="0" w:type="dxa"/>
            <w:left w:w="108" w:type="dxa"/>
            <w:bottom w:w="0" w:type="dxa"/>
            <w:right w:w="108" w:type="dxa"/>
          </w:tblCellMar>
        </w:tblPrEx>
        <w:trPr>
          <w:trHeight w:val="297" w:hRule="atLeast"/>
        </w:trPr>
        <w:tc>
          <w:tcPr>
            <w:tcW w:w="14660" w:type="dxa"/>
            <w:gridSpan w:val="11"/>
            <w:tcBorders>
              <w:top w:val="nil"/>
              <w:left w:val="nil"/>
              <w:bottom w:val="nil"/>
              <w:right w:val="nil"/>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适用用户：部门用户、单位用户</w:t>
            </w:r>
          </w:p>
        </w:tc>
      </w:tr>
    </w:tbl>
    <w:p>
      <w:pPr>
        <w:spacing w:line="576" w:lineRule="exact"/>
        <w:jc w:val="center"/>
        <w:outlineLvl w:val="0"/>
        <w:rPr>
          <w:rFonts w:ascii="方正小标宋_GBK" w:hAnsi="方正小标宋_GBK" w:eastAsia="方正小标宋_GBK" w:cs="方正小标宋_GBK"/>
          <w:bCs/>
          <w:sz w:val="44"/>
          <w:szCs w:val="44"/>
          <w:shd w:val="clear" w:color="auto" w:fill="FFFFFF"/>
        </w:rPr>
        <w:sectPr>
          <w:pgSz w:w="16838" w:h="11905" w:orient="landscape"/>
          <w:pgMar w:top="1134" w:right="1134" w:bottom="1134" w:left="1134" w:header="851" w:footer="992" w:gutter="0"/>
          <w:cols w:space="0" w:num="1"/>
          <w:docGrid w:type="lines" w:linePitch="315" w:charSpace="0"/>
        </w:sectPr>
      </w:pPr>
    </w:p>
    <w:p>
      <w:pPr>
        <w:spacing w:line="576" w:lineRule="exact"/>
        <w:jc w:val="center"/>
        <w:outlineLvl w:val="0"/>
        <w:rPr>
          <w:rFonts w:ascii="仿宋" w:hAnsi="仿宋" w:eastAsia="仿宋"/>
        </w:rPr>
      </w:pPr>
      <w:bookmarkStart w:id="268" w:name="_GoBack"/>
      <w:bookmarkEnd w:id="268"/>
      <w:bookmarkStart w:id="170" w:name="_Toc10108"/>
      <w:bookmarkStart w:id="171" w:name="_Toc3168"/>
      <w:bookmarkStart w:id="172" w:name="_Toc8069"/>
      <w:bookmarkStart w:id="173" w:name="_Toc14712"/>
      <w:bookmarkStart w:id="174" w:name="_Toc15396618"/>
      <w:bookmarkStart w:id="175" w:name="_Toc7468"/>
      <w:bookmarkStart w:id="176" w:name="_Toc29495"/>
      <w:r>
        <w:rPr>
          <w:rFonts w:hint="eastAsia" w:ascii="黑体" w:hAnsi="黑体" w:eastAsia="黑体"/>
          <w:sz w:val="44"/>
          <w:szCs w:val="44"/>
        </w:rPr>
        <w:t>第</w:t>
      </w:r>
      <w:r>
        <w:rPr>
          <w:rStyle w:val="27"/>
          <w:rFonts w:hint="eastAsia" w:ascii="黑体" w:hAnsi="黑体" w:eastAsia="黑体"/>
          <w:b w:val="0"/>
        </w:rPr>
        <w:t>五部分</w:t>
      </w:r>
      <w:r>
        <w:rPr>
          <w:rStyle w:val="27"/>
          <w:rFonts w:hint="eastAsia" w:ascii="黑体" w:hAnsi="黑体" w:eastAsia="黑体"/>
          <w:b w:val="0"/>
          <w:lang w:val="en-US" w:eastAsia="zh-CN"/>
        </w:rPr>
        <w:t xml:space="preserve"> </w:t>
      </w:r>
      <w:r>
        <w:rPr>
          <w:rStyle w:val="27"/>
          <w:rFonts w:hint="eastAsia" w:ascii="黑体" w:hAnsi="黑体" w:eastAsia="黑体"/>
          <w:b w:val="0"/>
        </w:rPr>
        <w:t xml:space="preserve"> 附表</w:t>
      </w:r>
      <w:bookmarkEnd w:id="170"/>
      <w:bookmarkEnd w:id="171"/>
      <w:bookmarkEnd w:id="172"/>
      <w:bookmarkEnd w:id="173"/>
      <w:bookmarkEnd w:id="174"/>
      <w:bookmarkEnd w:id="175"/>
      <w:bookmarkEnd w:id="176"/>
      <w:bookmarkStart w:id="177" w:name="_Toc15396619"/>
    </w:p>
    <w:p>
      <w:pPr>
        <w:pStyle w:val="3"/>
        <w:spacing w:before="0" w:after="0" w:line="576" w:lineRule="exact"/>
        <w:rPr>
          <w:rFonts w:ascii="仿宋" w:hAnsi="仿宋" w:eastAsia="仿宋"/>
          <w:b w:val="0"/>
        </w:rPr>
      </w:pPr>
      <w:bookmarkStart w:id="178" w:name="_Toc19186"/>
      <w:bookmarkStart w:id="179" w:name="_Toc13853"/>
      <w:bookmarkStart w:id="180" w:name="_Toc4029"/>
      <w:bookmarkStart w:id="181" w:name="_Toc32680"/>
      <w:bookmarkStart w:id="182" w:name="_Toc19752"/>
      <w:bookmarkStart w:id="183" w:name="_Toc23117"/>
    </w:p>
    <w:p>
      <w:pPr>
        <w:pStyle w:val="3"/>
        <w:spacing w:before="0" w:after="0" w:line="576" w:lineRule="exact"/>
        <w:rPr>
          <w:rFonts w:ascii="仿宋" w:hAnsi="仿宋" w:eastAsia="仿宋"/>
        </w:rPr>
      </w:pPr>
      <w:r>
        <w:rPr>
          <w:rFonts w:hint="eastAsia" w:ascii="仿宋" w:hAnsi="仿宋" w:eastAsia="仿宋"/>
          <w:b w:val="0"/>
        </w:rPr>
        <w:t>一、收</w:t>
      </w:r>
      <w:r>
        <w:rPr>
          <w:rStyle w:val="28"/>
          <w:rFonts w:hint="eastAsia" w:ascii="仿宋" w:hAnsi="仿宋" w:eastAsia="仿宋"/>
          <w:b w:val="0"/>
          <w:bCs w:val="0"/>
        </w:rPr>
        <w:t>入支出决算总表</w:t>
      </w:r>
      <w:bookmarkEnd w:id="177"/>
      <w:bookmarkEnd w:id="178"/>
      <w:bookmarkEnd w:id="179"/>
      <w:bookmarkEnd w:id="180"/>
      <w:bookmarkEnd w:id="181"/>
      <w:bookmarkEnd w:id="182"/>
      <w:bookmarkEnd w:id="183"/>
    </w:p>
    <w:p>
      <w:pPr>
        <w:pStyle w:val="3"/>
        <w:spacing w:before="0" w:after="0" w:line="576" w:lineRule="exact"/>
        <w:rPr>
          <w:rFonts w:ascii="仿宋" w:hAnsi="仿宋" w:eastAsia="仿宋"/>
        </w:rPr>
      </w:pPr>
      <w:bookmarkStart w:id="184" w:name="_Toc29193"/>
      <w:bookmarkStart w:id="185" w:name="_Toc15396620"/>
      <w:bookmarkStart w:id="186" w:name="_Toc234"/>
      <w:bookmarkStart w:id="187" w:name="_Toc32139"/>
      <w:bookmarkStart w:id="188" w:name="_Toc22045"/>
      <w:bookmarkStart w:id="189" w:name="_Toc11722"/>
      <w:bookmarkStart w:id="190" w:name="_Toc15164"/>
      <w:r>
        <w:rPr>
          <w:rFonts w:hint="eastAsia" w:ascii="仿宋" w:hAnsi="仿宋" w:eastAsia="仿宋"/>
          <w:b w:val="0"/>
        </w:rPr>
        <w:t>二、收</w:t>
      </w:r>
      <w:r>
        <w:rPr>
          <w:rStyle w:val="28"/>
          <w:rFonts w:hint="eastAsia" w:ascii="仿宋" w:hAnsi="仿宋" w:eastAsia="仿宋"/>
          <w:b w:val="0"/>
          <w:bCs w:val="0"/>
        </w:rPr>
        <w:t>入决算表</w:t>
      </w:r>
      <w:bookmarkEnd w:id="184"/>
      <w:bookmarkEnd w:id="185"/>
      <w:bookmarkEnd w:id="186"/>
      <w:bookmarkEnd w:id="187"/>
      <w:bookmarkEnd w:id="188"/>
      <w:bookmarkEnd w:id="189"/>
      <w:bookmarkEnd w:id="190"/>
    </w:p>
    <w:p>
      <w:pPr>
        <w:pStyle w:val="3"/>
        <w:spacing w:before="0" w:after="0" w:line="576" w:lineRule="exact"/>
        <w:rPr>
          <w:rFonts w:ascii="仿宋" w:hAnsi="仿宋" w:eastAsia="仿宋"/>
        </w:rPr>
      </w:pPr>
      <w:bookmarkStart w:id="191" w:name="_Toc28119"/>
      <w:bookmarkStart w:id="192" w:name="_Toc21640"/>
      <w:bookmarkStart w:id="193" w:name="_Toc15396621"/>
      <w:bookmarkStart w:id="194" w:name="_Toc16760"/>
      <w:bookmarkStart w:id="195" w:name="_Toc13821"/>
      <w:bookmarkStart w:id="196" w:name="_Toc28090"/>
      <w:bookmarkStart w:id="197" w:name="_Toc22163"/>
      <w:r>
        <w:rPr>
          <w:rStyle w:val="28"/>
          <w:rFonts w:hint="eastAsia" w:ascii="仿宋" w:hAnsi="仿宋" w:eastAsia="仿宋"/>
          <w:b w:val="0"/>
          <w:bCs w:val="0"/>
        </w:rPr>
        <w:t>三、</w:t>
      </w:r>
      <w:r>
        <w:rPr>
          <w:rFonts w:hint="eastAsia" w:ascii="仿宋" w:hAnsi="仿宋" w:eastAsia="仿宋"/>
          <w:b w:val="0"/>
        </w:rPr>
        <w:t>支</w:t>
      </w:r>
      <w:r>
        <w:rPr>
          <w:rStyle w:val="28"/>
          <w:rFonts w:hint="eastAsia" w:ascii="仿宋" w:hAnsi="仿宋" w:eastAsia="仿宋"/>
          <w:b w:val="0"/>
          <w:bCs w:val="0"/>
        </w:rPr>
        <w:t>出决算表</w:t>
      </w:r>
      <w:bookmarkEnd w:id="191"/>
      <w:bookmarkEnd w:id="192"/>
      <w:bookmarkEnd w:id="193"/>
      <w:bookmarkEnd w:id="194"/>
      <w:bookmarkEnd w:id="195"/>
      <w:bookmarkEnd w:id="196"/>
      <w:bookmarkEnd w:id="197"/>
    </w:p>
    <w:p>
      <w:pPr>
        <w:pStyle w:val="3"/>
        <w:spacing w:before="0" w:after="0" w:line="576" w:lineRule="exact"/>
        <w:rPr>
          <w:rFonts w:ascii="仿宋" w:hAnsi="仿宋" w:eastAsia="仿宋"/>
          <w:b w:val="0"/>
        </w:rPr>
      </w:pPr>
      <w:bookmarkStart w:id="198" w:name="_Toc4351"/>
      <w:bookmarkStart w:id="199" w:name="_Toc27380"/>
      <w:bookmarkStart w:id="200" w:name="_Toc12490"/>
      <w:bookmarkStart w:id="201" w:name="_Toc19465"/>
      <w:bookmarkStart w:id="202" w:name="_Toc12717"/>
      <w:bookmarkStart w:id="203" w:name="_Toc15396622"/>
      <w:bookmarkStart w:id="204" w:name="_Toc8346"/>
      <w:r>
        <w:rPr>
          <w:rStyle w:val="28"/>
          <w:rFonts w:hint="eastAsia" w:ascii="仿宋" w:hAnsi="仿宋" w:eastAsia="仿宋"/>
          <w:b w:val="0"/>
          <w:bCs w:val="0"/>
        </w:rPr>
        <w:t>四、</w:t>
      </w:r>
      <w:r>
        <w:rPr>
          <w:rFonts w:hint="eastAsia" w:ascii="仿宋" w:hAnsi="仿宋" w:eastAsia="仿宋"/>
          <w:b w:val="0"/>
        </w:rPr>
        <w:t>财</w:t>
      </w:r>
      <w:r>
        <w:rPr>
          <w:rStyle w:val="28"/>
          <w:rFonts w:hint="eastAsia" w:ascii="仿宋" w:hAnsi="仿宋" w:eastAsia="仿宋"/>
          <w:b w:val="0"/>
          <w:bCs w:val="0"/>
        </w:rPr>
        <w:t>政拨款收入支出决算总表</w:t>
      </w:r>
      <w:bookmarkEnd w:id="198"/>
      <w:bookmarkEnd w:id="199"/>
      <w:bookmarkEnd w:id="200"/>
      <w:bookmarkEnd w:id="201"/>
      <w:bookmarkEnd w:id="202"/>
      <w:bookmarkEnd w:id="203"/>
      <w:bookmarkEnd w:id="204"/>
    </w:p>
    <w:p>
      <w:pPr>
        <w:pStyle w:val="3"/>
        <w:spacing w:before="0" w:after="0" w:line="576" w:lineRule="exact"/>
        <w:rPr>
          <w:rStyle w:val="28"/>
          <w:rFonts w:ascii="仿宋" w:hAnsi="仿宋" w:eastAsia="仿宋"/>
          <w:b w:val="0"/>
          <w:bCs w:val="0"/>
        </w:rPr>
      </w:pPr>
      <w:bookmarkStart w:id="205" w:name="_Toc22206"/>
      <w:bookmarkStart w:id="206" w:name="_Toc2731"/>
      <w:bookmarkStart w:id="207" w:name="_Toc10388"/>
      <w:bookmarkStart w:id="208" w:name="_Toc15396623"/>
      <w:bookmarkStart w:id="209" w:name="_Toc10067"/>
      <w:bookmarkStart w:id="210" w:name="_Toc13663"/>
      <w:bookmarkStart w:id="211" w:name="_Toc18486"/>
      <w:r>
        <w:rPr>
          <w:rStyle w:val="28"/>
          <w:rFonts w:hint="eastAsia" w:ascii="仿宋" w:hAnsi="仿宋" w:eastAsia="仿宋"/>
          <w:b w:val="0"/>
          <w:bCs w:val="0"/>
        </w:rPr>
        <w:t>五、</w:t>
      </w:r>
      <w:r>
        <w:rPr>
          <w:rFonts w:hint="eastAsia" w:ascii="仿宋" w:hAnsi="仿宋" w:eastAsia="仿宋"/>
          <w:b w:val="0"/>
        </w:rPr>
        <w:t>财</w:t>
      </w:r>
      <w:r>
        <w:rPr>
          <w:rStyle w:val="28"/>
          <w:rFonts w:hint="eastAsia" w:ascii="仿宋" w:hAnsi="仿宋" w:eastAsia="仿宋"/>
          <w:b w:val="0"/>
          <w:bCs w:val="0"/>
        </w:rPr>
        <w:t>政拨款支出决算明细表</w:t>
      </w:r>
      <w:bookmarkEnd w:id="205"/>
      <w:bookmarkEnd w:id="206"/>
      <w:bookmarkEnd w:id="207"/>
      <w:bookmarkEnd w:id="208"/>
      <w:bookmarkEnd w:id="209"/>
      <w:bookmarkEnd w:id="210"/>
      <w:bookmarkEnd w:id="211"/>
      <w:bookmarkStart w:id="212" w:name="_Toc15396624"/>
    </w:p>
    <w:p>
      <w:pPr>
        <w:pStyle w:val="3"/>
        <w:spacing w:before="0" w:after="0" w:line="576" w:lineRule="exact"/>
        <w:rPr>
          <w:rFonts w:ascii="仿宋" w:hAnsi="仿宋" w:eastAsia="仿宋"/>
        </w:rPr>
      </w:pPr>
      <w:bookmarkStart w:id="213" w:name="_Toc16783"/>
      <w:bookmarkStart w:id="214" w:name="_Toc20874"/>
      <w:bookmarkStart w:id="215" w:name="_Toc20345"/>
      <w:bookmarkStart w:id="216" w:name="_Toc27947"/>
      <w:bookmarkStart w:id="217" w:name="_Toc10377"/>
      <w:bookmarkStart w:id="218" w:name="_Toc20386"/>
      <w:r>
        <w:rPr>
          <w:rStyle w:val="28"/>
          <w:rFonts w:hint="eastAsia" w:ascii="仿宋" w:hAnsi="仿宋" w:eastAsia="仿宋"/>
          <w:b w:val="0"/>
          <w:bCs w:val="0"/>
        </w:rPr>
        <w:t>六、</w:t>
      </w:r>
      <w:r>
        <w:rPr>
          <w:rFonts w:hint="eastAsia" w:ascii="仿宋" w:hAnsi="仿宋" w:eastAsia="仿宋"/>
          <w:b w:val="0"/>
        </w:rPr>
        <w:t>一</w:t>
      </w:r>
      <w:r>
        <w:rPr>
          <w:rStyle w:val="28"/>
          <w:rFonts w:hint="eastAsia" w:ascii="仿宋" w:hAnsi="仿宋" w:eastAsia="仿宋"/>
          <w:b w:val="0"/>
          <w:bCs w:val="0"/>
        </w:rPr>
        <w:t>般公共预算财政拨款支出决算表</w:t>
      </w:r>
      <w:bookmarkEnd w:id="212"/>
      <w:bookmarkEnd w:id="213"/>
      <w:bookmarkEnd w:id="214"/>
      <w:bookmarkEnd w:id="215"/>
      <w:bookmarkEnd w:id="216"/>
      <w:bookmarkEnd w:id="217"/>
      <w:bookmarkEnd w:id="218"/>
    </w:p>
    <w:p>
      <w:pPr>
        <w:pStyle w:val="3"/>
        <w:spacing w:before="0" w:after="0" w:line="576" w:lineRule="exact"/>
        <w:rPr>
          <w:rFonts w:ascii="仿宋" w:hAnsi="仿宋" w:eastAsia="仿宋"/>
        </w:rPr>
      </w:pPr>
      <w:bookmarkStart w:id="219" w:name="_Toc20668"/>
      <w:bookmarkStart w:id="220" w:name="_Toc6160"/>
      <w:bookmarkStart w:id="221" w:name="_Toc24277"/>
      <w:bookmarkStart w:id="222" w:name="_Toc13469"/>
      <w:bookmarkStart w:id="223" w:name="_Toc596"/>
      <w:bookmarkStart w:id="224" w:name="_Toc15396625"/>
      <w:bookmarkStart w:id="225" w:name="_Toc17299"/>
      <w:r>
        <w:rPr>
          <w:rStyle w:val="28"/>
          <w:rFonts w:hint="eastAsia" w:ascii="仿宋" w:hAnsi="仿宋" w:eastAsia="仿宋"/>
          <w:b w:val="0"/>
          <w:bCs w:val="0"/>
        </w:rPr>
        <w:t>七、</w:t>
      </w:r>
      <w:r>
        <w:rPr>
          <w:rFonts w:hint="eastAsia" w:ascii="仿宋" w:hAnsi="仿宋" w:eastAsia="仿宋"/>
          <w:b w:val="0"/>
        </w:rPr>
        <w:t>一</w:t>
      </w:r>
      <w:r>
        <w:rPr>
          <w:rStyle w:val="28"/>
          <w:rFonts w:hint="eastAsia" w:ascii="仿宋" w:hAnsi="仿宋" w:eastAsia="仿宋"/>
          <w:b w:val="0"/>
          <w:bCs w:val="0"/>
        </w:rPr>
        <w:t>般公共预算财政拨款支出决算明细表</w:t>
      </w:r>
      <w:bookmarkEnd w:id="219"/>
      <w:bookmarkEnd w:id="220"/>
      <w:bookmarkEnd w:id="221"/>
      <w:bookmarkEnd w:id="222"/>
      <w:bookmarkEnd w:id="223"/>
      <w:bookmarkEnd w:id="224"/>
      <w:bookmarkEnd w:id="225"/>
    </w:p>
    <w:p>
      <w:pPr>
        <w:pStyle w:val="3"/>
        <w:spacing w:before="0" w:after="0" w:line="576" w:lineRule="exact"/>
        <w:rPr>
          <w:rFonts w:ascii="仿宋" w:hAnsi="仿宋" w:eastAsia="仿宋"/>
        </w:rPr>
      </w:pPr>
      <w:bookmarkStart w:id="226" w:name="_Toc3671"/>
      <w:bookmarkStart w:id="227" w:name="_Toc388"/>
      <w:bookmarkStart w:id="228" w:name="_Toc10297"/>
      <w:bookmarkStart w:id="229" w:name="_Toc9451"/>
      <w:bookmarkStart w:id="230" w:name="_Toc26419"/>
      <w:bookmarkStart w:id="231" w:name="_Toc15396626"/>
      <w:bookmarkStart w:id="232" w:name="_Toc1725"/>
      <w:r>
        <w:rPr>
          <w:rStyle w:val="28"/>
          <w:rFonts w:hint="eastAsia" w:ascii="仿宋" w:hAnsi="仿宋" w:eastAsia="仿宋"/>
          <w:b w:val="0"/>
          <w:bCs w:val="0"/>
        </w:rPr>
        <w:t>八、</w:t>
      </w:r>
      <w:r>
        <w:rPr>
          <w:rFonts w:hint="eastAsia" w:ascii="仿宋" w:hAnsi="仿宋" w:eastAsia="仿宋"/>
          <w:b w:val="0"/>
        </w:rPr>
        <w:t>一</w:t>
      </w:r>
      <w:r>
        <w:rPr>
          <w:rStyle w:val="28"/>
          <w:rFonts w:hint="eastAsia" w:ascii="仿宋" w:hAnsi="仿宋" w:eastAsia="仿宋"/>
          <w:b w:val="0"/>
          <w:bCs w:val="0"/>
        </w:rPr>
        <w:t>般公共预算财政拨款基本支出决算表</w:t>
      </w:r>
      <w:bookmarkEnd w:id="226"/>
      <w:bookmarkEnd w:id="227"/>
      <w:bookmarkEnd w:id="228"/>
      <w:bookmarkEnd w:id="229"/>
      <w:bookmarkEnd w:id="230"/>
      <w:bookmarkEnd w:id="231"/>
      <w:bookmarkEnd w:id="232"/>
    </w:p>
    <w:p>
      <w:pPr>
        <w:pStyle w:val="3"/>
        <w:spacing w:before="0" w:after="0" w:line="576" w:lineRule="exact"/>
        <w:rPr>
          <w:rFonts w:ascii="仿宋" w:hAnsi="仿宋" w:eastAsia="仿宋"/>
        </w:rPr>
      </w:pPr>
      <w:bookmarkStart w:id="233" w:name="_Toc8186"/>
      <w:bookmarkStart w:id="234" w:name="_Toc15396627"/>
      <w:bookmarkStart w:id="235" w:name="_Toc12202"/>
      <w:bookmarkStart w:id="236" w:name="_Toc29171"/>
      <w:bookmarkStart w:id="237" w:name="_Toc373"/>
      <w:bookmarkStart w:id="238" w:name="_Toc14797"/>
      <w:bookmarkStart w:id="239" w:name="_Toc30488"/>
      <w:r>
        <w:rPr>
          <w:rStyle w:val="28"/>
          <w:rFonts w:hint="eastAsia" w:ascii="仿宋" w:hAnsi="仿宋" w:eastAsia="仿宋"/>
          <w:b w:val="0"/>
          <w:bCs w:val="0"/>
        </w:rPr>
        <w:t>九、</w:t>
      </w:r>
      <w:r>
        <w:rPr>
          <w:rFonts w:hint="eastAsia" w:ascii="仿宋" w:hAnsi="仿宋" w:eastAsia="仿宋"/>
          <w:b w:val="0"/>
        </w:rPr>
        <w:t>一</w:t>
      </w:r>
      <w:r>
        <w:rPr>
          <w:rStyle w:val="28"/>
          <w:rFonts w:hint="eastAsia" w:ascii="仿宋" w:hAnsi="仿宋" w:eastAsia="仿宋"/>
          <w:b w:val="0"/>
          <w:bCs w:val="0"/>
        </w:rPr>
        <w:t>般公共预算财政拨款项目支出决算表</w:t>
      </w:r>
      <w:bookmarkEnd w:id="233"/>
      <w:bookmarkEnd w:id="234"/>
      <w:bookmarkEnd w:id="235"/>
      <w:bookmarkEnd w:id="236"/>
      <w:bookmarkEnd w:id="237"/>
      <w:bookmarkEnd w:id="238"/>
      <w:bookmarkEnd w:id="239"/>
    </w:p>
    <w:p>
      <w:pPr>
        <w:pStyle w:val="3"/>
        <w:spacing w:before="0" w:after="0" w:line="576" w:lineRule="exact"/>
        <w:rPr>
          <w:rStyle w:val="28"/>
          <w:rFonts w:ascii="仿宋" w:hAnsi="仿宋" w:eastAsia="仿宋"/>
          <w:b w:val="0"/>
          <w:bCs w:val="0"/>
        </w:rPr>
      </w:pPr>
      <w:bookmarkStart w:id="240" w:name="_Toc15396628"/>
      <w:bookmarkStart w:id="241" w:name="_Toc8933"/>
      <w:bookmarkStart w:id="242" w:name="_Toc16695"/>
      <w:bookmarkStart w:id="243" w:name="_Toc20797"/>
      <w:bookmarkStart w:id="244" w:name="_Toc30284"/>
      <w:bookmarkStart w:id="245" w:name="_Toc29703"/>
      <w:bookmarkStart w:id="246" w:name="_Toc4489"/>
      <w:r>
        <w:rPr>
          <w:rStyle w:val="28"/>
          <w:rFonts w:hint="eastAsia" w:ascii="仿宋" w:hAnsi="仿宋" w:eastAsia="仿宋"/>
          <w:b w:val="0"/>
          <w:bCs w:val="0"/>
        </w:rPr>
        <w:t>十、</w:t>
      </w:r>
      <w:bookmarkEnd w:id="240"/>
      <w:bookmarkEnd w:id="241"/>
      <w:bookmarkEnd w:id="242"/>
      <w:bookmarkEnd w:id="243"/>
      <w:bookmarkEnd w:id="244"/>
      <w:bookmarkEnd w:id="245"/>
      <w:bookmarkEnd w:id="246"/>
      <w:r>
        <w:rPr>
          <w:rStyle w:val="28"/>
          <w:rFonts w:hint="eastAsia" w:ascii="仿宋" w:hAnsi="仿宋" w:eastAsia="仿宋"/>
          <w:b w:val="0"/>
          <w:bCs w:val="0"/>
        </w:rPr>
        <w:t>政府性基金预算财政拨款收入支出决算表</w:t>
      </w:r>
    </w:p>
    <w:p>
      <w:pPr>
        <w:pStyle w:val="3"/>
        <w:spacing w:before="0" w:after="0" w:line="576" w:lineRule="exact"/>
        <w:rPr>
          <w:rStyle w:val="28"/>
          <w:rFonts w:ascii="仿宋" w:hAnsi="仿宋" w:eastAsia="仿宋"/>
          <w:b w:val="0"/>
          <w:bCs w:val="0"/>
        </w:rPr>
      </w:pPr>
      <w:bookmarkStart w:id="247" w:name="_Toc12130"/>
      <w:bookmarkStart w:id="248" w:name="_Toc5945"/>
      <w:bookmarkStart w:id="249" w:name="_Toc10655"/>
      <w:bookmarkStart w:id="250" w:name="_Toc19627"/>
      <w:bookmarkStart w:id="251" w:name="_Toc6312"/>
      <w:bookmarkStart w:id="252" w:name="_Toc29664"/>
      <w:bookmarkStart w:id="253" w:name="_Toc15396629"/>
      <w:r>
        <w:rPr>
          <w:rStyle w:val="28"/>
          <w:rFonts w:hint="eastAsia" w:ascii="仿宋" w:hAnsi="仿宋" w:eastAsia="仿宋"/>
          <w:b w:val="0"/>
          <w:bCs w:val="0"/>
        </w:rPr>
        <w:t>十一、</w:t>
      </w:r>
      <w:bookmarkEnd w:id="247"/>
      <w:bookmarkEnd w:id="248"/>
      <w:bookmarkEnd w:id="249"/>
      <w:bookmarkEnd w:id="250"/>
      <w:bookmarkEnd w:id="251"/>
      <w:bookmarkEnd w:id="252"/>
      <w:bookmarkEnd w:id="253"/>
      <w:r>
        <w:rPr>
          <w:rStyle w:val="28"/>
          <w:rFonts w:hint="eastAsia" w:ascii="仿宋" w:hAnsi="仿宋" w:eastAsia="仿宋"/>
          <w:b w:val="0"/>
          <w:bCs w:val="0"/>
        </w:rPr>
        <w:t>国有资本经营预算财政拨款收入支出决算表</w:t>
      </w:r>
    </w:p>
    <w:p>
      <w:pPr>
        <w:pStyle w:val="3"/>
        <w:spacing w:before="0" w:after="0" w:line="576" w:lineRule="exact"/>
        <w:rPr>
          <w:rStyle w:val="28"/>
          <w:rFonts w:ascii="仿宋" w:hAnsi="仿宋" w:eastAsia="仿宋"/>
          <w:b w:val="0"/>
          <w:bCs w:val="0"/>
        </w:rPr>
      </w:pPr>
      <w:bookmarkStart w:id="254" w:name="_Toc26650"/>
      <w:bookmarkStart w:id="255" w:name="_Toc15396630"/>
      <w:bookmarkStart w:id="256" w:name="_Toc21814"/>
      <w:bookmarkStart w:id="257" w:name="_Toc4550"/>
      <w:bookmarkStart w:id="258" w:name="_Toc12810"/>
      <w:bookmarkStart w:id="259" w:name="_Toc26626"/>
      <w:bookmarkStart w:id="260" w:name="_Toc15602"/>
      <w:r>
        <w:rPr>
          <w:rStyle w:val="28"/>
          <w:rFonts w:hint="eastAsia" w:ascii="仿宋" w:hAnsi="仿宋" w:eastAsia="仿宋"/>
          <w:b w:val="0"/>
          <w:bCs w:val="0"/>
        </w:rPr>
        <w:t>十二、</w:t>
      </w:r>
      <w:bookmarkEnd w:id="254"/>
      <w:bookmarkEnd w:id="255"/>
      <w:bookmarkEnd w:id="256"/>
      <w:bookmarkEnd w:id="257"/>
      <w:bookmarkEnd w:id="258"/>
      <w:bookmarkEnd w:id="259"/>
      <w:bookmarkEnd w:id="260"/>
      <w:r>
        <w:rPr>
          <w:rStyle w:val="28"/>
          <w:rFonts w:hint="eastAsia" w:ascii="仿宋" w:hAnsi="仿宋" w:eastAsia="仿宋"/>
          <w:b w:val="0"/>
          <w:bCs w:val="0"/>
        </w:rPr>
        <w:t>国有资本经营预算财政拨款支出决算表</w:t>
      </w:r>
    </w:p>
    <w:p>
      <w:pPr>
        <w:pStyle w:val="3"/>
        <w:spacing w:before="0" w:after="0" w:line="576" w:lineRule="exact"/>
        <w:rPr>
          <w:rStyle w:val="28"/>
          <w:rFonts w:ascii="仿宋" w:hAnsi="仿宋" w:eastAsia="仿宋"/>
          <w:b w:val="0"/>
          <w:bCs w:val="0"/>
        </w:rPr>
      </w:pPr>
      <w:bookmarkStart w:id="261" w:name="_Toc21412"/>
      <w:bookmarkStart w:id="262" w:name="_Toc28643"/>
      <w:bookmarkStart w:id="263" w:name="_Toc19202"/>
      <w:bookmarkStart w:id="264" w:name="_Toc12620"/>
      <w:bookmarkStart w:id="265" w:name="_Toc30100"/>
      <w:bookmarkStart w:id="266" w:name="_Toc15396631"/>
      <w:bookmarkStart w:id="267" w:name="_Toc10918"/>
      <w:r>
        <w:rPr>
          <w:rStyle w:val="28"/>
          <w:rFonts w:hint="eastAsia" w:ascii="仿宋" w:hAnsi="仿宋" w:eastAsia="仿宋"/>
          <w:b w:val="0"/>
          <w:bCs w:val="0"/>
        </w:rPr>
        <w:t>十三、</w:t>
      </w:r>
      <w:bookmarkEnd w:id="261"/>
      <w:bookmarkEnd w:id="262"/>
      <w:bookmarkEnd w:id="263"/>
      <w:bookmarkEnd w:id="264"/>
      <w:bookmarkEnd w:id="265"/>
      <w:bookmarkEnd w:id="266"/>
      <w:bookmarkEnd w:id="267"/>
      <w:r>
        <w:rPr>
          <w:rStyle w:val="28"/>
          <w:rFonts w:hint="eastAsia" w:ascii="仿宋" w:hAnsi="仿宋" w:eastAsia="仿宋"/>
          <w:b w:val="0"/>
          <w:bCs w:val="0"/>
        </w:rPr>
        <w:t>财政拨款“三公”经费支出决算表</w:t>
      </w:r>
    </w:p>
    <w:sectPr>
      <w:pgSz w:w="11905" w:h="16838"/>
      <w:pgMar w:top="2098" w:right="1474" w:bottom="1984" w:left="1587" w:header="851" w:footer="1559" w:gutter="0"/>
      <w:cols w:space="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E5308F-4F4B-4467-968B-5F330DBC753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4744E1BB-0ABC-4936-BC56-16191E6B9355}"/>
  </w:font>
  <w:font w:name="仿宋">
    <w:panose1 w:val="02010609060101010101"/>
    <w:charset w:val="86"/>
    <w:family w:val="modern"/>
    <w:pitch w:val="default"/>
    <w:sig w:usb0="800002BF" w:usb1="38CF7CFA" w:usb2="00000016" w:usb3="00000000" w:csb0="00040001" w:csb1="00000000"/>
    <w:embedRegular r:id="rId3" w:fontKey="{1810F787-7509-44A4-A920-A94C789013F6}"/>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embedRegular r:id="rId4" w:fontKey="{7F7BE799-28B2-4231-A780-5B3E30FB8D30}"/>
  </w:font>
  <w:font w:name="微软雅黑">
    <w:panose1 w:val="020B0503020204020204"/>
    <w:charset w:val="86"/>
    <w:family w:val="swiss"/>
    <w:pitch w:val="default"/>
    <w:sig w:usb0="80000287" w:usb1="280F3C52" w:usb2="00000016" w:usb3="00000000" w:csb0="0004001F" w:csb1="00000000"/>
    <w:embedRegular r:id="rId5" w:fontKey="{FEEE619E-1CED-46E1-9E13-373D91A58F48}"/>
  </w:font>
  <w:font w:name="楷体_GB2312">
    <w:panose1 w:val="02010609030101010101"/>
    <w:charset w:val="86"/>
    <w:family w:val="auto"/>
    <w:pitch w:val="default"/>
    <w:sig w:usb0="00000001" w:usb1="080E0000" w:usb2="00000000" w:usb3="00000000" w:csb0="00040000" w:csb1="00000000"/>
    <w:embedRegular r:id="rId6" w:fontKey="{D20061A8-D46A-4ED6-86BD-A35B81E3F59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4102" o:spid="_x0000_s4102"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path/>
          <v:fill on="f" focussize="0,0"/>
          <v:stroke on="f" weight="0.5pt" joinstyle="miter"/>
          <v:imagedata o:title=""/>
          <o:lock v:ext="edit"/>
          <v:textbox inset="0mm,0mm,0mm,0mm" style="mso-fit-shape-to-text:t;">
            <w:txbxContent>
              <w:p>
                <w:pPr>
                  <w:pStyle w:val="9"/>
                  <w:jc w:val="center"/>
                  <w:rPr>
                    <w:rFonts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PAGE   \* MERGEFORMAT</w:instrText>
                </w:r>
                <w:r>
                  <w:rPr>
                    <w:rFonts w:hint="eastAsia" w:ascii="宋体" w:hAnsi="宋体" w:cs="宋体"/>
                    <w:sz w:val="28"/>
                    <w:szCs w:val="28"/>
                  </w:rPr>
                  <w:fldChar w:fldCharType="separate"/>
                </w:r>
                <w:r>
                  <w:rPr>
                    <w:rFonts w:ascii="宋体" w:hAnsi="宋体" w:cs="宋体"/>
                    <w:sz w:val="28"/>
                    <w:szCs w:val="28"/>
                  </w:rPr>
                  <w:t>24</w:t>
                </w:r>
                <w:r>
                  <w:rPr>
                    <w:rFonts w:hint="eastAsia" w:ascii="宋体" w:hAnsi="宋体" w:cs="宋体"/>
                    <w:sz w:val="28"/>
                    <w:szCs w:val="28"/>
                  </w:rPr>
                  <w:fldChar w:fldCharType="end"/>
                </w:r>
                <w:r>
                  <w:rPr>
                    <w:rFonts w:hint="eastAsia" w:ascii="宋体" w:hAnsi="宋体" w:cs="宋体"/>
                    <w:sz w:val="28"/>
                    <w:szCs w:val="28"/>
                  </w:rPr>
                  <w:t>—</w:t>
                </w:r>
              </w:p>
            </w:txbxContent>
          </v:textbox>
        </v:shape>
      </w:pict>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82C3A"/>
    <w:multiLevelType w:val="singleLevel"/>
    <w:tmpl w:val="95582C3A"/>
    <w:lvl w:ilvl="0" w:tentative="0">
      <w:start w:val="2"/>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pPr>
        <w:ind w:left="-1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doNotTrackMoves/>
  <w:documentProtection w:enforcement="0"/>
  <w:defaultTabStop w:val="420"/>
  <w:drawingGridHorizontalSpacing w:val="105"/>
  <w:drawingGridVerticalSpacing w:val="158"/>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ZjMGMzYjg0MzczODZlMjYxODkwYTRjZmFjNGFhMzgifQ=="/>
  </w:docVars>
  <w:rsids>
    <w:rsidRoot w:val="00F1361C"/>
    <w:rsid w:val="00014407"/>
    <w:rsid w:val="000222C6"/>
    <w:rsid w:val="0002549F"/>
    <w:rsid w:val="00026EF5"/>
    <w:rsid w:val="00040540"/>
    <w:rsid w:val="000468DB"/>
    <w:rsid w:val="0006487A"/>
    <w:rsid w:val="00065F8F"/>
    <w:rsid w:val="00070A43"/>
    <w:rsid w:val="000768F2"/>
    <w:rsid w:val="0009184B"/>
    <w:rsid w:val="00094077"/>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B6E31"/>
    <w:rsid w:val="001C0962"/>
    <w:rsid w:val="001C254A"/>
    <w:rsid w:val="001D7531"/>
    <w:rsid w:val="001E737D"/>
    <w:rsid w:val="001F0592"/>
    <w:rsid w:val="001F7506"/>
    <w:rsid w:val="002006CD"/>
    <w:rsid w:val="00202B36"/>
    <w:rsid w:val="00204B7A"/>
    <w:rsid w:val="00204CDE"/>
    <w:rsid w:val="00204D59"/>
    <w:rsid w:val="0021101A"/>
    <w:rsid w:val="002119F5"/>
    <w:rsid w:val="00220536"/>
    <w:rsid w:val="00230F86"/>
    <w:rsid w:val="00235629"/>
    <w:rsid w:val="00260C38"/>
    <w:rsid w:val="002616C0"/>
    <w:rsid w:val="00265372"/>
    <w:rsid w:val="002662AA"/>
    <w:rsid w:val="0028029E"/>
    <w:rsid w:val="00280496"/>
    <w:rsid w:val="00294DC9"/>
    <w:rsid w:val="00295495"/>
    <w:rsid w:val="002A31DE"/>
    <w:rsid w:val="002A41C6"/>
    <w:rsid w:val="002B2613"/>
    <w:rsid w:val="002D4E3D"/>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6718"/>
    <w:rsid w:val="003C7B60"/>
    <w:rsid w:val="003D0C0F"/>
    <w:rsid w:val="003D1FB2"/>
    <w:rsid w:val="003D66DA"/>
    <w:rsid w:val="003E1310"/>
    <w:rsid w:val="003E1C9D"/>
    <w:rsid w:val="003E6F55"/>
    <w:rsid w:val="00406254"/>
    <w:rsid w:val="004223DE"/>
    <w:rsid w:val="00434489"/>
    <w:rsid w:val="00437085"/>
    <w:rsid w:val="00443880"/>
    <w:rsid w:val="004464F4"/>
    <w:rsid w:val="0045225F"/>
    <w:rsid w:val="004670AB"/>
    <w:rsid w:val="00471401"/>
    <w:rsid w:val="00473F31"/>
    <w:rsid w:val="0048263A"/>
    <w:rsid w:val="00487E5D"/>
    <w:rsid w:val="004A374F"/>
    <w:rsid w:val="004A711F"/>
    <w:rsid w:val="004B199D"/>
    <w:rsid w:val="004B4690"/>
    <w:rsid w:val="004E0A2D"/>
    <w:rsid w:val="004E206B"/>
    <w:rsid w:val="004E6DF7"/>
    <w:rsid w:val="004F0FBD"/>
    <w:rsid w:val="00505A47"/>
    <w:rsid w:val="00512FDA"/>
    <w:rsid w:val="00520DA0"/>
    <w:rsid w:val="00527029"/>
    <w:rsid w:val="00565378"/>
    <w:rsid w:val="005664BB"/>
    <w:rsid w:val="00566FFA"/>
    <w:rsid w:val="0057481D"/>
    <w:rsid w:val="0058486E"/>
    <w:rsid w:val="00585B33"/>
    <w:rsid w:val="0059014D"/>
    <w:rsid w:val="005B5C64"/>
    <w:rsid w:val="005C5337"/>
    <w:rsid w:val="005C6BD0"/>
    <w:rsid w:val="005D1C8B"/>
    <w:rsid w:val="005D468D"/>
    <w:rsid w:val="005D5CED"/>
    <w:rsid w:val="005F1A4C"/>
    <w:rsid w:val="005F311F"/>
    <w:rsid w:val="00605688"/>
    <w:rsid w:val="006070AF"/>
    <w:rsid w:val="00607E6C"/>
    <w:rsid w:val="006101B1"/>
    <w:rsid w:val="00614E44"/>
    <w:rsid w:val="0062270A"/>
    <w:rsid w:val="00622830"/>
    <w:rsid w:val="00623DA0"/>
    <w:rsid w:val="00630AEF"/>
    <w:rsid w:val="00630E8D"/>
    <w:rsid w:val="006325F8"/>
    <w:rsid w:val="00633463"/>
    <w:rsid w:val="00634C9A"/>
    <w:rsid w:val="006440E4"/>
    <w:rsid w:val="0066343B"/>
    <w:rsid w:val="00664777"/>
    <w:rsid w:val="006748A4"/>
    <w:rsid w:val="00681A31"/>
    <w:rsid w:val="00683E73"/>
    <w:rsid w:val="00691F38"/>
    <w:rsid w:val="006A3141"/>
    <w:rsid w:val="006A5E34"/>
    <w:rsid w:val="006B2422"/>
    <w:rsid w:val="006B2B9A"/>
    <w:rsid w:val="006C1937"/>
    <w:rsid w:val="006F020C"/>
    <w:rsid w:val="007127B7"/>
    <w:rsid w:val="0071506F"/>
    <w:rsid w:val="007173A3"/>
    <w:rsid w:val="0071798E"/>
    <w:rsid w:val="007416B6"/>
    <w:rsid w:val="00746F48"/>
    <w:rsid w:val="0075404D"/>
    <w:rsid w:val="0076182A"/>
    <w:rsid w:val="00767B7E"/>
    <w:rsid w:val="0077467E"/>
    <w:rsid w:val="007761B7"/>
    <w:rsid w:val="007770C3"/>
    <w:rsid w:val="00784D24"/>
    <w:rsid w:val="00785FBA"/>
    <w:rsid w:val="00786E4A"/>
    <w:rsid w:val="007875EB"/>
    <w:rsid w:val="0079426B"/>
    <w:rsid w:val="007D099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550E"/>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480C"/>
    <w:rsid w:val="0098660A"/>
    <w:rsid w:val="009931C3"/>
    <w:rsid w:val="009B2C43"/>
    <w:rsid w:val="009B3114"/>
    <w:rsid w:val="009B4EAE"/>
    <w:rsid w:val="009B7573"/>
    <w:rsid w:val="009C22F4"/>
    <w:rsid w:val="009C2A4B"/>
    <w:rsid w:val="009C2E98"/>
    <w:rsid w:val="009D3447"/>
    <w:rsid w:val="009D4711"/>
    <w:rsid w:val="009E009F"/>
    <w:rsid w:val="009E1D50"/>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47972"/>
    <w:rsid w:val="00A56DF2"/>
    <w:rsid w:val="00A56E6E"/>
    <w:rsid w:val="00A67AB5"/>
    <w:rsid w:val="00A733B2"/>
    <w:rsid w:val="00A741C2"/>
    <w:rsid w:val="00A846FF"/>
    <w:rsid w:val="00A9032A"/>
    <w:rsid w:val="00A91760"/>
    <w:rsid w:val="00A93B00"/>
    <w:rsid w:val="00A93C21"/>
    <w:rsid w:val="00AB64C9"/>
    <w:rsid w:val="00AC3C6A"/>
    <w:rsid w:val="00AD5620"/>
    <w:rsid w:val="00AD59C8"/>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D679E"/>
    <w:rsid w:val="00BF5BD6"/>
    <w:rsid w:val="00C03E31"/>
    <w:rsid w:val="00C33E72"/>
    <w:rsid w:val="00C354B2"/>
    <w:rsid w:val="00C35554"/>
    <w:rsid w:val="00C42709"/>
    <w:rsid w:val="00C533CC"/>
    <w:rsid w:val="00C5751C"/>
    <w:rsid w:val="00C61BFC"/>
    <w:rsid w:val="00C62B85"/>
    <w:rsid w:val="00C65438"/>
    <w:rsid w:val="00C83BCE"/>
    <w:rsid w:val="00C87FD8"/>
    <w:rsid w:val="00C91381"/>
    <w:rsid w:val="00C91CBB"/>
    <w:rsid w:val="00CB4E70"/>
    <w:rsid w:val="00CC09B6"/>
    <w:rsid w:val="00CC666F"/>
    <w:rsid w:val="00CD1E3F"/>
    <w:rsid w:val="00CD2FDE"/>
    <w:rsid w:val="00CD7F0E"/>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87CCF"/>
    <w:rsid w:val="00DA634F"/>
    <w:rsid w:val="00DA65AC"/>
    <w:rsid w:val="00DB1913"/>
    <w:rsid w:val="00DC410D"/>
    <w:rsid w:val="00DC5A81"/>
    <w:rsid w:val="00DC68CA"/>
    <w:rsid w:val="00DC7CBA"/>
    <w:rsid w:val="00DD73B7"/>
    <w:rsid w:val="00DF28BC"/>
    <w:rsid w:val="00DF34B9"/>
    <w:rsid w:val="00E00B83"/>
    <w:rsid w:val="00E01053"/>
    <w:rsid w:val="00E07ACF"/>
    <w:rsid w:val="00E331A1"/>
    <w:rsid w:val="00E33202"/>
    <w:rsid w:val="00E336A9"/>
    <w:rsid w:val="00E472B1"/>
    <w:rsid w:val="00E50624"/>
    <w:rsid w:val="00E568DF"/>
    <w:rsid w:val="00E6220E"/>
    <w:rsid w:val="00E64269"/>
    <w:rsid w:val="00E82267"/>
    <w:rsid w:val="00E83E62"/>
    <w:rsid w:val="00E853CE"/>
    <w:rsid w:val="00E867B6"/>
    <w:rsid w:val="00EA010F"/>
    <w:rsid w:val="00ED1B63"/>
    <w:rsid w:val="00ED3C1F"/>
    <w:rsid w:val="00ED4085"/>
    <w:rsid w:val="00ED420E"/>
    <w:rsid w:val="00ED6FBE"/>
    <w:rsid w:val="00EE2F57"/>
    <w:rsid w:val="00EE799F"/>
    <w:rsid w:val="00EF4C34"/>
    <w:rsid w:val="00EF77C6"/>
    <w:rsid w:val="00F05438"/>
    <w:rsid w:val="00F1361C"/>
    <w:rsid w:val="00F156F0"/>
    <w:rsid w:val="00F160C7"/>
    <w:rsid w:val="00F2408F"/>
    <w:rsid w:val="00F240E9"/>
    <w:rsid w:val="00F36D8F"/>
    <w:rsid w:val="00F417B1"/>
    <w:rsid w:val="00F45853"/>
    <w:rsid w:val="00F602DF"/>
    <w:rsid w:val="00F754A1"/>
    <w:rsid w:val="00F760C7"/>
    <w:rsid w:val="00F81FD9"/>
    <w:rsid w:val="00F841AA"/>
    <w:rsid w:val="00F84A94"/>
    <w:rsid w:val="00F87E96"/>
    <w:rsid w:val="00FA23E8"/>
    <w:rsid w:val="00FA45FD"/>
    <w:rsid w:val="00FD3CC1"/>
    <w:rsid w:val="00FF1E02"/>
    <w:rsid w:val="00FF30B4"/>
    <w:rsid w:val="01405CB5"/>
    <w:rsid w:val="01974A72"/>
    <w:rsid w:val="024F56D9"/>
    <w:rsid w:val="0293426A"/>
    <w:rsid w:val="02CF14AA"/>
    <w:rsid w:val="02F6136A"/>
    <w:rsid w:val="034F5D29"/>
    <w:rsid w:val="036B5FCD"/>
    <w:rsid w:val="03D62FC9"/>
    <w:rsid w:val="03D96696"/>
    <w:rsid w:val="03F35D89"/>
    <w:rsid w:val="04044A83"/>
    <w:rsid w:val="047D1717"/>
    <w:rsid w:val="04B65AC7"/>
    <w:rsid w:val="0506793D"/>
    <w:rsid w:val="063574ED"/>
    <w:rsid w:val="066E0107"/>
    <w:rsid w:val="06D27E9C"/>
    <w:rsid w:val="06FA0DFD"/>
    <w:rsid w:val="073C456C"/>
    <w:rsid w:val="07572B98"/>
    <w:rsid w:val="07824101"/>
    <w:rsid w:val="07996F6E"/>
    <w:rsid w:val="07C766CF"/>
    <w:rsid w:val="08202AE5"/>
    <w:rsid w:val="088521A6"/>
    <w:rsid w:val="08B50556"/>
    <w:rsid w:val="08D05DA9"/>
    <w:rsid w:val="091755A7"/>
    <w:rsid w:val="09EE1557"/>
    <w:rsid w:val="0A175F9F"/>
    <w:rsid w:val="0A2032A3"/>
    <w:rsid w:val="0AB1291A"/>
    <w:rsid w:val="0AC027B0"/>
    <w:rsid w:val="0AE11CB9"/>
    <w:rsid w:val="0AEE3D69"/>
    <w:rsid w:val="0B212BCE"/>
    <w:rsid w:val="0B480119"/>
    <w:rsid w:val="0BEC359B"/>
    <w:rsid w:val="0BF10AA0"/>
    <w:rsid w:val="0C004E10"/>
    <w:rsid w:val="0C02422A"/>
    <w:rsid w:val="0C653200"/>
    <w:rsid w:val="0C7358DA"/>
    <w:rsid w:val="0CDC6727"/>
    <w:rsid w:val="0D5D7F7A"/>
    <w:rsid w:val="0DB7190D"/>
    <w:rsid w:val="0EE95D7A"/>
    <w:rsid w:val="0F164D4D"/>
    <w:rsid w:val="0F4A7B25"/>
    <w:rsid w:val="101860EC"/>
    <w:rsid w:val="10C055FF"/>
    <w:rsid w:val="11591A84"/>
    <w:rsid w:val="115F7210"/>
    <w:rsid w:val="11655896"/>
    <w:rsid w:val="118107EC"/>
    <w:rsid w:val="12184440"/>
    <w:rsid w:val="121A7943"/>
    <w:rsid w:val="121B0ED4"/>
    <w:rsid w:val="12557610"/>
    <w:rsid w:val="12B04A66"/>
    <w:rsid w:val="12E3158A"/>
    <w:rsid w:val="12F96AB4"/>
    <w:rsid w:val="13052DC4"/>
    <w:rsid w:val="131555DD"/>
    <w:rsid w:val="13486D30"/>
    <w:rsid w:val="13D50BC4"/>
    <w:rsid w:val="13F16B7D"/>
    <w:rsid w:val="14697B69"/>
    <w:rsid w:val="14902E96"/>
    <w:rsid w:val="155D6391"/>
    <w:rsid w:val="156E7A6A"/>
    <w:rsid w:val="15F55695"/>
    <w:rsid w:val="15F9112A"/>
    <w:rsid w:val="164B3423"/>
    <w:rsid w:val="16547C2D"/>
    <w:rsid w:val="16853C7F"/>
    <w:rsid w:val="16B6041B"/>
    <w:rsid w:val="16BB723D"/>
    <w:rsid w:val="16E00551"/>
    <w:rsid w:val="175B6261"/>
    <w:rsid w:val="178033FE"/>
    <w:rsid w:val="17806C93"/>
    <w:rsid w:val="17A36DC6"/>
    <w:rsid w:val="1812470B"/>
    <w:rsid w:val="187831B6"/>
    <w:rsid w:val="188A6953"/>
    <w:rsid w:val="189B0DEC"/>
    <w:rsid w:val="18A43C7A"/>
    <w:rsid w:val="19800165"/>
    <w:rsid w:val="19A33B9D"/>
    <w:rsid w:val="19B802BF"/>
    <w:rsid w:val="19C9185E"/>
    <w:rsid w:val="19D3216D"/>
    <w:rsid w:val="19FE0A33"/>
    <w:rsid w:val="1A104617"/>
    <w:rsid w:val="1A78681D"/>
    <w:rsid w:val="1A8E0352"/>
    <w:rsid w:val="1AF84F97"/>
    <w:rsid w:val="1B0B3181"/>
    <w:rsid w:val="1B1F438E"/>
    <w:rsid w:val="1B6D1F0E"/>
    <w:rsid w:val="1B86412F"/>
    <w:rsid w:val="1B943558"/>
    <w:rsid w:val="1BE8440E"/>
    <w:rsid w:val="1BE85FD5"/>
    <w:rsid w:val="1BF146E6"/>
    <w:rsid w:val="1C9F7D02"/>
    <w:rsid w:val="1D155CEE"/>
    <w:rsid w:val="1D5B3CB8"/>
    <w:rsid w:val="1DA503D9"/>
    <w:rsid w:val="1E3B5B2B"/>
    <w:rsid w:val="1E685864"/>
    <w:rsid w:val="1F5570C1"/>
    <w:rsid w:val="1FE223DD"/>
    <w:rsid w:val="200C5ECA"/>
    <w:rsid w:val="20805846"/>
    <w:rsid w:val="20982E05"/>
    <w:rsid w:val="209E0C02"/>
    <w:rsid w:val="212152E8"/>
    <w:rsid w:val="21246D4B"/>
    <w:rsid w:val="217649F2"/>
    <w:rsid w:val="218D7E9A"/>
    <w:rsid w:val="228E65E4"/>
    <w:rsid w:val="22A12A16"/>
    <w:rsid w:val="22FA25EF"/>
    <w:rsid w:val="23050980"/>
    <w:rsid w:val="234F08C0"/>
    <w:rsid w:val="23542304"/>
    <w:rsid w:val="236B4CE3"/>
    <w:rsid w:val="23860B96"/>
    <w:rsid w:val="23953EC0"/>
    <w:rsid w:val="23D137A1"/>
    <w:rsid w:val="240371BF"/>
    <w:rsid w:val="252B33D9"/>
    <w:rsid w:val="25F8629A"/>
    <w:rsid w:val="270678D7"/>
    <w:rsid w:val="270E3C60"/>
    <w:rsid w:val="273E22EF"/>
    <w:rsid w:val="274B1605"/>
    <w:rsid w:val="274D4B08"/>
    <w:rsid w:val="276E08C0"/>
    <w:rsid w:val="27F751B9"/>
    <w:rsid w:val="280B3FC1"/>
    <w:rsid w:val="2827226D"/>
    <w:rsid w:val="284113D3"/>
    <w:rsid w:val="287610F2"/>
    <w:rsid w:val="28EA7DAC"/>
    <w:rsid w:val="291C1880"/>
    <w:rsid w:val="29FD04D3"/>
    <w:rsid w:val="2A2B40D9"/>
    <w:rsid w:val="2A8E045D"/>
    <w:rsid w:val="2B0B32AA"/>
    <w:rsid w:val="2B2955B1"/>
    <w:rsid w:val="2B2F7FE6"/>
    <w:rsid w:val="2B642A3F"/>
    <w:rsid w:val="2B914808"/>
    <w:rsid w:val="2BB51544"/>
    <w:rsid w:val="2BBC6951"/>
    <w:rsid w:val="2BC43D5D"/>
    <w:rsid w:val="2BCD6BEB"/>
    <w:rsid w:val="2BD51A79"/>
    <w:rsid w:val="2C344819"/>
    <w:rsid w:val="2C3F712F"/>
    <w:rsid w:val="2C63508D"/>
    <w:rsid w:val="2C8A61B5"/>
    <w:rsid w:val="2CA55BDF"/>
    <w:rsid w:val="2CB6149A"/>
    <w:rsid w:val="2D2F0F51"/>
    <w:rsid w:val="2D6D0C73"/>
    <w:rsid w:val="2DBA5111"/>
    <w:rsid w:val="2DC518B5"/>
    <w:rsid w:val="2DE47F8D"/>
    <w:rsid w:val="2DF04E50"/>
    <w:rsid w:val="2E2A66CA"/>
    <w:rsid w:val="2E48446E"/>
    <w:rsid w:val="2E7D06D3"/>
    <w:rsid w:val="2F513F2E"/>
    <w:rsid w:val="2FF40F03"/>
    <w:rsid w:val="30252571"/>
    <w:rsid w:val="30347DA4"/>
    <w:rsid w:val="305E0BE8"/>
    <w:rsid w:val="30B43B75"/>
    <w:rsid w:val="30B97FFD"/>
    <w:rsid w:val="311822EF"/>
    <w:rsid w:val="315E6398"/>
    <w:rsid w:val="319F7F4E"/>
    <w:rsid w:val="31A237FE"/>
    <w:rsid w:val="32180206"/>
    <w:rsid w:val="32E2418A"/>
    <w:rsid w:val="32F8632E"/>
    <w:rsid w:val="332B3CDC"/>
    <w:rsid w:val="339B7340"/>
    <w:rsid w:val="33B4426B"/>
    <w:rsid w:val="347D6A46"/>
    <w:rsid w:val="34E56399"/>
    <w:rsid w:val="34F57284"/>
    <w:rsid w:val="34F65DF3"/>
    <w:rsid w:val="359F7AA1"/>
    <w:rsid w:val="36471B1F"/>
    <w:rsid w:val="36A003AE"/>
    <w:rsid w:val="36A77D38"/>
    <w:rsid w:val="36AA5135"/>
    <w:rsid w:val="36ED3925"/>
    <w:rsid w:val="36EEF398"/>
    <w:rsid w:val="377265FD"/>
    <w:rsid w:val="37757EA8"/>
    <w:rsid w:val="378035E9"/>
    <w:rsid w:val="37C33A32"/>
    <w:rsid w:val="37C716C8"/>
    <w:rsid w:val="37E16F03"/>
    <w:rsid w:val="37F5545C"/>
    <w:rsid w:val="37F70CA4"/>
    <w:rsid w:val="38327B47"/>
    <w:rsid w:val="389F7E39"/>
    <w:rsid w:val="38C0691B"/>
    <w:rsid w:val="3942025E"/>
    <w:rsid w:val="39BA6041"/>
    <w:rsid w:val="39C656D7"/>
    <w:rsid w:val="39EB6D4A"/>
    <w:rsid w:val="3A28654C"/>
    <w:rsid w:val="3A8A1AFF"/>
    <w:rsid w:val="3AD70D5D"/>
    <w:rsid w:val="3ADD4E9F"/>
    <w:rsid w:val="3B3742B4"/>
    <w:rsid w:val="3B4667ED"/>
    <w:rsid w:val="3B585D3F"/>
    <w:rsid w:val="3BEE5FE1"/>
    <w:rsid w:val="3BF85CB6"/>
    <w:rsid w:val="3C6E5CF0"/>
    <w:rsid w:val="3D8A7087"/>
    <w:rsid w:val="3D98207C"/>
    <w:rsid w:val="3E390C7A"/>
    <w:rsid w:val="3E6842C3"/>
    <w:rsid w:val="3E7D40AA"/>
    <w:rsid w:val="3E824F32"/>
    <w:rsid w:val="3EC978AA"/>
    <w:rsid w:val="3EE023E4"/>
    <w:rsid w:val="3EE06334"/>
    <w:rsid w:val="3F7349CA"/>
    <w:rsid w:val="3FF077F6"/>
    <w:rsid w:val="40452EED"/>
    <w:rsid w:val="40A75C9F"/>
    <w:rsid w:val="41666FD7"/>
    <w:rsid w:val="42287095"/>
    <w:rsid w:val="42376048"/>
    <w:rsid w:val="42454447"/>
    <w:rsid w:val="42B65CB1"/>
    <w:rsid w:val="42DF16FF"/>
    <w:rsid w:val="42E046F5"/>
    <w:rsid w:val="42ED13DD"/>
    <w:rsid w:val="42ED2C81"/>
    <w:rsid w:val="43140575"/>
    <w:rsid w:val="43433AB3"/>
    <w:rsid w:val="43E9058E"/>
    <w:rsid w:val="441930C8"/>
    <w:rsid w:val="446908C9"/>
    <w:rsid w:val="44E268DA"/>
    <w:rsid w:val="45456FB2"/>
    <w:rsid w:val="456B71F2"/>
    <w:rsid w:val="458B3B0F"/>
    <w:rsid w:val="460F188E"/>
    <w:rsid w:val="46100A37"/>
    <w:rsid w:val="461F4717"/>
    <w:rsid w:val="462036D5"/>
    <w:rsid w:val="46803DD6"/>
    <w:rsid w:val="46816D3A"/>
    <w:rsid w:val="468808C3"/>
    <w:rsid w:val="46E83A48"/>
    <w:rsid w:val="472707CD"/>
    <w:rsid w:val="472E48D4"/>
    <w:rsid w:val="47A3396B"/>
    <w:rsid w:val="48176428"/>
    <w:rsid w:val="483E4902"/>
    <w:rsid w:val="48765EF0"/>
    <w:rsid w:val="49086B1B"/>
    <w:rsid w:val="49295994"/>
    <w:rsid w:val="492C413F"/>
    <w:rsid w:val="49303592"/>
    <w:rsid w:val="499F0E56"/>
    <w:rsid w:val="4A004A7C"/>
    <w:rsid w:val="4A136C16"/>
    <w:rsid w:val="4A627F82"/>
    <w:rsid w:val="4A6E3785"/>
    <w:rsid w:val="4A7F2511"/>
    <w:rsid w:val="4A873352"/>
    <w:rsid w:val="4A8E6560"/>
    <w:rsid w:val="4B143DF0"/>
    <w:rsid w:val="4B4475D2"/>
    <w:rsid w:val="4B4F25DA"/>
    <w:rsid w:val="4B597A3E"/>
    <w:rsid w:val="4B857FDF"/>
    <w:rsid w:val="4BB20860"/>
    <w:rsid w:val="4BC66911"/>
    <w:rsid w:val="4BE068DB"/>
    <w:rsid w:val="4BF21EC3"/>
    <w:rsid w:val="4BFB2271"/>
    <w:rsid w:val="4C796657"/>
    <w:rsid w:val="4CD01FFC"/>
    <w:rsid w:val="4D5015E7"/>
    <w:rsid w:val="4D53256B"/>
    <w:rsid w:val="4D577224"/>
    <w:rsid w:val="4D700028"/>
    <w:rsid w:val="4DE6755C"/>
    <w:rsid w:val="4E2305F0"/>
    <w:rsid w:val="4E6A7B35"/>
    <w:rsid w:val="4EAB630A"/>
    <w:rsid w:val="4EC73B91"/>
    <w:rsid w:val="4ECE2238"/>
    <w:rsid w:val="4FC235E9"/>
    <w:rsid w:val="4FEF31B4"/>
    <w:rsid w:val="50355FCF"/>
    <w:rsid w:val="505B24E3"/>
    <w:rsid w:val="50A770DF"/>
    <w:rsid w:val="515404FD"/>
    <w:rsid w:val="515B2E61"/>
    <w:rsid w:val="517E0251"/>
    <w:rsid w:val="51FE3C0C"/>
    <w:rsid w:val="526C4D2E"/>
    <w:rsid w:val="528D1027"/>
    <w:rsid w:val="52F61A46"/>
    <w:rsid w:val="52FB2C81"/>
    <w:rsid w:val="53292F0F"/>
    <w:rsid w:val="53607807"/>
    <w:rsid w:val="536166CE"/>
    <w:rsid w:val="53682BBC"/>
    <w:rsid w:val="53D53D51"/>
    <w:rsid w:val="53FE5EDD"/>
    <w:rsid w:val="54795826"/>
    <w:rsid w:val="54BC4C16"/>
    <w:rsid w:val="54E3249D"/>
    <w:rsid w:val="54F372B3"/>
    <w:rsid w:val="551F5152"/>
    <w:rsid w:val="5533088A"/>
    <w:rsid w:val="553B58E4"/>
    <w:rsid w:val="5645418D"/>
    <w:rsid w:val="569C60AA"/>
    <w:rsid w:val="569E4FA0"/>
    <w:rsid w:val="56D65686"/>
    <w:rsid w:val="56FC06FF"/>
    <w:rsid w:val="57044ED0"/>
    <w:rsid w:val="57235785"/>
    <w:rsid w:val="573C440F"/>
    <w:rsid w:val="579F72CD"/>
    <w:rsid w:val="57C25403"/>
    <w:rsid w:val="5843585C"/>
    <w:rsid w:val="5846521D"/>
    <w:rsid w:val="58722B28"/>
    <w:rsid w:val="58C625B2"/>
    <w:rsid w:val="58C75B40"/>
    <w:rsid w:val="59587923"/>
    <w:rsid w:val="59AD15AB"/>
    <w:rsid w:val="59BE699D"/>
    <w:rsid w:val="59F477A1"/>
    <w:rsid w:val="5A650D5A"/>
    <w:rsid w:val="5ACD71C7"/>
    <w:rsid w:val="5AF92295"/>
    <w:rsid w:val="5B443C4B"/>
    <w:rsid w:val="5B9C20DB"/>
    <w:rsid w:val="5BBF6B72"/>
    <w:rsid w:val="5BC93EA4"/>
    <w:rsid w:val="5C001E00"/>
    <w:rsid w:val="5C0F6B97"/>
    <w:rsid w:val="5C121D1A"/>
    <w:rsid w:val="5C23571B"/>
    <w:rsid w:val="5CD71FC4"/>
    <w:rsid w:val="5D3F1487"/>
    <w:rsid w:val="5E224A77"/>
    <w:rsid w:val="5E79378D"/>
    <w:rsid w:val="5E7D6299"/>
    <w:rsid w:val="5E8A6AE7"/>
    <w:rsid w:val="5EF430D7"/>
    <w:rsid w:val="5EFA4FE0"/>
    <w:rsid w:val="5F2345A8"/>
    <w:rsid w:val="5F644B92"/>
    <w:rsid w:val="5FDF198D"/>
    <w:rsid w:val="5FEA0B84"/>
    <w:rsid w:val="5FFBBE8C"/>
    <w:rsid w:val="60741838"/>
    <w:rsid w:val="60AA37E9"/>
    <w:rsid w:val="60BA4265"/>
    <w:rsid w:val="60D42960"/>
    <w:rsid w:val="60DA41F1"/>
    <w:rsid w:val="61CB4DFE"/>
    <w:rsid w:val="62612D73"/>
    <w:rsid w:val="629C2F58"/>
    <w:rsid w:val="62CC4571"/>
    <w:rsid w:val="62F23D84"/>
    <w:rsid w:val="630D670F"/>
    <w:rsid w:val="631344AF"/>
    <w:rsid w:val="631D58D9"/>
    <w:rsid w:val="63392A57"/>
    <w:rsid w:val="636225DE"/>
    <w:rsid w:val="63FE7312"/>
    <w:rsid w:val="63FF63A4"/>
    <w:rsid w:val="649B4C1C"/>
    <w:rsid w:val="64AD61BC"/>
    <w:rsid w:val="64C97722"/>
    <w:rsid w:val="656520E7"/>
    <w:rsid w:val="66376316"/>
    <w:rsid w:val="674A3201"/>
    <w:rsid w:val="677221C7"/>
    <w:rsid w:val="67BC3137"/>
    <w:rsid w:val="685272C6"/>
    <w:rsid w:val="696D3286"/>
    <w:rsid w:val="69EC15D6"/>
    <w:rsid w:val="6A2353BE"/>
    <w:rsid w:val="6A34069C"/>
    <w:rsid w:val="6A753740"/>
    <w:rsid w:val="6B344DF0"/>
    <w:rsid w:val="6B635940"/>
    <w:rsid w:val="6C206234"/>
    <w:rsid w:val="6C4A05C8"/>
    <w:rsid w:val="6CBC5B71"/>
    <w:rsid w:val="6D150A76"/>
    <w:rsid w:val="6D59546B"/>
    <w:rsid w:val="6D8952C5"/>
    <w:rsid w:val="6DB4096C"/>
    <w:rsid w:val="6DBF5F5C"/>
    <w:rsid w:val="6E360C61"/>
    <w:rsid w:val="6E4B1B00"/>
    <w:rsid w:val="6E70494A"/>
    <w:rsid w:val="6E7E3605"/>
    <w:rsid w:val="6EE34C25"/>
    <w:rsid w:val="6F783447"/>
    <w:rsid w:val="6F8B248C"/>
    <w:rsid w:val="6FCE4AF0"/>
    <w:rsid w:val="6FEF2100"/>
    <w:rsid w:val="6FF5CC65"/>
    <w:rsid w:val="70481945"/>
    <w:rsid w:val="70893AA1"/>
    <w:rsid w:val="71267CAF"/>
    <w:rsid w:val="71535E5D"/>
    <w:rsid w:val="715C0E4B"/>
    <w:rsid w:val="722978DD"/>
    <w:rsid w:val="723039E4"/>
    <w:rsid w:val="72734D90"/>
    <w:rsid w:val="72DE2883"/>
    <w:rsid w:val="72EB4117"/>
    <w:rsid w:val="73065FC6"/>
    <w:rsid w:val="738E514E"/>
    <w:rsid w:val="73AD73D5"/>
    <w:rsid w:val="73B6EB34"/>
    <w:rsid w:val="73D36613"/>
    <w:rsid w:val="74092195"/>
    <w:rsid w:val="74292E19"/>
    <w:rsid w:val="74B41184"/>
    <w:rsid w:val="74E36C10"/>
    <w:rsid w:val="75A82D16"/>
    <w:rsid w:val="75B07E05"/>
    <w:rsid w:val="75C15E3F"/>
    <w:rsid w:val="75D373DE"/>
    <w:rsid w:val="76232660"/>
    <w:rsid w:val="7648159B"/>
    <w:rsid w:val="765C7DD7"/>
    <w:rsid w:val="774175B4"/>
    <w:rsid w:val="77B57B27"/>
    <w:rsid w:val="788719AE"/>
    <w:rsid w:val="78C728B3"/>
    <w:rsid w:val="78CB70BB"/>
    <w:rsid w:val="78ED61EF"/>
    <w:rsid w:val="78FDAAF2"/>
    <w:rsid w:val="793F707A"/>
    <w:rsid w:val="794C37FB"/>
    <w:rsid w:val="798A03F3"/>
    <w:rsid w:val="798DE8E7"/>
    <w:rsid w:val="79956784"/>
    <w:rsid w:val="79D81204"/>
    <w:rsid w:val="79EE5BA4"/>
    <w:rsid w:val="79F0141C"/>
    <w:rsid w:val="7A163A0F"/>
    <w:rsid w:val="7A32769F"/>
    <w:rsid w:val="7A7E7D69"/>
    <w:rsid w:val="7A894339"/>
    <w:rsid w:val="7AD87AFF"/>
    <w:rsid w:val="7AFD02D5"/>
    <w:rsid w:val="7C117EC2"/>
    <w:rsid w:val="7C60211A"/>
    <w:rsid w:val="7C823954"/>
    <w:rsid w:val="7CA771C1"/>
    <w:rsid w:val="7D0A03B5"/>
    <w:rsid w:val="7D7809E9"/>
    <w:rsid w:val="7DBF2109"/>
    <w:rsid w:val="7DC6090E"/>
    <w:rsid w:val="7E1322BB"/>
    <w:rsid w:val="7E7A3A8F"/>
    <w:rsid w:val="7EE17432"/>
    <w:rsid w:val="7EEF11D3"/>
    <w:rsid w:val="7F1E0D19"/>
    <w:rsid w:val="7F4D1868"/>
    <w:rsid w:val="7FA30C79"/>
    <w:rsid w:val="7FC250AB"/>
    <w:rsid w:val="7FC96657"/>
    <w:rsid w:val="7FFCB0A3"/>
    <w:rsid w:val="7FFDF335"/>
    <w:rsid w:val="9FA9232A"/>
    <w:rsid w:val="A6BF5862"/>
    <w:rsid w:val="B3FBAAAD"/>
    <w:rsid w:val="BD5B3CA3"/>
    <w:rsid w:val="BDA7A251"/>
    <w:rsid w:val="D2F50551"/>
    <w:rsid w:val="D67D5315"/>
    <w:rsid w:val="D8D6DB89"/>
    <w:rsid w:val="DB6F4CAB"/>
    <w:rsid w:val="DF6F9789"/>
    <w:rsid w:val="EBBF2203"/>
    <w:rsid w:val="FB32D6FF"/>
    <w:rsid w:val="FEDF2CF5"/>
    <w:rsid w:val="FF0D3603"/>
    <w:rsid w:val="FFF711AB"/>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Cambria" w:hAnsi="Cambria" w:cs="黑体"/>
      <w:b/>
      <w:bCs/>
      <w:sz w:val="32"/>
      <w:szCs w:val="32"/>
    </w:rPr>
  </w:style>
  <w:style w:type="paragraph" w:styleId="4">
    <w:name w:val="heading 3"/>
    <w:basedOn w:val="1"/>
    <w:next w:val="1"/>
    <w:link w:val="30"/>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rFonts w:ascii="Calibri" w:hAnsi="Calibri"/>
    </w:rPr>
  </w:style>
  <w:style w:type="paragraph" w:styleId="6">
    <w:name w:val="Body Text"/>
    <w:basedOn w:val="1"/>
    <w:link w:val="26"/>
    <w:qFormat/>
    <w:uiPriority w:val="99"/>
    <w:pPr>
      <w:spacing w:beforeLines="30"/>
    </w:pPr>
    <w:rPr>
      <w:rFonts w:ascii="仿宋_GB2312" w:eastAsia="仿宋_GB2312"/>
      <w:kern w:val="0"/>
      <w:sz w:val="24"/>
      <w:szCs w:val="2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kern w:val="0"/>
      <w:sz w:val="18"/>
      <w:szCs w:val="20"/>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u w:val="single"/>
    </w:r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8">
    <w:name w:val="列出段落1"/>
    <w:basedOn w:val="1"/>
    <w:qFormat/>
    <w:uiPriority w:val="34"/>
    <w:pPr>
      <w:ind w:firstLine="420" w:firstLineChars="200"/>
    </w:pPr>
  </w:style>
  <w:style w:type="paragraph" w:customStyle="1" w:styleId="19">
    <w:name w:val="TOC 标题1"/>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20">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character" w:customStyle="1" w:styleId="21">
    <w:name w:val="Header Char"/>
    <w:basedOn w:val="14"/>
    <w:semiHidden/>
    <w:qFormat/>
    <w:uiPriority w:val="99"/>
    <w:rPr>
      <w:rFonts w:ascii="Times New Roman" w:hAnsi="Times New Roman"/>
      <w:sz w:val="18"/>
      <w:szCs w:val="18"/>
    </w:rPr>
  </w:style>
  <w:style w:type="character" w:customStyle="1" w:styleId="22">
    <w:name w:val="页眉 Char"/>
    <w:link w:val="10"/>
    <w:semiHidden/>
    <w:qFormat/>
    <w:locked/>
    <w:uiPriority w:val="99"/>
    <w:rPr>
      <w:sz w:val="18"/>
    </w:rPr>
  </w:style>
  <w:style w:type="character" w:customStyle="1" w:styleId="23">
    <w:name w:val="Footer Char"/>
    <w:basedOn w:val="14"/>
    <w:semiHidden/>
    <w:qFormat/>
    <w:uiPriority w:val="99"/>
    <w:rPr>
      <w:rFonts w:ascii="Times New Roman" w:hAnsi="Times New Roman"/>
      <w:sz w:val="18"/>
      <w:szCs w:val="18"/>
    </w:rPr>
  </w:style>
  <w:style w:type="character" w:customStyle="1" w:styleId="24">
    <w:name w:val="页脚 Char"/>
    <w:link w:val="9"/>
    <w:qFormat/>
    <w:locked/>
    <w:uiPriority w:val="99"/>
    <w:rPr>
      <w:sz w:val="18"/>
    </w:rPr>
  </w:style>
  <w:style w:type="character" w:customStyle="1" w:styleId="25">
    <w:name w:val="Body Text Char"/>
    <w:basedOn w:val="14"/>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character" w:customStyle="1" w:styleId="27">
    <w:name w:val="标题 1 Char"/>
    <w:basedOn w:val="14"/>
    <w:link w:val="2"/>
    <w:qFormat/>
    <w:uiPriority w:val="9"/>
    <w:rPr>
      <w:rFonts w:ascii="Times New Roman" w:hAnsi="Times New Roman"/>
      <w:b/>
      <w:bCs/>
      <w:kern w:val="44"/>
      <w:sz w:val="44"/>
      <w:szCs w:val="44"/>
    </w:rPr>
  </w:style>
  <w:style w:type="character" w:customStyle="1" w:styleId="28">
    <w:name w:val="标题 2 Char"/>
    <w:basedOn w:val="14"/>
    <w:link w:val="3"/>
    <w:qFormat/>
    <w:uiPriority w:val="9"/>
    <w:rPr>
      <w:rFonts w:ascii="Cambria" w:hAnsi="Cambria" w:eastAsia="宋体" w:cs="黑体"/>
      <w:b/>
      <w:bCs/>
      <w:kern w:val="2"/>
      <w:sz w:val="32"/>
      <w:szCs w:val="32"/>
    </w:rPr>
  </w:style>
  <w:style w:type="character" w:customStyle="1" w:styleId="29">
    <w:name w:val="批注框文本 Char"/>
    <w:basedOn w:val="14"/>
    <w:link w:val="8"/>
    <w:semiHidden/>
    <w:qFormat/>
    <w:uiPriority w:val="99"/>
    <w:rPr>
      <w:rFonts w:ascii="Times New Roman" w:hAnsi="Times New Roman"/>
      <w:kern w:val="2"/>
      <w:sz w:val="18"/>
      <w:szCs w:val="18"/>
    </w:rPr>
  </w:style>
  <w:style w:type="character" w:customStyle="1" w:styleId="30">
    <w:name w:val="标题 3 Char"/>
    <w:basedOn w:val="14"/>
    <w:link w:val="4"/>
    <w:qFormat/>
    <w:uiPriority w:val="9"/>
    <w:rPr>
      <w:rFonts w:ascii="Times New Roman" w:hAnsi="Times New Roman"/>
      <w:b/>
      <w:bCs/>
      <w:kern w:val="2"/>
      <w:sz w:val="32"/>
      <w:szCs w:val="32"/>
    </w:rPr>
  </w:style>
  <w:style w:type="paragraph" w:customStyle="1" w:styleId="31">
    <w:name w:val="WPSOffice手动目录 1"/>
    <w:qFormat/>
    <w:uiPriority w:val="0"/>
    <w:rPr>
      <w:rFonts w:ascii="Times New Roman" w:hAnsi="Times New Roman" w:eastAsia="宋体" w:cs="Times New Roman"/>
      <w:lang w:val="en-US" w:eastAsia="zh-CN" w:bidi="ar-SA"/>
    </w:rPr>
  </w:style>
  <w:style w:type="paragraph" w:customStyle="1" w:styleId="3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3">
    <w:name w:val="NormalCharacter"/>
    <w:qFormat/>
    <w:uiPriority w:val="0"/>
  </w:style>
  <w:style w:type="character" w:customStyle="1" w:styleId="34">
    <w:name w:val="bjh-p"/>
    <w:qFormat/>
    <w:uiPriority w:val="0"/>
  </w:style>
  <w:style w:type="character" w:customStyle="1" w:styleId="35">
    <w:name w:val="font71"/>
    <w:basedOn w:val="14"/>
    <w:qFormat/>
    <w:uiPriority w:val="0"/>
    <w:rPr>
      <w:rFonts w:hint="eastAsia" w:ascii="宋体" w:hAnsi="宋体" w:eastAsia="宋体" w:cs="宋体"/>
      <w:color w:val="000000"/>
      <w:sz w:val="18"/>
      <w:szCs w:val="18"/>
      <w:u w:val="none"/>
    </w:rPr>
  </w:style>
  <w:style w:type="character" w:customStyle="1" w:styleId="36">
    <w:name w:val="font61"/>
    <w:basedOn w:val="14"/>
    <w:qFormat/>
    <w:uiPriority w:val="0"/>
    <w:rPr>
      <w:rFonts w:hint="eastAsia" w:ascii="宋体" w:hAnsi="宋体" w:eastAsia="宋体" w:cs="宋体"/>
      <w:color w:val="000000"/>
      <w:sz w:val="18"/>
      <w:szCs w:val="18"/>
      <w:u w:val="none"/>
    </w:rPr>
  </w:style>
  <w:style w:type="paragraph" w:styleId="3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10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27</Pages>
  <Words>1971</Words>
  <Characters>11238</Characters>
  <Lines>93</Lines>
  <Paragraphs>26</Paragraphs>
  <TotalTime>5</TotalTime>
  <ScaleCrop>false</ScaleCrop>
  <LinksUpToDate>false</LinksUpToDate>
  <CharactersWithSpaces>13183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ˉChance、</cp:lastModifiedBy>
  <cp:lastPrinted>2022-09-28T02:11:00Z</cp:lastPrinted>
  <dcterms:modified xsi:type="dcterms:W3CDTF">2023-10-22T04:59:42Z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71EE4C5B63CC42F888BCD11980679D2B</vt:lpwstr>
  </property>
</Properties>
</file>