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color w:val="auto"/>
          <w:sz w:val="21"/>
          <w:szCs w:val="21"/>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pStyle w:val="6"/>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597"/>
      <w:bookmarkStart w:id="2" w:name="_Toc15396475"/>
      <w:bookmarkStart w:id="3" w:name="_Toc15378441"/>
      <w:bookmarkStart w:id="4" w:name="_Toc15377425"/>
      <w:bookmarkStart w:id="5" w:name="_Toc15377193"/>
      <w:bookmarkStart w:id="6" w:name="_Toc20079"/>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bookmarkEnd w:id="0"/>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7" w:name="_Toc20543"/>
      <w:r>
        <w:rPr>
          <w:rFonts w:hint="eastAsia" w:ascii="方正小标宋简体" w:hAnsi="方正小标宋简体" w:eastAsia="方正小标宋简体" w:cs="方正小标宋简体"/>
          <w:sz w:val="72"/>
          <w:szCs w:val="72"/>
        </w:rPr>
        <w:t>中共广元市委宣传部</w:t>
      </w:r>
      <w:bookmarkEnd w:id="7"/>
    </w:p>
    <w:p>
      <w:pPr>
        <w:adjustRightInd w:val="0"/>
        <w:snapToGrid w:val="0"/>
        <w:spacing w:line="360" w:lineRule="auto"/>
        <w:jc w:val="center"/>
        <w:outlineLvl w:val="0"/>
        <w:rPr>
          <w:rFonts w:ascii="黑体" w:hAnsi="黑体" w:eastAsia="黑体" w:cstheme="minorBidi"/>
          <w:color w:val="auto"/>
          <w:sz w:val="28"/>
          <w:szCs w:val="28"/>
          <w:highlight w:val="none"/>
        </w:rPr>
      </w:pPr>
      <w:bookmarkStart w:id="8" w:name="_Toc21797"/>
      <w:r>
        <w:rPr>
          <w:rFonts w:hint="eastAsia" w:ascii="方正小标宋简体" w:hAnsi="方正小标宋简体" w:eastAsia="方正小标宋简体" w:cs="方正小标宋简体"/>
          <w:sz w:val="72"/>
          <w:szCs w:val="72"/>
        </w:rPr>
        <w:t>单位决算</w:t>
      </w: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bookmarkEnd w:id="8"/>
    </w:p>
    <w:p>
      <w:pPr>
        <w:pStyle w:val="13"/>
        <w:rPr>
          <w:rFonts w:hint="eastAsia"/>
          <w:color w:val="auto"/>
          <w:sz w:val="24"/>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17</w:t>
      </w:r>
      <w:bookmarkStart w:id="106" w:name="_GoBack"/>
      <w:bookmarkEnd w:id="106"/>
      <w:r>
        <w:rPr>
          <w:rFonts w:hint="eastAsia"/>
          <w:color w:val="auto"/>
          <w:highlight w:val="none"/>
        </w:rPr>
        <w:t>日</w:t>
      </w:r>
    </w:p>
    <w:sdt>
      <w:sdtPr>
        <w:rPr>
          <w:rFonts w:ascii="宋体" w:hAnsi="宋体" w:eastAsia="宋体" w:cs="Times New Roman"/>
          <w:kern w:val="2"/>
          <w:sz w:val="21"/>
          <w:szCs w:val="24"/>
          <w:lang w:val="en-US" w:eastAsia="zh-CN" w:bidi="ar-SA"/>
        </w:rPr>
        <w:id w:val="147457195"/>
        <w15:color w:val="DBDBDB"/>
        <w:docPartObj>
          <w:docPartGallery w:val="Table of Contents"/>
          <w:docPartUnique/>
        </w:docPartObj>
      </w:sdtPr>
      <w:sdtEndPr>
        <w:rPr>
          <w:rFonts w:ascii="Times New Roman" w:hAnsi="Times New Roman" w:eastAsia="宋体" w:cs="Times New Roman"/>
          <w:kern w:val="2"/>
          <w:sz w:val="21"/>
          <w:szCs w:val="24"/>
          <w:lang w:val="en-US" w:eastAsia="zh-CN" w:bidi="ar-SA"/>
        </w:rPr>
      </w:sdtEndPr>
      <w:sdtContent>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fldChar w:fldCharType="begin"/>
          </w:r>
          <w:r>
            <w:instrText xml:space="preserve">TOC \o "1-3" \h \u </w:instrText>
          </w:r>
          <w:r>
            <w:fldChar w:fldCharType="separate"/>
          </w:r>
        </w:p>
        <w:p>
          <w:pPr>
            <w:pStyle w:val="13"/>
            <w:keepNext w:val="0"/>
            <w:keepLines w:val="0"/>
            <w:pageBreakBefore w:val="0"/>
            <w:widowControl w:val="0"/>
            <w:tabs>
              <w:tab w:val="right" w:leader="dot" w:pos="8844"/>
              <w:tab w:val="clear" w:pos="8296"/>
            </w:tabs>
            <w:kinsoku/>
            <w:wordWrap/>
            <w:overflowPunct/>
            <w:topLinePunct w:val="0"/>
            <w:autoSpaceDE/>
            <w:autoSpaceDN/>
            <w:bidi w:val="0"/>
            <w:spacing w:line="576" w:lineRule="exact"/>
            <w:jc w:val="both"/>
            <w:textAlignment w:val="auto"/>
          </w:pPr>
          <w:r>
            <w:fldChar w:fldCharType="begin"/>
          </w:r>
          <w:r>
            <w:instrText xml:space="preserve"> HYPERLINK \l _Toc11176 </w:instrText>
          </w:r>
          <w:r>
            <w:fldChar w:fldCharType="separate"/>
          </w:r>
          <w:r>
            <w:rPr>
              <w:rFonts w:hint="eastAsia"/>
            </w:rPr>
            <w:t xml:space="preserve">第一部分 </w:t>
          </w:r>
          <w:r>
            <w:rPr>
              <w:rFonts w:hint="eastAsia"/>
              <w:lang w:eastAsia="zh-CN"/>
            </w:rPr>
            <w:t>单位</w:t>
          </w:r>
          <w:r>
            <w:rPr>
              <w:rFonts w:hint="eastAsia"/>
            </w:rPr>
            <w:t>概况</w:t>
          </w:r>
          <w:r>
            <w:tab/>
          </w:r>
          <w:r>
            <w:fldChar w:fldCharType="begin"/>
          </w:r>
          <w:r>
            <w:instrText xml:space="preserve"> PAGEREF _Toc11176 </w:instrText>
          </w:r>
          <w:r>
            <w:fldChar w:fldCharType="separate"/>
          </w:r>
          <w:r>
            <w:t>1</w:t>
          </w:r>
          <w:r>
            <w:fldChar w:fldCharType="end"/>
          </w:r>
          <w: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_Toc11244 </w:instrText>
          </w:r>
          <w:r>
            <w:rPr>
              <w:rFonts w:hint="eastAsia"/>
              <w:color w:val="auto"/>
              <w:sz w:val="24"/>
              <w:highlight w:val="none"/>
            </w:rPr>
            <w:fldChar w:fldCharType="separate"/>
          </w:r>
          <w:r>
            <w:rPr>
              <w:rFonts w:hint="eastAsia"/>
              <w:color w:val="auto"/>
              <w:sz w:val="24"/>
              <w:highlight w:val="none"/>
              <w:lang w:eastAsia="zh-CN"/>
            </w:rPr>
            <w:t>一、主要职责</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_Toc11244 </w:instrText>
          </w:r>
          <w:r>
            <w:rPr>
              <w:rFonts w:hint="eastAsia"/>
              <w:color w:val="auto"/>
              <w:sz w:val="24"/>
              <w:highlight w:val="none"/>
            </w:rPr>
            <w:fldChar w:fldCharType="separate"/>
          </w:r>
          <w:r>
            <w:rPr>
              <w:rFonts w:hint="eastAsia"/>
              <w:color w:val="auto"/>
              <w:sz w:val="24"/>
              <w:highlight w:val="none"/>
            </w:rPr>
            <w:t>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pPr>
          <w:r>
            <w:rPr>
              <w:rFonts w:hint="eastAsia"/>
              <w:color w:val="auto"/>
              <w:sz w:val="24"/>
              <w:highlight w:val="none"/>
            </w:rPr>
            <w:fldChar w:fldCharType="begin"/>
          </w:r>
          <w:r>
            <w:rPr>
              <w:rFonts w:hint="eastAsia"/>
              <w:color w:val="auto"/>
              <w:sz w:val="24"/>
              <w:highlight w:val="none"/>
            </w:rPr>
            <w:instrText xml:space="preserve"> HYPERLINK \l _Toc17768 </w:instrText>
          </w:r>
          <w:r>
            <w:rPr>
              <w:rFonts w:hint="eastAsia"/>
              <w:color w:val="auto"/>
              <w:sz w:val="24"/>
              <w:highlight w:val="none"/>
            </w:rPr>
            <w:fldChar w:fldCharType="separate"/>
          </w:r>
          <w:r>
            <w:rPr>
              <w:rFonts w:hint="eastAsia"/>
              <w:color w:val="auto"/>
              <w:sz w:val="24"/>
              <w:highlight w:val="none"/>
              <w:lang w:val="en-US" w:eastAsia="zh-CN"/>
            </w:rPr>
            <w:t>二、机构设置....................................................................................................................1</w:t>
          </w:r>
          <w:r>
            <w:rPr>
              <w:rFonts w:hint="eastAsia"/>
              <w:color w:val="auto"/>
              <w:sz w:val="24"/>
              <w:highlight w:val="none"/>
            </w:rPr>
            <w:fldChar w:fldCharType="end"/>
          </w:r>
        </w:p>
        <w:p>
          <w:pPr>
            <w:pStyle w:val="13"/>
            <w:keepNext w:val="0"/>
            <w:keepLines w:val="0"/>
            <w:pageBreakBefore w:val="0"/>
            <w:widowControl w:val="0"/>
            <w:tabs>
              <w:tab w:val="right" w:leader="dot" w:pos="8844"/>
              <w:tab w:val="clear" w:pos="8296"/>
            </w:tabs>
            <w:kinsoku/>
            <w:wordWrap/>
            <w:overflowPunct/>
            <w:topLinePunct w:val="0"/>
            <w:autoSpaceDE/>
            <w:autoSpaceDN/>
            <w:bidi w:val="0"/>
            <w:spacing w:line="576" w:lineRule="exact"/>
            <w:jc w:val="both"/>
            <w:textAlignment w:val="auto"/>
            <w:rPr>
              <w:rFonts w:hint="default" w:eastAsia="仿宋"/>
              <w:lang w:val="en-US" w:eastAsia="zh-CN"/>
            </w:rPr>
          </w:pPr>
          <w:r>
            <w:fldChar w:fldCharType="begin"/>
          </w:r>
          <w:r>
            <w:instrText xml:space="preserve"> HYPERLINK \l _Toc30990 </w:instrText>
          </w:r>
          <w:r>
            <w:fldChar w:fldCharType="separate"/>
          </w:r>
          <w:r>
            <w:rPr>
              <w:rFonts w:hint="eastAsia"/>
            </w:rPr>
            <w:t xml:space="preserve">第二部分 </w:t>
          </w:r>
          <w:r>
            <w:rPr>
              <w:rFonts w:hint="eastAsia"/>
              <w:lang w:val="en-US" w:eastAsia="zh-CN"/>
            </w:rPr>
            <w:t>2022年度</w:t>
          </w:r>
          <w:r>
            <w:rPr>
              <w:rFonts w:hint="eastAsia"/>
              <w:lang w:eastAsia="zh-CN"/>
            </w:rPr>
            <w:t>单位</w:t>
          </w:r>
          <w:r>
            <w:rPr>
              <w:rFonts w:hint="eastAsia"/>
            </w:rPr>
            <w:t>决算情况说明</w:t>
          </w:r>
          <w:r>
            <w:rPr>
              <w:rFonts w:hint="eastAsia"/>
              <w:lang w:val="en-US" w:eastAsia="zh-CN"/>
            </w:rPr>
            <w:t>.</w:t>
          </w:r>
          <w:r>
            <w:tab/>
          </w:r>
          <w:r>
            <w:rPr>
              <w:rFonts w:hint="eastAsia"/>
              <w:lang w:val="en-US" w:eastAsia="zh-CN"/>
            </w:rPr>
            <w:t>3</w:t>
          </w:r>
          <w: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_Toc12539 </w:instrText>
          </w:r>
          <w:r>
            <w:rPr>
              <w:rFonts w:hint="eastAsia"/>
              <w:color w:val="auto"/>
              <w:sz w:val="24"/>
              <w:highlight w:val="none"/>
            </w:rPr>
            <w:fldChar w:fldCharType="separate"/>
          </w:r>
          <w:r>
            <w:rPr>
              <w:rFonts w:hint="default"/>
              <w:color w:val="auto"/>
              <w:sz w:val="24"/>
              <w:highlight w:val="none"/>
            </w:rPr>
            <w:t xml:space="preserve">一、 </w:t>
          </w:r>
          <w:r>
            <w:rPr>
              <w:rFonts w:hint="eastAsia"/>
              <w:color w:val="auto"/>
              <w:sz w:val="24"/>
              <w:highlight w:val="none"/>
            </w:rPr>
            <w:t>收入支出决算总体情况说明</w:t>
          </w:r>
          <w:r>
            <w:rPr>
              <w:rFonts w:hint="eastAsia"/>
              <w:color w:val="auto"/>
              <w:sz w:val="24"/>
              <w:highlight w:val="none"/>
              <w:lang w:val="en-US" w:eastAsia="zh-CN"/>
            </w:rPr>
            <w:t>..................................................................................3</w:t>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_Toc22280 </w:instrText>
          </w:r>
          <w:r>
            <w:rPr>
              <w:rFonts w:hint="eastAsia"/>
              <w:color w:val="auto"/>
              <w:sz w:val="24"/>
              <w:highlight w:val="none"/>
            </w:rPr>
            <w:fldChar w:fldCharType="separate"/>
          </w:r>
          <w:r>
            <w:rPr>
              <w:rFonts w:hint="default"/>
              <w:color w:val="auto"/>
              <w:sz w:val="24"/>
              <w:highlight w:val="none"/>
            </w:rPr>
            <w:t xml:space="preserve">二、 </w:t>
          </w:r>
          <w:r>
            <w:rPr>
              <w:rFonts w:hint="eastAsia"/>
              <w:color w:val="auto"/>
              <w:sz w:val="24"/>
              <w:highlight w:val="none"/>
            </w:rPr>
            <w:t>收入决算情况说明</w:t>
          </w:r>
          <w:r>
            <w:rPr>
              <w:rFonts w:hint="eastAsia"/>
              <w:color w:val="auto"/>
              <w:sz w:val="24"/>
              <w:highlight w:val="none"/>
              <w:lang w:val="en-US" w:eastAsia="zh-CN"/>
            </w:rPr>
            <w:t>..................................................................................</w:t>
          </w:r>
          <w:r>
            <w:rPr>
              <w:rFonts w:hint="eastAsia"/>
              <w:color w:val="auto"/>
              <w:sz w:val="24"/>
              <w:highlight w:val="none"/>
            </w:rPr>
            <w:tab/>
          </w:r>
          <w:r>
            <w:rPr>
              <w:rFonts w:hint="eastAsia"/>
              <w:color w:val="auto"/>
              <w:sz w:val="24"/>
              <w:highlight w:val="none"/>
              <w:lang w:val="en-US" w:eastAsia="zh-CN"/>
            </w:rPr>
            <w:t>..............3</w:t>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_Toc9532 </w:instrText>
          </w:r>
          <w:r>
            <w:rPr>
              <w:rFonts w:hint="eastAsia"/>
              <w:color w:val="auto"/>
              <w:sz w:val="24"/>
              <w:highlight w:val="none"/>
            </w:rPr>
            <w:fldChar w:fldCharType="separate"/>
          </w:r>
          <w:r>
            <w:rPr>
              <w:rFonts w:hint="default"/>
              <w:color w:val="auto"/>
              <w:sz w:val="24"/>
              <w:highlight w:val="none"/>
            </w:rPr>
            <w:t xml:space="preserve">三、 </w:t>
          </w:r>
          <w:r>
            <w:rPr>
              <w:rFonts w:hint="eastAsia"/>
              <w:color w:val="auto"/>
              <w:sz w:val="24"/>
              <w:highlight w:val="none"/>
            </w:rPr>
            <w:t>支出决算情况说明</w:t>
          </w:r>
          <w:r>
            <w:rPr>
              <w:rFonts w:hint="eastAsia"/>
              <w:color w:val="auto"/>
              <w:sz w:val="24"/>
              <w:highlight w:val="none"/>
              <w:lang w:val="en-US" w:eastAsia="zh-CN"/>
            </w:rPr>
            <w:t>.................................................................................................4</w:t>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_Toc22340 </w:instrText>
          </w:r>
          <w:r>
            <w:rPr>
              <w:rFonts w:hint="eastAsia"/>
              <w:color w:val="auto"/>
              <w:sz w:val="24"/>
              <w:highlight w:val="none"/>
            </w:rPr>
            <w:fldChar w:fldCharType="separate"/>
          </w:r>
          <w:r>
            <w:rPr>
              <w:rFonts w:hint="eastAsia"/>
              <w:color w:val="auto"/>
              <w:sz w:val="24"/>
              <w:highlight w:val="none"/>
            </w:rPr>
            <w:t>四、财政拨款收入支出决算总体情况说明</w:t>
          </w:r>
          <w:r>
            <w:rPr>
              <w:rFonts w:hint="eastAsia"/>
              <w:color w:val="auto"/>
              <w:sz w:val="24"/>
              <w:highlight w:val="none"/>
              <w:lang w:val="en-US" w:eastAsia="zh-CN"/>
            </w:rPr>
            <w:t>..................................................................4</w:t>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_Toc12635 </w:instrText>
          </w:r>
          <w:r>
            <w:rPr>
              <w:rFonts w:hint="eastAsia"/>
              <w:color w:val="auto"/>
              <w:sz w:val="24"/>
              <w:highlight w:val="none"/>
            </w:rPr>
            <w:fldChar w:fldCharType="separate"/>
          </w:r>
          <w:r>
            <w:rPr>
              <w:rFonts w:hint="eastAsia"/>
              <w:color w:val="auto"/>
              <w:sz w:val="24"/>
              <w:highlight w:val="none"/>
            </w:rPr>
            <w:t>五、一般公共预算财政拨款支出决算情况说明</w:t>
          </w:r>
          <w:r>
            <w:rPr>
              <w:rFonts w:hint="eastAsia"/>
              <w:color w:val="auto"/>
              <w:sz w:val="24"/>
              <w:highlight w:val="none"/>
              <w:lang w:val="en-US" w:eastAsia="zh-CN"/>
            </w:rPr>
            <w:t>...........................................................5</w:t>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_Toc32292 </w:instrText>
          </w:r>
          <w:r>
            <w:rPr>
              <w:rFonts w:hint="eastAsia"/>
              <w:color w:val="auto"/>
              <w:sz w:val="24"/>
              <w:highlight w:val="none"/>
            </w:rPr>
            <w:fldChar w:fldCharType="separate"/>
          </w:r>
          <w:r>
            <w:rPr>
              <w:rFonts w:hint="eastAsia"/>
              <w:color w:val="auto"/>
              <w:sz w:val="24"/>
              <w:highlight w:val="none"/>
            </w:rPr>
            <w:t>六、一般公共预算财政拨款基本支出决算情况说明</w:t>
          </w:r>
          <w:r>
            <w:rPr>
              <w:rFonts w:hint="eastAsia"/>
              <w:color w:val="auto"/>
              <w:sz w:val="24"/>
              <w:highlight w:val="none"/>
              <w:lang w:val="en-US" w:eastAsia="zh-CN"/>
            </w:rPr>
            <w:t>....................................................8</w:t>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_Toc21362 </w:instrText>
          </w:r>
          <w:r>
            <w:rPr>
              <w:rFonts w:hint="eastAsia"/>
              <w:color w:val="auto"/>
              <w:sz w:val="24"/>
              <w:highlight w:val="none"/>
            </w:rPr>
            <w:fldChar w:fldCharType="separate"/>
          </w:r>
          <w:r>
            <w:rPr>
              <w:rFonts w:hint="eastAsia"/>
              <w:color w:val="auto"/>
              <w:sz w:val="24"/>
              <w:highlight w:val="none"/>
            </w:rPr>
            <w:t>七、财政拨款“三公”经费支出决算情况说明</w:t>
          </w:r>
          <w:r>
            <w:rPr>
              <w:rFonts w:hint="eastAsia"/>
              <w:color w:val="auto"/>
              <w:sz w:val="24"/>
              <w:highlight w:val="none"/>
              <w:lang w:val="en-US" w:eastAsia="zh-CN"/>
            </w:rPr>
            <w:t>..................................................</w:t>
          </w:r>
          <w:r>
            <w:rPr>
              <w:rFonts w:hint="eastAsia"/>
              <w:color w:val="auto"/>
              <w:sz w:val="24"/>
              <w:highlight w:val="none"/>
            </w:rPr>
            <w:tab/>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_Toc21362 </w:instrText>
          </w:r>
          <w:r>
            <w:rPr>
              <w:rFonts w:hint="eastAsia"/>
              <w:color w:val="auto"/>
              <w:sz w:val="24"/>
              <w:highlight w:val="none"/>
            </w:rPr>
            <w:fldChar w:fldCharType="separate"/>
          </w:r>
          <w:r>
            <w:rPr>
              <w:rFonts w:hint="eastAsia"/>
              <w:color w:val="auto"/>
              <w:sz w:val="24"/>
              <w:highlight w:val="none"/>
            </w:rPr>
            <w:t>8</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_Toc7025 </w:instrText>
          </w:r>
          <w:r>
            <w:rPr>
              <w:rFonts w:hint="eastAsia"/>
              <w:color w:val="auto"/>
              <w:sz w:val="24"/>
              <w:highlight w:val="none"/>
            </w:rPr>
            <w:fldChar w:fldCharType="separate"/>
          </w:r>
          <w:r>
            <w:rPr>
              <w:rFonts w:hint="eastAsia"/>
              <w:color w:val="auto"/>
              <w:sz w:val="24"/>
              <w:highlight w:val="none"/>
            </w:rPr>
            <w:t>八、政府性基金预算支出决算情况说明</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_Toc7025 </w:instrText>
          </w:r>
          <w:r>
            <w:rPr>
              <w:rFonts w:hint="eastAsia"/>
              <w:color w:val="auto"/>
              <w:sz w:val="24"/>
              <w:highlight w:val="none"/>
            </w:rPr>
            <w:fldChar w:fldCharType="separate"/>
          </w:r>
          <w:r>
            <w:rPr>
              <w:rFonts w:hint="eastAsia"/>
              <w:color w:val="auto"/>
              <w:sz w:val="24"/>
              <w:highlight w:val="none"/>
            </w:rPr>
            <w:t>9</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_Toc7981 </w:instrText>
          </w:r>
          <w:r>
            <w:rPr>
              <w:rFonts w:hint="eastAsia"/>
              <w:color w:val="auto"/>
              <w:sz w:val="24"/>
              <w:highlight w:val="none"/>
            </w:rPr>
            <w:fldChar w:fldCharType="separate"/>
          </w:r>
          <w:r>
            <w:rPr>
              <w:rFonts w:hint="eastAsia"/>
              <w:color w:val="auto"/>
              <w:sz w:val="24"/>
              <w:highlight w:val="none"/>
            </w:rPr>
            <w:t>九、 国有资本经营预算支出决算情况说明</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_Toc7981 </w:instrText>
          </w:r>
          <w:r>
            <w:rPr>
              <w:rFonts w:hint="eastAsia"/>
              <w:color w:val="auto"/>
              <w:sz w:val="24"/>
              <w:highlight w:val="none"/>
            </w:rPr>
            <w:fldChar w:fldCharType="separate"/>
          </w:r>
          <w:r>
            <w:rPr>
              <w:rFonts w:hint="eastAsia"/>
              <w:color w:val="auto"/>
              <w:sz w:val="24"/>
              <w:highlight w:val="none"/>
            </w:rPr>
            <w:t>9</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pPr>
          <w:r>
            <w:rPr>
              <w:rFonts w:hint="eastAsia"/>
              <w:color w:val="auto"/>
              <w:sz w:val="24"/>
              <w:highlight w:val="none"/>
            </w:rPr>
            <w:fldChar w:fldCharType="begin"/>
          </w:r>
          <w:r>
            <w:rPr>
              <w:rFonts w:hint="eastAsia"/>
              <w:color w:val="auto"/>
              <w:sz w:val="24"/>
              <w:highlight w:val="none"/>
            </w:rPr>
            <w:instrText xml:space="preserve"> HYPERLINK \l _Toc19803 </w:instrText>
          </w:r>
          <w:r>
            <w:rPr>
              <w:rFonts w:hint="eastAsia"/>
              <w:color w:val="auto"/>
              <w:sz w:val="24"/>
              <w:highlight w:val="none"/>
            </w:rPr>
            <w:fldChar w:fldCharType="separate"/>
          </w:r>
          <w:r>
            <w:rPr>
              <w:rFonts w:hint="eastAsia"/>
              <w:color w:val="auto"/>
              <w:sz w:val="24"/>
              <w:highlight w:val="none"/>
            </w:rPr>
            <w:t>十、 其他重要事项的情况说明</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_Toc19803 </w:instrText>
          </w:r>
          <w:r>
            <w:rPr>
              <w:rFonts w:hint="eastAsia"/>
              <w:color w:val="auto"/>
              <w:sz w:val="24"/>
              <w:highlight w:val="none"/>
            </w:rPr>
            <w:fldChar w:fldCharType="separate"/>
          </w:r>
          <w:r>
            <w:rPr>
              <w:rFonts w:hint="eastAsia"/>
              <w:color w:val="auto"/>
              <w:sz w:val="24"/>
              <w:highlight w:val="none"/>
            </w:rPr>
            <w:t>10</w:t>
          </w:r>
          <w:r>
            <w:rPr>
              <w:rFonts w:hint="eastAsia"/>
              <w:color w:val="auto"/>
              <w:sz w:val="24"/>
              <w:highlight w:val="none"/>
            </w:rPr>
            <w:fldChar w:fldCharType="end"/>
          </w:r>
          <w:r>
            <w:rPr>
              <w:rFonts w:hint="eastAsia"/>
              <w:color w:val="auto"/>
              <w:sz w:val="24"/>
              <w:highlight w:val="none"/>
            </w:rPr>
            <w:fldChar w:fldCharType="end"/>
          </w:r>
        </w:p>
        <w:p>
          <w:pPr>
            <w:pStyle w:val="13"/>
            <w:keepNext w:val="0"/>
            <w:keepLines w:val="0"/>
            <w:pageBreakBefore w:val="0"/>
            <w:widowControl w:val="0"/>
            <w:tabs>
              <w:tab w:val="right" w:leader="dot" w:pos="8844"/>
              <w:tab w:val="clear" w:pos="8296"/>
            </w:tabs>
            <w:kinsoku/>
            <w:wordWrap/>
            <w:overflowPunct/>
            <w:topLinePunct w:val="0"/>
            <w:autoSpaceDE/>
            <w:autoSpaceDN/>
            <w:bidi w:val="0"/>
            <w:spacing w:line="576" w:lineRule="exact"/>
            <w:textAlignment w:val="auto"/>
            <w:rPr>
              <w:rFonts w:hint="eastAsia"/>
            </w:rPr>
          </w:pPr>
          <w:r>
            <w:rPr>
              <w:rFonts w:hint="eastAsia"/>
            </w:rPr>
            <w:fldChar w:fldCharType="begin"/>
          </w:r>
          <w:r>
            <w:rPr>
              <w:rFonts w:hint="eastAsia"/>
            </w:rPr>
            <w:instrText xml:space="preserve"> HYPERLINK \l _Toc18194 </w:instrText>
          </w:r>
          <w:r>
            <w:rPr>
              <w:rFonts w:hint="eastAsia"/>
            </w:rPr>
            <w:fldChar w:fldCharType="separate"/>
          </w:r>
          <w:r>
            <w:rPr>
              <w:rFonts w:hint="eastAsia"/>
            </w:rPr>
            <w:t>第三部分 名词解释</w:t>
          </w:r>
          <w:r>
            <w:rPr>
              <w:rFonts w:hint="eastAsia"/>
            </w:rPr>
            <w:tab/>
          </w:r>
          <w:r>
            <w:rPr>
              <w:rFonts w:hint="eastAsia"/>
            </w:rPr>
            <w:fldChar w:fldCharType="begin"/>
          </w:r>
          <w:r>
            <w:rPr>
              <w:rFonts w:hint="eastAsia"/>
            </w:rPr>
            <w:instrText xml:space="preserve"> PAGEREF _Toc18194 </w:instrText>
          </w:r>
          <w:r>
            <w:rPr>
              <w:rFonts w:hint="eastAsia"/>
            </w:rPr>
            <w:fldChar w:fldCharType="separate"/>
          </w:r>
          <w:r>
            <w:rPr>
              <w:rFonts w:hint="eastAsia"/>
            </w:rPr>
            <w:t>12</w:t>
          </w:r>
          <w:r>
            <w:rPr>
              <w:rFonts w:hint="eastAsia"/>
            </w:rPr>
            <w:fldChar w:fldCharType="end"/>
          </w:r>
          <w:r>
            <w:rPr>
              <w:rFonts w:hint="eastAsia"/>
            </w:rPr>
            <w:fldChar w:fldCharType="end"/>
          </w:r>
        </w:p>
        <w:p>
          <w:pPr>
            <w:pStyle w:val="13"/>
            <w:keepNext w:val="0"/>
            <w:keepLines w:val="0"/>
            <w:pageBreakBefore w:val="0"/>
            <w:widowControl w:val="0"/>
            <w:tabs>
              <w:tab w:val="right" w:leader="dot" w:pos="8844"/>
              <w:tab w:val="clear" w:pos="8296"/>
            </w:tabs>
            <w:kinsoku/>
            <w:wordWrap/>
            <w:overflowPunct/>
            <w:topLinePunct w:val="0"/>
            <w:autoSpaceDE/>
            <w:autoSpaceDN/>
            <w:bidi w:val="0"/>
            <w:spacing w:line="576" w:lineRule="exact"/>
            <w:jc w:val="both"/>
            <w:textAlignment w:val="auto"/>
            <w:rPr>
              <w:rFonts w:hint="eastAsia"/>
            </w:rPr>
          </w:pPr>
          <w:r>
            <w:rPr>
              <w:rFonts w:hint="eastAsia"/>
            </w:rPr>
            <w:fldChar w:fldCharType="begin"/>
          </w:r>
          <w:r>
            <w:rPr>
              <w:rFonts w:hint="eastAsia"/>
            </w:rPr>
            <w:instrText xml:space="preserve"> HYPERLINK \l _Toc12934 </w:instrText>
          </w:r>
          <w:r>
            <w:rPr>
              <w:rFonts w:hint="eastAsia"/>
            </w:rPr>
            <w:fldChar w:fldCharType="separate"/>
          </w:r>
          <w:r>
            <w:rPr>
              <w:rFonts w:hint="eastAsia"/>
            </w:rPr>
            <w:t>第四部分 附件</w:t>
          </w:r>
          <w:r>
            <w:rPr>
              <w:rFonts w:hint="eastAsia"/>
              <w:color w:val="auto"/>
              <w:sz w:val="24"/>
              <w:highlight w:val="none"/>
              <w:lang w:val="en-US" w:eastAsia="zh-CN"/>
            </w:rPr>
            <w:t>........................................................</w:t>
          </w:r>
          <w:r>
            <w:rPr>
              <w:rFonts w:hint="eastAsia"/>
            </w:rPr>
            <w:fldChar w:fldCharType="begin"/>
          </w:r>
          <w:r>
            <w:rPr>
              <w:rFonts w:hint="eastAsia"/>
            </w:rPr>
            <w:instrText xml:space="preserve"> PAGEREF _Toc12934 </w:instrText>
          </w:r>
          <w:r>
            <w:rPr>
              <w:rFonts w:hint="eastAsia"/>
            </w:rPr>
            <w:fldChar w:fldCharType="separate"/>
          </w:r>
          <w:r>
            <w:rPr>
              <w:rFonts w:hint="eastAsia"/>
            </w:rPr>
            <w:t>15</w:t>
          </w:r>
          <w:r>
            <w:rPr>
              <w:rFonts w:hint="eastAsia"/>
            </w:rPr>
            <w:fldChar w:fldCharType="end"/>
          </w:r>
          <w:r>
            <w:rPr>
              <w:rFonts w:hint="eastAsia"/>
            </w:rPr>
            <w:fldChar w:fldCharType="end"/>
          </w:r>
        </w:p>
        <w:p>
          <w:pPr>
            <w:pStyle w:val="13"/>
            <w:keepNext w:val="0"/>
            <w:keepLines w:val="0"/>
            <w:pageBreakBefore w:val="0"/>
            <w:widowControl w:val="0"/>
            <w:tabs>
              <w:tab w:val="right" w:leader="dot" w:pos="8844"/>
              <w:tab w:val="clear" w:pos="8296"/>
            </w:tabs>
            <w:kinsoku/>
            <w:wordWrap/>
            <w:overflowPunct/>
            <w:topLinePunct w:val="0"/>
            <w:autoSpaceDE/>
            <w:autoSpaceDN/>
            <w:bidi w:val="0"/>
            <w:spacing w:line="576" w:lineRule="exact"/>
            <w:textAlignment w:val="auto"/>
          </w:pPr>
          <w:r>
            <w:rPr>
              <w:rFonts w:hint="eastAsia"/>
            </w:rPr>
            <w:fldChar w:fldCharType="begin"/>
          </w:r>
          <w:r>
            <w:rPr>
              <w:rFonts w:hint="eastAsia"/>
            </w:rPr>
            <w:instrText xml:space="preserve"> HYPERLINK \l _Toc16554 </w:instrText>
          </w:r>
          <w:r>
            <w:rPr>
              <w:rFonts w:hint="eastAsia"/>
            </w:rPr>
            <w:fldChar w:fldCharType="separate"/>
          </w:r>
          <w:r>
            <w:rPr>
              <w:rFonts w:hint="eastAsia"/>
            </w:rPr>
            <w:t>第五部分 附表</w:t>
          </w:r>
          <w:r>
            <w:rPr>
              <w:rFonts w:hint="eastAsia"/>
            </w:rPr>
            <w:tab/>
          </w:r>
          <w:r>
            <w:rPr>
              <w:rFonts w:hint="eastAsia"/>
            </w:rPr>
            <w:fldChar w:fldCharType="begin"/>
          </w:r>
          <w:r>
            <w:rPr>
              <w:rFonts w:hint="eastAsia"/>
            </w:rPr>
            <w:instrText xml:space="preserve"> PAGEREF _Toc16554 </w:instrText>
          </w:r>
          <w:r>
            <w:rPr>
              <w:rFonts w:hint="eastAsia"/>
            </w:rPr>
            <w:fldChar w:fldCharType="separate"/>
          </w:r>
          <w:r>
            <w:rPr>
              <w:rFonts w:hint="eastAsia"/>
            </w:rPr>
            <w:t>41</w:t>
          </w:r>
          <w:r>
            <w:rPr>
              <w:rFonts w:hint="eastAsia"/>
            </w:rPr>
            <w:fldChar w:fldCharType="end"/>
          </w:r>
          <w:r>
            <w:rPr>
              <w:rFonts w:hint="eastAsia"/>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_Toc3378 </w:instrText>
          </w:r>
          <w:r>
            <w:rPr>
              <w:rFonts w:hint="eastAsia"/>
              <w:color w:val="auto"/>
              <w:sz w:val="24"/>
              <w:highlight w:val="none"/>
            </w:rPr>
            <w:fldChar w:fldCharType="separate"/>
          </w:r>
          <w:r>
            <w:rPr>
              <w:rFonts w:hint="eastAsia"/>
              <w:color w:val="auto"/>
              <w:sz w:val="24"/>
              <w:highlight w:val="none"/>
            </w:rPr>
            <w:t>一、收入支出决算总表</w:t>
          </w:r>
          <w:r>
            <w:rPr>
              <w:rFonts w:hint="eastAsia"/>
              <w:color w:val="auto"/>
              <w:sz w:val="24"/>
              <w:highlight w:val="none"/>
              <w:lang w:val="en-US" w:eastAsia="zh-CN"/>
            </w:rPr>
            <w:t>............................................................................................</w:t>
          </w:r>
          <w:r>
            <w:rPr>
              <w:rFonts w:hint="eastAsia"/>
              <w:color w:val="auto"/>
              <w:sz w:val="24"/>
              <w:highlight w:val="none"/>
            </w:rPr>
            <w:tab/>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_Toc3378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_Toc18804 </w:instrText>
          </w:r>
          <w:r>
            <w:rPr>
              <w:rFonts w:hint="eastAsia"/>
              <w:color w:val="auto"/>
              <w:sz w:val="24"/>
              <w:highlight w:val="none"/>
            </w:rPr>
            <w:fldChar w:fldCharType="separate"/>
          </w:r>
          <w:r>
            <w:rPr>
              <w:rFonts w:hint="eastAsia"/>
              <w:color w:val="auto"/>
              <w:sz w:val="24"/>
              <w:highlight w:val="none"/>
            </w:rPr>
            <w:t>二、收入决算表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_Toc18804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_Toc23310 </w:instrText>
          </w:r>
          <w:r>
            <w:rPr>
              <w:rFonts w:hint="eastAsia"/>
              <w:color w:val="auto"/>
              <w:sz w:val="24"/>
              <w:highlight w:val="none"/>
            </w:rPr>
            <w:fldChar w:fldCharType="separate"/>
          </w:r>
          <w:r>
            <w:rPr>
              <w:rFonts w:hint="eastAsia"/>
              <w:color w:val="auto"/>
              <w:sz w:val="24"/>
              <w:highlight w:val="none"/>
            </w:rPr>
            <w:t>三、支出决算表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_Toc23310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_Toc3918 </w:instrText>
          </w:r>
          <w:r>
            <w:rPr>
              <w:rFonts w:hint="eastAsia"/>
              <w:color w:val="auto"/>
              <w:sz w:val="24"/>
              <w:highlight w:val="none"/>
            </w:rPr>
            <w:fldChar w:fldCharType="separate"/>
          </w:r>
          <w:r>
            <w:rPr>
              <w:rFonts w:hint="eastAsia"/>
              <w:color w:val="auto"/>
              <w:sz w:val="24"/>
              <w:highlight w:val="none"/>
            </w:rPr>
            <w:t>四、财政拨款收入支出决算总表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_Toc3918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_Toc17112 </w:instrText>
          </w:r>
          <w:r>
            <w:rPr>
              <w:rFonts w:hint="eastAsia"/>
              <w:color w:val="auto"/>
              <w:sz w:val="24"/>
              <w:highlight w:val="none"/>
            </w:rPr>
            <w:fldChar w:fldCharType="separate"/>
          </w:r>
          <w:r>
            <w:rPr>
              <w:rFonts w:hint="eastAsia"/>
              <w:color w:val="auto"/>
              <w:sz w:val="24"/>
              <w:highlight w:val="none"/>
            </w:rPr>
            <w:t>五、财政拨款支出决算明细表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_Toc17112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_Toc21766 </w:instrText>
          </w:r>
          <w:r>
            <w:rPr>
              <w:rFonts w:hint="eastAsia"/>
              <w:color w:val="auto"/>
              <w:sz w:val="24"/>
              <w:highlight w:val="none"/>
            </w:rPr>
            <w:fldChar w:fldCharType="separate"/>
          </w:r>
          <w:r>
            <w:rPr>
              <w:rFonts w:hint="eastAsia"/>
              <w:color w:val="auto"/>
              <w:sz w:val="24"/>
              <w:highlight w:val="none"/>
            </w:rPr>
            <w:t>六、一般公共预算财政拨款支出决算表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_Toc21766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_Toc32518 </w:instrText>
          </w:r>
          <w:r>
            <w:rPr>
              <w:rFonts w:hint="eastAsia"/>
              <w:color w:val="auto"/>
              <w:sz w:val="24"/>
              <w:highlight w:val="none"/>
            </w:rPr>
            <w:fldChar w:fldCharType="separate"/>
          </w:r>
          <w:r>
            <w:rPr>
              <w:rFonts w:hint="eastAsia"/>
              <w:color w:val="auto"/>
              <w:sz w:val="24"/>
              <w:highlight w:val="none"/>
            </w:rPr>
            <w:t>七、一般公共预算财政拨款支出决算明细表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_Toc32518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_Toc27290 </w:instrText>
          </w:r>
          <w:r>
            <w:rPr>
              <w:rFonts w:hint="eastAsia"/>
              <w:color w:val="auto"/>
              <w:sz w:val="24"/>
              <w:highlight w:val="none"/>
            </w:rPr>
            <w:fldChar w:fldCharType="separate"/>
          </w:r>
          <w:r>
            <w:rPr>
              <w:rFonts w:hint="eastAsia"/>
              <w:color w:val="auto"/>
              <w:sz w:val="24"/>
              <w:highlight w:val="none"/>
            </w:rPr>
            <w:t>八、一般公共预算财政拨款基本支出决算表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_Toc27290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_Toc2448 </w:instrText>
          </w:r>
          <w:r>
            <w:rPr>
              <w:rFonts w:hint="eastAsia"/>
              <w:color w:val="auto"/>
              <w:sz w:val="24"/>
              <w:highlight w:val="none"/>
            </w:rPr>
            <w:fldChar w:fldCharType="separate"/>
          </w:r>
          <w:r>
            <w:rPr>
              <w:rFonts w:hint="eastAsia"/>
              <w:color w:val="auto"/>
              <w:sz w:val="24"/>
              <w:highlight w:val="none"/>
            </w:rPr>
            <w:t>九、一般公共预算财政拨款项目支出决算表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_Toc2448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_Toc27723 </w:instrText>
          </w:r>
          <w:r>
            <w:rPr>
              <w:rFonts w:hint="eastAsia"/>
              <w:color w:val="auto"/>
              <w:sz w:val="24"/>
              <w:highlight w:val="none"/>
            </w:rPr>
            <w:fldChar w:fldCharType="separate"/>
          </w:r>
          <w:r>
            <w:rPr>
              <w:rFonts w:hint="eastAsia"/>
              <w:color w:val="auto"/>
              <w:sz w:val="24"/>
              <w:highlight w:val="none"/>
            </w:rPr>
            <w:t>十、政府性基金预算财政拨款收入支出决算表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_Toc27723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_Toc5941 </w:instrText>
          </w:r>
          <w:r>
            <w:rPr>
              <w:rFonts w:hint="eastAsia"/>
              <w:color w:val="auto"/>
              <w:sz w:val="24"/>
              <w:highlight w:val="none"/>
            </w:rPr>
            <w:fldChar w:fldCharType="separate"/>
          </w:r>
          <w:r>
            <w:rPr>
              <w:rFonts w:hint="eastAsia"/>
              <w:color w:val="auto"/>
              <w:sz w:val="24"/>
              <w:highlight w:val="none"/>
            </w:rPr>
            <w:t>十一、国有资本经营预算财政拨款收入支出决算表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_Toc5941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rPr>
              <w:rFonts w:hint="eastAsia"/>
              <w:color w:val="auto"/>
              <w:sz w:val="24"/>
              <w:highlight w:val="none"/>
            </w:rPr>
          </w:pPr>
          <w:r>
            <w:rPr>
              <w:rFonts w:hint="eastAsia"/>
              <w:color w:val="auto"/>
              <w:sz w:val="24"/>
              <w:highlight w:val="none"/>
            </w:rPr>
            <w:fldChar w:fldCharType="begin"/>
          </w:r>
          <w:r>
            <w:rPr>
              <w:rFonts w:hint="eastAsia"/>
              <w:color w:val="auto"/>
              <w:sz w:val="24"/>
              <w:highlight w:val="none"/>
            </w:rPr>
            <w:instrText xml:space="preserve"> HYPERLINK \l _Toc10065 </w:instrText>
          </w:r>
          <w:r>
            <w:rPr>
              <w:rFonts w:hint="eastAsia"/>
              <w:color w:val="auto"/>
              <w:sz w:val="24"/>
              <w:highlight w:val="none"/>
            </w:rPr>
            <w:fldChar w:fldCharType="separate"/>
          </w:r>
          <w:r>
            <w:rPr>
              <w:rFonts w:hint="eastAsia"/>
              <w:color w:val="auto"/>
              <w:sz w:val="24"/>
              <w:highlight w:val="none"/>
            </w:rPr>
            <w:t>十二、国有资本经营预算财政拨款支出决算表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_Toc10065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pStyle w:val="14"/>
            <w:keepNext w:val="0"/>
            <w:keepLines w:val="0"/>
            <w:pageBreakBefore w:val="0"/>
            <w:widowControl w:val="0"/>
            <w:kinsoku/>
            <w:wordWrap/>
            <w:overflowPunct/>
            <w:topLinePunct w:val="0"/>
            <w:autoSpaceDE/>
            <w:autoSpaceDN/>
            <w:bidi w:val="0"/>
            <w:adjustRightInd w:val="0"/>
            <w:snapToGrid w:val="0"/>
            <w:spacing w:line="576" w:lineRule="exact"/>
            <w:jc w:val="left"/>
            <w:textAlignment w:val="auto"/>
          </w:pPr>
          <w:r>
            <w:rPr>
              <w:rFonts w:hint="eastAsia"/>
              <w:color w:val="auto"/>
              <w:sz w:val="24"/>
              <w:highlight w:val="none"/>
            </w:rPr>
            <w:fldChar w:fldCharType="begin"/>
          </w:r>
          <w:r>
            <w:rPr>
              <w:rFonts w:hint="eastAsia"/>
              <w:color w:val="auto"/>
              <w:sz w:val="24"/>
              <w:highlight w:val="none"/>
            </w:rPr>
            <w:instrText xml:space="preserve"> HYPERLINK \l _Toc26080 </w:instrText>
          </w:r>
          <w:r>
            <w:rPr>
              <w:rFonts w:hint="eastAsia"/>
              <w:color w:val="auto"/>
              <w:sz w:val="24"/>
              <w:highlight w:val="none"/>
            </w:rPr>
            <w:fldChar w:fldCharType="separate"/>
          </w:r>
          <w:r>
            <w:rPr>
              <w:rFonts w:hint="eastAsia"/>
              <w:color w:val="auto"/>
              <w:sz w:val="24"/>
              <w:highlight w:val="none"/>
            </w:rPr>
            <w:t>十三、财政拨款“三公”经费支出决算表</w:t>
          </w:r>
          <w:r>
            <w:rPr>
              <w:rFonts w:hint="eastAsia"/>
              <w:color w:val="auto"/>
              <w:sz w:val="24"/>
              <w:highlight w:val="none"/>
              <w:lang w:val="en-US" w:eastAsia="zh-CN"/>
            </w:rPr>
            <w:t>.....................................................................</w:t>
          </w:r>
          <w:r>
            <w:rPr>
              <w:rFonts w:hint="eastAsia"/>
              <w:color w:val="auto"/>
              <w:sz w:val="24"/>
              <w:highlight w:val="none"/>
            </w:rPr>
            <w:fldChar w:fldCharType="begin"/>
          </w:r>
          <w:r>
            <w:rPr>
              <w:rFonts w:hint="eastAsia"/>
              <w:color w:val="auto"/>
              <w:sz w:val="24"/>
              <w:highlight w:val="none"/>
            </w:rPr>
            <w:instrText xml:space="preserve"> PAGEREF _Toc26080 </w:instrText>
          </w:r>
          <w:r>
            <w:rPr>
              <w:rFonts w:hint="eastAsia"/>
              <w:color w:val="auto"/>
              <w:sz w:val="24"/>
              <w:highlight w:val="none"/>
            </w:rPr>
            <w:fldChar w:fldCharType="separate"/>
          </w:r>
          <w:r>
            <w:rPr>
              <w:rFonts w:hint="eastAsia"/>
              <w:color w:val="auto"/>
              <w:sz w:val="24"/>
              <w:highlight w:val="none"/>
            </w:rPr>
            <w:t>41</w:t>
          </w:r>
          <w:r>
            <w:rPr>
              <w:rFonts w:hint="eastAsia"/>
              <w:color w:val="auto"/>
              <w:sz w:val="24"/>
              <w:highlight w:val="none"/>
            </w:rPr>
            <w:fldChar w:fldCharType="end"/>
          </w:r>
          <w:r>
            <w:rPr>
              <w:rFonts w:hint="eastAsia"/>
              <w:color w:val="auto"/>
              <w:sz w:val="24"/>
              <w:highlight w:val="none"/>
            </w:rPr>
            <w:fldChar w:fldCharType="end"/>
          </w:r>
        </w:p>
        <w:p>
          <w:pPr>
            <w:keepNext w:val="0"/>
            <w:keepLines w:val="0"/>
            <w:pageBreakBefore w:val="0"/>
            <w:widowControl w:val="0"/>
            <w:kinsoku/>
            <w:wordWrap/>
            <w:overflowPunct/>
            <w:topLinePunct w:val="0"/>
            <w:autoSpaceDE/>
            <w:autoSpaceDN/>
            <w:bidi w:val="0"/>
            <w:spacing w:line="576" w:lineRule="exact"/>
            <w:textAlignment w:val="auto"/>
          </w:pPr>
          <w:r>
            <w:fldChar w:fldCharType="end"/>
          </w:r>
        </w:p>
      </w:sdtContent>
    </w:sdt>
    <w:p>
      <w:pPr>
        <w:pStyle w:val="3"/>
        <w:jc w:val="center"/>
        <w:rPr>
          <w:rFonts w:hint="eastAsia" w:ascii="黑体" w:hAnsi="黑体" w:eastAsia="黑体"/>
          <w:b w:val="0"/>
          <w:color w:val="auto"/>
          <w:highlight w:val="none"/>
        </w:rPr>
      </w:pPr>
      <w:bookmarkStart w:id="9" w:name="_Toc11176"/>
      <w:bookmarkStart w:id="10" w:name="_Toc15396599"/>
      <w:bookmarkStart w:id="11" w:name="_Toc15377196"/>
    </w:p>
    <w:p>
      <w:pPr>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tabs>
          <w:tab w:val="left" w:pos="5519"/>
        </w:tabs>
        <w:rPr>
          <w:rFonts w:hint="eastAsia" w:ascii="黑体" w:hAnsi="黑体" w:eastAsia="黑体"/>
          <w:b w:val="0"/>
          <w:color w:val="auto"/>
          <w:highlight w:val="none"/>
          <w:lang w:eastAsia="zh-CN"/>
        </w:rPr>
      </w:pPr>
      <w:r>
        <w:rPr>
          <w:rFonts w:hint="eastAsia" w:ascii="黑体" w:hAnsi="黑体" w:eastAsia="黑体"/>
          <w:b w:val="0"/>
          <w:color w:val="auto"/>
          <w:highlight w:val="none"/>
          <w:lang w:eastAsia="zh-CN"/>
        </w:rPr>
        <w:tab/>
      </w:r>
    </w:p>
    <w:p>
      <w:pPr>
        <w:pStyle w:val="2"/>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rPr>
          <w:rFonts w:hint="eastAsia" w:ascii="黑体" w:hAnsi="黑体" w:eastAsia="黑体"/>
          <w:b w:val="0"/>
          <w:color w:val="auto"/>
          <w:highlight w:val="none"/>
        </w:rPr>
      </w:pPr>
    </w:p>
    <w:p>
      <w:pPr>
        <w:pStyle w:val="2"/>
        <w:rPr>
          <w:rFonts w:hint="eastAsia" w:ascii="黑体" w:hAnsi="黑体" w:eastAsia="黑体"/>
          <w:b w:val="0"/>
          <w:color w:val="auto"/>
          <w:highlight w:val="none"/>
        </w:rPr>
      </w:pPr>
    </w:p>
    <w:p>
      <w:pPr>
        <w:pStyle w:val="3"/>
        <w:jc w:val="center"/>
        <w:rPr>
          <w:rFonts w:hint="eastAsia" w:ascii="黑体" w:hAnsi="黑体" w:eastAsia="黑体"/>
          <w:b w:val="0"/>
          <w:color w:val="auto"/>
          <w:highlight w:val="none"/>
        </w:rPr>
        <w:sectPr>
          <w:pgSz w:w="11906" w:h="16838"/>
          <w:pgMar w:top="2098" w:right="1474" w:bottom="1985" w:left="1588" w:header="851" w:footer="1474" w:gutter="0"/>
          <w:pgNumType w:fmt="decimal" w:start="1"/>
          <w:cols w:space="425" w:num="1"/>
          <w:docGrid w:type="lines" w:linePitch="312" w:charSpace="0"/>
        </w:sectPr>
      </w:pPr>
    </w:p>
    <w:p>
      <w:pPr>
        <w:pStyle w:val="3"/>
        <w:pageBreakBefore w:val="0"/>
        <w:widowControl w:val="0"/>
        <w:kinsoku/>
        <w:wordWrap/>
        <w:overflowPunct/>
        <w:topLinePunct w:val="0"/>
        <w:autoSpaceDE/>
        <w:autoSpaceDN/>
        <w:bidi w:val="0"/>
        <w:adjustRightInd/>
        <w:snapToGrid/>
        <w:spacing w:line="554" w:lineRule="exact"/>
        <w:jc w:val="center"/>
        <w:textAlignment w:val="auto"/>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9"/>
          <w:rFonts w:hint="eastAsia" w:ascii="黑体" w:hAnsi="黑体" w:eastAsia="黑体"/>
          <w:b w:val="0"/>
          <w:bCs w:val="0"/>
          <w:color w:val="auto"/>
          <w:highlight w:val="none"/>
        </w:rPr>
        <w:t>概况</w:t>
      </w:r>
      <w:bookmarkEnd w:id="9"/>
      <w:bookmarkEnd w:id="10"/>
      <w:bookmarkEnd w:id="11"/>
    </w:p>
    <w:p>
      <w:pPr>
        <w:pStyle w:val="4"/>
        <w:keepNext/>
        <w:keepLines/>
        <w:pageBreakBefore w:val="0"/>
        <w:widowControl w:val="0"/>
        <w:numPr>
          <w:ilvl w:val="0"/>
          <w:numId w:val="1"/>
        </w:numPr>
        <w:kinsoku/>
        <w:wordWrap/>
        <w:overflowPunct/>
        <w:topLinePunct w:val="0"/>
        <w:autoSpaceDE/>
        <w:autoSpaceDN/>
        <w:bidi w:val="0"/>
        <w:adjustRightInd/>
        <w:snapToGrid/>
        <w:spacing w:line="554" w:lineRule="exact"/>
        <w:ind w:firstLine="640" w:firstLineChars="200"/>
        <w:textAlignment w:val="auto"/>
        <w:rPr>
          <w:rStyle w:val="20"/>
          <w:rFonts w:hint="eastAsia" w:ascii="黑体" w:hAnsi="黑体" w:eastAsia="黑体"/>
          <w:b w:val="0"/>
          <w:bCs w:val="0"/>
          <w:color w:val="auto"/>
          <w:highlight w:val="none"/>
          <w:lang w:eastAsia="zh-CN"/>
        </w:rPr>
      </w:pPr>
      <w:bookmarkStart w:id="12" w:name="_Toc11244"/>
      <w:bookmarkStart w:id="13" w:name="_Toc15377197"/>
      <w:bookmarkStart w:id="14" w:name="_Toc15396600"/>
      <w:r>
        <w:rPr>
          <w:rStyle w:val="20"/>
          <w:rFonts w:hint="eastAsia" w:ascii="黑体" w:hAnsi="黑体" w:eastAsia="黑体"/>
          <w:b w:val="0"/>
          <w:bCs w:val="0"/>
          <w:color w:val="auto"/>
          <w:highlight w:val="none"/>
          <w:lang w:eastAsia="zh-CN"/>
        </w:rPr>
        <w:t>主要职责</w:t>
      </w:r>
      <w:bookmarkEnd w:id="12"/>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拟订全市宣传思想文化工作重大政策和事业产业发展总体规划，统筹协调推进宣传思想文化领域法治建设，按照市委统一部署，协调宣传思想文化系统各部门（单位）之间的工作。</w:t>
      </w:r>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统筹指导协调理论研究、理论学习、理论宣传工作，组织推动理论武装工作，指导推动哲学社会科学工作，实施马克思主义理论研究和建设工程。</w:t>
      </w:r>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负责规划组织全局性思想政治工作，配合市委组织部做好党员教育工作，组织重大先进典型的学习和推广。</w:t>
      </w:r>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统筹指导协调推动精神文化产品的创作和生产，协调组织中华优秀传统文化和广元特色文化传承发展工作，指导协调推动群众文化建设。</w:t>
      </w:r>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ascii="仿宋_GB2312" w:hAnsi="仿宋" w:eastAsia="仿宋_GB2312"/>
          <w:sz w:val="32"/>
          <w:szCs w:val="32"/>
        </w:rPr>
      </w:pPr>
      <w:r>
        <w:rPr>
          <w:rFonts w:ascii="仿宋_GB2312" w:hAnsi="仿宋" w:eastAsia="仿宋_GB2312"/>
          <w:sz w:val="32"/>
          <w:szCs w:val="32"/>
        </w:rPr>
        <w:t>5.</w:t>
      </w:r>
      <w:r>
        <w:rPr>
          <w:rFonts w:hint="eastAsia" w:ascii="仿宋_GB2312" w:hAnsi="仿宋" w:eastAsia="仿宋_GB2312"/>
          <w:sz w:val="32"/>
          <w:szCs w:val="32"/>
        </w:rPr>
        <w:t>统筹组织协调精神文明建设工作，协调推动精神文明创建、公民思想道德建设和志愿服务工作。</w:t>
      </w:r>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统筹分析研判和引导社会舆论，指导协调市级新闻单位工作，负责组织协调重大新闻宣传活动和重大突发公共事件应急新闻工作。</w:t>
      </w:r>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ascii="仿宋_GB2312" w:hAnsi="仿宋" w:eastAsia="仿宋_GB2312"/>
          <w:sz w:val="32"/>
          <w:szCs w:val="32"/>
        </w:rPr>
      </w:pPr>
      <w:r>
        <w:rPr>
          <w:rFonts w:ascii="仿宋_GB2312" w:hAnsi="仿宋" w:eastAsia="仿宋_GB2312"/>
          <w:sz w:val="32"/>
          <w:szCs w:val="32"/>
        </w:rPr>
        <w:t>7.</w:t>
      </w:r>
      <w:r>
        <w:rPr>
          <w:rFonts w:hint="eastAsia" w:ascii="仿宋_GB2312" w:hAnsi="仿宋" w:eastAsia="仿宋_GB2312"/>
          <w:sz w:val="32"/>
          <w:szCs w:val="32"/>
        </w:rPr>
        <w:t>统筹协调对外宣传工作，组织推动国际传播能力建设，组织指导重大对外宣传活动和对外文化交流工作，协调推动中华文化走出去工作。负责会同有关部门做好境外来访记者采访事务方面的工作。</w:t>
      </w:r>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ascii="仿宋_GB2312" w:hAnsi="仿宋" w:eastAsia="仿宋_GB2312"/>
          <w:sz w:val="32"/>
          <w:szCs w:val="32"/>
        </w:rPr>
      </w:pPr>
      <w:r>
        <w:rPr>
          <w:rFonts w:ascii="仿宋_GB2312" w:hAnsi="仿宋" w:eastAsia="仿宋_GB2312"/>
          <w:sz w:val="32"/>
          <w:szCs w:val="32"/>
        </w:rPr>
        <w:t>8.</w:t>
      </w:r>
      <w:r>
        <w:rPr>
          <w:rFonts w:hint="eastAsia" w:ascii="仿宋_GB2312" w:hAnsi="仿宋" w:eastAsia="仿宋_GB2312"/>
          <w:sz w:val="32"/>
          <w:szCs w:val="32"/>
        </w:rPr>
        <w:t>统筹协调组织开展新闻发布工作，承担市委新闻发布有关组织协调工作，负责市政府新闻发布组织实施工作，指导市委、市政府各部门（单位）和县区新闻发布工作，推动新闻发言人制度建设。</w:t>
      </w:r>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ascii="仿宋_GB2312" w:hAnsi="仿宋" w:eastAsia="仿宋_GB2312"/>
          <w:sz w:val="32"/>
          <w:szCs w:val="32"/>
        </w:rPr>
      </w:pPr>
      <w:r>
        <w:rPr>
          <w:rFonts w:ascii="仿宋_GB2312" w:hAnsi="仿宋" w:eastAsia="仿宋_GB2312"/>
          <w:sz w:val="32"/>
          <w:szCs w:val="32"/>
        </w:rPr>
        <w:t>9.</w:t>
      </w:r>
      <w:r>
        <w:rPr>
          <w:rFonts w:hint="eastAsia" w:ascii="仿宋_GB2312" w:hAnsi="仿宋" w:eastAsia="仿宋_GB2312"/>
          <w:sz w:val="32"/>
          <w:szCs w:val="32"/>
        </w:rPr>
        <w:t>对新闻出版、文化艺术、广播电视、电影和旅游业改革发展研究提出政策性建议，统筹指导推进文化体制改革和文化事业、文化产业及旅游业发展，统筹市属国有文化资产监管工作，组织研究市属国有文化资产监管重大政策，会同有关单位负责相关工作开展。</w:t>
      </w:r>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ascii="仿宋_GB2312" w:hAnsi="仿宋" w:eastAsia="仿宋_GB2312"/>
          <w:sz w:val="32"/>
          <w:szCs w:val="32"/>
        </w:rPr>
      </w:pPr>
      <w:r>
        <w:rPr>
          <w:rFonts w:ascii="仿宋_GB2312" w:hAnsi="仿宋" w:eastAsia="仿宋_GB2312"/>
          <w:sz w:val="32"/>
          <w:szCs w:val="32"/>
        </w:rPr>
        <w:t>10.</w:t>
      </w:r>
      <w:r>
        <w:rPr>
          <w:rFonts w:hint="eastAsia" w:ascii="仿宋_GB2312" w:hAnsi="仿宋" w:eastAsia="仿宋_GB2312"/>
          <w:sz w:val="32"/>
          <w:szCs w:val="32"/>
        </w:rPr>
        <w:t>负责管理新闻出版行政事务和所涉及的行政审批工作，监督管理出版物内容和质量，监督管理印刷业、管理著作权等。组织指导协调“扫黄打非”工作。负责中央、省和市外新闻媒体在广采访活动的监督管理。负责新闻记者证管理工作。</w:t>
      </w:r>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ascii="仿宋_GB2312" w:hAnsi="仿宋" w:eastAsia="仿宋_GB2312"/>
          <w:sz w:val="32"/>
          <w:szCs w:val="32"/>
        </w:rPr>
      </w:pPr>
      <w:r>
        <w:rPr>
          <w:rFonts w:ascii="仿宋_GB2312" w:hAnsi="仿宋" w:eastAsia="仿宋_GB2312"/>
          <w:sz w:val="32"/>
          <w:szCs w:val="32"/>
        </w:rPr>
        <w:t>11.</w:t>
      </w:r>
      <w:r>
        <w:rPr>
          <w:rFonts w:hint="eastAsia" w:ascii="仿宋_GB2312" w:hAnsi="仿宋" w:eastAsia="仿宋_GB2312"/>
          <w:sz w:val="32"/>
          <w:szCs w:val="32"/>
        </w:rPr>
        <w:t>负责管理电影行政事务和所涉及的行政审批工作，指导监管电影制片、发行、放映工作，组织对电影内容进行审查，指导协调和参与重大电影活动和电影对外合作交流等。</w:t>
      </w:r>
    </w:p>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hAnsi="仿宋" w:eastAsia="仿宋_GB2312"/>
          <w:sz w:val="32"/>
          <w:szCs w:val="32"/>
        </w:rPr>
      </w:pPr>
      <w:r>
        <w:rPr>
          <w:rFonts w:ascii="仿宋_GB2312" w:hAnsi="仿宋" w:eastAsia="仿宋_GB2312"/>
          <w:sz w:val="32"/>
          <w:szCs w:val="32"/>
        </w:rPr>
        <w:t>12.</w:t>
      </w:r>
      <w:r>
        <w:rPr>
          <w:rFonts w:hint="eastAsia" w:ascii="仿宋_GB2312" w:hAnsi="仿宋" w:eastAsia="仿宋_GB2312"/>
          <w:sz w:val="32"/>
          <w:szCs w:val="32"/>
        </w:rPr>
        <w:t>承担市精神文明建设委员会、市委宣传思想工作领导小组、市“扫黄打非”工作领导小组等的日常工作。</w:t>
      </w:r>
    </w:p>
    <w:p>
      <w:pPr>
        <w:pStyle w:val="4"/>
        <w:keepNext/>
        <w:keepLines/>
        <w:pageBreakBefore w:val="0"/>
        <w:widowControl w:val="0"/>
        <w:numPr>
          <w:ilvl w:val="0"/>
          <w:numId w:val="0"/>
        </w:numPr>
        <w:kinsoku/>
        <w:wordWrap/>
        <w:overflowPunct/>
        <w:topLinePunct w:val="0"/>
        <w:autoSpaceDE/>
        <w:autoSpaceDN/>
        <w:bidi w:val="0"/>
        <w:adjustRightInd/>
        <w:snapToGrid/>
        <w:spacing w:line="554" w:lineRule="exact"/>
        <w:ind w:firstLine="640" w:firstLineChars="200"/>
        <w:textAlignment w:val="auto"/>
        <w:rPr>
          <w:rFonts w:hint="eastAsia" w:ascii="黑体" w:hAnsi="黑体" w:eastAsia="黑体"/>
          <w:b w:val="0"/>
          <w:color w:val="auto"/>
          <w:highlight w:val="none"/>
          <w:lang w:val="en-US" w:eastAsia="zh-CN"/>
        </w:rPr>
      </w:pPr>
      <w:bookmarkStart w:id="15" w:name="_Toc17768"/>
      <w:r>
        <w:rPr>
          <w:rFonts w:hint="eastAsia" w:ascii="黑体" w:hAnsi="黑体" w:eastAsia="黑体"/>
          <w:b w:val="0"/>
          <w:color w:val="auto"/>
          <w:highlight w:val="none"/>
          <w:lang w:val="en-US" w:eastAsia="zh-CN"/>
        </w:rPr>
        <w:t>二、机构设置</w:t>
      </w:r>
      <w:bookmarkEnd w:id="15"/>
    </w:p>
    <w:bookmarkEnd w:id="13"/>
    <w:bookmarkEnd w:id="14"/>
    <w:p>
      <w:pPr>
        <w:pageBreakBefore w:val="0"/>
        <w:widowControl w:val="0"/>
        <w:kinsoku/>
        <w:wordWrap/>
        <w:overflowPunct/>
        <w:topLinePunct w:val="0"/>
        <w:autoSpaceDE/>
        <w:autoSpaceDN/>
        <w:bidi w:val="0"/>
        <w:adjustRightInd/>
        <w:snapToGrid/>
        <w:spacing w:line="554"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中共广元市委宣传部</w:t>
      </w:r>
      <w:r>
        <w:rPr>
          <w:rFonts w:hint="default" w:ascii="仿宋_GB2312" w:eastAsia="仿宋_GB2312"/>
          <w:sz w:val="32"/>
          <w:szCs w:val="32"/>
        </w:rPr>
        <w:t>（本级）属于</w:t>
      </w:r>
      <w:r>
        <w:rPr>
          <w:rFonts w:hint="eastAsia" w:ascii="仿宋_GB2312" w:eastAsia="仿宋_GB2312"/>
          <w:sz w:val="32"/>
          <w:szCs w:val="32"/>
        </w:rPr>
        <w:t>中共广元市委宣传部</w:t>
      </w:r>
      <w:r>
        <w:rPr>
          <w:rFonts w:hint="default" w:ascii="仿宋_GB2312" w:eastAsia="仿宋_GB2312"/>
          <w:sz w:val="32"/>
          <w:szCs w:val="32"/>
        </w:rPr>
        <w:t>二级预算单位，其中</w:t>
      </w:r>
      <w:r>
        <w:rPr>
          <w:rFonts w:hint="eastAsia" w:ascii="仿宋_GB2312" w:eastAsia="仿宋_GB2312"/>
          <w:sz w:val="32"/>
          <w:szCs w:val="32"/>
        </w:rPr>
        <w:t>下属二级单位</w:t>
      </w:r>
      <w:r>
        <w:rPr>
          <w:rFonts w:ascii="仿宋_GB2312" w:eastAsia="仿宋_GB2312"/>
          <w:sz w:val="32"/>
          <w:szCs w:val="32"/>
        </w:rPr>
        <w:t>1</w:t>
      </w:r>
      <w:r>
        <w:rPr>
          <w:rFonts w:hint="eastAsia" w:ascii="仿宋_GB2312" w:eastAsia="仿宋_GB2312"/>
          <w:sz w:val="32"/>
          <w:szCs w:val="32"/>
        </w:rPr>
        <w:t>个，其中其他事业单位</w:t>
      </w:r>
      <w:r>
        <w:rPr>
          <w:rFonts w:ascii="仿宋_GB2312" w:eastAsia="仿宋_GB2312"/>
          <w:sz w:val="32"/>
          <w:szCs w:val="32"/>
        </w:rPr>
        <w:t>1</w:t>
      </w:r>
      <w:r>
        <w:rPr>
          <w:rFonts w:hint="eastAsia" w:ascii="仿宋_GB2312" w:eastAsia="仿宋_GB2312"/>
          <w:sz w:val="32"/>
          <w:szCs w:val="32"/>
        </w:rPr>
        <w:t>个。</w:t>
      </w:r>
      <w:bookmarkStart w:id="16" w:name="_Toc15377204"/>
      <w:bookmarkStart w:id="17" w:name="_Toc30990"/>
      <w:bookmarkStart w:id="18" w:name="_Toc15396602"/>
    </w:p>
    <w:p>
      <w:pPr>
        <w:pStyle w:val="2"/>
        <w:rPr>
          <w:rFonts w:hint="eastAsia"/>
        </w:rPr>
      </w:pPr>
    </w:p>
    <w:p>
      <w:pPr>
        <w:pStyle w:val="3"/>
        <w:ind w:right="440"/>
        <w:jc w:val="center"/>
        <w:rPr>
          <w:color w:val="auto"/>
          <w:highlight w:val="none"/>
        </w:rPr>
      </w:pPr>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9"/>
          <w:rFonts w:hint="eastAsia" w:ascii="黑体" w:hAnsi="黑体" w:eastAsia="黑体"/>
          <w:b w:val="0"/>
          <w:bCs/>
          <w:color w:val="auto"/>
          <w:highlight w:val="none"/>
          <w:lang w:eastAsia="zh-CN"/>
        </w:rPr>
        <w:t>单位</w:t>
      </w:r>
      <w:r>
        <w:rPr>
          <w:rStyle w:val="19"/>
          <w:rFonts w:hint="eastAsia" w:ascii="黑体" w:hAnsi="黑体" w:eastAsia="黑体"/>
          <w:b w:val="0"/>
          <w:bCs/>
          <w:color w:val="auto"/>
          <w:highlight w:val="none"/>
        </w:rPr>
        <w:t>决算情况说明</w:t>
      </w:r>
      <w:bookmarkEnd w:id="16"/>
      <w:bookmarkEnd w:id="17"/>
      <w:bookmarkEnd w:id="18"/>
    </w:p>
    <w:p>
      <w:pPr>
        <w:pStyle w:val="29"/>
        <w:numPr>
          <w:ilvl w:val="0"/>
          <w:numId w:val="2"/>
        </w:numPr>
        <w:spacing w:line="600" w:lineRule="exact"/>
        <w:ind w:firstLineChars="0"/>
        <w:outlineLvl w:val="1"/>
        <w:rPr>
          <w:rStyle w:val="20"/>
          <w:rFonts w:ascii="黑体" w:hAnsi="黑体" w:eastAsia="黑体"/>
          <w:b w:val="0"/>
          <w:color w:val="auto"/>
          <w:highlight w:val="none"/>
        </w:rPr>
      </w:pPr>
      <w:bookmarkStart w:id="19" w:name="_Toc15396603"/>
      <w:bookmarkStart w:id="20" w:name="_Toc15377205"/>
      <w:bookmarkStart w:id="21" w:name="_Toc12539"/>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入支出决算总体情况说明</w:t>
      </w:r>
      <w:bookmarkEnd w:id="19"/>
      <w:bookmarkEnd w:id="20"/>
      <w:bookmarkEnd w:id="21"/>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年度收、支总计1815.19万元。与20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年相比，收、支总计各减少107.51万元，下降</w:t>
      </w:r>
      <w:r>
        <w:rPr>
          <w:rFonts w:hint="eastAsia" w:ascii="仿宋" w:hAnsi="仿宋" w:eastAsia="仿宋"/>
          <w:color w:val="auto"/>
          <w:sz w:val="32"/>
          <w:szCs w:val="32"/>
          <w:highlight w:val="none"/>
          <w:lang w:val="en-US" w:eastAsia="zh-CN"/>
        </w:rPr>
        <w:t>5.59</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项目经费减少。</w:t>
      </w:r>
    </w:p>
    <w:p>
      <w:pPr>
        <w:spacing w:line="600" w:lineRule="exact"/>
        <w:ind w:firstLine="420" w:firstLineChars="200"/>
        <w:rPr>
          <w:rFonts w:hint="eastAsia" w:ascii="仿宋" w:hAnsi="仿宋" w:eastAsia="仿宋"/>
          <w:color w:val="auto"/>
          <w:sz w:val="32"/>
          <w:szCs w:val="32"/>
          <w:highlight w:val="none"/>
          <w:lang w:eastAsia="zh-CN"/>
        </w:rPr>
      </w:pPr>
      <w:r>
        <w:drawing>
          <wp:anchor distT="0" distB="0" distL="114300" distR="114300" simplePos="0" relativeHeight="251659264" behindDoc="1" locked="0" layoutInCell="1" allowOverlap="1">
            <wp:simplePos x="0" y="0"/>
            <wp:positionH relativeFrom="column">
              <wp:posOffset>785495</wp:posOffset>
            </wp:positionH>
            <wp:positionV relativeFrom="paragraph">
              <wp:posOffset>23495</wp:posOffset>
            </wp:positionV>
            <wp:extent cx="3992245" cy="1923415"/>
            <wp:effectExtent l="4445" t="4445" r="22860" b="15240"/>
            <wp:wrapNone/>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jc w:val="center"/>
        <w:rPr>
          <w:rFonts w:hint="eastAsia"/>
          <w:lang w:eastAsia="zh-CN"/>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29"/>
        <w:numPr>
          <w:ilvl w:val="0"/>
          <w:numId w:val="2"/>
        </w:numPr>
        <w:spacing w:line="600" w:lineRule="exact"/>
        <w:ind w:firstLineChars="0"/>
        <w:outlineLvl w:val="1"/>
        <w:rPr>
          <w:rStyle w:val="20"/>
          <w:rFonts w:ascii="黑体" w:hAnsi="黑体" w:eastAsia="黑体"/>
          <w:b w:val="0"/>
          <w:color w:val="auto"/>
          <w:highlight w:val="none"/>
        </w:rPr>
      </w:pPr>
      <w:bookmarkStart w:id="22" w:name="_Toc22280"/>
      <w:bookmarkStart w:id="23" w:name="_Toc15396604"/>
      <w:bookmarkStart w:id="24" w:name="_Toc15377206"/>
      <w:r>
        <w:rPr>
          <w:rFonts w:hint="eastAsia" w:ascii="黑体" w:hAnsi="黑体" w:eastAsia="黑体"/>
          <w:color w:val="auto"/>
          <w:sz w:val="32"/>
          <w:szCs w:val="32"/>
          <w:highlight w:val="none"/>
        </w:rPr>
        <w:t>收</w:t>
      </w:r>
      <w:r>
        <w:rPr>
          <w:rStyle w:val="20"/>
          <w:rFonts w:hint="eastAsia" w:ascii="黑体" w:hAnsi="黑体" w:eastAsia="黑体"/>
          <w:b w:val="0"/>
          <w:color w:val="auto"/>
          <w:highlight w:val="none"/>
        </w:rPr>
        <w:t>入决算情况说明</w:t>
      </w:r>
      <w:bookmarkEnd w:id="22"/>
      <w:bookmarkEnd w:id="23"/>
      <w:bookmarkEnd w:id="24"/>
    </w:p>
    <w:p>
      <w:pPr>
        <w:spacing w:line="600" w:lineRule="exact"/>
        <w:ind w:firstLine="420" w:firstLineChars="200"/>
        <w:outlineLvl w:val="1"/>
        <w:rPr>
          <w:rFonts w:ascii="仿宋" w:hAnsi="仿宋" w:eastAsia="仿宋"/>
          <w:color w:val="auto"/>
          <w:sz w:val="32"/>
          <w:szCs w:val="32"/>
          <w:highlight w:val="none"/>
        </w:rPr>
      </w:pPr>
      <w:bookmarkStart w:id="25" w:name="_Toc26646"/>
      <w:r>
        <w:drawing>
          <wp:anchor distT="0" distB="0" distL="114300" distR="114300" simplePos="0" relativeHeight="251660288" behindDoc="1" locked="0" layoutInCell="1" allowOverlap="1">
            <wp:simplePos x="0" y="0"/>
            <wp:positionH relativeFrom="column">
              <wp:posOffset>756920</wp:posOffset>
            </wp:positionH>
            <wp:positionV relativeFrom="paragraph">
              <wp:posOffset>909320</wp:posOffset>
            </wp:positionV>
            <wp:extent cx="3973830" cy="1839595"/>
            <wp:effectExtent l="4445" t="5080" r="22225" b="22225"/>
            <wp:wrapNone/>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年本年收入合计1545.68万元，其中：一般公共预算财政拨款收入1542.23万元，占</w:t>
      </w:r>
      <w:r>
        <w:rPr>
          <w:rFonts w:hint="eastAsia" w:ascii="仿宋" w:hAnsi="仿宋" w:eastAsia="仿宋"/>
          <w:color w:val="auto"/>
          <w:sz w:val="32"/>
          <w:szCs w:val="32"/>
          <w:highlight w:val="none"/>
          <w:lang w:val="en-US" w:eastAsia="zh-CN"/>
        </w:rPr>
        <w:t>99.78%</w:t>
      </w:r>
      <w:r>
        <w:rPr>
          <w:rFonts w:hint="eastAsia" w:ascii="仿宋" w:hAnsi="仿宋" w:eastAsia="仿宋"/>
          <w:color w:val="auto"/>
          <w:sz w:val="32"/>
          <w:szCs w:val="32"/>
          <w:highlight w:val="none"/>
        </w:rPr>
        <w:t>；其他收入3.45万元，占</w:t>
      </w:r>
      <w:r>
        <w:rPr>
          <w:rFonts w:hint="eastAsia" w:ascii="仿宋" w:hAnsi="仿宋" w:eastAsia="仿宋"/>
          <w:color w:val="auto"/>
          <w:sz w:val="32"/>
          <w:szCs w:val="32"/>
          <w:highlight w:val="none"/>
          <w:lang w:val="en-US" w:eastAsia="zh-CN"/>
        </w:rPr>
        <w:t>0.22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bookmarkEnd w:id="25"/>
    </w:p>
    <w:p>
      <w:pPr>
        <w:spacing w:line="600" w:lineRule="exact"/>
        <w:ind w:firstLine="642" w:firstLineChars="200"/>
        <w:outlineLvl w:val="1"/>
        <w:rPr>
          <w:rFonts w:ascii="仿宋" w:hAnsi="仿宋" w:eastAsia="仿宋"/>
          <w:b/>
          <w:color w:val="auto"/>
          <w:sz w:val="32"/>
          <w:szCs w:val="32"/>
          <w:highlight w:val="none"/>
        </w:rPr>
      </w:pPr>
    </w:p>
    <w:p>
      <w:pPr>
        <w:spacing w:line="600" w:lineRule="exact"/>
        <w:ind w:firstLine="640" w:firstLineChars="200"/>
        <w:outlineLvl w:val="1"/>
        <w:rPr>
          <w:rFonts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rPr>
          <w:rFonts w:hint="eastAsia" w:ascii="仿宋" w:hAnsi="仿宋" w:eastAsia="仿宋"/>
          <w:color w:val="auto"/>
          <w:sz w:val="32"/>
          <w:szCs w:val="32"/>
          <w:highlight w:val="none"/>
        </w:rPr>
      </w:pPr>
    </w:p>
    <w:p>
      <w:pPr>
        <w:spacing w:line="600" w:lineRule="exact"/>
        <w:jc w:val="center"/>
        <w:rPr>
          <w:rFonts w:hint="eastAsia" w:ascii="仿宋" w:hAnsi="仿宋" w:eastAsia="仿宋"/>
          <w:color w:val="auto"/>
          <w:sz w:val="32"/>
          <w:szCs w:val="32"/>
          <w:highlight w:val="none"/>
        </w:rPr>
      </w:pPr>
    </w:p>
    <w:p>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图2：收入决算结构图</w:t>
      </w:r>
    </w:p>
    <w:p>
      <w:pPr>
        <w:pStyle w:val="29"/>
        <w:numPr>
          <w:ilvl w:val="0"/>
          <w:numId w:val="2"/>
        </w:numPr>
        <w:spacing w:line="600" w:lineRule="exact"/>
        <w:ind w:firstLineChars="0"/>
        <w:outlineLvl w:val="1"/>
        <w:rPr>
          <w:rStyle w:val="20"/>
          <w:rFonts w:ascii="黑体" w:hAnsi="黑体" w:eastAsia="黑体"/>
          <w:b w:val="0"/>
          <w:color w:val="auto"/>
          <w:highlight w:val="none"/>
        </w:rPr>
      </w:pPr>
      <w:bookmarkStart w:id="26" w:name="_Toc15396605"/>
      <w:bookmarkStart w:id="27" w:name="_Toc9532"/>
      <w:bookmarkStart w:id="28" w:name="_Toc15377207"/>
      <w:r>
        <w:rPr>
          <w:rFonts w:hint="eastAsia" w:ascii="黑体" w:hAnsi="黑体" w:eastAsia="黑体"/>
          <w:color w:val="auto"/>
          <w:sz w:val="32"/>
          <w:szCs w:val="32"/>
          <w:highlight w:val="none"/>
        </w:rPr>
        <w:t>支</w:t>
      </w:r>
      <w:r>
        <w:rPr>
          <w:rStyle w:val="20"/>
          <w:rFonts w:hint="eastAsia" w:ascii="黑体" w:hAnsi="黑体" w:eastAsia="黑体"/>
          <w:b w:val="0"/>
          <w:color w:val="auto"/>
          <w:highlight w:val="none"/>
        </w:rPr>
        <w:t>出决算情况说明</w:t>
      </w:r>
      <w:bookmarkEnd w:id="26"/>
      <w:bookmarkEnd w:id="27"/>
      <w:bookmarkEnd w:id="28"/>
    </w:p>
    <w:p>
      <w:pPr>
        <w:spacing w:line="600" w:lineRule="exact"/>
        <w:ind w:firstLine="640" w:firstLineChars="200"/>
        <w:outlineLvl w:val="1"/>
        <w:rPr>
          <w:rFonts w:hint="eastAsia" w:ascii="仿宋" w:hAnsi="仿宋" w:eastAsia="仿宋"/>
          <w:color w:val="auto"/>
          <w:sz w:val="32"/>
          <w:szCs w:val="32"/>
          <w:highlight w:val="none"/>
          <w:lang w:eastAsia="zh-CN"/>
        </w:rPr>
      </w:pPr>
      <w:bookmarkStart w:id="29" w:name="_Toc28427"/>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年本年支出合计1815.19万元，其中：基本支出1252.96万元，占</w:t>
      </w:r>
      <w:r>
        <w:rPr>
          <w:rFonts w:hint="eastAsia" w:ascii="仿宋" w:hAnsi="仿宋" w:eastAsia="仿宋"/>
          <w:color w:val="auto"/>
          <w:sz w:val="32"/>
          <w:szCs w:val="32"/>
          <w:highlight w:val="none"/>
          <w:lang w:val="en-US" w:eastAsia="zh-CN"/>
        </w:rPr>
        <w:t>69.03</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；项目支出562.24万元，占</w:t>
      </w:r>
      <w:r>
        <w:rPr>
          <w:rFonts w:hint="eastAsia" w:ascii="仿宋" w:hAnsi="仿宋" w:eastAsia="仿宋"/>
          <w:color w:val="auto"/>
          <w:sz w:val="32"/>
          <w:szCs w:val="32"/>
          <w:highlight w:val="none"/>
          <w:lang w:val="en-US" w:eastAsia="zh-CN"/>
        </w:rPr>
        <w:t>30.97</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bookmarkEnd w:id="29"/>
    </w:p>
    <w:p>
      <w:pPr>
        <w:spacing w:line="600" w:lineRule="exact"/>
        <w:ind w:firstLine="640"/>
        <w:rPr>
          <w:rFonts w:ascii="仿宋" w:hAnsi="仿宋" w:eastAsia="仿宋"/>
          <w:color w:val="auto"/>
          <w:sz w:val="32"/>
          <w:szCs w:val="32"/>
          <w:highlight w:val="none"/>
          <w:shd w:val="pct10" w:color="auto" w:fill="FFFFFF"/>
        </w:rPr>
      </w:pPr>
      <w:r>
        <w:drawing>
          <wp:anchor distT="0" distB="0" distL="114300" distR="114300" simplePos="0" relativeHeight="251661312" behindDoc="1" locked="0" layoutInCell="1" allowOverlap="1">
            <wp:simplePos x="0" y="0"/>
            <wp:positionH relativeFrom="column">
              <wp:posOffset>496570</wp:posOffset>
            </wp:positionH>
            <wp:positionV relativeFrom="paragraph">
              <wp:posOffset>80645</wp:posOffset>
            </wp:positionV>
            <wp:extent cx="4173220" cy="2068195"/>
            <wp:effectExtent l="4445" t="5080" r="13335" b="22225"/>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8"/>
        <w:rPr>
          <w:rFonts w:ascii="仿宋" w:hAnsi="仿宋" w:eastAsia="仿宋"/>
          <w:color w:val="auto"/>
          <w:sz w:val="32"/>
          <w:szCs w:val="32"/>
          <w:highlight w:val="none"/>
          <w:shd w:val="pct10" w:color="auto" w:fill="FFFFFF"/>
        </w:rPr>
      </w:pPr>
    </w:p>
    <w:p>
      <w:pPr>
        <w:rPr>
          <w:rFonts w:ascii="仿宋" w:hAnsi="仿宋" w:eastAsia="仿宋"/>
          <w:color w:val="auto"/>
          <w:sz w:val="32"/>
          <w:szCs w:val="32"/>
          <w:highlight w:val="none"/>
          <w:shd w:val="pct10" w:color="auto" w:fill="FFFFFF"/>
        </w:rPr>
      </w:pPr>
    </w:p>
    <w:p>
      <w:pPr>
        <w:pStyle w:val="8"/>
        <w:rPr>
          <w:rFonts w:ascii="仿宋" w:hAnsi="仿宋" w:eastAsia="仿宋"/>
          <w:color w:val="auto"/>
          <w:sz w:val="32"/>
          <w:szCs w:val="32"/>
          <w:highlight w:val="none"/>
          <w:shd w:val="pct10" w:color="auto" w:fill="FFFFFF"/>
        </w:rPr>
      </w:pPr>
    </w:p>
    <w:p>
      <w:pPr>
        <w:rPr>
          <w:rFonts w:ascii="仿宋" w:hAnsi="仿宋" w:eastAsia="仿宋"/>
          <w:color w:val="auto"/>
          <w:sz w:val="32"/>
          <w:szCs w:val="32"/>
          <w:highlight w:val="none"/>
          <w:shd w:val="pct10" w:color="auto" w:fill="FFFFFF"/>
        </w:rPr>
      </w:pPr>
    </w:p>
    <w:p>
      <w:pPr>
        <w:spacing w:line="600" w:lineRule="exact"/>
        <w:jc w:val="center"/>
        <w:rPr>
          <w:rFonts w:ascii="仿宋_GB2312" w:eastAsia="仿宋_GB2312"/>
          <w:color w:val="auto"/>
          <w:sz w:val="32"/>
          <w:szCs w:val="32"/>
          <w:highlight w:val="none"/>
        </w:rPr>
      </w:pPr>
      <w:r>
        <w:rPr>
          <w:rFonts w:hint="eastAsia" w:ascii="仿宋" w:hAnsi="仿宋" w:eastAsia="仿宋"/>
          <w:color w:val="auto"/>
          <w:sz w:val="32"/>
          <w:szCs w:val="32"/>
          <w:highlight w:val="none"/>
        </w:rPr>
        <w:t>图3：支出决算结构图</w:t>
      </w:r>
    </w:p>
    <w:p>
      <w:pPr>
        <w:spacing w:line="600" w:lineRule="exact"/>
        <w:ind w:firstLine="640" w:firstLineChars="200"/>
        <w:outlineLvl w:val="1"/>
        <w:rPr>
          <w:rStyle w:val="20"/>
          <w:rFonts w:ascii="黑体" w:hAnsi="黑体" w:eastAsia="黑体"/>
          <w:b w:val="0"/>
          <w:color w:val="auto"/>
          <w:highlight w:val="none"/>
        </w:rPr>
      </w:pPr>
      <w:bookmarkStart w:id="30" w:name="_Toc22340"/>
      <w:bookmarkStart w:id="31" w:name="_Toc15396606"/>
      <w:bookmarkStart w:id="32" w:name="_Toc15377208"/>
      <w:r>
        <w:rPr>
          <w:rFonts w:hint="eastAsia" w:ascii="黑体" w:hAnsi="黑体" w:eastAsia="黑体"/>
          <w:color w:val="auto"/>
          <w:sz w:val="32"/>
          <w:szCs w:val="32"/>
          <w:highlight w:val="none"/>
        </w:rPr>
        <w:t>四、财</w:t>
      </w:r>
      <w:r>
        <w:rPr>
          <w:rStyle w:val="20"/>
          <w:rFonts w:hint="eastAsia" w:ascii="黑体" w:hAnsi="黑体" w:eastAsia="黑体"/>
          <w:b w:val="0"/>
          <w:color w:val="auto"/>
          <w:highlight w:val="none"/>
        </w:rPr>
        <w:t>政拨款收入支出决算总体情况说明</w:t>
      </w:r>
      <w:bookmarkEnd w:id="30"/>
      <w:bookmarkEnd w:id="31"/>
      <w:bookmarkEnd w:id="32"/>
    </w:p>
    <w:p>
      <w:pPr>
        <w:spacing w:line="600" w:lineRule="exact"/>
        <w:ind w:firstLine="64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年财政拨款收、支总计1810.63万元。与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年相比，财政拨款收、支总计各减少110.96万元，下降</w:t>
      </w:r>
      <w:r>
        <w:rPr>
          <w:rFonts w:hint="eastAsia" w:ascii="仿宋" w:hAnsi="仿宋" w:eastAsia="仿宋"/>
          <w:color w:val="auto"/>
          <w:sz w:val="32"/>
          <w:szCs w:val="32"/>
          <w:highlight w:val="none"/>
          <w:lang w:val="en-US" w:eastAsia="zh-CN"/>
        </w:rPr>
        <w:t>5.77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项目经费减少。</w:t>
      </w:r>
    </w:p>
    <w:p>
      <w:pPr>
        <w:spacing w:line="600" w:lineRule="exact"/>
        <w:rPr>
          <w:rFonts w:ascii="仿宋" w:hAnsi="仿宋" w:eastAsia="仿宋"/>
          <w:color w:val="auto"/>
          <w:sz w:val="32"/>
          <w:szCs w:val="32"/>
          <w:highlight w:val="none"/>
        </w:rPr>
      </w:pPr>
      <w:r>
        <w:drawing>
          <wp:anchor distT="0" distB="0" distL="114300" distR="114300" simplePos="0" relativeHeight="251662336" behindDoc="1" locked="0" layoutInCell="1" allowOverlap="1">
            <wp:simplePos x="0" y="0"/>
            <wp:positionH relativeFrom="column">
              <wp:posOffset>499745</wp:posOffset>
            </wp:positionH>
            <wp:positionV relativeFrom="paragraph">
              <wp:posOffset>33020</wp:posOffset>
            </wp:positionV>
            <wp:extent cx="4296410" cy="2286000"/>
            <wp:effectExtent l="4445" t="4445" r="23495" b="14605"/>
            <wp:wrapNone/>
            <wp:docPr id="7"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8"/>
        <w:rPr>
          <w:rFonts w:ascii="仿宋" w:hAnsi="仿宋" w:eastAsia="仿宋"/>
          <w:color w:val="auto"/>
          <w:sz w:val="32"/>
          <w:szCs w:val="32"/>
          <w:highlight w:val="none"/>
        </w:rPr>
      </w:pPr>
    </w:p>
    <w:p>
      <w:pPr>
        <w:rPr>
          <w:rFonts w:ascii="仿宋" w:hAnsi="仿宋" w:eastAsia="仿宋"/>
          <w:color w:val="auto"/>
          <w:sz w:val="32"/>
          <w:szCs w:val="32"/>
          <w:highlight w:val="none"/>
        </w:rPr>
      </w:pPr>
    </w:p>
    <w:p>
      <w:pPr>
        <w:pStyle w:val="8"/>
      </w:pPr>
    </w:p>
    <w:p>
      <w:pPr>
        <w:spacing w:line="600" w:lineRule="exact"/>
        <w:ind w:firstLine="640" w:firstLineChars="200"/>
        <w:rPr>
          <w:rFonts w:hint="eastAsia" w:ascii="仿宋" w:hAnsi="仿宋" w:eastAsia="仿宋"/>
          <w:color w:val="auto"/>
          <w:sz w:val="32"/>
          <w:szCs w:val="32"/>
          <w:highlight w:val="none"/>
        </w:rPr>
      </w:pPr>
    </w:p>
    <w:p>
      <w:pPr>
        <w:spacing w:line="600" w:lineRule="exact"/>
        <w:rPr>
          <w:rFonts w:hint="eastAsia" w:ascii="仿宋" w:hAnsi="仿宋" w:eastAsia="仿宋"/>
          <w:color w:val="auto"/>
          <w:sz w:val="32"/>
          <w:szCs w:val="32"/>
          <w:highlight w:val="none"/>
        </w:rPr>
      </w:pPr>
    </w:p>
    <w:p>
      <w:pPr>
        <w:spacing w:line="600" w:lineRule="exact"/>
        <w:jc w:val="center"/>
        <w:rPr>
          <w:rFonts w:ascii="仿宋" w:hAnsi="仿宋" w:eastAsia="仿宋"/>
          <w:b/>
          <w:color w:val="auto"/>
          <w:sz w:val="32"/>
          <w:szCs w:val="32"/>
          <w:highlight w:val="none"/>
        </w:rPr>
      </w:pPr>
      <w:r>
        <w:rPr>
          <w:rFonts w:hint="eastAsia" w:ascii="仿宋" w:hAnsi="仿宋" w:eastAsia="仿宋"/>
          <w:color w:val="auto"/>
          <w:sz w:val="32"/>
          <w:szCs w:val="32"/>
          <w:highlight w:val="none"/>
        </w:rPr>
        <w:t>图4：财政拨款收、支决算总计变动情况</w:t>
      </w:r>
    </w:p>
    <w:p>
      <w:pPr>
        <w:spacing w:line="600" w:lineRule="exact"/>
        <w:ind w:firstLine="640" w:firstLineChars="200"/>
        <w:outlineLvl w:val="1"/>
        <w:rPr>
          <w:rStyle w:val="20"/>
          <w:rFonts w:ascii="黑体" w:hAnsi="黑体" w:eastAsia="黑体"/>
          <w:b w:val="0"/>
          <w:color w:val="auto"/>
          <w:highlight w:val="none"/>
        </w:rPr>
      </w:pPr>
      <w:bookmarkStart w:id="33" w:name="_Toc12635"/>
      <w:bookmarkStart w:id="34" w:name="_Toc15396607"/>
      <w:bookmarkStart w:id="35"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般公共预算财政拨款支出决算情况说明</w:t>
      </w:r>
      <w:bookmarkEnd w:id="33"/>
      <w:bookmarkEnd w:id="34"/>
      <w:bookmarkEnd w:id="35"/>
    </w:p>
    <w:p>
      <w:pPr>
        <w:spacing w:line="600" w:lineRule="exact"/>
        <w:ind w:firstLine="642" w:firstLineChars="200"/>
        <w:outlineLvl w:val="2"/>
        <w:rPr>
          <w:rFonts w:ascii="仿宋" w:hAnsi="仿宋" w:eastAsia="仿宋"/>
          <w:b/>
          <w:color w:val="auto"/>
          <w:sz w:val="32"/>
          <w:szCs w:val="32"/>
          <w:highlight w:val="none"/>
        </w:rPr>
      </w:pPr>
      <w:bookmarkStart w:id="36" w:name="_Toc15377210"/>
      <w:bookmarkStart w:id="37" w:name="_Toc32707"/>
      <w:r>
        <w:rPr>
          <w:rFonts w:hint="eastAsia" w:ascii="仿宋" w:hAnsi="仿宋" w:eastAsia="仿宋"/>
          <w:b/>
          <w:color w:val="auto"/>
          <w:sz w:val="32"/>
          <w:szCs w:val="32"/>
          <w:highlight w:val="none"/>
        </w:rPr>
        <w:t>（一）一般公共预算财政拨款支出决算总体情况</w:t>
      </w:r>
      <w:bookmarkEnd w:id="36"/>
      <w:bookmarkEnd w:id="37"/>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年一般公共预算财政拨款支出1810.63万元，占本年支出合计的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增加</w:t>
      </w:r>
      <w:r>
        <w:rPr>
          <w:rFonts w:hint="eastAsia" w:ascii="仿宋" w:hAnsi="仿宋" w:eastAsia="仿宋"/>
          <w:color w:val="auto"/>
          <w:sz w:val="32"/>
          <w:szCs w:val="32"/>
          <w:highlight w:val="none"/>
          <w:lang w:val="en-US" w:eastAsia="zh-CN"/>
        </w:rPr>
        <w:t>157.74</w:t>
      </w:r>
      <w:r>
        <w:rPr>
          <w:rFonts w:hint="eastAsia" w:ascii="仿宋" w:hAnsi="仿宋" w:eastAsia="仿宋"/>
          <w:color w:val="auto"/>
          <w:sz w:val="32"/>
          <w:szCs w:val="32"/>
          <w:highlight w:val="none"/>
        </w:rPr>
        <w:t>万元，增长</w:t>
      </w:r>
      <w:r>
        <w:rPr>
          <w:rFonts w:hint="eastAsia" w:ascii="仿宋" w:hAnsi="仿宋" w:eastAsia="仿宋"/>
          <w:color w:val="auto"/>
          <w:sz w:val="32"/>
          <w:szCs w:val="32"/>
          <w:highlight w:val="none"/>
          <w:lang w:val="en-US" w:eastAsia="zh-CN"/>
        </w:rPr>
        <w:t>9.54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val="en-US" w:eastAsia="zh-CN"/>
        </w:rPr>
        <w:t>2021年</w:t>
      </w:r>
      <w:r>
        <w:rPr>
          <w:rFonts w:hint="eastAsia" w:ascii="仿宋" w:hAnsi="仿宋" w:eastAsia="仿宋"/>
          <w:color w:val="auto"/>
          <w:sz w:val="32"/>
          <w:szCs w:val="32"/>
          <w:highlight w:val="none"/>
        </w:rPr>
        <w:t>支出合计</w:t>
      </w:r>
      <w:r>
        <w:rPr>
          <w:rFonts w:hint="eastAsia" w:ascii="仿宋" w:hAnsi="仿宋" w:eastAsia="仿宋"/>
          <w:color w:val="auto"/>
          <w:sz w:val="32"/>
          <w:szCs w:val="32"/>
          <w:highlight w:val="none"/>
          <w:lang w:eastAsia="zh-CN"/>
        </w:rPr>
        <w:t>中存在年末财政拨款结转和结余资金，现已支付完毕。</w:t>
      </w:r>
    </w:p>
    <w:p>
      <w:pPr>
        <w:spacing w:line="600" w:lineRule="exact"/>
        <w:ind w:firstLine="420" w:firstLineChars="200"/>
        <w:rPr>
          <w:rFonts w:hint="eastAsia" w:ascii="仿宋" w:hAnsi="仿宋" w:eastAsia="仿宋"/>
          <w:color w:val="auto"/>
          <w:sz w:val="32"/>
          <w:szCs w:val="32"/>
          <w:highlight w:val="none"/>
        </w:rPr>
      </w:pPr>
      <w:r>
        <w:drawing>
          <wp:anchor distT="0" distB="0" distL="114300" distR="114300" simplePos="0" relativeHeight="251663360" behindDoc="1" locked="0" layoutInCell="1" allowOverlap="1">
            <wp:simplePos x="0" y="0"/>
            <wp:positionH relativeFrom="column">
              <wp:posOffset>585470</wp:posOffset>
            </wp:positionH>
            <wp:positionV relativeFrom="paragraph">
              <wp:posOffset>108585</wp:posOffset>
            </wp:positionV>
            <wp:extent cx="4276725" cy="2247900"/>
            <wp:effectExtent l="4445" t="4445" r="5080" b="14605"/>
            <wp:wrapNone/>
            <wp:docPr id="8"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ind w:firstLine="640" w:firstLineChars="200"/>
        <w:rPr>
          <w:rFonts w:hint="eastAsia" w:ascii="仿宋" w:hAnsi="仿宋" w:eastAsia="仿宋"/>
          <w:color w:val="auto"/>
          <w:sz w:val="32"/>
          <w:szCs w:val="32"/>
          <w:highlight w:val="none"/>
        </w:rPr>
      </w:pPr>
    </w:p>
    <w:p>
      <w:pPr>
        <w:spacing w:line="600" w:lineRule="exact"/>
        <w:jc w:val="center"/>
        <w:rPr>
          <w:rFonts w:hint="eastAsia" w:ascii="仿宋" w:hAnsi="仿宋" w:eastAsia="仿宋"/>
          <w:color w:val="auto"/>
          <w:sz w:val="32"/>
          <w:szCs w:val="32"/>
          <w:highlight w:val="none"/>
        </w:rPr>
      </w:pP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642" w:firstLineChars="200"/>
        <w:outlineLvl w:val="2"/>
        <w:rPr>
          <w:rFonts w:ascii="仿宋" w:hAnsi="仿宋" w:eastAsia="仿宋"/>
          <w:b/>
          <w:color w:val="auto"/>
          <w:sz w:val="32"/>
          <w:szCs w:val="32"/>
          <w:highlight w:val="none"/>
        </w:rPr>
      </w:pPr>
      <w:bookmarkStart w:id="38" w:name="_Toc15377211"/>
      <w:bookmarkStart w:id="39" w:name="_Toc32687"/>
      <w:r>
        <w:rPr>
          <w:rFonts w:hint="eastAsia" w:ascii="仿宋" w:hAnsi="仿宋" w:eastAsia="仿宋"/>
          <w:b/>
          <w:color w:val="auto"/>
          <w:sz w:val="32"/>
          <w:szCs w:val="32"/>
          <w:highlight w:val="none"/>
        </w:rPr>
        <w:t>（二）一般公共预算财政拨款支出决算结构情况</w:t>
      </w:r>
      <w:bookmarkEnd w:id="38"/>
      <w:bookmarkEnd w:id="39"/>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年一般公共预算财政拨款支出1810.63万元，主要用于以下方面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rPr>
        <w:t>1571.57万元，占</w:t>
      </w:r>
      <w:r>
        <w:rPr>
          <w:rFonts w:hint="eastAsia" w:ascii="仿宋" w:hAnsi="仿宋" w:eastAsia="仿宋"/>
          <w:color w:val="auto"/>
          <w:sz w:val="32"/>
          <w:szCs w:val="32"/>
          <w:highlight w:val="none"/>
          <w:lang w:val="en-US" w:eastAsia="zh-CN"/>
        </w:rPr>
        <w:t>86.8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文化旅游体育与传媒支出</w:t>
      </w:r>
      <w:r>
        <w:rPr>
          <w:rFonts w:hint="eastAsia" w:ascii="仿宋" w:hAnsi="仿宋" w:eastAsia="仿宋"/>
          <w:color w:val="auto"/>
          <w:sz w:val="32"/>
          <w:szCs w:val="32"/>
          <w:highlight w:val="none"/>
        </w:rPr>
        <w:t>69.27</w:t>
      </w:r>
      <w:r>
        <w:rPr>
          <w:rFonts w:hint="eastAsia" w:ascii="仿宋" w:hAnsi="仿宋" w:eastAsia="仿宋"/>
          <w:b/>
          <w:bCs/>
          <w:color w:val="auto"/>
          <w:sz w:val="32"/>
          <w:szCs w:val="32"/>
          <w:highlight w:val="none"/>
        </w:rPr>
        <w:t>万元，占</w:t>
      </w:r>
      <w:r>
        <w:rPr>
          <w:rFonts w:hint="eastAsia" w:ascii="仿宋" w:hAnsi="仿宋" w:eastAsia="仿宋"/>
          <w:b/>
          <w:bCs/>
          <w:color w:val="auto"/>
          <w:sz w:val="32"/>
          <w:szCs w:val="32"/>
          <w:highlight w:val="none"/>
          <w:lang w:val="en-US" w:eastAsia="zh-CN"/>
        </w:rPr>
        <w:t>3.83</w:t>
      </w:r>
      <w:r>
        <w:rPr>
          <w:rFonts w:ascii="仿宋" w:hAnsi="仿宋" w:eastAsia="仿宋"/>
          <w:b/>
          <w:bCs/>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rPr>
        <w:t>78.28万元，占</w:t>
      </w:r>
      <w:r>
        <w:rPr>
          <w:rFonts w:hint="eastAsia" w:ascii="仿宋" w:hAnsi="仿宋" w:eastAsia="仿宋"/>
          <w:color w:val="auto"/>
          <w:sz w:val="32"/>
          <w:szCs w:val="32"/>
          <w:highlight w:val="none"/>
          <w:lang w:val="en-US" w:eastAsia="zh-CN"/>
        </w:rPr>
        <w:t>4.32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rPr>
        <w:t>29.3万元，占</w:t>
      </w:r>
      <w:r>
        <w:rPr>
          <w:rFonts w:hint="eastAsia" w:ascii="仿宋" w:hAnsi="仿宋" w:eastAsia="仿宋"/>
          <w:color w:val="auto"/>
          <w:sz w:val="32"/>
          <w:szCs w:val="32"/>
          <w:highlight w:val="none"/>
          <w:lang w:val="en-US" w:eastAsia="zh-CN"/>
        </w:rPr>
        <w:t>1.62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rPr>
        <w:t>62.21万元，占</w:t>
      </w:r>
      <w:r>
        <w:rPr>
          <w:rFonts w:hint="eastAsia" w:ascii="仿宋" w:hAnsi="仿宋" w:eastAsia="仿宋"/>
          <w:color w:val="auto"/>
          <w:sz w:val="32"/>
          <w:szCs w:val="32"/>
          <w:highlight w:val="none"/>
          <w:lang w:val="en-US" w:eastAsia="zh-CN"/>
        </w:rPr>
        <w:t>3.43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rPr>
          <w:rFonts w:ascii="仿宋" w:hAnsi="仿宋" w:eastAsia="仿宋"/>
          <w:color w:val="auto"/>
          <w:sz w:val="32"/>
          <w:szCs w:val="32"/>
          <w:highlight w:val="none"/>
        </w:rPr>
      </w:pPr>
      <w:r>
        <w:drawing>
          <wp:anchor distT="0" distB="0" distL="114300" distR="114300" simplePos="0" relativeHeight="251664384" behindDoc="1" locked="0" layoutInCell="1" allowOverlap="1">
            <wp:simplePos x="0" y="0"/>
            <wp:positionH relativeFrom="column">
              <wp:posOffset>553085</wp:posOffset>
            </wp:positionH>
            <wp:positionV relativeFrom="paragraph">
              <wp:posOffset>88900</wp:posOffset>
            </wp:positionV>
            <wp:extent cx="4219575" cy="2286000"/>
            <wp:effectExtent l="4445" t="4445" r="5080" b="14605"/>
            <wp:wrapNone/>
            <wp:docPr id="9"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8"/>
        <w:rPr>
          <w:rFonts w:ascii="仿宋" w:hAnsi="仿宋" w:eastAsia="仿宋"/>
          <w:color w:val="auto"/>
          <w:sz w:val="32"/>
          <w:szCs w:val="32"/>
          <w:highlight w:val="none"/>
        </w:rPr>
      </w:pPr>
    </w:p>
    <w:p>
      <w:pPr>
        <w:rPr>
          <w:rFonts w:ascii="仿宋" w:hAnsi="仿宋" w:eastAsia="仿宋"/>
          <w:color w:val="auto"/>
          <w:sz w:val="32"/>
          <w:szCs w:val="32"/>
          <w:highlight w:val="none"/>
        </w:rPr>
      </w:pPr>
    </w:p>
    <w:p>
      <w:pPr>
        <w:pStyle w:val="8"/>
        <w:rPr>
          <w:rFonts w:ascii="仿宋" w:hAnsi="仿宋" w:eastAsia="仿宋"/>
          <w:color w:val="auto"/>
          <w:sz w:val="32"/>
          <w:szCs w:val="32"/>
          <w:highlight w:val="none"/>
        </w:rPr>
      </w:pPr>
    </w:p>
    <w:p>
      <w:pPr>
        <w:rPr>
          <w:rFonts w:ascii="仿宋" w:hAnsi="仿宋" w:eastAsia="仿宋"/>
          <w:color w:val="auto"/>
          <w:sz w:val="32"/>
          <w:szCs w:val="32"/>
          <w:highlight w:val="none"/>
        </w:rPr>
      </w:pPr>
    </w:p>
    <w:p>
      <w:pPr>
        <w:pStyle w:val="8"/>
        <w:rPr>
          <w:rFonts w:ascii="仿宋" w:hAnsi="仿宋" w:eastAsia="仿宋"/>
          <w:color w:val="auto"/>
          <w:sz w:val="32"/>
          <w:szCs w:val="32"/>
          <w:highlight w:val="none"/>
        </w:rPr>
      </w:pP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spacing w:line="600" w:lineRule="exact"/>
        <w:ind w:firstLine="642" w:firstLineChars="200"/>
        <w:outlineLvl w:val="2"/>
        <w:rPr>
          <w:rFonts w:ascii="仿宋" w:hAnsi="仿宋" w:eastAsia="仿宋"/>
          <w:b/>
          <w:color w:val="auto"/>
          <w:sz w:val="32"/>
          <w:szCs w:val="32"/>
          <w:highlight w:val="none"/>
        </w:rPr>
      </w:pPr>
      <w:bookmarkStart w:id="40" w:name="_Toc15377212"/>
      <w:bookmarkStart w:id="41" w:name="_Toc31472"/>
      <w:r>
        <w:rPr>
          <w:rFonts w:hint="eastAsia" w:ascii="仿宋" w:hAnsi="仿宋" w:eastAsia="仿宋"/>
          <w:b/>
          <w:color w:val="auto"/>
          <w:sz w:val="32"/>
          <w:szCs w:val="32"/>
          <w:highlight w:val="none"/>
        </w:rPr>
        <w:t>（三）一般公共预算财政拨款支出决算具体情况</w:t>
      </w:r>
      <w:bookmarkEnd w:id="40"/>
      <w:bookmarkEnd w:id="41"/>
    </w:p>
    <w:p>
      <w:pPr>
        <w:spacing w:line="600" w:lineRule="exact"/>
        <w:ind w:firstLine="642" w:firstLineChars="200"/>
        <w:outlineLvl w:val="2"/>
        <w:rPr>
          <w:rFonts w:ascii="仿宋" w:hAnsi="仿宋" w:eastAsia="仿宋"/>
          <w:color w:val="auto"/>
          <w:sz w:val="32"/>
          <w:szCs w:val="32"/>
          <w:highlight w:val="none"/>
        </w:rPr>
      </w:pPr>
      <w:bookmarkStart w:id="42" w:name="_Toc8915"/>
      <w:bookmarkStart w:id="43" w:name="_Toc15378460"/>
      <w:bookmarkStart w:id="44" w:name="_Toc15377213"/>
      <w:bookmarkStart w:id="45" w:name="_Toc15377444"/>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般公共预算支出决算数为1810.63</w:t>
      </w:r>
      <w:r>
        <w:rPr>
          <w:rFonts w:hint="eastAsia" w:ascii="仿宋" w:hAnsi="仿宋" w:eastAsia="仿宋"/>
          <w:b/>
          <w:color w:val="auto"/>
          <w:sz w:val="32"/>
          <w:szCs w:val="32"/>
          <w:highlight w:val="none"/>
          <w:lang w:eastAsia="zh-CN"/>
        </w:rPr>
        <w:t>万元</w:t>
      </w:r>
      <w:r>
        <w:rPr>
          <w:rFonts w:hint="eastAsia" w:ascii="仿宋" w:hAnsi="仿宋" w:eastAsia="仿宋"/>
          <w:color w:val="auto"/>
          <w:sz w:val="32"/>
          <w:szCs w:val="32"/>
          <w:highlight w:val="none"/>
        </w:rPr>
        <w:t>，</w:t>
      </w:r>
      <w:r>
        <w:rPr>
          <w:rStyle w:val="17"/>
          <w:rFonts w:hint="eastAsia" w:ascii="仿宋" w:hAnsi="仿宋" w:eastAsia="仿宋"/>
          <w:bCs/>
          <w:color w:val="auto"/>
          <w:sz w:val="32"/>
          <w:szCs w:val="32"/>
          <w:highlight w:val="none"/>
        </w:rPr>
        <w:t>完成预算</w:t>
      </w:r>
      <w:r>
        <w:rPr>
          <w:rStyle w:val="17"/>
          <w:rFonts w:hint="eastAsia" w:ascii="仿宋" w:hAnsi="仿宋" w:eastAsia="仿宋"/>
          <w:bCs/>
          <w:color w:val="auto"/>
          <w:sz w:val="32"/>
          <w:szCs w:val="32"/>
          <w:highlight w:val="none"/>
          <w:lang w:val="en-US" w:eastAsia="zh-CN"/>
        </w:rPr>
        <w:t>100</w:t>
      </w:r>
      <w:r>
        <w:rPr>
          <w:rStyle w:val="17"/>
          <w:rFonts w:ascii="仿宋" w:hAnsi="仿宋" w:eastAsia="仿宋"/>
          <w:bCs/>
          <w:color w:val="auto"/>
          <w:sz w:val="32"/>
          <w:szCs w:val="32"/>
          <w:highlight w:val="none"/>
        </w:rPr>
        <w:t>%</w:t>
      </w:r>
      <w:r>
        <w:rPr>
          <w:rStyle w:val="17"/>
          <w:rFonts w:hint="eastAsia" w:ascii="仿宋" w:hAnsi="仿宋" w:eastAsia="仿宋"/>
          <w:bCs/>
          <w:color w:val="auto"/>
          <w:sz w:val="32"/>
          <w:szCs w:val="32"/>
          <w:highlight w:val="none"/>
        </w:rPr>
        <w:t>。其中：</w:t>
      </w:r>
      <w:bookmarkEnd w:id="42"/>
      <w:bookmarkEnd w:id="43"/>
      <w:bookmarkEnd w:id="44"/>
      <w:bookmarkEnd w:id="45"/>
    </w:p>
    <w:p>
      <w:pPr>
        <w:spacing w:line="600" w:lineRule="exact"/>
        <w:ind w:firstLine="640" w:firstLineChars="200"/>
        <w:rPr>
          <w:rStyle w:val="17"/>
          <w:rFonts w:ascii="仿宋" w:hAnsi="仿宋" w:eastAsia="仿宋"/>
          <w:b w:val="0"/>
          <w:bCs/>
          <w:sz w:val="32"/>
          <w:szCs w:val="32"/>
        </w:rPr>
      </w:pPr>
      <w:r>
        <w:rPr>
          <w:rStyle w:val="17"/>
          <w:rFonts w:ascii="仿宋" w:hAnsi="仿宋" w:eastAsia="仿宋"/>
          <w:b w:val="0"/>
          <w:bCs/>
          <w:sz w:val="32"/>
          <w:szCs w:val="32"/>
        </w:rPr>
        <w:t>1.</w:t>
      </w:r>
      <w:r>
        <w:rPr>
          <w:rStyle w:val="17"/>
          <w:rFonts w:hint="eastAsia" w:ascii="仿宋" w:hAnsi="仿宋" w:eastAsia="仿宋"/>
          <w:b w:val="0"/>
          <w:bCs/>
          <w:sz w:val="32"/>
          <w:szCs w:val="32"/>
        </w:rPr>
        <w:t>一般公共服务（类）宣传事务（款）行政运行（项）</w:t>
      </w:r>
      <w:r>
        <w:rPr>
          <w:rStyle w:val="17"/>
          <w:rFonts w:ascii="仿宋" w:hAnsi="仿宋" w:eastAsia="仿宋"/>
          <w:b w:val="0"/>
          <w:bCs/>
          <w:sz w:val="32"/>
          <w:szCs w:val="32"/>
        </w:rPr>
        <w:t xml:space="preserve">: </w:t>
      </w:r>
      <w:r>
        <w:rPr>
          <w:rStyle w:val="17"/>
          <w:rFonts w:hint="eastAsia" w:ascii="仿宋" w:hAnsi="仿宋" w:eastAsia="仿宋"/>
          <w:b w:val="0"/>
          <w:bCs/>
          <w:sz w:val="32"/>
          <w:szCs w:val="32"/>
        </w:rPr>
        <w:t>支出决算为895.75万元，完成预算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spacing w:line="600" w:lineRule="exact"/>
        <w:ind w:firstLine="640" w:firstLineChars="200"/>
        <w:rPr>
          <w:rStyle w:val="17"/>
          <w:rFonts w:ascii="仿宋" w:hAnsi="仿宋" w:eastAsia="仿宋"/>
          <w:b w:val="0"/>
          <w:bCs/>
          <w:sz w:val="32"/>
          <w:szCs w:val="32"/>
        </w:rPr>
      </w:pPr>
      <w:r>
        <w:rPr>
          <w:rStyle w:val="17"/>
          <w:rFonts w:ascii="仿宋" w:hAnsi="仿宋" w:eastAsia="仿宋"/>
          <w:b w:val="0"/>
          <w:bCs/>
          <w:sz w:val="32"/>
          <w:szCs w:val="32"/>
        </w:rPr>
        <w:t>2.</w:t>
      </w:r>
      <w:r>
        <w:rPr>
          <w:rStyle w:val="17"/>
          <w:rFonts w:hint="eastAsia" w:ascii="仿宋" w:hAnsi="仿宋" w:eastAsia="仿宋"/>
          <w:b w:val="0"/>
          <w:bCs/>
          <w:sz w:val="32"/>
          <w:szCs w:val="32"/>
        </w:rPr>
        <w:t>一般公共服务（类）宣传事务（款）一般行政管理事务（项）</w:t>
      </w:r>
      <w:r>
        <w:rPr>
          <w:rStyle w:val="17"/>
          <w:rFonts w:ascii="仿宋" w:hAnsi="仿宋" w:eastAsia="仿宋"/>
          <w:b w:val="0"/>
          <w:bCs/>
          <w:sz w:val="32"/>
          <w:szCs w:val="32"/>
        </w:rPr>
        <w:t>:</w:t>
      </w:r>
      <w:r>
        <w:rPr>
          <w:rStyle w:val="17"/>
          <w:rFonts w:hint="eastAsia" w:ascii="仿宋" w:hAnsi="仿宋" w:eastAsia="仿宋"/>
          <w:b w:val="0"/>
          <w:bCs/>
          <w:sz w:val="32"/>
          <w:szCs w:val="32"/>
        </w:rPr>
        <w:t>支出决算为268.38万元，完成预算</w:t>
      </w:r>
      <w:r>
        <w:rPr>
          <w:rStyle w:val="17"/>
          <w:rFonts w:hint="eastAsia" w:ascii="仿宋" w:hAnsi="仿宋" w:eastAsia="仿宋"/>
          <w:b w:val="0"/>
          <w:bCs/>
          <w:sz w:val="32"/>
          <w:szCs w:val="32"/>
          <w:lang w:val="en-US" w:eastAsia="zh-CN"/>
        </w:rPr>
        <w:t>100</w:t>
      </w:r>
      <w:r>
        <w:rPr>
          <w:rStyle w:val="17"/>
          <w:rFonts w:ascii="仿宋" w:hAnsi="仿宋" w:eastAsia="仿宋"/>
          <w:b w:val="0"/>
          <w:bCs/>
          <w:sz w:val="32"/>
          <w:szCs w:val="32"/>
        </w:rPr>
        <w:t>%</w:t>
      </w:r>
      <w:r>
        <w:rPr>
          <w:rStyle w:val="17"/>
          <w:rFonts w:hint="eastAsia" w:ascii="仿宋" w:hAnsi="仿宋" w:eastAsia="仿宋"/>
          <w:b w:val="0"/>
          <w:bCs/>
          <w:sz w:val="32"/>
          <w:szCs w:val="32"/>
        </w:rPr>
        <w:t>。</w:t>
      </w:r>
    </w:p>
    <w:p>
      <w:pPr>
        <w:spacing w:line="600" w:lineRule="exact"/>
        <w:ind w:firstLine="640" w:firstLineChars="200"/>
        <w:rPr>
          <w:rStyle w:val="17"/>
          <w:rFonts w:hint="eastAsia" w:ascii="仿宋" w:hAnsi="仿宋" w:eastAsia="仿宋"/>
          <w:b w:val="0"/>
          <w:bCs/>
          <w:sz w:val="32"/>
          <w:szCs w:val="32"/>
        </w:rPr>
      </w:pPr>
      <w:r>
        <w:rPr>
          <w:rStyle w:val="17"/>
          <w:rFonts w:ascii="仿宋" w:hAnsi="仿宋" w:eastAsia="仿宋"/>
          <w:b w:val="0"/>
          <w:bCs/>
          <w:sz w:val="32"/>
          <w:szCs w:val="32"/>
        </w:rPr>
        <w:t>3.</w:t>
      </w:r>
      <w:r>
        <w:rPr>
          <w:rStyle w:val="17"/>
          <w:rFonts w:hint="eastAsia" w:ascii="仿宋" w:hAnsi="仿宋" w:eastAsia="仿宋"/>
          <w:b w:val="0"/>
          <w:bCs/>
          <w:sz w:val="32"/>
          <w:szCs w:val="32"/>
        </w:rPr>
        <w:t>一般公共服务（类）宣传事务（款）事业运行（项）</w:t>
      </w:r>
      <w:r>
        <w:rPr>
          <w:rStyle w:val="17"/>
          <w:rFonts w:ascii="仿宋" w:hAnsi="仿宋" w:eastAsia="仿宋"/>
          <w:b w:val="0"/>
          <w:bCs/>
          <w:sz w:val="32"/>
          <w:szCs w:val="32"/>
        </w:rPr>
        <w:t>:</w:t>
      </w:r>
      <w:r>
        <w:rPr>
          <w:rStyle w:val="17"/>
          <w:rFonts w:hint="eastAsia" w:ascii="仿宋" w:hAnsi="仿宋" w:eastAsia="仿宋"/>
          <w:b w:val="0"/>
          <w:bCs/>
          <w:sz w:val="32"/>
          <w:szCs w:val="32"/>
        </w:rPr>
        <w:t>支出决算为186.2万元，完成预算</w:t>
      </w:r>
      <w:r>
        <w:rPr>
          <w:rStyle w:val="17"/>
          <w:rFonts w:ascii="仿宋" w:hAnsi="仿宋" w:eastAsia="仿宋"/>
          <w:b w:val="0"/>
          <w:bCs/>
          <w:sz w:val="32"/>
          <w:szCs w:val="32"/>
        </w:rPr>
        <w:t>100%</w:t>
      </w:r>
      <w:r>
        <w:rPr>
          <w:rStyle w:val="17"/>
          <w:rFonts w:hint="eastAsia" w:ascii="仿宋" w:hAnsi="仿宋" w:eastAsia="仿宋"/>
          <w:b w:val="0"/>
          <w:bCs/>
          <w:sz w:val="32"/>
          <w:szCs w:val="32"/>
        </w:rPr>
        <w:t>。</w:t>
      </w:r>
    </w:p>
    <w:p>
      <w:pPr>
        <w:spacing w:line="600" w:lineRule="exact"/>
        <w:ind w:firstLine="640" w:firstLineChars="200"/>
        <w:rPr>
          <w:rFonts w:hint="default" w:eastAsia="仿宋"/>
          <w:lang w:val="en-US" w:eastAsia="zh-CN"/>
        </w:rPr>
      </w:pPr>
      <w:r>
        <w:rPr>
          <w:rStyle w:val="17"/>
          <w:rFonts w:hint="eastAsia" w:ascii="仿宋" w:hAnsi="仿宋" w:eastAsia="仿宋"/>
          <w:b w:val="0"/>
          <w:bCs/>
          <w:sz w:val="32"/>
          <w:szCs w:val="32"/>
          <w:lang w:val="en-US" w:eastAsia="zh-CN"/>
        </w:rPr>
        <w:t>4.</w:t>
      </w:r>
      <w:r>
        <w:rPr>
          <w:rStyle w:val="17"/>
          <w:rFonts w:hint="eastAsia" w:ascii="仿宋" w:hAnsi="仿宋" w:eastAsia="仿宋"/>
          <w:b w:val="0"/>
          <w:bCs/>
          <w:sz w:val="32"/>
          <w:szCs w:val="32"/>
        </w:rPr>
        <w:t>一般公共服务（类）宣传事务（款）其他宣传事务支出（项）</w:t>
      </w:r>
      <w:r>
        <w:rPr>
          <w:rStyle w:val="17"/>
          <w:rFonts w:ascii="仿宋" w:hAnsi="仿宋" w:eastAsia="仿宋"/>
          <w:b w:val="0"/>
          <w:bCs/>
          <w:sz w:val="32"/>
          <w:szCs w:val="32"/>
        </w:rPr>
        <w:t>:</w:t>
      </w:r>
      <w:r>
        <w:rPr>
          <w:rStyle w:val="17"/>
          <w:rFonts w:hint="eastAsia" w:ascii="仿宋" w:hAnsi="仿宋" w:eastAsia="仿宋"/>
          <w:b w:val="0"/>
          <w:bCs/>
          <w:sz w:val="32"/>
          <w:szCs w:val="32"/>
        </w:rPr>
        <w:t>支出决算为221.24万元，完成预算</w:t>
      </w:r>
      <w:r>
        <w:rPr>
          <w:rStyle w:val="17"/>
          <w:rFonts w:ascii="仿宋" w:hAnsi="仿宋" w:eastAsia="仿宋"/>
          <w:b w:val="0"/>
          <w:bCs/>
          <w:sz w:val="32"/>
          <w:szCs w:val="32"/>
        </w:rPr>
        <w:t>100%</w:t>
      </w:r>
      <w:r>
        <w:rPr>
          <w:rStyle w:val="17"/>
          <w:rFonts w:hint="eastAsia" w:ascii="仿宋" w:hAnsi="仿宋" w:eastAsia="仿宋"/>
          <w:b w:val="0"/>
          <w:bCs/>
          <w:sz w:val="32"/>
          <w:szCs w:val="32"/>
        </w:rPr>
        <w:t>。</w:t>
      </w:r>
    </w:p>
    <w:p>
      <w:pPr>
        <w:spacing w:line="600" w:lineRule="exact"/>
        <w:ind w:firstLine="640" w:firstLineChars="200"/>
        <w:rPr>
          <w:rStyle w:val="17"/>
          <w:rFonts w:hint="eastAsia" w:ascii="仿宋" w:hAnsi="仿宋" w:eastAsia="仿宋"/>
          <w:b w:val="0"/>
          <w:bCs/>
          <w:sz w:val="32"/>
          <w:szCs w:val="32"/>
        </w:rPr>
      </w:pPr>
      <w:r>
        <w:rPr>
          <w:rStyle w:val="17"/>
          <w:rFonts w:hint="eastAsia" w:ascii="仿宋" w:hAnsi="仿宋" w:eastAsia="仿宋"/>
          <w:b w:val="0"/>
          <w:bCs/>
          <w:sz w:val="32"/>
          <w:szCs w:val="32"/>
          <w:lang w:val="en-US" w:eastAsia="zh-CN"/>
        </w:rPr>
        <w:t>5</w:t>
      </w:r>
      <w:r>
        <w:rPr>
          <w:rStyle w:val="17"/>
          <w:rFonts w:ascii="仿宋" w:hAnsi="仿宋" w:eastAsia="仿宋"/>
          <w:b w:val="0"/>
          <w:bCs/>
          <w:sz w:val="32"/>
          <w:szCs w:val="32"/>
        </w:rPr>
        <w:t>.</w:t>
      </w:r>
      <w:r>
        <w:rPr>
          <w:rStyle w:val="17"/>
          <w:rFonts w:hint="eastAsia" w:ascii="仿宋" w:hAnsi="仿宋" w:eastAsia="仿宋"/>
          <w:b w:val="0"/>
          <w:bCs/>
          <w:sz w:val="32"/>
          <w:szCs w:val="32"/>
        </w:rPr>
        <w:t>文化旅游体育与传媒支出（类）文化和旅游（款）文化活动（项）</w:t>
      </w:r>
      <w:r>
        <w:rPr>
          <w:rStyle w:val="17"/>
          <w:rFonts w:ascii="仿宋" w:hAnsi="仿宋" w:eastAsia="仿宋"/>
          <w:b w:val="0"/>
          <w:bCs/>
          <w:sz w:val="32"/>
          <w:szCs w:val="32"/>
        </w:rPr>
        <w:t>:</w:t>
      </w:r>
      <w:r>
        <w:rPr>
          <w:rStyle w:val="17"/>
          <w:rFonts w:hint="eastAsia" w:ascii="仿宋" w:hAnsi="仿宋" w:eastAsia="仿宋"/>
          <w:b w:val="0"/>
          <w:bCs/>
          <w:sz w:val="32"/>
          <w:szCs w:val="32"/>
        </w:rPr>
        <w:t>支出决算为30万元，完成预算</w:t>
      </w:r>
      <w:r>
        <w:rPr>
          <w:rStyle w:val="17"/>
          <w:rFonts w:ascii="仿宋" w:hAnsi="仿宋" w:eastAsia="仿宋"/>
          <w:b w:val="0"/>
          <w:bCs/>
          <w:sz w:val="32"/>
          <w:szCs w:val="32"/>
        </w:rPr>
        <w:t>100%</w:t>
      </w:r>
      <w:r>
        <w:rPr>
          <w:rStyle w:val="17"/>
          <w:rFonts w:hint="eastAsia" w:ascii="仿宋" w:hAnsi="仿宋" w:eastAsia="仿宋"/>
          <w:b w:val="0"/>
          <w:bCs/>
          <w:sz w:val="32"/>
          <w:szCs w:val="32"/>
        </w:rPr>
        <w:t>。</w:t>
      </w:r>
    </w:p>
    <w:p>
      <w:pPr>
        <w:spacing w:line="600" w:lineRule="exact"/>
        <w:ind w:firstLine="640" w:firstLineChars="200"/>
        <w:rPr>
          <w:rStyle w:val="17"/>
          <w:rFonts w:hint="eastAsia" w:ascii="仿宋" w:hAnsi="仿宋" w:eastAsia="仿宋"/>
          <w:b w:val="0"/>
          <w:bCs/>
          <w:sz w:val="32"/>
          <w:szCs w:val="32"/>
          <w:lang w:val="en-US" w:eastAsia="zh-CN"/>
        </w:rPr>
      </w:pPr>
      <w:r>
        <w:rPr>
          <w:rStyle w:val="17"/>
          <w:rFonts w:hint="eastAsia" w:ascii="仿宋" w:hAnsi="仿宋" w:eastAsia="仿宋"/>
          <w:b w:val="0"/>
          <w:bCs/>
          <w:sz w:val="32"/>
          <w:szCs w:val="32"/>
          <w:lang w:val="en-US" w:eastAsia="zh-CN"/>
        </w:rPr>
        <w:t>6.文化旅游体育与传媒支出（类）文化和旅游（款）文化创作与保护（项）:支出决算为25.8万元，完成预算100%。</w:t>
      </w:r>
    </w:p>
    <w:p>
      <w:pPr>
        <w:spacing w:line="600" w:lineRule="exact"/>
        <w:ind w:firstLine="640" w:firstLineChars="200"/>
        <w:rPr>
          <w:rStyle w:val="17"/>
          <w:rFonts w:hint="eastAsia" w:ascii="仿宋" w:hAnsi="仿宋" w:eastAsia="仿宋"/>
          <w:b w:val="0"/>
          <w:bCs/>
          <w:sz w:val="32"/>
          <w:szCs w:val="32"/>
          <w:lang w:val="en-US" w:eastAsia="zh-CN"/>
        </w:rPr>
      </w:pPr>
      <w:r>
        <w:rPr>
          <w:rStyle w:val="17"/>
          <w:rFonts w:hint="eastAsia" w:ascii="仿宋" w:hAnsi="仿宋" w:eastAsia="仿宋"/>
          <w:b w:val="0"/>
          <w:bCs/>
          <w:sz w:val="32"/>
          <w:szCs w:val="32"/>
          <w:lang w:val="en-US" w:eastAsia="zh-CN"/>
        </w:rPr>
        <w:t>7.文化旅游体育与传媒支出（类）新闻出版电影（款）其他新闻出版电影支出（项）:支出决算为3.22万元，完成预算100%。</w:t>
      </w:r>
    </w:p>
    <w:p>
      <w:pPr>
        <w:spacing w:line="600" w:lineRule="exact"/>
        <w:ind w:firstLine="640" w:firstLineChars="200"/>
        <w:rPr>
          <w:rStyle w:val="17"/>
          <w:rFonts w:hint="eastAsia" w:ascii="仿宋" w:hAnsi="仿宋" w:eastAsia="仿宋"/>
          <w:b w:val="0"/>
          <w:bCs/>
          <w:sz w:val="32"/>
          <w:szCs w:val="32"/>
          <w:lang w:val="en-US" w:eastAsia="zh-CN"/>
        </w:rPr>
      </w:pPr>
      <w:r>
        <w:rPr>
          <w:rStyle w:val="17"/>
          <w:rFonts w:hint="eastAsia" w:ascii="仿宋" w:hAnsi="仿宋" w:eastAsia="仿宋"/>
          <w:b w:val="0"/>
          <w:bCs/>
          <w:sz w:val="32"/>
          <w:szCs w:val="32"/>
          <w:lang w:val="en-US" w:eastAsia="zh-CN"/>
        </w:rPr>
        <w:t>8.文化旅游体育与传媒支出（类）其他文化旅游体育与传媒支出（款）宣传文化发展专项支出（项）:支出决算为10.25万元，完成预算100%。</w:t>
      </w:r>
    </w:p>
    <w:p>
      <w:pPr>
        <w:spacing w:line="600" w:lineRule="exact"/>
        <w:ind w:firstLine="640" w:firstLineChars="200"/>
        <w:rPr>
          <w:rStyle w:val="17"/>
          <w:rFonts w:hint="eastAsia" w:ascii="仿宋" w:hAnsi="仿宋" w:eastAsia="仿宋"/>
          <w:b w:val="0"/>
          <w:bCs/>
          <w:sz w:val="32"/>
          <w:szCs w:val="32"/>
          <w:lang w:val="en-US" w:eastAsia="zh-CN"/>
        </w:rPr>
      </w:pPr>
      <w:r>
        <w:rPr>
          <w:rStyle w:val="17"/>
          <w:rFonts w:hint="eastAsia" w:ascii="仿宋" w:hAnsi="仿宋" w:eastAsia="仿宋"/>
          <w:b w:val="0"/>
          <w:bCs/>
          <w:sz w:val="32"/>
          <w:szCs w:val="32"/>
          <w:lang w:val="en-US" w:eastAsia="zh-CN"/>
        </w:rPr>
        <w:t>9.</w:t>
      </w:r>
      <w:r>
        <w:rPr>
          <w:rStyle w:val="17"/>
          <w:rFonts w:hint="eastAsia" w:ascii="仿宋" w:hAnsi="仿宋" w:eastAsia="仿宋"/>
          <w:b w:val="0"/>
          <w:bCs/>
          <w:sz w:val="32"/>
          <w:szCs w:val="32"/>
        </w:rPr>
        <w:t>社会保障和就业（类）人力资源和社会保障管理事务（款） 其他人力资源和社会保障管理事务支出（项）</w:t>
      </w:r>
      <w:r>
        <w:rPr>
          <w:rStyle w:val="17"/>
          <w:rFonts w:ascii="仿宋" w:hAnsi="仿宋" w:eastAsia="仿宋"/>
          <w:b w:val="0"/>
          <w:bCs/>
          <w:sz w:val="32"/>
          <w:szCs w:val="32"/>
        </w:rPr>
        <w:t>:</w:t>
      </w:r>
      <w:r>
        <w:rPr>
          <w:rStyle w:val="17"/>
          <w:rFonts w:hint="eastAsia" w:ascii="仿宋" w:hAnsi="仿宋" w:eastAsia="仿宋"/>
          <w:b w:val="0"/>
          <w:bCs/>
          <w:sz w:val="32"/>
          <w:szCs w:val="32"/>
        </w:rPr>
        <w:t>支出决算为12.6万元，完成预算</w:t>
      </w:r>
      <w:r>
        <w:rPr>
          <w:rStyle w:val="17"/>
          <w:rFonts w:ascii="仿宋" w:hAnsi="仿宋" w:eastAsia="仿宋"/>
          <w:b w:val="0"/>
          <w:bCs/>
          <w:sz w:val="32"/>
          <w:szCs w:val="32"/>
        </w:rPr>
        <w:t>100%</w:t>
      </w:r>
      <w:r>
        <w:rPr>
          <w:rStyle w:val="17"/>
          <w:rFonts w:hint="eastAsia" w:ascii="仿宋" w:hAnsi="仿宋" w:eastAsia="仿宋"/>
          <w:b w:val="0"/>
          <w:bCs/>
          <w:sz w:val="32"/>
          <w:szCs w:val="32"/>
        </w:rPr>
        <w:t>。</w:t>
      </w:r>
    </w:p>
    <w:p>
      <w:pPr>
        <w:spacing w:line="600" w:lineRule="exact"/>
        <w:ind w:firstLine="640" w:firstLineChars="200"/>
        <w:rPr>
          <w:rStyle w:val="17"/>
          <w:rFonts w:ascii="仿宋" w:hAnsi="仿宋" w:eastAsia="仿宋"/>
          <w:b w:val="0"/>
          <w:bCs/>
          <w:sz w:val="32"/>
          <w:szCs w:val="32"/>
        </w:rPr>
      </w:pPr>
      <w:r>
        <w:rPr>
          <w:rStyle w:val="17"/>
          <w:rFonts w:hint="eastAsia" w:ascii="仿宋" w:hAnsi="仿宋" w:eastAsia="仿宋"/>
          <w:b w:val="0"/>
          <w:bCs/>
          <w:sz w:val="32"/>
          <w:szCs w:val="32"/>
          <w:lang w:val="en-US" w:eastAsia="zh-CN"/>
        </w:rPr>
        <w:t>10.</w:t>
      </w:r>
      <w:r>
        <w:rPr>
          <w:rStyle w:val="17"/>
          <w:rFonts w:hint="eastAsia" w:ascii="仿宋" w:hAnsi="仿宋" w:eastAsia="仿宋"/>
          <w:b w:val="0"/>
          <w:bCs/>
          <w:sz w:val="32"/>
          <w:szCs w:val="32"/>
        </w:rPr>
        <w:t>社会保障和就业（类）行政事业单位养老支出（款）机关事业单位基本养老保险缴费支出（项）</w:t>
      </w:r>
      <w:r>
        <w:rPr>
          <w:rStyle w:val="17"/>
          <w:rFonts w:ascii="仿宋" w:hAnsi="仿宋" w:eastAsia="仿宋"/>
          <w:b w:val="0"/>
          <w:bCs/>
          <w:sz w:val="32"/>
          <w:szCs w:val="32"/>
        </w:rPr>
        <w:t>:</w:t>
      </w:r>
      <w:r>
        <w:rPr>
          <w:rStyle w:val="17"/>
          <w:rFonts w:hint="eastAsia" w:ascii="仿宋" w:hAnsi="仿宋" w:eastAsia="仿宋"/>
          <w:b w:val="0"/>
          <w:bCs/>
          <w:sz w:val="32"/>
          <w:szCs w:val="32"/>
        </w:rPr>
        <w:t>支出决算为58.61万元，完成预算</w:t>
      </w:r>
      <w:r>
        <w:rPr>
          <w:rStyle w:val="17"/>
          <w:rFonts w:ascii="仿宋" w:hAnsi="仿宋" w:eastAsia="仿宋"/>
          <w:b w:val="0"/>
          <w:bCs/>
          <w:sz w:val="32"/>
          <w:szCs w:val="32"/>
        </w:rPr>
        <w:t>100%</w:t>
      </w:r>
      <w:r>
        <w:rPr>
          <w:rStyle w:val="17"/>
          <w:rFonts w:hint="eastAsia" w:ascii="仿宋" w:hAnsi="仿宋" w:eastAsia="仿宋"/>
          <w:b w:val="0"/>
          <w:bCs/>
          <w:sz w:val="32"/>
          <w:szCs w:val="32"/>
        </w:rPr>
        <w:t>。</w:t>
      </w:r>
    </w:p>
    <w:p>
      <w:pPr>
        <w:spacing w:line="600" w:lineRule="exact"/>
        <w:ind w:firstLine="640" w:firstLineChars="200"/>
      </w:pPr>
      <w:r>
        <w:rPr>
          <w:rStyle w:val="17"/>
          <w:rFonts w:hint="eastAsia" w:ascii="仿宋" w:hAnsi="仿宋" w:eastAsia="仿宋"/>
          <w:b w:val="0"/>
          <w:bCs/>
          <w:sz w:val="32"/>
          <w:szCs w:val="32"/>
          <w:lang w:val="en-US" w:eastAsia="zh-CN"/>
        </w:rPr>
        <w:t>11</w:t>
      </w:r>
      <w:r>
        <w:rPr>
          <w:rStyle w:val="17"/>
          <w:rFonts w:ascii="仿宋" w:hAnsi="仿宋" w:eastAsia="仿宋"/>
          <w:b w:val="0"/>
          <w:bCs/>
          <w:sz w:val="32"/>
          <w:szCs w:val="32"/>
        </w:rPr>
        <w:t>.</w:t>
      </w:r>
      <w:r>
        <w:rPr>
          <w:rStyle w:val="17"/>
          <w:rFonts w:hint="eastAsia" w:ascii="仿宋" w:hAnsi="仿宋" w:eastAsia="仿宋"/>
          <w:b w:val="0"/>
          <w:bCs/>
          <w:sz w:val="32"/>
          <w:szCs w:val="32"/>
        </w:rPr>
        <w:t>社会保障和就业（类）行政事业单位养老支出（款）机关事业单位职业年金缴费支出（项）</w:t>
      </w:r>
      <w:r>
        <w:rPr>
          <w:rStyle w:val="17"/>
          <w:rFonts w:ascii="仿宋" w:hAnsi="仿宋" w:eastAsia="仿宋"/>
          <w:b w:val="0"/>
          <w:bCs/>
          <w:sz w:val="32"/>
          <w:szCs w:val="32"/>
        </w:rPr>
        <w:t>:</w:t>
      </w:r>
      <w:r>
        <w:rPr>
          <w:rStyle w:val="17"/>
          <w:rFonts w:hint="eastAsia" w:ascii="仿宋" w:hAnsi="仿宋" w:eastAsia="仿宋"/>
          <w:b w:val="0"/>
          <w:bCs/>
          <w:sz w:val="32"/>
          <w:szCs w:val="32"/>
        </w:rPr>
        <w:t>支出决算为5.04万元，完成预算</w:t>
      </w:r>
      <w:r>
        <w:rPr>
          <w:rStyle w:val="17"/>
          <w:rFonts w:ascii="仿宋" w:hAnsi="仿宋" w:eastAsia="仿宋"/>
          <w:b w:val="0"/>
          <w:bCs/>
          <w:sz w:val="32"/>
          <w:szCs w:val="32"/>
        </w:rPr>
        <w:t>100%</w:t>
      </w:r>
      <w:r>
        <w:rPr>
          <w:rStyle w:val="17"/>
          <w:rFonts w:hint="eastAsia" w:ascii="仿宋" w:hAnsi="仿宋" w:eastAsia="仿宋"/>
          <w:b w:val="0"/>
          <w:bCs/>
          <w:sz w:val="32"/>
          <w:szCs w:val="32"/>
        </w:rPr>
        <w:t>。</w:t>
      </w:r>
    </w:p>
    <w:p>
      <w:pPr>
        <w:spacing w:line="600" w:lineRule="exact"/>
        <w:ind w:firstLine="640" w:firstLineChars="200"/>
        <w:rPr>
          <w:rStyle w:val="17"/>
          <w:rFonts w:ascii="仿宋" w:hAnsi="仿宋" w:eastAsia="仿宋"/>
          <w:b w:val="0"/>
          <w:bCs/>
          <w:sz w:val="32"/>
          <w:szCs w:val="32"/>
        </w:rPr>
      </w:pPr>
      <w:r>
        <w:rPr>
          <w:rStyle w:val="17"/>
          <w:rFonts w:hint="eastAsia" w:ascii="仿宋" w:hAnsi="仿宋" w:eastAsia="仿宋"/>
          <w:b w:val="0"/>
          <w:bCs/>
          <w:sz w:val="32"/>
          <w:szCs w:val="32"/>
          <w:lang w:val="en-US" w:eastAsia="zh-CN"/>
        </w:rPr>
        <w:t>12</w:t>
      </w:r>
      <w:r>
        <w:rPr>
          <w:rStyle w:val="17"/>
          <w:rFonts w:ascii="仿宋" w:hAnsi="仿宋" w:eastAsia="仿宋"/>
          <w:b w:val="0"/>
          <w:bCs/>
          <w:sz w:val="32"/>
          <w:szCs w:val="32"/>
        </w:rPr>
        <w:t>.</w:t>
      </w:r>
      <w:r>
        <w:rPr>
          <w:rStyle w:val="17"/>
          <w:rFonts w:hint="eastAsia" w:ascii="仿宋" w:hAnsi="仿宋" w:eastAsia="仿宋"/>
          <w:b w:val="0"/>
          <w:bCs/>
          <w:sz w:val="32"/>
          <w:szCs w:val="32"/>
        </w:rPr>
        <w:t>社会保障和就业（类）其他社会保障和就业支出（款） 其他社会保障和就业支出（项）</w:t>
      </w:r>
      <w:r>
        <w:rPr>
          <w:rStyle w:val="17"/>
          <w:rFonts w:ascii="仿宋" w:hAnsi="仿宋" w:eastAsia="仿宋"/>
          <w:b w:val="0"/>
          <w:bCs/>
          <w:sz w:val="32"/>
          <w:szCs w:val="32"/>
        </w:rPr>
        <w:t>:</w:t>
      </w:r>
      <w:r>
        <w:rPr>
          <w:rStyle w:val="17"/>
          <w:rFonts w:hint="eastAsia" w:ascii="仿宋" w:hAnsi="仿宋" w:eastAsia="仿宋"/>
          <w:b w:val="0"/>
          <w:bCs/>
          <w:sz w:val="32"/>
          <w:szCs w:val="32"/>
        </w:rPr>
        <w:t>支出决算为2.04万元，完成预算</w:t>
      </w:r>
      <w:r>
        <w:rPr>
          <w:rStyle w:val="17"/>
          <w:rFonts w:ascii="仿宋" w:hAnsi="仿宋" w:eastAsia="仿宋"/>
          <w:b w:val="0"/>
          <w:bCs/>
          <w:sz w:val="32"/>
          <w:szCs w:val="32"/>
        </w:rPr>
        <w:t>100%</w:t>
      </w:r>
      <w:r>
        <w:rPr>
          <w:rStyle w:val="17"/>
          <w:rFonts w:hint="eastAsia" w:ascii="仿宋" w:hAnsi="仿宋" w:eastAsia="仿宋"/>
          <w:b w:val="0"/>
          <w:bCs/>
          <w:sz w:val="32"/>
          <w:szCs w:val="32"/>
        </w:rPr>
        <w:t>。</w:t>
      </w:r>
    </w:p>
    <w:p>
      <w:pPr>
        <w:spacing w:line="600" w:lineRule="exact"/>
        <w:ind w:firstLine="640" w:firstLineChars="200"/>
        <w:rPr>
          <w:rFonts w:ascii="仿宋" w:hAnsi="仿宋" w:eastAsia="仿宋"/>
          <w:sz w:val="32"/>
          <w:szCs w:val="32"/>
        </w:rPr>
      </w:pPr>
      <w:r>
        <w:rPr>
          <w:rStyle w:val="17"/>
          <w:rFonts w:hint="eastAsia" w:ascii="仿宋" w:hAnsi="仿宋" w:eastAsia="仿宋"/>
          <w:b w:val="0"/>
          <w:bCs/>
          <w:sz w:val="32"/>
          <w:szCs w:val="32"/>
          <w:lang w:val="en-US" w:eastAsia="zh-CN"/>
        </w:rPr>
        <w:t>13</w:t>
      </w:r>
      <w:r>
        <w:rPr>
          <w:rStyle w:val="17"/>
          <w:rFonts w:ascii="仿宋" w:hAnsi="仿宋" w:eastAsia="仿宋"/>
          <w:b w:val="0"/>
          <w:bCs/>
          <w:sz w:val="32"/>
          <w:szCs w:val="32"/>
        </w:rPr>
        <w:t>.</w:t>
      </w:r>
      <w:r>
        <w:rPr>
          <w:rFonts w:hint="eastAsia" w:ascii="仿宋" w:hAnsi="仿宋" w:eastAsia="仿宋"/>
          <w:bCs/>
          <w:sz w:val="32"/>
          <w:szCs w:val="32"/>
        </w:rPr>
        <w:t>卫生健康</w:t>
      </w:r>
      <w:r>
        <w:rPr>
          <w:rStyle w:val="17"/>
          <w:rFonts w:hint="eastAsia" w:ascii="仿宋" w:hAnsi="仿宋" w:eastAsia="仿宋"/>
          <w:b w:val="0"/>
          <w:bCs/>
          <w:sz w:val="32"/>
          <w:szCs w:val="32"/>
        </w:rPr>
        <w:t>（类）行政事业单位医疗（款）行政单位医疗（项）</w:t>
      </w:r>
      <w:r>
        <w:rPr>
          <w:rStyle w:val="17"/>
          <w:rFonts w:ascii="仿宋" w:hAnsi="仿宋" w:eastAsia="仿宋"/>
          <w:b w:val="0"/>
          <w:bCs/>
          <w:sz w:val="32"/>
          <w:szCs w:val="32"/>
        </w:rPr>
        <w:t>:</w:t>
      </w:r>
      <w:r>
        <w:rPr>
          <w:rStyle w:val="17"/>
          <w:rFonts w:hint="eastAsia" w:ascii="仿宋" w:hAnsi="仿宋" w:eastAsia="仿宋"/>
          <w:b w:val="0"/>
          <w:bCs/>
          <w:sz w:val="32"/>
          <w:szCs w:val="32"/>
        </w:rPr>
        <w:t>支出决算为29.3万元，完成预算</w:t>
      </w:r>
      <w:r>
        <w:rPr>
          <w:rStyle w:val="17"/>
          <w:rFonts w:ascii="仿宋" w:hAnsi="仿宋" w:eastAsia="仿宋"/>
          <w:b w:val="0"/>
          <w:bCs/>
          <w:sz w:val="32"/>
          <w:szCs w:val="32"/>
        </w:rPr>
        <w:t>100%</w:t>
      </w:r>
      <w:r>
        <w:rPr>
          <w:rStyle w:val="17"/>
          <w:rFonts w:hint="eastAsia" w:ascii="仿宋" w:hAnsi="仿宋" w:eastAsia="仿宋"/>
          <w:b w:val="0"/>
          <w:bCs/>
          <w:sz w:val="32"/>
          <w:szCs w:val="32"/>
        </w:rPr>
        <w:t>。</w:t>
      </w:r>
    </w:p>
    <w:p>
      <w:pPr>
        <w:spacing w:line="600" w:lineRule="exact"/>
        <w:ind w:firstLine="640" w:firstLineChars="200"/>
        <w:rPr>
          <w:rFonts w:ascii="仿宋" w:hAnsi="仿宋" w:eastAsia="仿宋"/>
          <w:sz w:val="32"/>
          <w:szCs w:val="32"/>
        </w:rPr>
      </w:pPr>
      <w:r>
        <w:rPr>
          <w:rStyle w:val="17"/>
          <w:rFonts w:hint="eastAsia" w:ascii="仿宋" w:hAnsi="仿宋" w:eastAsia="仿宋"/>
          <w:b w:val="0"/>
          <w:bCs/>
          <w:sz w:val="32"/>
          <w:szCs w:val="32"/>
          <w:lang w:val="en-US" w:eastAsia="zh-CN"/>
        </w:rPr>
        <w:t>14</w:t>
      </w:r>
      <w:r>
        <w:rPr>
          <w:rStyle w:val="17"/>
          <w:rFonts w:ascii="仿宋" w:hAnsi="仿宋" w:eastAsia="仿宋"/>
          <w:b w:val="0"/>
          <w:bCs/>
          <w:sz w:val="32"/>
          <w:szCs w:val="32"/>
        </w:rPr>
        <w:t>.</w:t>
      </w:r>
      <w:r>
        <w:rPr>
          <w:rFonts w:hint="eastAsia" w:ascii="仿宋" w:hAnsi="仿宋" w:eastAsia="仿宋"/>
          <w:bCs/>
          <w:sz w:val="32"/>
          <w:szCs w:val="32"/>
        </w:rPr>
        <w:t>住房保障支出</w:t>
      </w:r>
      <w:r>
        <w:rPr>
          <w:rStyle w:val="17"/>
          <w:rFonts w:hint="eastAsia" w:ascii="仿宋" w:hAnsi="仿宋" w:eastAsia="仿宋"/>
          <w:b w:val="0"/>
          <w:bCs/>
          <w:sz w:val="32"/>
          <w:szCs w:val="32"/>
        </w:rPr>
        <w:t>（类）住房改革支出（款）住房公积金（项）</w:t>
      </w:r>
      <w:r>
        <w:rPr>
          <w:rStyle w:val="17"/>
          <w:rFonts w:ascii="仿宋" w:hAnsi="仿宋" w:eastAsia="仿宋"/>
          <w:b w:val="0"/>
          <w:bCs/>
          <w:sz w:val="32"/>
          <w:szCs w:val="32"/>
        </w:rPr>
        <w:t>:</w:t>
      </w:r>
      <w:r>
        <w:rPr>
          <w:rStyle w:val="17"/>
          <w:rFonts w:hint="eastAsia" w:ascii="仿宋" w:hAnsi="仿宋" w:eastAsia="仿宋"/>
          <w:b w:val="0"/>
          <w:bCs/>
          <w:sz w:val="32"/>
          <w:szCs w:val="32"/>
        </w:rPr>
        <w:t>支出决算为62.21万元，完成预算</w:t>
      </w:r>
      <w:r>
        <w:rPr>
          <w:rStyle w:val="17"/>
          <w:rFonts w:ascii="仿宋" w:hAnsi="仿宋" w:eastAsia="仿宋"/>
          <w:b w:val="0"/>
          <w:bCs/>
          <w:sz w:val="32"/>
          <w:szCs w:val="32"/>
        </w:rPr>
        <w:t>100%</w:t>
      </w:r>
      <w:r>
        <w:rPr>
          <w:rStyle w:val="17"/>
          <w:rFonts w:hint="eastAsia" w:ascii="仿宋" w:hAnsi="仿宋" w:eastAsia="仿宋"/>
          <w:b w:val="0"/>
          <w:bCs/>
          <w:sz w:val="32"/>
          <w:szCs w:val="32"/>
        </w:rPr>
        <w:t>。</w:t>
      </w:r>
    </w:p>
    <w:p>
      <w:pPr>
        <w:tabs>
          <w:tab w:val="right" w:pos="8306"/>
        </w:tabs>
        <w:spacing w:line="600" w:lineRule="exact"/>
        <w:ind w:firstLine="640"/>
        <w:outlineLvl w:val="1"/>
        <w:rPr>
          <w:rStyle w:val="20"/>
          <w:color w:val="auto"/>
          <w:highlight w:val="none"/>
        </w:rPr>
      </w:pPr>
      <w:bookmarkStart w:id="46" w:name="_Toc15377214"/>
      <w:bookmarkStart w:id="47" w:name="_Toc15396608"/>
      <w:bookmarkStart w:id="48" w:name="_Toc32292"/>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0"/>
          <w:rFonts w:hint="eastAsia" w:ascii="黑体" w:hAnsi="黑体" w:eastAsia="黑体"/>
          <w:b w:val="0"/>
          <w:color w:val="auto"/>
          <w:highlight w:val="none"/>
        </w:rPr>
        <w:t>般公共预算财政拨款基本支出决算情况说明</w:t>
      </w:r>
      <w:bookmarkEnd w:id="46"/>
      <w:bookmarkEnd w:id="47"/>
      <w:bookmarkEnd w:id="48"/>
      <w:r>
        <w:rPr>
          <w:rStyle w:val="2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年一般公共预算财政拨款基本支出1251.74万元，其中：</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人员经费942.16万元，</w:t>
      </w:r>
      <w:r>
        <w:rPr>
          <w:rFonts w:hint="eastAsia" w:ascii="仿宋" w:hAnsi="仿宋" w:eastAsia="仿宋"/>
          <w:sz w:val="32"/>
          <w:szCs w:val="32"/>
        </w:rPr>
        <w:t>主要包括：基本工资、津贴补贴、奖金、机关事业单位基本养老保险缴费、职业年金缴费、职工基本医疗保险缴费、其他社会保障缴费、住房公积金、其他工资福利支出</w:t>
      </w:r>
      <w:r>
        <w:rPr>
          <w:rFonts w:hint="eastAsia" w:ascii="仿宋" w:hAnsi="仿宋" w:eastAsia="仿宋"/>
          <w:sz w:val="32"/>
          <w:szCs w:val="32"/>
          <w:lang w:eastAsia="zh-CN"/>
        </w:rPr>
        <w:t>、奖励金、其他个人和家庭的补助支出</w:t>
      </w:r>
      <w:r>
        <w:rPr>
          <w:rFonts w:hint="eastAsia" w:ascii="仿宋" w:hAnsi="仿宋" w:eastAsia="仿宋"/>
          <w:sz w:val="32"/>
          <w:szCs w:val="32"/>
        </w:rPr>
        <w:t>。</w:t>
      </w:r>
      <w:r>
        <w:rPr>
          <w:rFonts w:ascii="仿宋" w:hAnsi="仿宋" w:eastAsia="仿宋"/>
          <w:color w:val="auto"/>
          <w:sz w:val="32"/>
          <w:szCs w:val="32"/>
          <w:highlight w:val="none"/>
        </w:rPr>
        <w:br w:type="textWrapping"/>
      </w:r>
      <w:r>
        <w:rPr>
          <w:rFonts w:hint="eastAsia" w:ascii="仿宋" w:hAnsi="仿宋" w:eastAsia="仿宋"/>
          <w:color w:val="auto"/>
          <w:sz w:val="32"/>
          <w:szCs w:val="32"/>
          <w:highlight w:val="none"/>
        </w:rPr>
        <w:t>　　公用经费309.58万元，</w:t>
      </w:r>
      <w:r>
        <w:rPr>
          <w:rFonts w:hint="eastAsia" w:ascii="仿宋" w:hAnsi="仿宋" w:eastAsia="仿宋"/>
          <w:sz w:val="32"/>
          <w:szCs w:val="32"/>
        </w:rPr>
        <w:t>主要包括：办公费、印刷费、手续费、水费、电费、邮电费、物业管理费、差旅费、维修（护）费、会议费、培训费、公务接待费、劳务费、工会经费、福利费、公务用车运行维护费、其他交通费</w:t>
      </w:r>
      <w:r>
        <w:rPr>
          <w:rFonts w:hint="eastAsia" w:ascii="仿宋" w:hAnsi="仿宋" w:eastAsia="仿宋"/>
          <w:sz w:val="32"/>
          <w:szCs w:val="32"/>
          <w:lang w:val="en-US" w:eastAsia="zh-CN"/>
        </w:rPr>
        <w:t>用</w:t>
      </w:r>
      <w:r>
        <w:rPr>
          <w:rFonts w:hint="eastAsia" w:ascii="仿宋" w:hAnsi="仿宋" w:eastAsia="仿宋"/>
          <w:sz w:val="32"/>
          <w:szCs w:val="32"/>
        </w:rPr>
        <w:t>、其他商品和服务支出。</w:t>
      </w:r>
    </w:p>
    <w:p>
      <w:pPr>
        <w:spacing w:line="600" w:lineRule="exact"/>
        <w:ind w:firstLine="640"/>
        <w:outlineLvl w:val="1"/>
        <w:rPr>
          <w:rStyle w:val="20"/>
          <w:rFonts w:ascii="黑体" w:hAnsi="黑体" w:eastAsia="黑体"/>
          <w:b w:val="0"/>
          <w:color w:val="auto"/>
          <w:highlight w:val="none"/>
        </w:rPr>
      </w:pPr>
      <w:bookmarkStart w:id="49" w:name="_Toc15396609"/>
      <w:bookmarkStart w:id="50" w:name="_Toc21362"/>
      <w:bookmarkStart w:id="51" w:name="_Toc15377215"/>
      <w:r>
        <w:rPr>
          <w:rFonts w:hint="eastAsia" w:ascii="黑体" w:eastAsia="黑体"/>
          <w:color w:val="auto"/>
          <w:sz w:val="32"/>
          <w:szCs w:val="32"/>
          <w:highlight w:val="none"/>
        </w:rPr>
        <w:t>七、</w:t>
      </w:r>
      <w:r>
        <w:rPr>
          <w:rStyle w:val="20"/>
          <w:rFonts w:hint="eastAsia" w:ascii="黑体" w:hAnsi="黑体" w:eastAsia="黑体"/>
          <w:b w:val="0"/>
          <w:color w:val="auto"/>
          <w:highlight w:val="none"/>
        </w:rPr>
        <w:t>财政拨款</w:t>
      </w:r>
      <w:r>
        <w:rPr>
          <w:rStyle w:val="20"/>
          <w:rFonts w:hint="eastAsia" w:ascii="黑体" w:hAnsi="黑体" w:eastAsia="黑体"/>
          <w:color w:val="auto"/>
          <w:highlight w:val="none"/>
        </w:rPr>
        <w:t>“</w:t>
      </w:r>
      <w:r>
        <w:rPr>
          <w:rStyle w:val="20"/>
          <w:rFonts w:hint="eastAsia" w:ascii="黑体" w:hAnsi="黑体" w:eastAsia="黑体"/>
          <w:b w:val="0"/>
          <w:color w:val="auto"/>
          <w:highlight w:val="none"/>
        </w:rPr>
        <w:t>三公”经费支出决算情况说明</w:t>
      </w:r>
      <w:bookmarkEnd w:id="49"/>
      <w:bookmarkEnd w:id="50"/>
      <w:bookmarkEnd w:id="51"/>
    </w:p>
    <w:p>
      <w:pPr>
        <w:spacing w:line="600" w:lineRule="exact"/>
        <w:ind w:firstLine="640"/>
        <w:outlineLvl w:val="2"/>
        <w:rPr>
          <w:rFonts w:ascii="仿宋" w:hAnsi="仿宋" w:eastAsia="仿宋"/>
          <w:b/>
          <w:color w:val="auto"/>
          <w:sz w:val="32"/>
          <w:szCs w:val="32"/>
          <w:highlight w:val="none"/>
        </w:rPr>
      </w:pPr>
      <w:bookmarkStart w:id="52" w:name="_Toc15377216"/>
      <w:bookmarkStart w:id="53" w:name="_Toc15670"/>
      <w:r>
        <w:rPr>
          <w:rFonts w:hint="eastAsia" w:ascii="仿宋" w:hAnsi="仿宋" w:eastAsia="仿宋"/>
          <w:b/>
          <w:color w:val="auto"/>
          <w:sz w:val="32"/>
          <w:szCs w:val="32"/>
          <w:highlight w:val="none"/>
        </w:rPr>
        <w:t>（一）“三公”经费财政拨款支出决算总体情况说明</w:t>
      </w:r>
      <w:bookmarkEnd w:id="52"/>
      <w:bookmarkEnd w:id="53"/>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年“三公”经费财政拨款支出决算为16.1万元，完成预算</w:t>
      </w:r>
      <w:r>
        <w:rPr>
          <w:rFonts w:hint="eastAsia" w:ascii="仿宋" w:hAnsi="仿宋" w:eastAsia="仿宋"/>
          <w:color w:val="auto"/>
          <w:sz w:val="32"/>
          <w:szCs w:val="32"/>
          <w:highlight w:val="none"/>
          <w:lang w:val="en-US" w:eastAsia="zh-CN"/>
        </w:rPr>
        <w:t>84.74</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减少6.94万元，下降30.12%。</w:t>
      </w:r>
      <w:r>
        <w:rPr>
          <w:rFonts w:hint="eastAsia" w:ascii="仿宋" w:hAnsi="仿宋" w:eastAsia="仿宋"/>
          <w:color w:val="auto"/>
          <w:sz w:val="32"/>
          <w:szCs w:val="32"/>
          <w:highlight w:val="none"/>
        </w:rPr>
        <w:t>决算数小于预算数的主要原因是公务接待</w:t>
      </w:r>
      <w:r>
        <w:rPr>
          <w:rFonts w:hint="eastAsia" w:ascii="仿宋" w:hAnsi="仿宋" w:eastAsia="仿宋"/>
          <w:color w:val="auto"/>
          <w:sz w:val="32"/>
          <w:szCs w:val="32"/>
          <w:highlight w:val="none"/>
          <w:lang w:eastAsia="zh-CN"/>
        </w:rPr>
        <w:t>减少</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54" w:name="_Toc15377217"/>
      <w:bookmarkStart w:id="55" w:name="_Toc9362"/>
      <w:r>
        <w:rPr>
          <w:rFonts w:hint="eastAsia" w:ascii="仿宋" w:hAnsi="仿宋" w:eastAsia="仿宋"/>
          <w:b/>
          <w:color w:val="auto"/>
          <w:sz w:val="32"/>
          <w:szCs w:val="32"/>
          <w:highlight w:val="none"/>
        </w:rPr>
        <w:t>（二）“三公”经费财政拨款支出决算具体情况说明</w:t>
      </w:r>
      <w:bookmarkEnd w:id="54"/>
      <w:bookmarkEnd w:id="55"/>
    </w:p>
    <w:p>
      <w:pPr>
        <w:spacing w:line="600" w:lineRule="exact"/>
        <w:ind w:firstLine="64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；公务用车购置及运行维护费支出决算8.8万元，占</w:t>
      </w:r>
      <w:r>
        <w:rPr>
          <w:rFonts w:hint="eastAsia" w:ascii="仿宋" w:hAnsi="仿宋" w:eastAsia="仿宋"/>
          <w:color w:val="auto"/>
          <w:sz w:val="32"/>
          <w:szCs w:val="32"/>
          <w:highlight w:val="none"/>
          <w:lang w:val="en-US" w:eastAsia="zh-CN"/>
        </w:rPr>
        <w:t>54.66</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；公务接待费支出决算7.31万元，占</w:t>
      </w:r>
      <w:r>
        <w:rPr>
          <w:rFonts w:hint="eastAsia" w:ascii="仿宋" w:hAnsi="仿宋" w:eastAsia="仿宋"/>
          <w:color w:val="auto"/>
          <w:sz w:val="32"/>
          <w:szCs w:val="32"/>
          <w:highlight w:val="none"/>
          <w:lang w:val="en-US" w:eastAsia="zh-CN"/>
        </w:rPr>
        <w:t>45.34</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pStyle w:val="8"/>
        <w:rPr>
          <w:rFonts w:hint="eastAsia" w:ascii="仿宋" w:hAnsi="仿宋" w:eastAsia="仿宋"/>
          <w:color w:val="auto"/>
          <w:sz w:val="32"/>
          <w:szCs w:val="32"/>
          <w:highlight w:val="none"/>
        </w:rPr>
      </w:pPr>
      <w:r>
        <w:drawing>
          <wp:anchor distT="0" distB="0" distL="114300" distR="114300" simplePos="0" relativeHeight="251665408" behindDoc="1" locked="0" layoutInCell="1" allowOverlap="1">
            <wp:simplePos x="0" y="0"/>
            <wp:positionH relativeFrom="column">
              <wp:posOffset>518795</wp:posOffset>
            </wp:positionH>
            <wp:positionV relativeFrom="paragraph">
              <wp:posOffset>114935</wp:posOffset>
            </wp:positionV>
            <wp:extent cx="4572000" cy="2743200"/>
            <wp:effectExtent l="4445" t="4445" r="14605" b="14605"/>
            <wp:wrapNone/>
            <wp:docPr id="1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rPr>
          <w:rFonts w:hint="eastAsia" w:ascii="仿宋" w:hAnsi="仿宋" w:eastAsia="仿宋"/>
          <w:color w:val="auto"/>
          <w:sz w:val="32"/>
          <w:szCs w:val="32"/>
          <w:highlight w:val="none"/>
        </w:rPr>
      </w:pPr>
    </w:p>
    <w:p>
      <w:pPr>
        <w:pStyle w:val="8"/>
        <w:rPr>
          <w:rFonts w:hint="eastAsia" w:ascii="仿宋" w:hAnsi="仿宋" w:eastAsia="仿宋"/>
          <w:color w:val="auto"/>
          <w:sz w:val="32"/>
          <w:szCs w:val="32"/>
          <w:highlight w:val="none"/>
        </w:rPr>
      </w:pPr>
    </w:p>
    <w:p>
      <w:pPr>
        <w:rPr>
          <w:rFonts w:hint="eastAsia" w:ascii="仿宋" w:hAnsi="仿宋" w:eastAsia="仿宋"/>
          <w:color w:val="auto"/>
          <w:sz w:val="32"/>
          <w:szCs w:val="32"/>
          <w:highlight w:val="none"/>
        </w:rPr>
      </w:pPr>
    </w:p>
    <w:p>
      <w:pPr>
        <w:pStyle w:val="8"/>
        <w:rPr>
          <w:rFonts w:hint="eastAsia" w:ascii="仿宋" w:hAnsi="仿宋" w:eastAsia="仿宋"/>
          <w:color w:val="auto"/>
          <w:sz w:val="32"/>
          <w:szCs w:val="32"/>
          <w:highlight w:val="none"/>
        </w:rPr>
      </w:pPr>
    </w:p>
    <w:p>
      <w:pPr>
        <w:rPr>
          <w:rFonts w:hint="eastAsia" w:ascii="仿宋" w:hAnsi="仿宋" w:eastAsia="仿宋"/>
          <w:color w:val="auto"/>
          <w:sz w:val="32"/>
          <w:szCs w:val="32"/>
          <w:highlight w:val="none"/>
        </w:rPr>
      </w:pPr>
    </w:p>
    <w:p>
      <w:pPr>
        <w:pStyle w:val="8"/>
      </w:pPr>
    </w:p>
    <w:p>
      <w:pPr>
        <w:spacing w:line="600" w:lineRule="exact"/>
        <w:jc w:val="center"/>
        <w:rPr>
          <w:rFonts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spacing w:line="600" w:lineRule="exact"/>
        <w:ind w:firstLine="640"/>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ascii="仿宋_GB2312" w:eastAsia="仿宋_GB2312"/>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年初未安排预算，</w:t>
      </w:r>
      <w:r>
        <w:rPr>
          <w:rFonts w:hint="eastAsia" w:ascii="仿宋_GB2312" w:eastAsia="仿宋_GB2312"/>
          <w:sz w:val="32"/>
          <w:szCs w:val="32"/>
        </w:rPr>
        <w:t>因公出国（境）支出决算较</w:t>
      </w:r>
      <w:r>
        <w:rPr>
          <w:rFonts w:ascii="仿宋_GB2312" w:eastAsia="仿宋_GB2312"/>
          <w:sz w:val="32"/>
          <w:szCs w:val="32"/>
        </w:rPr>
        <w:t>2021</w:t>
      </w:r>
      <w:r>
        <w:rPr>
          <w:rFonts w:hint="eastAsia" w:ascii="仿宋_GB2312" w:eastAsia="仿宋_GB2312"/>
          <w:sz w:val="32"/>
          <w:szCs w:val="32"/>
        </w:rPr>
        <w:t>年无变化。</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rPr>
        <w:t>8.8万元,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100</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1.7</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16.19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项目经费减少，工作用车次数减少</w:t>
      </w:r>
      <w:r>
        <w:rPr>
          <w:rFonts w:hint="eastAsia" w:ascii="仿宋_GB2312" w:eastAsia="仿宋_GB2312"/>
          <w:color w:val="auto"/>
          <w:sz w:val="32"/>
          <w:szCs w:val="32"/>
          <w:highlight w:val="none"/>
        </w:rPr>
        <w:t>。</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其中：公务用车购置支出</w:t>
      </w:r>
      <w:r>
        <w:rPr>
          <w:rFonts w:ascii="仿宋_GB2312" w:eastAsia="仿宋_GB2312"/>
          <w:sz w:val="32"/>
          <w:szCs w:val="32"/>
        </w:rPr>
        <w:t>0</w:t>
      </w:r>
      <w:r>
        <w:rPr>
          <w:rFonts w:hint="eastAsia" w:ascii="仿宋_GB2312" w:eastAsia="仿宋_GB2312"/>
          <w:sz w:val="32"/>
          <w:szCs w:val="32"/>
        </w:rPr>
        <w:t>万元。</w:t>
      </w:r>
      <w:r>
        <w:rPr>
          <w:rStyle w:val="17"/>
          <w:rFonts w:hint="eastAsia" w:ascii="仿宋" w:hAnsi="仿宋" w:eastAsia="仿宋"/>
          <w:b w:val="0"/>
          <w:bCs/>
          <w:sz w:val="32"/>
          <w:szCs w:val="32"/>
        </w:rPr>
        <w:t>年初未安排预算</w:t>
      </w:r>
      <w:r>
        <w:rPr>
          <w:rFonts w:hint="eastAsia" w:ascii="仿宋_GB2312" w:eastAsia="仿宋_GB2312"/>
          <w:sz w:val="32"/>
          <w:szCs w:val="32"/>
        </w:rPr>
        <w:t>。截至</w:t>
      </w:r>
      <w:r>
        <w:rPr>
          <w:rFonts w:ascii="仿宋_GB2312" w:eastAsia="仿宋_GB2312"/>
          <w:sz w:val="32"/>
          <w:szCs w:val="32"/>
        </w:rPr>
        <w:t>2021</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月底，单位共有公务用车</w:t>
      </w:r>
      <w:r>
        <w:rPr>
          <w:rFonts w:ascii="仿宋_GB2312" w:eastAsia="仿宋_GB2312"/>
          <w:sz w:val="32"/>
          <w:szCs w:val="32"/>
        </w:rPr>
        <w:t>1</w:t>
      </w:r>
      <w:r>
        <w:rPr>
          <w:rFonts w:hint="eastAsia" w:ascii="仿宋_GB2312" w:eastAsia="仿宋_GB2312"/>
          <w:sz w:val="32"/>
          <w:szCs w:val="32"/>
        </w:rPr>
        <w:t>辆，其中：轿车</w:t>
      </w:r>
      <w:r>
        <w:rPr>
          <w:rFonts w:ascii="仿宋_GB2312" w:eastAsia="仿宋_GB2312"/>
          <w:sz w:val="32"/>
          <w:szCs w:val="32"/>
        </w:rPr>
        <w:t>1</w:t>
      </w:r>
      <w:r>
        <w:rPr>
          <w:rFonts w:hint="eastAsia" w:ascii="仿宋_GB2312" w:eastAsia="仿宋_GB2312"/>
          <w:sz w:val="32"/>
          <w:szCs w:val="32"/>
        </w:rPr>
        <w:t>辆。</w:t>
      </w:r>
    </w:p>
    <w:p>
      <w:pPr>
        <w:spacing w:line="600" w:lineRule="exact"/>
        <w:ind w:firstLine="640"/>
        <w:rPr>
          <w:rFonts w:hint="eastAsia" w:ascii="仿宋_GB2312" w:eastAsia="仿宋_GB2312"/>
          <w:sz w:val="32"/>
          <w:szCs w:val="32"/>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8.8</w:t>
      </w:r>
      <w:r>
        <w:rPr>
          <w:rFonts w:hint="eastAsia" w:ascii="仿宋_GB2312" w:eastAsia="仿宋_GB2312"/>
          <w:color w:val="auto"/>
          <w:sz w:val="32"/>
          <w:szCs w:val="32"/>
          <w:highlight w:val="none"/>
        </w:rPr>
        <w:t>万元。</w:t>
      </w:r>
      <w:r>
        <w:rPr>
          <w:rFonts w:hint="eastAsia" w:ascii="仿宋_GB2312" w:eastAsia="仿宋_GB2312"/>
          <w:sz w:val="32"/>
          <w:szCs w:val="32"/>
        </w:rPr>
        <w:t>主要用于党史学习教育、创建全国文明城市、扫黄打非、乡村振兴等专项工作所需的公务用车燃料费、维修费、过路过桥费、保险费等支出。</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rPr>
        <w:t>7.31万元，</w:t>
      </w:r>
      <w:r>
        <w:rPr>
          <w:rStyle w:val="17"/>
          <w:rFonts w:hint="eastAsia" w:ascii="仿宋" w:hAnsi="仿宋" w:eastAsia="仿宋"/>
          <w:b w:val="0"/>
          <w:bCs/>
          <w:color w:val="auto"/>
          <w:sz w:val="32"/>
          <w:szCs w:val="32"/>
          <w:highlight w:val="none"/>
        </w:rPr>
        <w:t>完成预算</w:t>
      </w:r>
      <w:r>
        <w:rPr>
          <w:rStyle w:val="17"/>
          <w:rFonts w:hint="eastAsia" w:ascii="仿宋" w:hAnsi="仿宋" w:eastAsia="仿宋"/>
          <w:b w:val="0"/>
          <w:bCs/>
          <w:color w:val="auto"/>
          <w:sz w:val="32"/>
          <w:szCs w:val="32"/>
          <w:highlight w:val="none"/>
          <w:lang w:val="en-US" w:eastAsia="zh-CN"/>
        </w:rPr>
        <w:t>71.67</w:t>
      </w:r>
      <w:r>
        <w:rPr>
          <w:rStyle w:val="17"/>
          <w:rFonts w:ascii="仿宋" w:hAnsi="仿宋" w:eastAsia="仿宋"/>
          <w:b w:val="0"/>
          <w:bCs/>
          <w:color w:val="auto"/>
          <w:sz w:val="32"/>
          <w:szCs w:val="32"/>
          <w:highlight w:val="none"/>
        </w:rPr>
        <w:t>%</w:t>
      </w:r>
      <w:r>
        <w:rPr>
          <w:rStyle w:val="17"/>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5.23</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41.71</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公务接待减少</w:t>
      </w:r>
      <w:r>
        <w:rPr>
          <w:rFonts w:hint="eastAsia" w:ascii="仿宋_GB2312" w:eastAsia="仿宋_GB2312"/>
          <w:color w:val="auto"/>
          <w:sz w:val="32"/>
          <w:szCs w:val="32"/>
          <w:highlight w:val="none"/>
        </w:rPr>
        <w:t>。其中：</w:t>
      </w:r>
    </w:p>
    <w:p>
      <w:pPr>
        <w:spacing w:line="576" w:lineRule="exact"/>
        <w:ind w:firstLine="640"/>
        <w:rPr>
          <w:rFonts w:hint="eastAsia" w:ascii="仿宋_GB2312" w:eastAsia="仿宋_GB2312"/>
          <w:sz w:val="32"/>
          <w:szCs w:val="32"/>
          <w:lang w:eastAsia="zh-CN"/>
        </w:rPr>
      </w:pPr>
      <w:bookmarkStart w:id="56" w:name="_Toc15377218"/>
      <w:bookmarkStart w:id="57" w:name="_Toc15396610"/>
      <w:r>
        <w:rPr>
          <w:rFonts w:hint="eastAsia" w:ascii="仿宋" w:hAnsi="仿宋" w:eastAsia="仿宋"/>
          <w:b/>
          <w:bCs/>
          <w:sz w:val="32"/>
          <w:szCs w:val="32"/>
        </w:rPr>
        <w:t>国内公务接待支出</w:t>
      </w:r>
      <w:r>
        <w:rPr>
          <w:rFonts w:hint="eastAsia" w:ascii="仿宋" w:hAnsi="仿宋" w:eastAsia="仿宋"/>
          <w:sz w:val="32"/>
          <w:szCs w:val="32"/>
          <w:lang w:val="en-US" w:eastAsia="zh-CN"/>
        </w:rPr>
        <w:t>7.31</w:t>
      </w:r>
      <w:r>
        <w:rPr>
          <w:rFonts w:hint="eastAsia" w:ascii="仿宋_GB2312" w:eastAsia="仿宋_GB2312"/>
          <w:sz w:val="32"/>
          <w:szCs w:val="32"/>
        </w:rPr>
        <w:t>万元，主要用于执行公务、开展宣传活动开支的交通费、住宿费、用餐费等。国内公务接待</w:t>
      </w:r>
      <w:r>
        <w:rPr>
          <w:rFonts w:hint="eastAsia" w:ascii="仿宋_GB2312" w:eastAsia="仿宋_GB2312"/>
          <w:sz w:val="32"/>
          <w:szCs w:val="32"/>
          <w:lang w:val="en-US" w:eastAsia="zh-CN"/>
        </w:rPr>
        <w:t>32</w:t>
      </w:r>
      <w:r>
        <w:rPr>
          <w:rFonts w:hint="eastAsia" w:ascii="仿宋_GB2312" w:eastAsia="仿宋_GB2312"/>
          <w:sz w:val="32"/>
          <w:szCs w:val="32"/>
        </w:rPr>
        <w:t>批次，</w:t>
      </w:r>
      <w:r>
        <w:rPr>
          <w:rFonts w:hint="eastAsia" w:ascii="仿宋_GB2312" w:eastAsia="仿宋_GB2312"/>
          <w:sz w:val="32"/>
          <w:szCs w:val="32"/>
          <w:lang w:val="en-US" w:eastAsia="zh-CN"/>
        </w:rPr>
        <w:t>217</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7.31</w:t>
      </w:r>
      <w:r>
        <w:rPr>
          <w:rFonts w:hint="eastAsia" w:ascii="仿宋_GB2312" w:eastAsia="仿宋_GB2312"/>
          <w:sz w:val="32"/>
          <w:szCs w:val="32"/>
        </w:rPr>
        <w:t>万元，具体内容包括：（</w:t>
      </w:r>
      <w:r>
        <w:rPr>
          <w:rFonts w:ascii="仿宋_GB2312" w:eastAsia="仿宋_GB2312"/>
          <w:sz w:val="32"/>
          <w:szCs w:val="32"/>
        </w:rPr>
        <w:t>1</w:t>
      </w:r>
      <w:r>
        <w:rPr>
          <w:rFonts w:hint="eastAsia" w:ascii="仿宋_GB2312" w:eastAsia="仿宋_GB2312"/>
          <w:sz w:val="32"/>
          <w:szCs w:val="32"/>
        </w:rPr>
        <w:t>）创建全国文明城市、蜀道文化大讲堂等活动食宿接待费</w:t>
      </w:r>
      <w:r>
        <w:rPr>
          <w:rFonts w:ascii="仿宋_GB2312" w:eastAsia="仿宋_GB2312"/>
          <w:sz w:val="32"/>
          <w:szCs w:val="32"/>
        </w:rPr>
        <w:t>2.98</w:t>
      </w:r>
      <w:r>
        <w:rPr>
          <w:rFonts w:hint="eastAsia" w:ascii="仿宋_GB2312" w:eastAsia="仿宋_GB2312"/>
          <w:sz w:val="32"/>
          <w:szCs w:val="32"/>
        </w:rPr>
        <w:t>万元；（</w:t>
      </w:r>
      <w:r>
        <w:rPr>
          <w:rFonts w:ascii="仿宋_GB2312" w:eastAsia="仿宋_GB2312"/>
          <w:sz w:val="32"/>
          <w:szCs w:val="32"/>
        </w:rPr>
        <w:t>2</w:t>
      </w:r>
      <w:r>
        <w:rPr>
          <w:rFonts w:hint="eastAsia" w:ascii="仿宋_GB2312" w:eastAsia="仿宋_GB2312"/>
          <w:sz w:val="32"/>
          <w:szCs w:val="32"/>
        </w:rPr>
        <w:t>）海外媒体活动记者及浙广合作等接待费</w:t>
      </w:r>
      <w:r>
        <w:rPr>
          <w:rFonts w:hint="eastAsia" w:ascii="仿宋_GB2312" w:eastAsia="仿宋_GB2312"/>
          <w:sz w:val="32"/>
          <w:szCs w:val="32"/>
          <w:lang w:val="en-US" w:eastAsia="zh-CN"/>
        </w:rPr>
        <w:t>0.81</w:t>
      </w:r>
      <w:r>
        <w:rPr>
          <w:rFonts w:hint="eastAsia" w:ascii="仿宋_GB2312" w:eastAsia="仿宋_GB2312"/>
          <w:sz w:val="32"/>
          <w:szCs w:val="32"/>
        </w:rPr>
        <w:t>万元；（</w:t>
      </w:r>
      <w:r>
        <w:rPr>
          <w:rFonts w:ascii="仿宋_GB2312" w:eastAsia="仿宋_GB2312"/>
          <w:sz w:val="32"/>
          <w:szCs w:val="32"/>
        </w:rPr>
        <w:t>3</w:t>
      </w:r>
      <w:r>
        <w:rPr>
          <w:rFonts w:hint="eastAsia" w:ascii="仿宋_GB2312" w:eastAsia="仿宋_GB2312"/>
          <w:sz w:val="32"/>
          <w:szCs w:val="32"/>
        </w:rPr>
        <w:t>）女儿节记者接待费</w:t>
      </w:r>
      <w:r>
        <w:rPr>
          <w:rFonts w:ascii="仿宋_GB2312" w:eastAsia="仿宋_GB2312"/>
          <w:sz w:val="32"/>
          <w:szCs w:val="32"/>
        </w:rPr>
        <w:t>3.52</w:t>
      </w:r>
      <w:r>
        <w:rPr>
          <w:rFonts w:hint="eastAsia" w:ascii="仿宋_GB2312" w:eastAsia="仿宋_GB2312"/>
          <w:sz w:val="32"/>
          <w:szCs w:val="32"/>
        </w:rPr>
        <w:t>万元</w:t>
      </w:r>
      <w:r>
        <w:rPr>
          <w:rFonts w:hint="eastAsia" w:ascii="仿宋_GB2312" w:eastAsia="仿宋_GB2312"/>
          <w:sz w:val="32"/>
          <w:szCs w:val="32"/>
          <w:lang w:eastAsia="zh-CN"/>
        </w:rPr>
        <w:t>。</w:t>
      </w:r>
    </w:p>
    <w:p>
      <w:pPr>
        <w:spacing w:line="576" w:lineRule="exact"/>
        <w:ind w:firstLine="640" w:firstLineChars="200"/>
        <w:rPr>
          <w:rFonts w:ascii="黑体" w:eastAsia="黑体"/>
          <w:sz w:val="32"/>
          <w:szCs w:val="32"/>
          <w:highlight w:val="none"/>
        </w:rPr>
      </w:pPr>
      <w:r>
        <w:rPr>
          <w:rFonts w:hint="eastAsia" w:ascii="仿宋_GB2312" w:hAnsi="仿宋" w:eastAsia="仿宋_GB2312"/>
          <w:sz w:val="32"/>
          <w:szCs w:val="32"/>
        </w:rPr>
        <w:t>外事接待支出</w:t>
      </w:r>
      <w:r>
        <w:rPr>
          <w:rFonts w:ascii="仿宋_GB2312" w:hAnsi="仿宋" w:eastAsia="仿宋_GB2312"/>
          <w:sz w:val="32"/>
          <w:szCs w:val="32"/>
        </w:rPr>
        <w:t>0</w:t>
      </w:r>
      <w:r>
        <w:rPr>
          <w:rFonts w:hint="eastAsia" w:ascii="仿宋_GB2312" w:eastAsia="仿宋_GB2312"/>
          <w:sz w:val="32"/>
          <w:szCs w:val="32"/>
        </w:rPr>
        <w:t>万元，外事接待支出决算较</w:t>
      </w:r>
      <w:r>
        <w:rPr>
          <w:rFonts w:ascii="仿宋_GB2312" w:eastAsia="仿宋_GB2312"/>
          <w:sz w:val="32"/>
          <w:szCs w:val="32"/>
        </w:rPr>
        <w:t>2021</w:t>
      </w:r>
      <w:r>
        <w:rPr>
          <w:rFonts w:hint="eastAsia" w:ascii="仿宋_GB2312" w:eastAsia="仿宋_GB2312"/>
          <w:sz w:val="32"/>
          <w:szCs w:val="32"/>
        </w:rPr>
        <w:t>年无变化。</w:t>
      </w:r>
    </w:p>
    <w:p>
      <w:pPr>
        <w:spacing w:line="600" w:lineRule="exact"/>
        <w:ind w:firstLine="640"/>
        <w:outlineLvl w:val="1"/>
        <w:rPr>
          <w:rStyle w:val="20"/>
          <w:rFonts w:ascii="黑体" w:hAnsi="黑体" w:eastAsia="黑体"/>
          <w:color w:val="auto"/>
          <w:highlight w:val="none"/>
        </w:rPr>
      </w:pPr>
      <w:bookmarkStart w:id="58" w:name="_Toc7025"/>
      <w:r>
        <w:rPr>
          <w:rFonts w:hint="eastAsia" w:ascii="黑体" w:eastAsia="黑体"/>
          <w:color w:val="auto"/>
          <w:sz w:val="32"/>
          <w:szCs w:val="32"/>
          <w:highlight w:val="none"/>
        </w:rPr>
        <w:t>八、</w:t>
      </w:r>
      <w:r>
        <w:rPr>
          <w:rStyle w:val="20"/>
          <w:rFonts w:hint="eastAsia" w:ascii="黑体" w:hAnsi="黑体" w:eastAsia="黑体"/>
          <w:b w:val="0"/>
          <w:color w:val="auto"/>
          <w:highlight w:val="none"/>
        </w:rPr>
        <w:t>政府性基金预算支出决算情况说明</w:t>
      </w:r>
      <w:bookmarkEnd w:id="56"/>
      <w:bookmarkEnd w:id="57"/>
      <w:bookmarkEnd w:id="58"/>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20"/>
          <w:rFonts w:ascii="黑体" w:hAnsi="黑体" w:eastAsia="黑体"/>
          <w:b w:val="0"/>
          <w:color w:val="auto"/>
          <w:highlight w:val="none"/>
        </w:rPr>
      </w:pPr>
      <w:bookmarkStart w:id="59" w:name="_Toc7981"/>
      <w:bookmarkStart w:id="60" w:name="_Toc15396611"/>
      <w:bookmarkStart w:id="61" w:name="_Toc15377219"/>
      <w:r>
        <w:rPr>
          <w:rStyle w:val="20"/>
          <w:rFonts w:hint="eastAsia" w:ascii="黑体" w:hAnsi="黑体" w:eastAsia="黑体"/>
          <w:b w:val="0"/>
          <w:color w:val="auto"/>
          <w:highlight w:val="none"/>
        </w:rPr>
        <w:t>国有资本经营预算支出决算情况说明</w:t>
      </w:r>
      <w:bookmarkEnd w:id="59"/>
      <w:bookmarkEnd w:id="60"/>
      <w:bookmarkEnd w:id="61"/>
    </w:p>
    <w:p>
      <w:pPr>
        <w:spacing w:line="600" w:lineRule="exact"/>
        <w:ind w:firstLine="640"/>
        <w:rPr>
          <w:rFonts w:hint="eastAsia" w:ascii="仿宋_GB2312" w:eastAsia="仿宋_GB2312"/>
          <w:sz w:val="32"/>
          <w:szCs w:val="32"/>
        </w:rPr>
      </w:pPr>
      <w:bookmarkStart w:id="62" w:name="_Toc15396612"/>
      <w:bookmarkStart w:id="63" w:name="_Toc15377221"/>
      <w:r>
        <w:rPr>
          <w:rFonts w:ascii="仿宋_GB2312" w:eastAsia="仿宋_GB2312"/>
          <w:sz w:val="32"/>
          <w:szCs w:val="32"/>
        </w:rPr>
        <w:t>2022</w:t>
      </w:r>
      <w:r>
        <w:rPr>
          <w:rFonts w:hint="eastAsia" w:ascii="仿宋_GB2312" w:eastAsia="仿宋_GB2312"/>
          <w:sz w:val="32"/>
          <w:szCs w:val="32"/>
        </w:rPr>
        <w:t>年国有资本经营预算财政拨款支出</w:t>
      </w:r>
      <w:r>
        <w:rPr>
          <w:rFonts w:ascii="仿宋_GB2312" w:eastAsia="仿宋_GB2312"/>
          <w:sz w:val="32"/>
          <w:szCs w:val="32"/>
        </w:rPr>
        <w:t>0</w:t>
      </w:r>
      <w:r>
        <w:rPr>
          <w:rFonts w:hint="eastAsia" w:ascii="仿宋_GB2312" w:eastAsia="仿宋_GB2312"/>
          <w:sz w:val="32"/>
          <w:szCs w:val="32"/>
        </w:rPr>
        <w:t>万元。</w:t>
      </w:r>
    </w:p>
    <w:p>
      <w:pPr>
        <w:spacing w:line="600" w:lineRule="exact"/>
        <w:ind w:firstLine="640"/>
        <w:rPr>
          <w:rFonts w:ascii="方正小标宋简体" w:hAnsi="方正小标宋简体" w:eastAsia="方正小标宋简体" w:cs="方正小标宋简体"/>
          <w:sz w:val="44"/>
          <w:szCs w:val="44"/>
        </w:rPr>
      </w:pPr>
      <w:r>
        <w:rPr>
          <w:rFonts w:ascii="仿宋_GB2312" w:eastAsia="仿宋_GB2312"/>
          <w:sz w:val="32"/>
          <w:szCs w:val="32"/>
        </w:rPr>
        <w:t>2022</w:t>
      </w:r>
      <w:r>
        <w:rPr>
          <w:rFonts w:hint="eastAsia" w:ascii="仿宋_GB2312" w:eastAsia="仿宋_GB2312"/>
          <w:sz w:val="32"/>
          <w:szCs w:val="32"/>
        </w:rPr>
        <w:t>年本部门未安排国有资本经营预算财政拨款支出。</w:t>
      </w:r>
    </w:p>
    <w:p>
      <w:pPr>
        <w:numPr>
          <w:ilvl w:val="0"/>
          <w:numId w:val="3"/>
        </w:numPr>
        <w:spacing w:line="600" w:lineRule="exact"/>
        <w:ind w:firstLine="640"/>
        <w:outlineLvl w:val="1"/>
        <w:rPr>
          <w:rStyle w:val="20"/>
          <w:rFonts w:hint="eastAsia" w:ascii="黑体" w:hAnsi="黑体" w:eastAsia="黑体"/>
          <w:b w:val="0"/>
          <w:color w:val="auto"/>
          <w:highlight w:val="none"/>
        </w:rPr>
      </w:pPr>
      <w:bookmarkStart w:id="64" w:name="_Toc19803"/>
      <w:r>
        <w:rPr>
          <w:rStyle w:val="20"/>
          <w:rFonts w:hint="eastAsia" w:ascii="黑体" w:hAnsi="黑体" w:eastAsia="黑体"/>
          <w:b w:val="0"/>
          <w:color w:val="auto"/>
          <w:highlight w:val="none"/>
        </w:rPr>
        <w:t>其他重要事项的情况说明</w:t>
      </w:r>
      <w:bookmarkEnd w:id="62"/>
      <w:bookmarkEnd w:id="63"/>
      <w:bookmarkEnd w:id="64"/>
    </w:p>
    <w:p>
      <w:pPr>
        <w:spacing w:line="600" w:lineRule="exact"/>
        <w:ind w:firstLine="642" w:firstLineChars="200"/>
        <w:outlineLvl w:val="2"/>
        <w:rPr>
          <w:rFonts w:ascii="仿宋" w:hAnsi="仿宋" w:eastAsia="仿宋"/>
          <w:color w:val="auto"/>
          <w:sz w:val="32"/>
          <w:szCs w:val="32"/>
          <w:highlight w:val="none"/>
        </w:rPr>
      </w:pPr>
      <w:bookmarkStart w:id="65" w:name="_Toc32603"/>
      <w:bookmarkStart w:id="66" w:name="_Toc15377222"/>
      <w:r>
        <w:rPr>
          <w:rFonts w:hint="eastAsia" w:ascii="仿宋" w:hAnsi="仿宋" w:eastAsia="仿宋"/>
          <w:b/>
          <w:color w:val="auto"/>
          <w:sz w:val="32"/>
          <w:szCs w:val="32"/>
          <w:highlight w:val="none"/>
        </w:rPr>
        <w:t>（一）机关运行经费支出情况</w:t>
      </w:r>
      <w:bookmarkEnd w:id="65"/>
      <w:bookmarkEnd w:id="66"/>
    </w:p>
    <w:p>
      <w:pPr>
        <w:spacing w:line="576"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sz w:val="32"/>
          <w:szCs w:val="32"/>
        </w:rPr>
        <w:t>中共广元市委宣传部</w:t>
      </w:r>
      <w:r>
        <w:rPr>
          <w:rFonts w:hint="eastAsia" w:ascii="仿宋_GB2312" w:eastAsia="仿宋_GB2312"/>
          <w:color w:val="auto"/>
          <w:sz w:val="32"/>
          <w:szCs w:val="32"/>
          <w:highlight w:val="none"/>
        </w:rPr>
        <w:t>机关运行经费支出309.58万元，比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年增加163.01万元，增长</w:t>
      </w:r>
      <w:r>
        <w:rPr>
          <w:rFonts w:hint="eastAsia" w:ascii="仿宋_GB2312" w:eastAsia="仿宋_GB2312"/>
          <w:color w:val="auto"/>
          <w:sz w:val="32"/>
          <w:szCs w:val="32"/>
          <w:highlight w:val="none"/>
          <w:lang w:val="en-US" w:eastAsia="zh-CN"/>
        </w:rPr>
        <w:t>111.22</w:t>
      </w:r>
      <w:r>
        <w:rPr>
          <w:rFonts w:ascii="仿宋_GB2312" w:eastAsia="仿宋_GB2312"/>
          <w:color w:val="auto"/>
          <w:sz w:val="32"/>
          <w:szCs w:val="32"/>
          <w:highlight w:val="none"/>
        </w:rPr>
        <w:t>%</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主要原因是</w:t>
      </w:r>
      <w:r>
        <w:rPr>
          <w:rFonts w:hint="eastAsia" w:ascii="仿宋_GB2312" w:eastAsia="仿宋_GB2312"/>
          <w:sz w:val="32"/>
          <w:szCs w:val="32"/>
        </w:rPr>
        <w:t>调入人员增加，专项工作借调人员增加。</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67" w:name="_Toc14770"/>
      <w:bookmarkStart w:id="68" w:name="_Toc15377223"/>
      <w:r>
        <w:rPr>
          <w:rFonts w:hint="eastAsia" w:ascii="仿宋" w:hAnsi="仿宋" w:eastAsia="仿宋"/>
          <w:b/>
          <w:color w:val="auto"/>
          <w:sz w:val="32"/>
          <w:szCs w:val="32"/>
          <w:highlight w:val="none"/>
        </w:rPr>
        <w:t>（二）政府采购支出情况</w:t>
      </w:r>
      <w:bookmarkEnd w:id="67"/>
      <w:bookmarkEnd w:id="68"/>
    </w:p>
    <w:p>
      <w:pPr>
        <w:spacing w:line="600" w:lineRule="exact"/>
        <w:ind w:firstLine="640" w:firstLineChars="200"/>
        <w:rPr>
          <w:rFonts w:ascii="仿宋_GB2312" w:eastAsia="仿宋_GB2312"/>
          <w:sz w:val="32"/>
          <w:szCs w:val="32"/>
        </w:rPr>
      </w:pPr>
      <w:bookmarkStart w:id="69" w:name="_Toc15377224"/>
      <w:r>
        <w:rPr>
          <w:rFonts w:ascii="仿宋_GB2312" w:eastAsia="仿宋_GB2312"/>
          <w:sz w:val="32"/>
          <w:szCs w:val="32"/>
        </w:rPr>
        <w:t>2022</w:t>
      </w:r>
      <w:r>
        <w:rPr>
          <w:rFonts w:hint="eastAsia" w:ascii="仿宋_GB2312" w:eastAsia="仿宋_GB2312"/>
          <w:sz w:val="32"/>
          <w:szCs w:val="32"/>
        </w:rPr>
        <w:t>年，中共广元市委宣传部政府采购支出总额</w:t>
      </w:r>
      <w:r>
        <w:rPr>
          <w:rFonts w:ascii="仿宋_GB2312" w:eastAsia="仿宋_GB2312"/>
          <w:sz w:val="32"/>
          <w:szCs w:val="32"/>
        </w:rPr>
        <w:t>0</w:t>
      </w:r>
      <w:r>
        <w:rPr>
          <w:rFonts w:hint="eastAsia" w:ascii="仿宋_GB2312" w:eastAsia="仿宋_GB2312"/>
          <w:sz w:val="32"/>
          <w:szCs w:val="32"/>
        </w:rPr>
        <w:t>万元。</w:t>
      </w:r>
    </w:p>
    <w:p>
      <w:pPr>
        <w:autoSpaceDE w:val="0"/>
        <w:autoSpaceDN w:val="0"/>
        <w:adjustRightInd w:val="0"/>
        <w:spacing w:line="600" w:lineRule="exact"/>
        <w:ind w:firstLine="642" w:firstLineChars="200"/>
        <w:jc w:val="left"/>
        <w:outlineLvl w:val="2"/>
        <w:rPr>
          <w:rFonts w:ascii="仿宋" w:hAnsi="仿宋" w:eastAsia="仿宋"/>
          <w:b/>
          <w:color w:val="auto"/>
          <w:sz w:val="32"/>
          <w:szCs w:val="32"/>
          <w:highlight w:val="none"/>
        </w:rPr>
      </w:pPr>
      <w:bookmarkStart w:id="70" w:name="_Toc18396"/>
      <w:r>
        <w:rPr>
          <w:rFonts w:hint="eastAsia" w:ascii="仿宋" w:hAnsi="仿宋" w:eastAsia="仿宋"/>
          <w:b/>
          <w:color w:val="auto"/>
          <w:sz w:val="32"/>
          <w:szCs w:val="32"/>
          <w:highlight w:val="none"/>
        </w:rPr>
        <w:t>（三）国有资产占有使用情况</w:t>
      </w:r>
      <w:bookmarkEnd w:id="69"/>
      <w:bookmarkEnd w:id="70"/>
    </w:p>
    <w:p>
      <w:pPr>
        <w:spacing w:line="576" w:lineRule="exact"/>
        <w:ind w:firstLine="640" w:firstLineChars="200"/>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202</w:t>
      </w:r>
      <w:r>
        <w:rPr>
          <w:rFonts w:hint="eastAsia" w:ascii="仿宋_GB2312" w:eastAsia="仿宋_GB2312"/>
          <w:sz w:val="32"/>
          <w:szCs w:val="32"/>
          <w:lang w:val="en-US" w:eastAsia="zh-CN"/>
        </w:rPr>
        <w:t>2</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日，中共广元市委宣传部共有车辆</w:t>
      </w:r>
      <w:r>
        <w:rPr>
          <w:rFonts w:ascii="仿宋_GB2312" w:eastAsia="仿宋_GB2312"/>
          <w:sz w:val="32"/>
          <w:szCs w:val="32"/>
        </w:rPr>
        <w:t>1</w:t>
      </w:r>
      <w:r>
        <w:rPr>
          <w:rFonts w:hint="eastAsia" w:ascii="仿宋_GB2312" w:eastAsia="仿宋_GB2312"/>
          <w:sz w:val="32"/>
          <w:szCs w:val="32"/>
        </w:rPr>
        <w:t>辆，其中：其他用车</w:t>
      </w:r>
      <w:r>
        <w:rPr>
          <w:rFonts w:ascii="仿宋_GB2312" w:eastAsia="仿宋_GB2312"/>
          <w:sz w:val="32"/>
          <w:szCs w:val="32"/>
        </w:rPr>
        <w:t>1</w:t>
      </w:r>
      <w:r>
        <w:rPr>
          <w:rFonts w:hint="eastAsia" w:ascii="仿宋_GB2312" w:eastAsia="仿宋_GB2312"/>
          <w:sz w:val="32"/>
          <w:szCs w:val="32"/>
        </w:rPr>
        <w:t>辆</w:t>
      </w:r>
      <w:r>
        <w:rPr>
          <w:rFonts w:ascii="仿宋_GB2312" w:eastAsia="仿宋_GB2312"/>
          <w:sz w:val="32"/>
          <w:szCs w:val="32"/>
        </w:rPr>
        <w:t>,</w:t>
      </w:r>
      <w:r>
        <w:rPr>
          <w:rFonts w:hint="eastAsia" w:ascii="仿宋_GB2312" w:eastAsia="仿宋_GB2312"/>
          <w:sz w:val="32"/>
          <w:szCs w:val="32"/>
        </w:rPr>
        <w:t>其他用车主要是用于宣传部机关公务出行。单价</w:t>
      </w:r>
      <w:r>
        <w:rPr>
          <w:rFonts w:ascii="仿宋_GB2312" w:eastAsia="仿宋_GB2312"/>
          <w:sz w:val="32"/>
          <w:szCs w:val="32"/>
        </w:rPr>
        <w:t>50</w:t>
      </w:r>
      <w:r>
        <w:rPr>
          <w:rFonts w:hint="eastAsia" w:ascii="仿宋_GB2312" w:eastAsia="仿宋_GB2312"/>
          <w:sz w:val="32"/>
          <w:szCs w:val="32"/>
        </w:rPr>
        <w:t>万元以上通用设备</w:t>
      </w:r>
      <w:r>
        <w:rPr>
          <w:rFonts w:ascii="仿宋_GB2312" w:eastAsia="仿宋_GB2312"/>
          <w:sz w:val="32"/>
          <w:szCs w:val="32"/>
        </w:rPr>
        <w:t>0</w:t>
      </w:r>
      <w:r>
        <w:rPr>
          <w:rFonts w:hint="eastAsia" w:ascii="仿宋_GB2312" w:eastAsia="仿宋_GB2312"/>
          <w:sz w:val="32"/>
          <w:szCs w:val="32"/>
        </w:rPr>
        <w:t>台（套），单价</w:t>
      </w:r>
      <w:r>
        <w:rPr>
          <w:rFonts w:ascii="仿宋_GB2312" w:eastAsia="仿宋_GB2312"/>
          <w:sz w:val="32"/>
          <w:szCs w:val="32"/>
        </w:rPr>
        <w:t>100</w:t>
      </w:r>
      <w:r>
        <w:rPr>
          <w:rFonts w:hint="eastAsia" w:ascii="仿宋_GB2312" w:eastAsia="仿宋_GB2312"/>
          <w:sz w:val="32"/>
          <w:szCs w:val="32"/>
        </w:rPr>
        <w:t>万元以上专用设备</w:t>
      </w:r>
      <w:r>
        <w:rPr>
          <w:rFonts w:ascii="仿宋_GB2312" w:eastAsia="仿宋_GB2312"/>
          <w:sz w:val="32"/>
          <w:szCs w:val="32"/>
        </w:rPr>
        <w:t>0</w:t>
      </w:r>
      <w:r>
        <w:rPr>
          <w:rFonts w:hint="eastAsia" w:ascii="仿宋_GB2312" w:eastAsia="仿宋_GB2312"/>
          <w:sz w:val="32"/>
          <w:szCs w:val="32"/>
        </w:rPr>
        <w:t>台（套）。</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highlight w:val="none"/>
          <w:lang w:eastAsia="zh-CN"/>
        </w:rPr>
      </w:pPr>
      <w:bookmarkStart w:id="71" w:name="_Toc6978"/>
      <w:r>
        <w:rPr>
          <w:rFonts w:hint="eastAsia" w:ascii="仿宋" w:hAnsi="仿宋" w:eastAsia="仿宋"/>
          <w:b/>
          <w:color w:val="auto"/>
          <w:sz w:val="32"/>
          <w:szCs w:val="32"/>
          <w:highlight w:val="none"/>
        </w:rPr>
        <w:t>（四）预算绩效管理情况</w:t>
      </w:r>
      <w:bookmarkEnd w:id="71"/>
    </w:p>
    <w:p>
      <w:pPr>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根据预算绩效管理要求，本部门在2022年度预算编制阶段，组织对媒体战略合作、全国文明城市创建、宣传工作经费、“扫黄打非”专项工作经费等</w:t>
      </w:r>
      <w:r>
        <w:rPr>
          <w:rFonts w:hint="eastAsia" w:ascii="仿宋_GB2312" w:eastAsia="仿宋_GB2312"/>
          <w:sz w:val="32"/>
          <w:szCs w:val="32"/>
          <w:lang w:val="en-US" w:eastAsia="zh-CN"/>
        </w:rPr>
        <w:t>9</w:t>
      </w:r>
      <w:r>
        <w:rPr>
          <w:rFonts w:hint="eastAsia" w:ascii="仿宋_GB2312" w:eastAsia="仿宋_GB2312"/>
          <w:sz w:val="32"/>
          <w:szCs w:val="32"/>
        </w:rPr>
        <w:t>个项目开展了预算事前绩效评估，对20个项目编制了绩效目标，预算执行过程中，选取2个项目开展绩效监控。</w:t>
      </w:r>
    </w:p>
    <w:p>
      <w:pPr>
        <w:spacing w:line="576" w:lineRule="exact"/>
        <w:ind w:firstLine="640" w:firstLineChars="200"/>
        <w:rPr>
          <w:rFonts w:ascii="仿宋_GB2312" w:eastAsia="仿宋_GB2312"/>
          <w:b/>
          <w:color w:val="auto"/>
          <w:sz w:val="32"/>
          <w:szCs w:val="32"/>
          <w:highlight w:val="none"/>
        </w:rPr>
      </w:pPr>
      <w:r>
        <w:rPr>
          <w:rFonts w:hint="eastAsia" w:ascii="仿宋_GB2312" w:eastAsia="仿宋_GB2312"/>
          <w:sz w:val="32"/>
          <w:szCs w:val="32"/>
        </w:rPr>
        <w:t>组织对2022年度一般公共预算、政府性基金预算、国有资本经营预算、社会保险基金预算以及资本资产、债券资金等全面开展绩效自评，形成中共广元市委宣传部部门整体（含部门预算项目）绩效自评报告、媒体战略合作经费等专项预算项目绩效自评报告，其中，中共广元市委宣传部部门整体（含部门预算项目）绩效自评得分为90分，绩效自评综述：根据预算绩效管理评价考核办法，我部从组织保障体系、过程管理体系、基础支撑体系、考核监督体系及其他考核事项进行了自查自评，在数据准确、资料齐全、佐证充分基础上综合自评得分为90分。绩效自评报告详见附件。</w:t>
      </w:r>
      <w:r>
        <w:rPr>
          <w:rFonts w:ascii="仿宋_GB2312" w:hAnsi="仿宋_GB2312" w:eastAsia="仿宋_GB2312" w:cs="仿宋_GB2312"/>
          <w:sz w:val="32"/>
          <w:szCs w:val="32"/>
        </w:rPr>
        <w:br w:type="page"/>
      </w:r>
    </w:p>
    <w:p>
      <w:pPr>
        <w:numPr>
          <w:ilvl w:val="0"/>
          <w:numId w:val="0"/>
        </w:numPr>
        <w:spacing w:line="600" w:lineRule="exact"/>
        <w:jc w:val="center"/>
        <w:outlineLvl w:val="0"/>
        <w:rPr>
          <w:rStyle w:val="19"/>
          <w:rFonts w:ascii="黑体" w:hAnsi="黑体" w:eastAsia="黑体"/>
          <w:b w:val="0"/>
          <w:color w:val="auto"/>
          <w:highlight w:val="none"/>
        </w:rPr>
      </w:pPr>
      <w:bookmarkStart w:id="72" w:name="_Toc15377225"/>
      <w:bookmarkStart w:id="73" w:name="_Toc15396613"/>
      <w:bookmarkStart w:id="74" w:name="_Toc18194"/>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9"/>
          <w:rFonts w:hint="eastAsia" w:ascii="黑体" w:hAnsi="黑体" w:eastAsia="黑体"/>
          <w:b w:val="0"/>
          <w:color w:val="auto"/>
          <w:highlight w:val="none"/>
        </w:rPr>
        <w:t>词解释</w:t>
      </w:r>
      <w:bookmarkEnd w:id="72"/>
      <w:bookmarkEnd w:id="73"/>
      <w:bookmarkEnd w:id="74"/>
    </w:p>
    <w:p>
      <w:pPr>
        <w:spacing w:line="600" w:lineRule="exact"/>
        <w:jc w:val="left"/>
        <w:rPr>
          <w:rFonts w:ascii="宋体"/>
          <w:b/>
          <w:color w:val="auto"/>
          <w:sz w:val="44"/>
          <w:szCs w:val="44"/>
          <w:highlight w:val="none"/>
        </w:rPr>
      </w:pPr>
    </w:p>
    <w:p>
      <w:pPr>
        <w:numPr>
          <w:ilvl w:val="0"/>
          <w:numId w:val="4"/>
        </w:numPr>
        <w:adjustRightInd w:val="0"/>
        <w:snapToGrid w:val="0"/>
        <w:spacing w:line="576" w:lineRule="exact"/>
        <w:ind w:left="0" w:leftChars="0" w:firstLine="400" w:firstLineChars="0"/>
        <w:rPr>
          <w:rFonts w:ascii="仿宋_GB2312" w:eastAsia="仿宋_GB2312" w:cs="仿宋_GB2312"/>
          <w:sz w:val="32"/>
          <w:szCs w:val="32"/>
        </w:rPr>
      </w:pPr>
      <w:bookmarkStart w:id="75" w:name="_Toc15377226"/>
      <w:r>
        <w:rPr>
          <w:rFonts w:hint="eastAsia" w:ascii="仿宋_GB2312" w:eastAsia="仿宋_GB2312" w:cs="仿宋_GB2312"/>
          <w:sz w:val="32"/>
          <w:szCs w:val="32"/>
        </w:rPr>
        <w:t>财政拨款收入：指单位从同级财政部门取得的财政预算资金。</w:t>
      </w:r>
    </w:p>
    <w:p>
      <w:pPr>
        <w:numPr>
          <w:ilvl w:val="0"/>
          <w:numId w:val="4"/>
        </w:numPr>
        <w:adjustRightInd w:val="0"/>
        <w:snapToGrid w:val="0"/>
        <w:spacing w:line="576" w:lineRule="exact"/>
        <w:ind w:left="0" w:leftChars="0" w:firstLine="400" w:firstLineChars="0"/>
        <w:rPr>
          <w:rFonts w:ascii="仿宋_GB2312" w:eastAsia="仿宋_GB2312" w:cs="仿宋_GB2312"/>
          <w:sz w:val="32"/>
          <w:szCs w:val="32"/>
        </w:rPr>
      </w:pPr>
      <w:r>
        <w:rPr>
          <w:rFonts w:hint="eastAsia" w:ascii="仿宋_GB2312" w:eastAsia="仿宋_GB2312" w:cs="仿宋_GB2312"/>
          <w:sz w:val="32"/>
          <w:szCs w:val="32"/>
        </w:rPr>
        <w:t>其他收入：指单位取得的除上述收入以外的各项收入。主要是中宣部、省委宣传部拨款收入等。</w:t>
      </w:r>
    </w:p>
    <w:p>
      <w:pPr>
        <w:numPr>
          <w:ilvl w:val="0"/>
          <w:numId w:val="4"/>
        </w:numPr>
        <w:adjustRightInd w:val="0"/>
        <w:snapToGrid w:val="0"/>
        <w:spacing w:line="576" w:lineRule="exact"/>
        <w:ind w:left="0" w:leftChars="0" w:firstLine="400" w:firstLineChars="0"/>
        <w:rPr>
          <w:rFonts w:ascii="仿宋_GB2312" w:eastAsia="仿宋_GB2312" w:cs="仿宋_GB2312"/>
          <w:sz w:val="32"/>
          <w:szCs w:val="32"/>
        </w:rPr>
      </w:pPr>
      <w:r>
        <w:rPr>
          <w:rFonts w:hint="eastAsia" w:ascii="仿宋_GB2312" w:eastAsia="仿宋_GB2312" w:cs="仿宋_GB2312"/>
          <w:sz w:val="32"/>
          <w:szCs w:val="32"/>
        </w:rPr>
        <w:t>年初结转和结余：指以前年度尚未完成、结转到本年按有关规定继续使用的资金。</w:t>
      </w:r>
    </w:p>
    <w:p>
      <w:pPr>
        <w:numPr>
          <w:ilvl w:val="0"/>
          <w:numId w:val="4"/>
        </w:numPr>
        <w:adjustRightInd w:val="0"/>
        <w:snapToGri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一般公共服务（类）宣传事务（款）行政运行（项）</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反映行政单位（包括实行公务员管理的事业单位）的基本支出。</w:t>
      </w:r>
    </w:p>
    <w:p>
      <w:pPr>
        <w:numPr>
          <w:ilvl w:val="0"/>
          <w:numId w:val="4"/>
        </w:numPr>
        <w:adjustRightInd w:val="0"/>
        <w:snapToGri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一般公共服务（类）宣传事务（款）一般行政管理事务（项）</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反映行政单位（包括实行公务员管理的事业单位）未单独设置项级科目的其他项目支出。</w:t>
      </w:r>
    </w:p>
    <w:p>
      <w:pPr>
        <w:numPr>
          <w:ilvl w:val="0"/>
          <w:numId w:val="4"/>
        </w:numPr>
        <w:adjustRightInd w:val="0"/>
        <w:snapToGrid w:val="0"/>
        <w:spacing w:line="576" w:lineRule="exact"/>
        <w:ind w:left="0" w:leftChars="0" w:firstLine="40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一般公共服务（类）宣传事务（款）事业运行（项）:反映事业单位的基本支出，不包括行政单位（包括实行公务员管理的事业单位）后勤服务中心、医务室等附属事业单位。</w:t>
      </w:r>
    </w:p>
    <w:p>
      <w:pPr>
        <w:numPr>
          <w:ilvl w:val="0"/>
          <w:numId w:val="4"/>
        </w:numPr>
        <w:adjustRightInd w:val="0"/>
        <w:snapToGrid w:val="0"/>
        <w:spacing w:line="576" w:lineRule="exact"/>
        <w:ind w:left="0" w:leftChars="0" w:firstLine="400" w:firstLineChars="0"/>
        <w:rPr>
          <w:rFonts w:ascii="仿宋_GB2312" w:eastAsia="仿宋_GB2312" w:cs="仿宋_GB2312"/>
          <w:sz w:val="32"/>
          <w:szCs w:val="32"/>
        </w:rPr>
      </w:pPr>
      <w:r>
        <w:rPr>
          <w:rFonts w:hint="eastAsia" w:ascii="仿宋_GB2312" w:hAnsi="仿宋_GB2312" w:eastAsia="仿宋_GB2312" w:cs="仿宋_GB2312"/>
          <w:sz w:val="32"/>
          <w:szCs w:val="32"/>
        </w:rPr>
        <w:t>一般公共服务（类）宣传事务（款）其他宣传事务支出（项）:反映其他用于中国共产党宣传部门的事务支出。</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一般公共服务（类）群众团体事务（款）行政运行（项）</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反映行政单位（包括实行公务员管理的事业单位）的基本支出。</w:t>
      </w:r>
    </w:p>
    <w:p>
      <w:pPr>
        <w:numPr>
          <w:ilvl w:val="0"/>
          <w:numId w:val="4"/>
        </w:numPr>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文化旅游体育与传媒支出（类）文化和旅游（款）文化活动（项）：反映举办大型文化艺术活动的支出。</w:t>
      </w:r>
    </w:p>
    <w:p>
      <w:pPr>
        <w:pStyle w:val="2"/>
        <w:numPr>
          <w:ilvl w:val="0"/>
          <w:numId w:val="4"/>
        </w:numPr>
        <w:ind w:left="0" w:leftChars="0" w:firstLine="40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文化旅游体育与传媒支出（类）文化和旅游（款）文化创作与保护（项）：反映鼓励文学、艺术创作和优秀传统文化保护方面的支出。</w:t>
      </w:r>
    </w:p>
    <w:p>
      <w:pPr>
        <w:pStyle w:val="2"/>
        <w:numPr>
          <w:ilvl w:val="0"/>
          <w:numId w:val="4"/>
        </w:numPr>
        <w:ind w:left="0" w:leftChars="0" w:firstLine="400" w:firstLine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文化旅游体育与传媒支出（类）新闻出版电影（款）其他新闻出版电影支出（项）：反映</w:t>
      </w:r>
      <w:r>
        <w:rPr>
          <w:rFonts w:hint="default" w:ascii="仿宋_GB2312" w:hAnsi="仿宋_GB2312" w:eastAsia="仿宋_GB2312" w:cs="仿宋_GB2312"/>
          <w:sz w:val="32"/>
          <w:szCs w:val="32"/>
          <w:lang w:val="en-US" w:eastAsia="zh-CN"/>
        </w:rPr>
        <w:t>用于新闻出版广播影视方面的支出</w:t>
      </w:r>
      <w:r>
        <w:rPr>
          <w:rFonts w:hint="eastAsia" w:ascii="仿宋_GB2312" w:hAnsi="仿宋_GB2312" w:eastAsia="仿宋_GB2312" w:cs="仿宋_GB2312"/>
          <w:sz w:val="32"/>
          <w:szCs w:val="32"/>
        </w:rPr>
        <w:t>。</w:t>
      </w:r>
    </w:p>
    <w:p>
      <w:pPr>
        <w:pStyle w:val="2"/>
        <w:numPr>
          <w:ilvl w:val="0"/>
          <w:numId w:val="4"/>
        </w:numPr>
        <w:ind w:left="0" w:leftChars="0" w:firstLine="400" w:firstLineChars="0"/>
      </w:pPr>
      <w:r>
        <w:rPr>
          <w:rFonts w:hint="eastAsia" w:ascii="仿宋_GB2312" w:hAnsi="仿宋_GB2312" w:eastAsia="仿宋_GB2312" w:cs="仿宋_GB2312"/>
          <w:sz w:val="32"/>
          <w:szCs w:val="32"/>
        </w:rPr>
        <w:t>文化旅游体育与传媒支出（类）其他文化体育与传媒支出（款）宣传文化发展专项支出（项）：反应按照国家有关政策支持宣传文化单位发展的专项支出。</w:t>
      </w:r>
    </w:p>
    <w:p>
      <w:pPr>
        <w:numPr>
          <w:ilvl w:val="0"/>
          <w:numId w:val="4"/>
        </w:numPr>
        <w:adjustRightInd w:val="0"/>
        <w:snapToGri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社会保障和就业支出（类）人力资源和社会保障管理事务（款）</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其他人力资源和社会保障管理事务支出（项）</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反映其他用于人力资源和社会保障管理事务方面的支出。</w:t>
      </w:r>
    </w:p>
    <w:p>
      <w:pPr>
        <w:numPr>
          <w:ilvl w:val="0"/>
          <w:numId w:val="4"/>
        </w:numPr>
        <w:adjustRightInd w:val="0"/>
        <w:snapToGri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行政事业单位养老支出（类）行政事业单位养老支出（款）机关事业单位基本养老保险缴费支出（项）</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反映机关事业单位实施养老保险制度由单位缴纳的基本养老保险费支出。</w:t>
      </w:r>
    </w:p>
    <w:p>
      <w:pPr>
        <w:pStyle w:val="2"/>
        <w:numPr>
          <w:ilvl w:val="0"/>
          <w:numId w:val="4"/>
        </w:numPr>
        <w:ind w:left="0" w:leftChars="0" w:firstLine="400" w:firstLineChars="0"/>
        <w:rPr>
          <w:rFonts w:eastAsia="仿宋_GB2312"/>
          <w:b/>
          <w:bCs/>
        </w:rPr>
      </w:pPr>
      <w:r>
        <w:rPr>
          <w:rFonts w:hint="eastAsia" w:ascii="仿宋_GB2312" w:hAnsi="仿宋_GB2312" w:eastAsia="仿宋_GB2312" w:cs="仿宋_GB2312"/>
          <w:sz w:val="32"/>
          <w:szCs w:val="32"/>
        </w:rPr>
        <w:t>社会保障和就业支出（类）行政事业单位养老支出（款）</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机关事业单位职业年金缴费支出（项）</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反映机关事业单位实施养老保险制度由单位实际缴纳的职业年金支出。</w:t>
      </w:r>
    </w:p>
    <w:p>
      <w:pPr>
        <w:numPr>
          <w:ilvl w:val="0"/>
          <w:numId w:val="4"/>
        </w:numPr>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卫生健康（类）行政事业单位医疗（款）行政单位医疗（项）</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反映财政部门集中安排的行政单位基本医疗保险缴费经费。</w:t>
      </w:r>
    </w:p>
    <w:p>
      <w:pPr>
        <w:numPr>
          <w:ilvl w:val="0"/>
          <w:numId w:val="4"/>
        </w:numPr>
        <w:adjustRightInd w:val="0"/>
        <w:snapToGri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住房保障支出（类）住房改革支出（款）住房公积金（项）</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反映行政事业单位按人力资源和社会保障部、财政部规定的基本工资和津贴补贴以及规定比例为职工缴纳的住房公积金。</w:t>
      </w:r>
    </w:p>
    <w:p>
      <w:pPr>
        <w:numPr>
          <w:ilvl w:val="0"/>
          <w:numId w:val="4"/>
        </w:numPr>
        <w:adjustRightInd w:val="0"/>
        <w:snapToGri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基本支出：指为保障机构正常运转、完成日常工作任务而发生的人员支出和公用支出。</w:t>
      </w:r>
    </w:p>
    <w:p>
      <w:pPr>
        <w:numPr>
          <w:ilvl w:val="0"/>
          <w:numId w:val="4"/>
        </w:numPr>
        <w:adjustRightInd w:val="0"/>
        <w:snapToGri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项目支出：指在基本支出之外为完成特定行政任务和事业发展目标所发生的支出。</w:t>
      </w:r>
    </w:p>
    <w:p>
      <w:pPr>
        <w:numPr>
          <w:ilvl w:val="0"/>
          <w:numId w:val="4"/>
        </w:numPr>
        <w:adjustRightInd w:val="0"/>
        <w:snapToGrid w:val="0"/>
        <w:spacing w:line="576" w:lineRule="exact"/>
        <w:ind w:left="0" w:leftChars="0" w:firstLine="400"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8"/>
        <w:numPr>
          <w:ilvl w:val="0"/>
          <w:numId w:val="4"/>
        </w:numPr>
        <w:spacing w:line="576" w:lineRule="exact"/>
        <w:ind w:left="0" w:leftChars="0" w:firstLine="400" w:firstLineChars="0"/>
        <w:rPr>
          <w:rFonts w:hAnsi="仿宋"/>
          <w:b/>
          <w:color w:val="auto"/>
          <w:sz w:val="32"/>
          <w:szCs w:val="32"/>
        </w:rPr>
      </w:pPr>
      <w:r>
        <w:rPr>
          <w:rFonts w:hint="eastAsia" w:ascii="仿宋_GB2312" w:hAnsi="仿宋_GB2312" w:eastAsia="仿宋_GB2312" w:cs="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600" w:lineRule="exact"/>
        <w:jc w:val="center"/>
        <w:outlineLvl w:val="0"/>
        <w:rPr>
          <w:rFonts w:ascii="宋体"/>
          <w:b/>
          <w:color w:val="auto"/>
          <w:sz w:val="44"/>
          <w:szCs w:val="44"/>
          <w:highlight w:val="none"/>
        </w:rPr>
        <w:sectPr>
          <w:footerReference r:id="rId3" w:type="default"/>
          <w:pgSz w:w="11906" w:h="16838"/>
          <w:pgMar w:top="1418" w:right="1418" w:bottom="1418" w:left="1418" w:header="851" w:footer="1474" w:gutter="0"/>
          <w:pgNumType w:fmt="decimal" w:start="1"/>
          <w:cols w:space="425" w:num="1"/>
          <w:docGrid w:type="lines" w:linePitch="312" w:charSpace="0"/>
        </w:sectPr>
      </w:pPr>
      <w:r>
        <w:rPr>
          <w:rFonts w:ascii="宋体"/>
          <w:b/>
          <w:color w:val="auto"/>
          <w:sz w:val="44"/>
          <w:szCs w:val="44"/>
          <w:highlight w:val="none"/>
        </w:rPr>
        <w:br w:type="page"/>
      </w:r>
      <w:bookmarkStart w:id="76" w:name="_Toc12934"/>
      <w:bookmarkStart w:id="77" w:name="_Toc15396614"/>
    </w:p>
    <w:p>
      <w:pPr>
        <w:spacing w:line="600" w:lineRule="exact"/>
        <w:jc w:val="center"/>
        <w:outlineLvl w:val="0"/>
        <w:rPr>
          <w:rStyle w:val="19"/>
          <w:rFonts w:ascii="黑体" w:hAnsi="黑体" w:eastAsia="黑体"/>
          <w:b w:val="0"/>
          <w:color w:val="auto"/>
          <w:highlight w:val="none"/>
        </w:rPr>
      </w:pPr>
      <w:r>
        <w:rPr>
          <w:rFonts w:hint="eastAsia" w:ascii="黑体" w:hAnsi="黑体" w:eastAsia="黑体"/>
          <w:color w:val="auto"/>
          <w:sz w:val="44"/>
          <w:szCs w:val="44"/>
          <w:highlight w:val="none"/>
        </w:rPr>
        <w:t>第</w:t>
      </w:r>
      <w:r>
        <w:rPr>
          <w:rStyle w:val="19"/>
          <w:rFonts w:hint="eastAsia" w:ascii="黑体" w:hAnsi="黑体" w:eastAsia="黑体"/>
          <w:b w:val="0"/>
          <w:color w:val="auto"/>
          <w:highlight w:val="none"/>
        </w:rPr>
        <w:t>四部分 附件</w:t>
      </w:r>
      <w:bookmarkEnd w:id="76"/>
      <w:bookmarkEnd w:id="77"/>
    </w:p>
    <w:p>
      <w:bookmarkStart w:id="78" w:name="_Toc15396618"/>
    </w:p>
    <w:bookmarkEnd w:id="75"/>
    <w:bookmarkEnd w:id="78"/>
    <w:tbl>
      <w:tblPr>
        <w:tblStyle w:val="15"/>
        <w:tblW w:w="1503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13"/>
        <w:gridCol w:w="2140"/>
        <w:gridCol w:w="1851"/>
        <w:gridCol w:w="2362"/>
        <w:gridCol w:w="543"/>
        <w:gridCol w:w="1749"/>
        <w:gridCol w:w="789"/>
        <w:gridCol w:w="1138"/>
        <w:gridCol w:w="601"/>
        <w:gridCol w:w="476"/>
        <w:gridCol w:w="26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580.79</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755.64</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755.64</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580.79</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755.64</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755.64</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结余率（计算方法为：结余数/预算数）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51000021R000000019956-离退休费支出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30.80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30.80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30.80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30.80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30.80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30.80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结余率（计算方法为：结余数/预算数）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51000021Y000000011490-定额公用经费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保障单位日常运转，提高预算编制质量，严格执行预算</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73.80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70.65</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67.34</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95.32%</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73.80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70.65</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67.34</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95.32%</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保障单位日常运转，提高预算编制质量，严格执行预算</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62.78</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62.78</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54.04</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86.08%</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62.78</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62.78</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54.04</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86.08%</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7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严格执行相关政策，保障工资及时发放、足额发放，预算编制科学合理，减少结余资金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32.72</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64.38</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64.38</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32.72</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64.38</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64.38</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按时发放率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结余率（计算方法为：结余数/预算数）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51080022T000004933995-媒体战略合作经费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240"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宣传广元形象，带动广元旅游发展。</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媒体合作以战略合作和定向合作相结合的方式进行。拟与人民日报、四川日报、四川电视台、新华网、人民网开展战略合作，签订合作协议，围绕确定的宣传重点和主题，由媒体安排版面、栏目、专题或以其他形式进行宣传。与新华社、中央电视台、光明日报、经济日报、农民日报、凤凰网、中新社（中新网）、华西都市报、海外华文媒体及其他媒体开展定向合作，建立合作关系，策划开展外宣活动，在重要版面、栏目推出重头稿件，拍摄录制播出专题节目等，对外传播广元好声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与中央、省级等多家主流媒体开展战略合作，以及开展重大上宣、外宣活动，全年确保广元重大活动得到及时有效的宣传推广。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各项工作已完成，因2022年底疫情原因，无法现场签约，剩余资金已于2023年初支付完毕。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媒体宣传合作重头稿件</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篇（部）</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合同签订400万元</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4000000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带动旅游经济</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营造全市良好氛围</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增强广元印象，宣传广元形象</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群众满意度</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结根据预算绩效管理评价考核办法，我部从组织保障体系、过程管理体系、基础支撑体系、考核监督体系及其他考核事项进行了自查自评，在数据准确、资料齐全、佐证充分基础上综合自评得分为100分。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51080022T000004933998-宣传工作经费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贯彻省委、市委全会重大宣传工作。完成市委中心组学习任务。</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贯彻中央省委、市委全会重大宣传工作、书记安排城市名片塑造等，完成市委中心组学习任务，做到每个月一次集中学习。每半年开展一次蜀道大讲堂活动。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20.23</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20.23</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20.23</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20.23</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20.23</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20.23</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中心组学习12次、蜀道大讲堂2次。</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场次</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2022年12月底前完成</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期/年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人员经费及相关经费</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202300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为全市营造良好氛围</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宣传广元形象、促进广元经济发展</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党员干部满意度</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51080022T000004934001-农村电影工作经费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进一步加强老放映员信访维稳工作.</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进一步加强老放映员信访维稳工作.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放映场次</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2022年12月前</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期/年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5万元</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安全维稳（力争全年无安全事故发生）</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确保无重大上访事件</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信访维稳</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51080022T000004934009-全民阅读推广经费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开展全民阅读推广活动15场以上；组织群众参加全省“农民读书月”征文活动等。</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开展全民阅读推广活动15场以上；组织群众参加全省“农民读书月”征文活动等。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15场以上</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场次</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2022年12月前</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期/年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成本50000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效果指标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倡导全民阅读</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营造阅读氛围、促进全民文化程度提高</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群众满意度</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51080022T000004934014-未成年人思想道德建设工作经费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开展多项未成年人道德实践活动。</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开展好“扣好人生第一粒扣子”“我们的节日”等未成年人道德实践活动。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2.90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48.33%</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1因2022年疫情影响，年底活动无法开展，已于2023年初举办活动。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2.90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48.33%</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开展活动</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场次</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2022年12月底前完成</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期/年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活动相关成本费用</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60000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未成年人道德实践活动进一步丰富</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未成年人思想道德宣传建设</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开展多项未成年人道德实践活动。</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51080022T000004934037-“扫黄打非”专项工作经费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开展好“扫黄打非”五大专项行动，加强“扫黄打非”网络监测。传播社会主义先进文化。</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2022年1月：召开相关会议，安排部署相关工作。2022年9月全面完成。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9.19</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91.93%</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9.19</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91.93%</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开展活动</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场次</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2022年12月底前</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期/年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活动经费及办公费10万元。</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氛围营造</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强化网络监测</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群众满意度</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51080022T000004934048-全国文明城市创建经费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长效常态推进全国文明城市创建工作，进一步提高城市文明程度及市民文明水平。</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全年召开相关会议，安排部署文明城市创建相关工作。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205.00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160.90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78.49%</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按照合同约定，第三方模拟评测服务将于2023年初付清尾款。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205.00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160.90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78.49%</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公益广告</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争取创建成功</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好坏</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2022年12月前</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期/年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5万元办公经费</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50000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进一步提高城市文明程度及市民文明水平</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群众满意度</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根据预算绩效管理评价考核办法，我部从组织保障体系、过程管理体系、基础支撑体系、考核监督体系及其他考核事项进行了自查自评，在数据准确、资料齐全、佐证充分基础上综合自评得分为90分。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51080022T000004936067-乡村振兴工作经费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按照中共中央办公厅印发《关于向重点乡村持续选派驻村第一书记和工作队的意见》规定执行，用于工作调研、规划编制、考察交流、日常工作运转以及在驻村期间因公产生的差旅费等，并按规定规范管理。</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按照中共中央办公厅印发《关于向重点乡村持续选派驻村第一书记和工作队的意见》规定执行，用于工作调研、规划编制、考察交流、日常工作运转以及在驻村期间因公产生的差旅费等，并按规定规范管理。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驻村22天</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人/天</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2022年12月前完成任务</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期/年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生活补助5.46</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54600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效果指标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帮助乡村振兴</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带动农民经济发展</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帮扶对象满意度指标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致富奔小康</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51080022T000004959694-派驻纪检组专项工作经费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9个综合监督单位日常监督，做实精准监督，完成上级交办调研任务、专项督查检查任务，依法依规发现和处置问题线索，保证立案案件办案的安全和质量，持续开展受处分人员的回访教育，涵养综合监督单位良好政治生态等。</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9个综合监督单位日常监督，做实精准监督，完成上级交办调研任务、专项督查检查任务，依法依规发现和处置问题线索，保证立案案件办案的安全和质量，持续开展受处分人员的回访教育，涵养综合监督单位良好政治生态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24.70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98.81%</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24.70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98.81%</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有效完成市纪委交办案件查处任务</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件/人</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2022年12月前完成</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期/年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办案人员经费成本</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250000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建立清正廉洁的社会氛围</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警示教育，杜绝腐败</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党员干部满意度</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高中低</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51080022T000005765026-2022年春节集中慰问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春节集中慰问工作有序开展</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春节集中慰问工作有序开展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开展慰问</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2022年12月前完成</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期/年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慰问经费</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26000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元/年</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建立清正廉洁的社会氛围</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春节慰问</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优良中低差</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党员干部满意度</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高中低</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85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362"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543"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74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789"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113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601"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476"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nil"/>
              <w:left w:val="nil"/>
              <w:bottom w:val="nil"/>
              <w:right w:val="nil"/>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1503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6"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12" w:hRule="atLeast"/>
        </w:trPr>
        <w:tc>
          <w:tcPr>
            <w:tcW w:w="28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中国共产党广元市委员会宣传部部门</w:t>
            </w:r>
          </w:p>
        </w:tc>
        <w:tc>
          <w:tcPr>
            <w:tcW w:w="1138"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实施单位 （盖章）</w:t>
            </w:r>
          </w:p>
        </w:tc>
        <w:tc>
          <w:tcPr>
            <w:tcW w:w="37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中国共产党广元市委员会宣传部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72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保障单位日常运转，提高预算编制质量，严格执行预算</w:t>
            </w:r>
          </w:p>
        </w:tc>
        <w:tc>
          <w:tcPr>
            <w:tcW w:w="48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各项既定目标任务均按时完成。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1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保障单位日常运转，提高预算编制质量，严格执行预算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61"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10.80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10.78</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10.29</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95.45%</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color w:val="000000"/>
                <w:sz w:val="18"/>
                <w:szCs w:val="18"/>
                <w:u w:val="none"/>
              </w:rPr>
            </w:pPr>
            <w:r>
              <w:rPr>
                <w:rFonts w:hint="default" w:ascii="simhei" w:hAnsi="simhei" w:eastAsia="simhei" w:cs="simhei"/>
                <w:i/>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10.80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10.78</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10.29</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95.45%</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02"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308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6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simhei" w:hAnsi="simhei" w:eastAsia="simhei" w:cs="simhei"/>
                <w:i/>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78"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8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8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3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5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7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7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22.5</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128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c>
          <w:tcPr>
            <w:tcW w:w="266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根据预算绩效管理评价考核办法，我部从组织保障体系、过程管理体系、基础支撑体系、考核监督体系及其他考核事项进行了自查自评，在数据准确、资料齐全、佐证充分基础上综合自评得分为100分。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317"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微软雅黑" w:hAnsi="微软雅黑" w:eastAsia="微软雅黑" w:cs="微软雅黑"/>
                <w:i/>
                <w:color w:val="000000"/>
                <w:sz w:val="16"/>
                <w:szCs w:val="16"/>
                <w:u w:val="none"/>
              </w:rPr>
            </w:pPr>
            <w:r>
              <w:rPr>
                <w:rFonts w:hint="default" w:ascii="微软雅黑" w:hAnsi="微软雅黑" w:eastAsia="微软雅黑" w:cs="微软雅黑"/>
                <w:i/>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760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项目负责人：侯雯</w:t>
            </w:r>
          </w:p>
        </w:tc>
        <w:tc>
          <w:tcPr>
            <w:tcW w:w="742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simhei" w:hAnsi="simhei" w:eastAsia="simhei" w:cs="simhei"/>
                <w:i w:val="0"/>
                <w:color w:val="000000"/>
                <w:sz w:val="18"/>
                <w:szCs w:val="18"/>
                <w:u w:val="none"/>
              </w:rPr>
            </w:pPr>
            <w:r>
              <w:rPr>
                <w:rFonts w:hint="default" w:ascii="simhei" w:hAnsi="simhei" w:eastAsia="simhei" w:cs="simhei"/>
                <w:i w:val="0"/>
                <w:color w:val="000000"/>
                <w:kern w:val="0"/>
                <w:sz w:val="18"/>
                <w:szCs w:val="18"/>
                <w:u w:val="none"/>
                <w:lang w:val="en-US" w:eastAsia="zh-CN" w:bidi="ar"/>
              </w:rPr>
              <w:t>财务负责人：侯雯</w:t>
            </w:r>
          </w:p>
        </w:tc>
      </w:tr>
    </w:tbl>
    <w:p>
      <w:pPr>
        <w:spacing w:line="600" w:lineRule="exact"/>
        <w:jc w:val="both"/>
        <w:outlineLvl w:val="0"/>
        <w:rPr>
          <w:rFonts w:ascii="黑体" w:hAnsi="黑体" w:eastAsia="黑体"/>
          <w:sz w:val="44"/>
          <w:szCs w:val="44"/>
        </w:rPr>
        <w:sectPr>
          <w:footerReference r:id="rId4" w:type="default"/>
          <w:pgSz w:w="16838" w:h="11906" w:orient="landscape"/>
          <w:pgMar w:top="1418" w:right="1418" w:bottom="1418" w:left="1418" w:header="851" w:footer="1474" w:gutter="0"/>
          <w:pgNumType w:fmt="decimal" w:start="15"/>
          <w:cols w:space="425" w:num="1"/>
          <w:docGrid w:type="lines" w:linePitch="312" w:charSpace="0"/>
        </w:sectPr>
      </w:pPr>
    </w:p>
    <w:p>
      <w:pPr>
        <w:spacing w:line="576" w:lineRule="exact"/>
        <w:outlineLvl w:val="0"/>
        <w:rPr>
          <w:rFonts w:ascii="仿宋_GB2312" w:hAnsi="黑体" w:eastAsia="仿宋_GB2312"/>
          <w:sz w:val="32"/>
          <w:szCs w:val="32"/>
        </w:rPr>
      </w:pPr>
    </w:p>
    <w:p>
      <w:pPr>
        <w:spacing w:line="576" w:lineRule="exact"/>
        <w:jc w:val="center"/>
        <w:outlineLvl w:val="0"/>
        <w:rPr>
          <w:rStyle w:val="33"/>
          <w:rFonts w:ascii="方正小标宋简体" w:hAnsi="黑体" w:eastAsia="方正小标宋简体"/>
          <w:b w:val="0"/>
        </w:rPr>
      </w:pPr>
      <w:bookmarkStart w:id="79" w:name="_Toc16554"/>
      <w:r>
        <w:rPr>
          <w:rFonts w:hint="eastAsia" w:ascii="方正小标宋简体" w:hAnsi="黑体" w:eastAsia="方正小标宋简体"/>
          <w:sz w:val="44"/>
          <w:szCs w:val="44"/>
        </w:rPr>
        <w:t>第</w:t>
      </w:r>
      <w:r>
        <w:rPr>
          <w:rStyle w:val="33"/>
          <w:rFonts w:hint="eastAsia" w:ascii="方正小标宋简体" w:hAnsi="黑体" w:eastAsia="方正小标宋简体"/>
          <w:b w:val="0"/>
        </w:rPr>
        <w:t>五部分</w:t>
      </w:r>
      <w:r>
        <w:rPr>
          <w:rStyle w:val="33"/>
          <w:rFonts w:ascii="方正小标宋简体" w:hAnsi="黑体" w:eastAsia="方正小标宋简体"/>
          <w:b w:val="0"/>
        </w:rPr>
        <w:t xml:space="preserve"> </w:t>
      </w:r>
      <w:r>
        <w:rPr>
          <w:rStyle w:val="33"/>
          <w:rFonts w:hint="eastAsia" w:ascii="方正小标宋简体" w:hAnsi="黑体" w:eastAsia="方正小标宋简体"/>
          <w:b w:val="0"/>
        </w:rPr>
        <w:t>附表</w:t>
      </w:r>
      <w:bookmarkEnd w:id="79"/>
      <w:bookmarkStart w:id="80" w:name="_Toc15396619"/>
    </w:p>
    <w:p>
      <w:pPr>
        <w:pStyle w:val="2"/>
        <w:spacing w:line="576" w:lineRule="exact"/>
      </w:pPr>
    </w:p>
    <w:p>
      <w:pPr>
        <w:pStyle w:val="4"/>
        <w:spacing w:before="0" w:after="0" w:line="576" w:lineRule="exact"/>
        <w:ind w:firstLine="640" w:firstLineChars="200"/>
        <w:rPr>
          <w:rFonts w:ascii="仿宋_GB2312" w:hAnsi="仿宋" w:eastAsia="仿宋_GB2312"/>
        </w:rPr>
      </w:pPr>
      <w:bookmarkStart w:id="81" w:name="_Toc3378"/>
      <w:r>
        <w:rPr>
          <w:rFonts w:hint="eastAsia" w:ascii="仿宋_GB2312" w:hAnsi="仿宋" w:eastAsia="仿宋_GB2312"/>
          <w:b w:val="0"/>
        </w:rPr>
        <w:t>一、收</w:t>
      </w:r>
      <w:r>
        <w:rPr>
          <w:rStyle w:val="34"/>
          <w:rFonts w:hint="eastAsia" w:ascii="仿宋_GB2312" w:hAnsi="仿宋" w:eastAsia="仿宋_GB2312"/>
          <w:b w:val="0"/>
          <w:bCs w:val="0"/>
        </w:rPr>
        <w:t>入支出决算总表</w:t>
      </w:r>
      <w:bookmarkEnd w:id="80"/>
      <w:bookmarkEnd w:id="81"/>
    </w:p>
    <w:p>
      <w:pPr>
        <w:pStyle w:val="4"/>
        <w:spacing w:before="0" w:after="0" w:line="576" w:lineRule="exact"/>
        <w:ind w:firstLine="640" w:firstLineChars="200"/>
        <w:rPr>
          <w:rFonts w:ascii="仿宋_GB2312" w:hAnsi="仿宋" w:eastAsia="仿宋_GB2312"/>
        </w:rPr>
      </w:pPr>
      <w:bookmarkStart w:id="82" w:name="_Toc18804"/>
      <w:bookmarkStart w:id="83" w:name="_Toc15396620"/>
      <w:r>
        <w:rPr>
          <w:rFonts w:hint="eastAsia" w:ascii="仿宋_GB2312" w:hAnsi="仿宋" w:eastAsia="仿宋_GB2312"/>
          <w:b w:val="0"/>
        </w:rPr>
        <w:t>二、收</w:t>
      </w:r>
      <w:r>
        <w:rPr>
          <w:rStyle w:val="34"/>
          <w:rFonts w:hint="eastAsia" w:ascii="仿宋_GB2312" w:hAnsi="仿宋" w:eastAsia="仿宋_GB2312"/>
          <w:b w:val="0"/>
          <w:bCs w:val="0"/>
        </w:rPr>
        <w:t>入决算表</w:t>
      </w:r>
      <w:bookmarkEnd w:id="82"/>
      <w:bookmarkEnd w:id="83"/>
    </w:p>
    <w:p>
      <w:pPr>
        <w:pStyle w:val="4"/>
        <w:spacing w:before="0" w:after="0" w:line="576" w:lineRule="exact"/>
        <w:ind w:firstLine="640" w:firstLineChars="200"/>
        <w:rPr>
          <w:rFonts w:ascii="仿宋_GB2312" w:hAnsi="仿宋" w:eastAsia="仿宋_GB2312"/>
        </w:rPr>
      </w:pPr>
      <w:bookmarkStart w:id="84" w:name="_Toc23310"/>
      <w:bookmarkStart w:id="85" w:name="_Toc15396621"/>
      <w:r>
        <w:rPr>
          <w:rStyle w:val="34"/>
          <w:rFonts w:hint="eastAsia" w:ascii="仿宋_GB2312" w:hAnsi="仿宋" w:eastAsia="仿宋_GB2312"/>
          <w:b w:val="0"/>
          <w:bCs w:val="0"/>
        </w:rPr>
        <w:t>三、</w:t>
      </w:r>
      <w:r>
        <w:rPr>
          <w:rFonts w:hint="eastAsia" w:ascii="仿宋_GB2312" w:hAnsi="仿宋" w:eastAsia="仿宋_GB2312"/>
          <w:b w:val="0"/>
        </w:rPr>
        <w:t>支</w:t>
      </w:r>
      <w:r>
        <w:rPr>
          <w:rStyle w:val="34"/>
          <w:rFonts w:hint="eastAsia" w:ascii="仿宋_GB2312" w:hAnsi="仿宋" w:eastAsia="仿宋_GB2312"/>
          <w:b w:val="0"/>
          <w:bCs w:val="0"/>
        </w:rPr>
        <w:t>出决算表</w:t>
      </w:r>
      <w:bookmarkEnd w:id="84"/>
      <w:bookmarkEnd w:id="85"/>
    </w:p>
    <w:p>
      <w:pPr>
        <w:pStyle w:val="4"/>
        <w:spacing w:before="0" w:after="0" w:line="576" w:lineRule="exact"/>
        <w:ind w:firstLine="640" w:firstLineChars="200"/>
        <w:rPr>
          <w:rFonts w:ascii="仿宋_GB2312" w:hAnsi="仿宋" w:eastAsia="仿宋_GB2312"/>
          <w:b w:val="0"/>
        </w:rPr>
      </w:pPr>
      <w:bookmarkStart w:id="86" w:name="_Toc15396622"/>
      <w:bookmarkStart w:id="87" w:name="_Toc3918"/>
      <w:r>
        <w:rPr>
          <w:rStyle w:val="34"/>
          <w:rFonts w:hint="eastAsia" w:ascii="仿宋_GB2312" w:hAnsi="仿宋" w:eastAsia="仿宋_GB2312"/>
          <w:b w:val="0"/>
          <w:bCs w:val="0"/>
        </w:rPr>
        <w:t>四、</w:t>
      </w:r>
      <w:r>
        <w:rPr>
          <w:rFonts w:hint="eastAsia" w:ascii="仿宋_GB2312" w:hAnsi="仿宋" w:eastAsia="仿宋_GB2312"/>
          <w:b w:val="0"/>
        </w:rPr>
        <w:t>财</w:t>
      </w:r>
      <w:r>
        <w:rPr>
          <w:rStyle w:val="34"/>
          <w:rFonts w:hint="eastAsia" w:ascii="仿宋_GB2312" w:hAnsi="仿宋" w:eastAsia="仿宋_GB2312"/>
          <w:b w:val="0"/>
          <w:bCs w:val="0"/>
        </w:rPr>
        <w:t>政拨款收入支出决算总表</w:t>
      </w:r>
      <w:bookmarkEnd w:id="86"/>
      <w:bookmarkEnd w:id="87"/>
    </w:p>
    <w:p>
      <w:pPr>
        <w:pStyle w:val="4"/>
        <w:spacing w:before="0" w:after="0" w:line="576" w:lineRule="exact"/>
        <w:ind w:firstLine="640" w:firstLineChars="200"/>
        <w:rPr>
          <w:rStyle w:val="34"/>
          <w:rFonts w:ascii="仿宋_GB2312" w:hAnsi="仿宋" w:eastAsia="仿宋_GB2312"/>
          <w:b w:val="0"/>
          <w:bCs w:val="0"/>
        </w:rPr>
      </w:pPr>
      <w:bookmarkStart w:id="88" w:name="_Toc17112"/>
      <w:bookmarkStart w:id="89" w:name="_Toc15396623"/>
      <w:r>
        <w:rPr>
          <w:rStyle w:val="34"/>
          <w:rFonts w:hint="eastAsia" w:ascii="仿宋_GB2312" w:hAnsi="仿宋" w:eastAsia="仿宋_GB2312"/>
          <w:b w:val="0"/>
          <w:bCs w:val="0"/>
        </w:rPr>
        <w:t>五、</w:t>
      </w:r>
      <w:r>
        <w:rPr>
          <w:rFonts w:hint="eastAsia" w:ascii="仿宋_GB2312" w:hAnsi="仿宋" w:eastAsia="仿宋_GB2312"/>
          <w:b w:val="0"/>
        </w:rPr>
        <w:t>财</w:t>
      </w:r>
      <w:r>
        <w:rPr>
          <w:rStyle w:val="34"/>
          <w:rFonts w:hint="eastAsia" w:ascii="仿宋_GB2312" w:hAnsi="仿宋" w:eastAsia="仿宋_GB2312"/>
          <w:b w:val="0"/>
          <w:bCs w:val="0"/>
        </w:rPr>
        <w:t>政拨款支出决算明细表</w:t>
      </w:r>
      <w:bookmarkEnd w:id="88"/>
      <w:bookmarkEnd w:id="89"/>
      <w:bookmarkStart w:id="90" w:name="_Toc15396624"/>
    </w:p>
    <w:p>
      <w:pPr>
        <w:pStyle w:val="4"/>
        <w:spacing w:before="0" w:after="0" w:line="576" w:lineRule="exact"/>
        <w:ind w:firstLine="640" w:firstLineChars="200"/>
        <w:rPr>
          <w:rFonts w:ascii="仿宋_GB2312" w:hAnsi="仿宋" w:eastAsia="仿宋_GB2312"/>
        </w:rPr>
      </w:pPr>
      <w:bookmarkStart w:id="91" w:name="_Toc21766"/>
      <w:r>
        <w:rPr>
          <w:rStyle w:val="34"/>
          <w:rFonts w:hint="eastAsia" w:ascii="仿宋_GB2312" w:hAnsi="仿宋" w:eastAsia="仿宋_GB2312"/>
          <w:b w:val="0"/>
          <w:bCs w:val="0"/>
        </w:rPr>
        <w:t>六、</w:t>
      </w:r>
      <w:r>
        <w:rPr>
          <w:rFonts w:hint="eastAsia" w:ascii="仿宋_GB2312" w:hAnsi="仿宋" w:eastAsia="仿宋_GB2312"/>
          <w:b w:val="0"/>
        </w:rPr>
        <w:t>一</w:t>
      </w:r>
      <w:r>
        <w:rPr>
          <w:rStyle w:val="34"/>
          <w:rFonts w:hint="eastAsia" w:ascii="仿宋_GB2312" w:hAnsi="仿宋" w:eastAsia="仿宋_GB2312"/>
          <w:b w:val="0"/>
          <w:bCs w:val="0"/>
        </w:rPr>
        <w:t>般公共预算财政拨款支出决算表</w:t>
      </w:r>
      <w:bookmarkEnd w:id="90"/>
      <w:bookmarkEnd w:id="91"/>
    </w:p>
    <w:p>
      <w:pPr>
        <w:pStyle w:val="4"/>
        <w:spacing w:before="0" w:after="0" w:line="576" w:lineRule="exact"/>
        <w:ind w:firstLine="640" w:firstLineChars="200"/>
        <w:rPr>
          <w:rFonts w:ascii="仿宋_GB2312" w:hAnsi="仿宋" w:eastAsia="仿宋_GB2312"/>
        </w:rPr>
      </w:pPr>
      <w:bookmarkStart w:id="92" w:name="_Toc32518"/>
      <w:bookmarkStart w:id="93" w:name="_Toc15396625"/>
      <w:r>
        <w:rPr>
          <w:rStyle w:val="34"/>
          <w:rFonts w:hint="eastAsia" w:ascii="仿宋_GB2312" w:hAnsi="仿宋" w:eastAsia="仿宋_GB2312"/>
          <w:b w:val="0"/>
          <w:bCs w:val="0"/>
        </w:rPr>
        <w:t>七、</w:t>
      </w:r>
      <w:r>
        <w:rPr>
          <w:rFonts w:hint="eastAsia" w:ascii="仿宋_GB2312" w:hAnsi="仿宋" w:eastAsia="仿宋_GB2312"/>
          <w:b w:val="0"/>
        </w:rPr>
        <w:t>一</w:t>
      </w:r>
      <w:r>
        <w:rPr>
          <w:rStyle w:val="34"/>
          <w:rFonts w:hint="eastAsia" w:ascii="仿宋_GB2312" w:hAnsi="仿宋" w:eastAsia="仿宋_GB2312"/>
          <w:b w:val="0"/>
          <w:bCs w:val="0"/>
        </w:rPr>
        <w:t>般公共预算财政拨款支出决算明细表</w:t>
      </w:r>
      <w:bookmarkEnd w:id="92"/>
      <w:bookmarkEnd w:id="93"/>
    </w:p>
    <w:p>
      <w:pPr>
        <w:pStyle w:val="4"/>
        <w:spacing w:before="0" w:after="0" w:line="576" w:lineRule="exact"/>
        <w:ind w:firstLine="640" w:firstLineChars="200"/>
        <w:rPr>
          <w:rFonts w:ascii="仿宋_GB2312" w:hAnsi="仿宋" w:eastAsia="仿宋_GB2312"/>
        </w:rPr>
      </w:pPr>
      <w:bookmarkStart w:id="94" w:name="_Toc15396626"/>
      <w:bookmarkStart w:id="95" w:name="_Toc27290"/>
      <w:r>
        <w:rPr>
          <w:rStyle w:val="34"/>
          <w:rFonts w:hint="eastAsia" w:ascii="仿宋_GB2312" w:hAnsi="仿宋" w:eastAsia="仿宋_GB2312"/>
          <w:b w:val="0"/>
          <w:bCs w:val="0"/>
        </w:rPr>
        <w:t>八、</w:t>
      </w:r>
      <w:r>
        <w:rPr>
          <w:rFonts w:hint="eastAsia" w:ascii="仿宋_GB2312" w:hAnsi="仿宋" w:eastAsia="仿宋_GB2312"/>
          <w:b w:val="0"/>
        </w:rPr>
        <w:t>一</w:t>
      </w:r>
      <w:r>
        <w:rPr>
          <w:rStyle w:val="34"/>
          <w:rFonts w:hint="eastAsia" w:ascii="仿宋_GB2312" w:hAnsi="仿宋" w:eastAsia="仿宋_GB2312"/>
          <w:b w:val="0"/>
          <w:bCs w:val="0"/>
        </w:rPr>
        <w:t>般公共预算财政拨款基本支出决算表</w:t>
      </w:r>
      <w:bookmarkEnd w:id="94"/>
      <w:bookmarkEnd w:id="95"/>
    </w:p>
    <w:p>
      <w:pPr>
        <w:pStyle w:val="4"/>
        <w:spacing w:before="0" w:after="0" w:line="576" w:lineRule="exact"/>
        <w:ind w:firstLine="640" w:firstLineChars="200"/>
        <w:rPr>
          <w:rFonts w:ascii="仿宋_GB2312" w:hAnsi="仿宋" w:eastAsia="仿宋_GB2312"/>
        </w:rPr>
      </w:pPr>
      <w:bookmarkStart w:id="96" w:name="_Toc15396627"/>
      <w:bookmarkStart w:id="97" w:name="_Toc2448"/>
      <w:r>
        <w:rPr>
          <w:rStyle w:val="34"/>
          <w:rFonts w:hint="eastAsia" w:ascii="仿宋_GB2312" w:hAnsi="仿宋" w:eastAsia="仿宋_GB2312"/>
          <w:b w:val="0"/>
          <w:bCs w:val="0"/>
        </w:rPr>
        <w:t>九、</w:t>
      </w:r>
      <w:r>
        <w:rPr>
          <w:rFonts w:hint="eastAsia" w:ascii="仿宋_GB2312" w:hAnsi="仿宋" w:eastAsia="仿宋_GB2312"/>
          <w:b w:val="0"/>
        </w:rPr>
        <w:t>一</w:t>
      </w:r>
      <w:r>
        <w:rPr>
          <w:rStyle w:val="34"/>
          <w:rFonts w:hint="eastAsia" w:ascii="仿宋_GB2312" w:hAnsi="仿宋" w:eastAsia="仿宋_GB2312"/>
          <w:b w:val="0"/>
          <w:bCs w:val="0"/>
        </w:rPr>
        <w:t>般公共预算财政拨款项目支出决算表</w:t>
      </w:r>
      <w:bookmarkEnd w:id="96"/>
      <w:bookmarkEnd w:id="97"/>
    </w:p>
    <w:p>
      <w:pPr>
        <w:pStyle w:val="4"/>
        <w:spacing w:before="0" w:after="0" w:line="576" w:lineRule="exact"/>
        <w:ind w:firstLine="640" w:firstLineChars="200"/>
        <w:rPr>
          <w:rFonts w:ascii="仿宋_GB2312" w:hAnsi="仿宋" w:eastAsia="仿宋_GB2312"/>
        </w:rPr>
      </w:pPr>
      <w:bookmarkStart w:id="98" w:name="_Toc15396628"/>
      <w:bookmarkStart w:id="99" w:name="_Toc27723"/>
      <w:r>
        <w:rPr>
          <w:rStyle w:val="34"/>
          <w:rFonts w:hint="eastAsia" w:ascii="仿宋_GB2312" w:hAnsi="仿宋" w:eastAsia="仿宋_GB2312"/>
          <w:b w:val="0"/>
          <w:bCs w:val="0"/>
        </w:rPr>
        <w:t>十、</w:t>
      </w:r>
      <w:bookmarkEnd w:id="98"/>
      <w:r>
        <w:rPr>
          <w:rFonts w:hint="eastAsia" w:ascii="仿宋_GB2312" w:hAnsi="仿宋" w:eastAsia="仿宋_GB2312"/>
          <w:b w:val="0"/>
        </w:rPr>
        <w:t>政</w:t>
      </w:r>
      <w:r>
        <w:rPr>
          <w:rStyle w:val="34"/>
          <w:rFonts w:hint="eastAsia" w:ascii="仿宋_GB2312" w:hAnsi="仿宋" w:eastAsia="仿宋_GB2312"/>
          <w:b w:val="0"/>
          <w:bCs w:val="0"/>
        </w:rPr>
        <w:t>府性基金预算财政拨款收入支出决算表</w:t>
      </w:r>
      <w:bookmarkEnd w:id="99"/>
    </w:p>
    <w:p>
      <w:pPr>
        <w:pStyle w:val="4"/>
        <w:spacing w:before="0" w:after="0" w:line="576" w:lineRule="exact"/>
        <w:ind w:firstLine="640" w:firstLineChars="200"/>
        <w:rPr>
          <w:rFonts w:ascii="仿宋_GB2312" w:hAnsi="仿宋" w:eastAsia="仿宋_GB2312"/>
        </w:rPr>
      </w:pPr>
      <w:bookmarkStart w:id="100" w:name="_Toc15396629"/>
      <w:bookmarkStart w:id="101" w:name="_Toc5941"/>
      <w:r>
        <w:rPr>
          <w:rStyle w:val="34"/>
          <w:rFonts w:hint="eastAsia" w:ascii="仿宋_GB2312" w:hAnsi="仿宋" w:eastAsia="仿宋_GB2312"/>
          <w:b w:val="0"/>
          <w:bCs w:val="0"/>
        </w:rPr>
        <w:t>十一、</w:t>
      </w:r>
      <w:bookmarkEnd w:id="100"/>
      <w:r>
        <w:rPr>
          <w:rFonts w:hint="eastAsia" w:ascii="仿宋_GB2312" w:hAnsi="仿宋" w:eastAsia="仿宋_GB2312"/>
          <w:b w:val="0"/>
        </w:rPr>
        <w:t>国</w:t>
      </w:r>
      <w:r>
        <w:rPr>
          <w:rStyle w:val="34"/>
          <w:rFonts w:hint="eastAsia" w:ascii="仿宋_GB2312" w:hAnsi="仿宋" w:eastAsia="仿宋_GB2312"/>
          <w:b w:val="0"/>
          <w:bCs w:val="0"/>
        </w:rPr>
        <w:t>有资本经营预算财政拨款收入支出决算表</w:t>
      </w:r>
      <w:bookmarkEnd w:id="101"/>
    </w:p>
    <w:p>
      <w:pPr>
        <w:pStyle w:val="4"/>
        <w:spacing w:before="0" w:after="0" w:line="576" w:lineRule="exact"/>
        <w:ind w:firstLine="640" w:firstLineChars="200"/>
        <w:rPr>
          <w:rFonts w:ascii="仿宋_GB2312" w:hAnsi="仿宋" w:eastAsia="仿宋_GB2312"/>
        </w:rPr>
      </w:pPr>
      <w:bookmarkStart w:id="102" w:name="_Toc15396630"/>
      <w:bookmarkStart w:id="103" w:name="_Toc10065"/>
      <w:r>
        <w:rPr>
          <w:rStyle w:val="34"/>
          <w:rFonts w:hint="eastAsia" w:ascii="仿宋_GB2312" w:hAnsi="仿宋" w:eastAsia="仿宋_GB2312"/>
          <w:b w:val="0"/>
          <w:bCs w:val="0"/>
        </w:rPr>
        <w:t>十二、</w:t>
      </w:r>
      <w:bookmarkEnd w:id="102"/>
      <w:r>
        <w:rPr>
          <w:rStyle w:val="34"/>
          <w:rFonts w:hint="eastAsia" w:ascii="仿宋_GB2312" w:hAnsi="仿宋" w:eastAsia="仿宋_GB2312"/>
          <w:b w:val="0"/>
          <w:bCs w:val="0"/>
        </w:rPr>
        <w:t>国有资本经营预算财政拨款支出决算表</w:t>
      </w:r>
      <w:bookmarkEnd w:id="103"/>
    </w:p>
    <w:p>
      <w:pPr>
        <w:pStyle w:val="4"/>
        <w:spacing w:before="0" w:after="0" w:line="576" w:lineRule="exact"/>
        <w:ind w:firstLine="640" w:firstLineChars="200"/>
        <w:rPr>
          <w:rFonts w:ascii="仿宋_GB2312" w:eastAsia="仿宋_GB2312"/>
        </w:rPr>
      </w:pPr>
      <w:bookmarkStart w:id="104" w:name="_Toc15396631"/>
      <w:bookmarkStart w:id="105" w:name="_Toc26080"/>
      <w:r>
        <w:rPr>
          <w:rStyle w:val="34"/>
          <w:rFonts w:hint="eastAsia" w:ascii="仿宋_GB2312" w:hAnsi="仿宋" w:eastAsia="仿宋_GB2312"/>
          <w:b w:val="0"/>
          <w:bCs w:val="0"/>
        </w:rPr>
        <w:t>十三、</w:t>
      </w:r>
      <w:bookmarkEnd w:id="104"/>
      <w:r>
        <w:rPr>
          <w:rStyle w:val="34"/>
          <w:rFonts w:hint="eastAsia" w:ascii="仿宋_GB2312" w:hAnsi="仿宋" w:eastAsia="仿宋_GB2312"/>
          <w:b w:val="0"/>
          <w:bCs w:val="0"/>
        </w:rPr>
        <w:t>财政拨款“三公”经费支出决算表</w:t>
      </w:r>
      <w:bookmarkEnd w:id="105"/>
    </w:p>
    <w:p>
      <w:pPr>
        <w:pStyle w:val="4"/>
        <w:spacing w:before="0" w:after="0" w:line="576" w:lineRule="exact"/>
        <w:ind w:firstLine="642" w:firstLineChars="200"/>
        <w:rPr>
          <w:rFonts w:ascii="仿宋_GB2312" w:eastAsia="仿宋_GB2312"/>
        </w:rPr>
      </w:pPr>
    </w:p>
    <w:p>
      <w:pPr>
        <w:pStyle w:val="4"/>
        <w:spacing w:before="0" w:after="0" w:line="576" w:lineRule="exact"/>
        <w:ind w:firstLine="642" w:firstLineChars="200"/>
        <w:rPr>
          <w:rFonts w:ascii="仿宋_GB2312" w:eastAsia="仿宋_GB2312"/>
        </w:rPr>
      </w:pPr>
    </w:p>
    <w:p>
      <w:pPr>
        <w:pStyle w:val="4"/>
        <w:rPr>
          <w:rFonts w:hint="eastAsia" w:eastAsia="仿宋"/>
          <w:color w:val="auto"/>
          <w:highlight w:val="none"/>
          <w:lang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Georgia"/>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simhei">
    <w:altName w:val="Mangal"/>
    <w:panose1 w:val="00000000000000000000"/>
    <w:charset w:val="00"/>
    <w:family w:val="auto"/>
    <w:pitch w:val="default"/>
    <w:sig w:usb0="00000000" w:usb1="00000000" w:usb2="00000000" w:usb3="00000000" w:csb0="00000000" w:csb1="00000000"/>
  </w:font>
  <w:font w:name="微软雅黑">
    <w:altName w:val="黑体"/>
    <w:panose1 w:val="00000000000000000000"/>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Lucida Sans">
    <w:panose1 w:val="020B0602030504020204"/>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Mangal">
    <w:panose1 w:val="00000400000000000000"/>
    <w:charset w:val="00"/>
    <w:family w:val="auto"/>
    <w:pitch w:val="default"/>
    <w:sig w:usb0="00008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a/cNOGwIAACkEAAAOAAAAAAAAAAEAIAAAADUBAABkcnMvZTJvRG9jLnhtbFBLBQYA&#10;AAAABgAGAFkBAADCBQ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F76D578E"/>
    <w:multiLevelType w:val="singleLevel"/>
    <w:tmpl w:val="F76D578E"/>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3818A09A"/>
    <w:multiLevelType w:val="singleLevel"/>
    <w:tmpl w:val="3818A09A"/>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239DD"/>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270520E"/>
    <w:rsid w:val="043617F3"/>
    <w:rsid w:val="044D5FE2"/>
    <w:rsid w:val="053A62B5"/>
    <w:rsid w:val="056B197B"/>
    <w:rsid w:val="075F52B6"/>
    <w:rsid w:val="07AD7A08"/>
    <w:rsid w:val="082056A4"/>
    <w:rsid w:val="0A0F3E11"/>
    <w:rsid w:val="0A2032A3"/>
    <w:rsid w:val="0A440D07"/>
    <w:rsid w:val="0A6A79D2"/>
    <w:rsid w:val="0B8A37D8"/>
    <w:rsid w:val="0D6B0A0B"/>
    <w:rsid w:val="0F145CDE"/>
    <w:rsid w:val="10C055FF"/>
    <w:rsid w:val="118107EC"/>
    <w:rsid w:val="11DD6519"/>
    <w:rsid w:val="1229668A"/>
    <w:rsid w:val="12E82AEB"/>
    <w:rsid w:val="13787F15"/>
    <w:rsid w:val="14F81B83"/>
    <w:rsid w:val="16BB723D"/>
    <w:rsid w:val="18015F3F"/>
    <w:rsid w:val="19E31E1A"/>
    <w:rsid w:val="1AFB2CE1"/>
    <w:rsid w:val="1B67183F"/>
    <w:rsid w:val="1BE8440E"/>
    <w:rsid w:val="1C4C78BF"/>
    <w:rsid w:val="1C7F4C01"/>
    <w:rsid w:val="1CC70858"/>
    <w:rsid w:val="1D155CEE"/>
    <w:rsid w:val="1FFDCFF2"/>
    <w:rsid w:val="200F7B9B"/>
    <w:rsid w:val="20F57F95"/>
    <w:rsid w:val="21FE6D85"/>
    <w:rsid w:val="22D4129D"/>
    <w:rsid w:val="22F1754F"/>
    <w:rsid w:val="234A029B"/>
    <w:rsid w:val="240371BF"/>
    <w:rsid w:val="241E1730"/>
    <w:rsid w:val="24335ACA"/>
    <w:rsid w:val="248A3F5B"/>
    <w:rsid w:val="24DA1139"/>
    <w:rsid w:val="25094618"/>
    <w:rsid w:val="25711CC6"/>
    <w:rsid w:val="25C741E6"/>
    <w:rsid w:val="25D00291"/>
    <w:rsid w:val="26352305"/>
    <w:rsid w:val="268F5A14"/>
    <w:rsid w:val="26EE7455"/>
    <w:rsid w:val="27032B4F"/>
    <w:rsid w:val="27842671"/>
    <w:rsid w:val="295550BA"/>
    <w:rsid w:val="29FD04D3"/>
    <w:rsid w:val="2ABE7A3E"/>
    <w:rsid w:val="2AF1E28E"/>
    <w:rsid w:val="2BF81BE7"/>
    <w:rsid w:val="2CA234A8"/>
    <w:rsid w:val="2CD07471"/>
    <w:rsid w:val="2D7D2796"/>
    <w:rsid w:val="2EFA178C"/>
    <w:rsid w:val="2FE61EF7"/>
    <w:rsid w:val="30470986"/>
    <w:rsid w:val="30B46D73"/>
    <w:rsid w:val="311F12DD"/>
    <w:rsid w:val="319F7F4E"/>
    <w:rsid w:val="31BE2686"/>
    <w:rsid w:val="3376367E"/>
    <w:rsid w:val="36C416DE"/>
    <w:rsid w:val="37BFF061"/>
    <w:rsid w:val="37C122C3"/>
    <w:rsid w:val="383D272C"/>
    <w:rsid w:val="38D20DD3"/>
    <w:rsid w:val="393F1C83"/>
    <w:rsid w:val="39A128CF"/>
    <w:rsid w:val="39AE70AB"/>
    <w:rsid w:val="3A3907D2"/>
    <w:rsid w:val="3BA6609F"/>
    <w:rsid w:val="3C0C0783"/>
    <w:rsid w:val="3C9A1538"/>
    <w:rsid w:val="3DB17C7E"/>
    <w:rsid w:val="3EE4CDD1"/>
    <w:rsid w:val="3F9748A3"/>
    <w:rsid w:val="3F9F3A96"/>
    <w:rsid w:val="3FD271B6"/>
    <w:rsid w:val="41085755"/>
    <w:rsid w:val="421E21D5"/>
    <w:rsid w:val="44CF16F7"/>
    <w:rsid w:val="44DD2468"/>
    <w:rsid w:val="477E3CC3"/>
    <w:rsid w:val="48BF60AB"/>
    <w:rsid w:val="493C27E9"/>
    <w:rsid w:val="496F39ED"/>
    <w:rsid w:val="49B60FB1"/>
    <w:rsid w:val="49FF41D3"/>
    <w:rsid w:val="4BD050EA"/>
    <w:rsid w:val="4BE068DB"/>
    <w:rsid w:val="4BF6002B"/>
    <w:rsid w:val="4C8356E3"/>
    <w:rsid w:val="4D37504A"/>
    <w:rsid w:val="4D83079E"/>
    <w:rsid w:val="4ECE2238"/>
    <w:rsid w:val="51DB4B86"/>
    <w:rsid w:val="52F42892"/>
    <w:rsid w:val="53111F2F"/>
    <w:rsid w:val="54520339"/>
    <w:rsid w:val="54826C36"/>
    <w:rsid w:val="55333C3E"/>
    <w:rsid w:val="56DE18C9"/>
    <w:rsid w:val="57DB6706"/>
    <w:rsid w:val="59C07720"/>
    <w:rsid w:val="5A850FE9"/>
    <w:rsid w:val="5AE2054A"/>
    <w:rsid w:val="5B1E619E"/>
    <w:rsid w:val="5B74704F"/>
    <w:rsid w:val="5B747261"/>
    <w:rsid w:val="5BFFCE49"/>
    <w:rsid w:val="5D1A7EA6"/>
    <w:rsid w:val="5D7FB4F6"/>
    <w:rsid w:val="5DF03E7E"/>
    <w:rsid w:val="5E39231E"/>
    <w:rsid w:val="5EEDA752"/>
    <w:rsid w:val="60187DC0"/>
    <w:rsid w:val="60577011"/>
    <w:rsid w:val="616C585E"/>
    <w:rsid w:val="63396BE6"/>
    <w:rsid w:val="64CA39A1"/>
    <w:rsid w:val="65311855"/>
    <w:rsid w:val="6959751C"/>
    <w:rsid w:val="69630ADE"/>
    <w:rsid w:val="698950DE"/>
    <w:rsid w:val="6A6651E9"/>
    <w:rsid w:val="6B2E4D76"/>
    <w:rsid w:val="6B610387"/>
    <w:rsid w:val="6BF50800"/>
    <w:rsid w:val="6C4A05C8"/>
    <w:rsid w:val="6D3B1A89"/>
    <w:rsid w:val="6DF73A15"/>
    <w:rsid w:val="6E3C4DBD"/>
    <w:rsid w:val="6EA33882"/>
    <w:rsid w:val="70720312"/>
    <w:rsid w:val="71BF4EC2"/>
    <w:rsid w:val="71DF6053"/>
    <w:rsid w:val="72245332"/>
    <w:rsid w:val="72734D90"/>
    <w:rsid w:val="73E47F3E"/>
    <w:rsid w:val="7412278C"/>
    <w:rsid w:val="75016E5B"/>
    <w:rsid w:val="75FB5AE6"/>
    <w:rsid w:val="773618B9"/>
    <w:rsid w:val="77F74937"/>
    <w:rsid w:val="7904082E"/>
    <w:rsid w:val="79E7B28D"/>
    <w:rsid w:val="7A6B64D9"/>
    <w:rsid w:val="7AFF08A1"/>
    <w:rsid w:val="7BFC2E91"/>
    <w:rsid w:val="7D33490B"/>
    <w:rsid w:val="7D7B538F"/>
    <w:rsid w:val="7E9EF617"/>
    <w:rsid w:val="7EEEFEDC"/>
    <w:rsid w:val="7F1754CB"/>
    <w:rsid w:val="7F578285"/>
    <w:rsid w:val="7F627EAB"/>
    <w:rsid w:val="7F9F20EE"/>
    <w:rsid w:val="7FD33A7A"/>
    <w:rsid w:val="7FD7B6D1"/>
    <w:rsid w:val="7FF6AFED"/>
    <w:rsid w:val="7FF78545"/>
    <w:rsid w:val="9E3A10E2"/>
    <w:rsid w:val="9FD7EECB"/>
    <w:rsid w:val="B87D8C79"/>
    <w:rsid w:val="CB968F43"/>
    <w:rsid w:val="D74CD8C8"/>
    <w:rsid w:val="F02CBDCB"/>
    <w:rsid w:val="F2E1F9D4"/>
    <w:rsid w:val="F57FBFCE"/>
    <w:rsid w:val="F7880819"/>
    <w:rsid w:val="FA270E82"/>
    <w:rsid w:val="FB7BE7E9"/>
    <w:rsid w:val="FBDA3A2F"/>
    <w:rsid w:val="FEF6182A"/>
    <w:rsid w:val="FEFF31BB"/>
    <w:rsid w:val="FF502D68"/>
    <w:rsid w:val="FFDEAFE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6">
    <w:name w:val="Body Text"/>
    <w:basedOn w:val="1"/>
    <w:link w:val="27"/>
    <w:qFormat/>
    <w:uiPriority w:val="99"/>
    <w:pPr>
      <w:spacing w:beforeLines="30"/>
    </w:pPr>
    <w:rPr>
      <w:rFonts w:ascii="仿宋_GB2312" w:eastAsia="仿宋_GB2312"/>
      <w:kern w:val="0"/>
      <w:sz w:val="30"/>
    </w:rPr>
  </w:style>
  <w:style w:type="paragraph" w:styleId="7">
    <w:name w:val="Body Text Indent"/>
    <w:basedOn w:val="1"/>
    <w:next w:val="8"/>
    <w:unhideWhenUsed/>
    <w:qFormat/>
    <w:uiPriority w:val="99"/>
    <w:pPr>
      <w:spacing w:after="120"/>
      <w:ind w:left="420" w:leftChars="200"/>
    </w:pPr>
  </w:style>
  <w:style w:type="paragraph" w:styleId="8">
    <w:name w:val="Body Text First Indent 2"/>
    <w:basedOn w:val="7"/>
    <w:next w:val="1"/>
    <w:unhideWhenUsed/>
    <w:qFormat/>
    <w:uiPriority w:val="99"/>
    <w:pPr>
      <w:ind w:firstLine="420" w:firstLine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3"/>
    <w:qFormat/>
    <w:uiPriority w:val="9"/>
    <w:rPr>
      <w:rFonts w:ascii="Times New Roman" w:hAnsi="Times New Roman"/>
      <w:b/>
      <w:bCs/>
      <w:kern w:val="44"/>
      <w:sz w:val="44"/>
      <w:szCs w:val="44"/>
    </w:rPr>
  </w:style>
  <w:style w:type="character" w:customStyle="1" w:styleId="20">
    <w:name w:val="标题 2 Char"/>
    <w:basedOn w:val="16"/>
    <w:link w:val="4"/>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5"/>
    <w:qFormat/>
    <w:uiPriority w:val="9"/>
    <w:rPr>
      <w:rFonts w:ascii="Times New Roman" w:hAnsi="Times New Roman"/>
      <w:b/>
      <w:bCs/>
      <w:kern w:val="2"/>
      <w:sz w:val="32"/>
      <w:szCs w:val="32"/>
    </w:rPr>
  </w:style>
  <w:style w:type="character" w:customStyle="1" w:styleId="22">
    <w:name w:val="Header Char"/>
    <w:basedOn w:val="16"/>
    <w:semiHidden/>
    <w:qFormat/>
    <w:uiPriority w:val="99"/>
    <w:rPr>
      <w:rFonts w:ascii="Times New Roman" w:hAnsi="Times New Roman"/>
      <w:sz w:val="18"/>
      <w:szCs w:val="18"/>
    </w:rPr>
  </w:style>
  <w:style w:type="character" w:customStyle="1" w:styleId="23">
    <w:name w:val="页眉 Char"/>
    <w:link w:val="12"/>
    <w:semiHidden/>
    <w:qFormat/>
    <w:locked/>
    <w:uiPriority w:val="99"/>
    <w:rPr>
      <w:sz w:val="18"/>
    </w:rPr>
  </w:style>
  <w:style w:type="character" w:customStyle="1" w:styleId="24">
    <w:name w:val="Footer Char"/>
    <w:basedOn w:val="16"/>
    <w:semiHidden/>
    <w:qFormat/>
    <w:uiPriority w:val="99"/>
    <w:rPr>
      <w:rFonts w:ascii="Times New Roman" w:hAnsi="Times New Roman"/>
      <w:sz w:val="18"/>
      <w:szCs w:val="18"/>
    </w:rPr>
  </w:style>
  <w:style w:type="character" w:customStyle="1" w:styleId="25">
    <w:name w:val="页脚 Char"/>
    <w:link w:val="11"/>
    <w:qFormat/>
    <w:locked/>
    <w:uiPriority w:val="99"/>
    <w:rPr>
      <w:sz w:val="18"/>
    </w:rPr>
  </w:style>
  <w:style w:type="character" w:customStyle="1" w:styleId="26">
    <w:name w:val="Body Text Char"/>
    <w:basedOn w:val="16"/>
    <w:semiHidden/>
    <w:qFormat/>
    <w:uiPriority w:val="99"/>
    <w:rPr>
      <w:rFonts w:ascii="Times New Roman" w:hAnsi="Times New Roman"/>
      <w:szCs w:val="24"/>
    </w:rPr>
  </w:style>
  <w:style w:type="character" w:customStyle="1" w:styleId="27">
    <w:name w:val="正文文本 Char"/>
    <w:link w:val="6"/>
    <w:qFormat/>
    <w:locked/>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paragraph" w:customStyle="1" w:styleId="30">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10"/>
    <w:semiHidden/>
    <w:qFormat/>
    <w:uiPriority w:val="99"/>
    <w:rPr>
      <w:rFonts w:ascii="Times New Roman" w:hAnsi="Times New Roman"/>
      <w:kern w:val="2"/>
      <w:sz w:val="18"/>
      <w:szCs w:val="18"/>
    </w:rPr>
  </w:style>
  <w:style w:type="paragraph" w:customStyle="1" w:styleId="32">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3">
    <w:name w:val="Heading 1 Char"/>
    <w:basedOn w:val="16"/>
    <w:link w:val="3"/>
    <w:qFormat/>
    <w:locked/>
    <w:uiPriority w:val="99"/>
    <w:rPr>
      <w:rFonts w:ascii="Times New Roman" w:hAnsi="Times New Roman" w:cs="Times New Roman"/>
      <w:b/>
      <w:bCs/>
      <w:kern w:val="44"/>
      <w:sz w:val="44"/>
      <w:szCs w:val="44"/>
    </w:rPr>
  </w:style>
  <w:style w:type="character" w:customStyle="1" w:styleId="34">
    <w:name w:val="Heading 2 Char"/>
    <w:basedOn w:val="16"/>
    <w:link w:val="4"/>
    <w:qFormat/>
    <w:locked/>
    <w:uiPriority w:val="99"/>
    <w:rPr>
      <w:rFonts w:ascii="Cambria" w:hAnsi="Cambria" w:eastAsia="宋体"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24037;&#20316;&#31807;2"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24037;&#20316;&#31807;2"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2"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24037;&#20316;&#31807;2"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24037;&#20316;&#31807;2"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24037;&#20316;&#31807;2"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24037;&#20316;&#31807;2"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5125"/>
          <c:y val="0.03125"/>
        </c:manualLayout>
      </c:layout>
      <c:overlay val="false"/>
      <c:spPr>
        <a:noFill/>
        <a:ln>
          <a:noFill/>
        </a:ln>
        <a:effectLst/>
      </c:spPr>
    </c:title>
    <c:autoTitleDeleted val="false"/>
    <c:plotArea>
      <c:layout/>
      <c:barChart>
        <c:barDir val="col"/>
        <c:grouping val="clustered"/>
        <c:varyColors val="false"/>
        <c:ser>
          <c:idx val="0"/>
          <c:order val="0"/>
          <c:spPr>
            <a:solidFill>
              <a:srgbClr val="0070C0"/>
            </a:solidFill>
            <a:ln>
              <a:noFill/>
            </a:ln>
            <a:effectLst/>
          </c:spPr>
          <c:invertIfNegative val="false"/>
          <c:dPt>
            <c:idx val="0"/>
            <c:invertIfNegative val="false"/>
            <c:bubble3D val="false"/>
            <c:spPr>
              <a:solidFill>
                <a:srgbClr val="C00000"/>
              </a:solidFill>
              <a:ln>
                <a:noFill/>
              </a:ln>
              <a:effectLst/>
            </c:spPr>
          </c:dPt>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[工作簿2]Sheet1!$A$1:$A$2</c:f>
              <c:strCache>
                <c:ptCount val="2"/>
                <c:pt idx="0">
                  <c:v>2021年</c:v>
                </c:pt>
                <c:pt idx="1">
                  <c:v>2022年</c:v>
                </c:pt>
              </c:strCache>
            </c:strRef>
          </c:cat>
          <c:val>
            <c:numRef>
              <c:f>[工作簿2]Sheet1!$B$1:$B$2</c:f>
              <c:numCache>
                <c:formatCode>General</c:formatCode>
                <c:ptCount val="2"/>
                <c:pt idx="0">
                  <c:v>1922.7</c:v>
                </c:pt>
                <c:pt idx="1">
                  <c:v>1815.19</c:v>
                </c:pt>
              </c:numCache>
            </c:numRef>
          </c:val>
        </c:ser>
        <c:dLbls>
          <c:showLegendKey val="false"/>
          <c:showVal val="false"/>
          <c:showCatName val="false"/>
          <c:showSerName val="false"/>
          <c:showPercent val="false"/>
          <c:showBubbleSize val="false"/>
        </c:dLbls>
        <c:gapWidth val="219"/>
        <c:overlap val="-27"/>
        <c:axId val="344730628"/>
        <c:axId val="17582314"/>
      </c:barChart>
      <c:catAx>
        <c:axId val="344730628"/>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7582314"/>
        <c:crosses val="autoZero"/>
        <c:auto val="true"/>
        <c:lblAlgn val="ctr"/>
        <c:lblOffset val="100"/>
        <c:noMultiLvlLbl val="false"/>
      </c:catAx>
      <c:valAx>
        <c:axId val="17582314"/>
        <c:scaling>
          <c:orientation val="minMax"/>
          <c:min val="0"/>
        </c:scaling>
        <c:delete val="false"/>
        <c:axPos val="l"/>
        <c:majorGridlines>
          <c:spPr>
            <a:ln w="9525" cap="flat" cmpd="sng" algn="ctr">
              <a:solidFill>
                <a:schemeClr val="tx1">
                  <a:lumMod val="15000"/>
                  <a:lumOff val="85000"/>
                </a:schemeClr>
              </a:solidFill>
              <a:round/>
            </a:ln>
            <a:effectLst/>
          </c:spPr>
        </c:majorGridlines>
        <c:numFmt formatCode="General" sourceLinked="fals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44730628"/>
        <c:crosses val="autoZero"/>
        <c:crossBetween val="between"/>
      </c:valAx>
      <c:spPr>
        <a:noFill/>
        <a:ln>
          <a:noFill/>
        </a:ln>
        <a:effectLst/>
      </c:spPr>
    </c:plotArea>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49861111111111"/>
          <c:y val="0.0486111111111111"/>
        </c:manualLayout>
      </c:layout>
      <c:overlay val="false"/>
      <c:spPr>
        <a:noFill/>
        <a:ln>
          <a:noFill/>
        </a:ln>
        <a:effectLst/>
      </c:spPr>
    </c:title>
    <c:autoTitleDeleted val="false"/>
    <c:plotArea>
      <c:layout>
        <c:manualLayout>
          <c:layoutTarget val="inner"/>
          <c:xMode val="edge"/>
          <c:yMode val="edge"/>
          <c:x val="0.321611111111111"/>
          <c:y val="0.238703703703704"/>
          <c:w val="0.352611111111111"/>
          <c:h val="0.587685185185185"/>
        </c:manualLayout>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rgbClr val="C00000"/>
              </a:solidFill>
              <a:ln w="19050">
                <a:solidFill>
                  <a:schemeClr val="lt1"/>
                </a:solidFill>
              </a:ln>
              <a:effectLst/>
            </c:spPr>
          </c:dPt>
          <c:dLbls>
            <c:dLbl>
              <c:idx val="0"/>
              <c:layout>
                <c:manualLayout>
                  <c:x val="0.0588799226630018"/>
                  <c:y val="-0.24649479974809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[工作簿2]Sheet1!$A$1:$A$2</c:f>
              <c:strCache>
                <c:ptCount val="2"/>
                <c:pt idx="0">
                  <c:v>一般公共预算财政拨款收入</c:v>
                </c:pt>
                <c:pt idx="1">
                  <c:v>其他收入</c:v>
                </c:pt>
              </c:strCache>
            </c:strRef>
          </c:cat>
          <c:val>
            <c:numRef>
              <c:f>[工作簿2]Sheet1!$B$1:$B$2</c:f>
              <c:numCache>
                <c:formatCode>General</c:formatCode>
                <c:ptCount val="2"/>
                <c:pt idx="0">
                  <c:v>1542.23</c:v>
                </c:pt>
                <c:pt idx="1">
                  <c:v>3.45</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49861111111111"/>
          <c:y val="0.0486111111111111"/>
        </c:manualLayout>
      </c:layout>
      <c:overlay val="false"/>
      <c:spPr>
        <a:noFill/>
        <a:ln>
          <a:noFill/>
        </a:ln>
        <a:effectLst/>
      </c:spPr>
    </c:title>
    <c:autoTitleDeleted val="false"/>
    <c:plotArea>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rgbClr val="C00000"/>
              </a:solidFill>
              <a:ln w="19050">
                <a:solidFill>
                  <a:schemeClr val="lt1"/>
                </a:solidFill>
              </a:ln>
              <a:effectLst/>
            </c:spPr>
          </c:dPt>
          <c:dLbls>
            <c:dLbl>
              <c:idx val="0"/>
              <c:layout>
                <c:manualLayout>
                  <c:x val="-0.147370077336998"/>
                  <c:y val="-0.024272577525874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[工作簿2]Sheet1!$A$1:$A$2</c:f>
              <c:strCache>
                <c:ptCount val="2"/>
                <c:pt idx="0">
                  <c:v>基本支出</c:v>
                </c:pt>
                <c:pt idx="1">
                  <c:v>项目支出</c:v>
                </c:pt>
              </c:strCache>
            </c:strRef>
          </c:cat>
          <c:val>
            <c:numRef>
              <c:f>[工作簿2]Sheet1!$B$1:$B$2</c:f>
              <c:numCache>
                <c:formatCode>General</c:formatCode>
                <c:ptCount val="2"/>
                <c:pt idx="0">
                  <c:v>1251.74</c:v>
                </c:pt>
                <c:pt idx="1">
                  <c:v>558.89</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49861111111111"/>
          <c:y val="0.0486111111111111"/>
        </c:manualLayout>
      </c:layout>
      <c:overlay val="false"/>
      <c:spPr>
        <a:noFill/>
        <a:ln>
          <a:noFill/>
        </a:ln>
        <a:effectLst/>
      </c:spPr>
    </c:title>
    <c:autoTitleDeleted val="false"/>
    <c:plotArea>
      <c:layout>
        <c:manualLayout>
          <c:layoutTarget val="inner"/>
          <c:xMode val="edge"/>
          <c:yMode val="edge"/>
          <c:x val="0.0791111111111111"/>
          <c:y val="0.169444444444444"/>
          <c:w val="0.882"/>
          <c:h val="0.606342592592593"/>
        </c:manualLayout>
      </c:layout>
      <c:barChart>
        <c:barDir val="col"/>
        <c:grouping val="clustered"/>
        <c:varyColors val="false"/>
        <c:ser>
          <c:idx val="0"/>
          <c:order val="0"/>
          <c:spPr>
            <a:solidFill>
              <a:schemeClr val="accent1"/>
            </a:solidFill>
            <a:ln w="19050">
              <a:solidFill>
                <a:schemeClr val="lt1"/>
              </a:solidFill>
            </a:ln>
            <a:effectLst/>
          </c:spPr>
          <c:invertIfNegative val="false"/>
          <c:dPt>
            <c:idx val="0"/>
            <c:invertIfNegative val="false"/>
            <c:bubble3D val="false"/>
            <c:spPr>
              <a:solidFill>
                <a:srgbClr val="C00000"/>
              </a:solidFill>
              <a:ln w="19050">
                <a:solidFill>
                  <a:schemeClr val="lt1"/>
                </a:solidFill>
              </a:ln>
              <a:effectLst/>
            </c:spPr>
          </c:dPt>
          <c:dPt>
            <c:idx val="1"/>
            <c:invertIfNegative val="false"/>
            <c:bubble3D val="false"/>
            <c:spPr>
              <a:solidFill>
                <a:srgbClr val="0070C0"/>
              </a:solidFill>
              <a:ln w="19050">
                <a:solidFill>
                  <a:schemeClr val="lt1"/>
                </a:solidFill>
              </a:ln>
              <a:effectLst/>
            </c:spPr>
          </c:dPt>
          <c:dLbls>
            <c:dLbl>
              <c:idx val="0"/>
              <c:layout>
                <c:manualLayout>
                  <c:x val="0.00303082422965867"/>
                  <c:y val="-0.000661466414763896"/>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manualLayout>
                      <c:w val="0.12577593851611"/>
                      <c:h val="0.0591666666666667"/>
                    </c:manualLayout>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[工作簿2]Sheet1!$A$1:$A$2</c:f>
              <c:strCache>
                <c:ptCount val="2"/>
                <c:pt idx="0">
                  <c:v>2021年</c:v>
                </c:pt>
                <c:pt idx="1">
                  <c:v>2022年</c:v>
                </c:pt>
              </c:strCache>
            </c:strRef>
          </c:cat>
          <c:val>
            <c:numRef>
              <c:f>[工作簿2]Sheet1!$B$1:$B$2</c:f>
              <c:numCache>
                <c:formatCode>General</c:formatCode>
                <c:ptCount val="2"/>
                <c:pt idx="0">
                  <c:v>1921.59</c:v>
                </c:pt>
                <c:pt idx="1">
                  <c:v>1810.63</c:v>
                </c:pt>
              </c:numCache>
            </c:numRef>
          </c:val>
        </c:ser>
        <c:dLbls>
          <c:showLegendKey val="false"/>
          <c:showVal val="true"/>
          <c:showCatName val="false"/>
          <c:showSerName val="false"/>
          <c:showPercent val="false"/>
          <c:showBubbleSize val="false"/>
        </c:dLbls>
        <c:gapWidth val="150"/>
        <c:overlap val="0"/>
        <c:axId val="192810189"/>
        <c:axId val="208527171"/>
      </c:barChart>
      <c:catAx>
        <c:axId val="192810189"/>
        <c:scaling>
          <c:orientation val="minMax"/>
        </c:scaling>
        <c:delete val="false"/>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08527171"/>
        <c:crosses val="autoZero"/>
        <c:auto val="true"/>
        <c:lblAlgn val="ctr"/>
        <c:lblOffset val="100"/>
        <c:noMultiLvlLbl val="false"/>
      </c:catAx>
      <c:valAx>
        <c:axId val="208527171"/>
        <c:scaling>
          <c:orientation val="minMax"/>
          <c:min val="0"/>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out"/>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92810189"/>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54315454095521"/>
          <c:y val="0.0189500941619586"/>
        </c:manualLayout>
      </c:layout>
      <c:overlay val="false"/>
      <c:spPr>
        <a:noFill/>
        <a:ln>
          <a:noFill/>
        </a:ln>
        <a:effectLst/>
      </c:spPr>
    </c:title>
    <c:autoTitleDeleted val="false"/>
    <c:plotArea>
      <c:layout>
        <c:manualLayout>
          <c:layoutTarget val="inner"/>
          <c:xMode val="edge"/>
          <c:yMode val="edge"/>
          <c:x val="0.0791111111111111"/>
          <c:y val="0.169444444444444"/>
          <c:w val="0.882"/>
          <c:h val="0.606342592592593"/>
        </c:manualLayout>
      </c:layout>
      <c:barChart>
        <c:barDir val="col"/>
        <c:grouping val="clustered"/>
        <c:varyColors val="false"/>
        <c:ser>
          <c:idx val="0"/>
          <c:order val="0"/>
          <c:spPr>
            <a:solidFill>
              <a:schemeClr val="accent1"/>
            </a:solidFill>
            <a:ln w="19050">
              <a:solidFill>
                <a:schemeClr val="lt1"/>
              </a:solidFill>
            </a:ln>
            <a:effectLst/>
          </c:spPr>
          <c:invertIfNegative val="false"/>
          <c:dPt>
            <c:idx val="0"/>
            <c:invertIfNegative val="false"/>
            <c:bubble3D val="false"/>
            <c:spPr>
              <a:solidFill>
                <a:srgbClr val="C00000"/>
              </a:solidFill>
              <a:ln w="19050">
                <a:solidFill>
                  <a:schemeClr val="lt1"/>
                </a:solidFill>
              </a:ln>
              <a:effectLst/>
            </c:spPr>
          </c:dPt>
          <c:dPt>
            <c:idx val="1"/>
            <c:invertIfNegative val="false"/>
            <c:bubble3D val="false"/>
            <c:spPr>
              <a:solidFill>
                <a:srgbClr val="0070C0"/>
              </a:solidFill>
              <a:ln w="19050">
                <a:solidFill>
                  <a:schemeClr val="lt1"/>
                </a:solidFill>
              </a:ln>
              <a:effectLst/>
            </c:spPr>
          </c:dPt>
          <c:dLbls>
            <c:dLbl>
              <c:idx val="0"/>
              <c:layout>
                <c:manualLayout>
                  <c:x val="-0.00362007733699815"/>
                  <c:y val="-0.000732087883690451"/>
                </c:manualLayout>
              </c:layout>
              <c:dLblPos val="outEnd"/>
              <c:showLegendKey val="false"/>
              <c:showVal val="true"/>
              <c:showCatName val="false"/>
              <c:showSerName val="false"/>
              <c:showPercent val="false"/>
              <c:showBubbleSize val="false"/>
              <c:extLst>
                <c:ext xmlns:c15="http://schemas.microsoft.com/office/drawing/2012/chart" uri="{CE6537A1-D6FC-4f65-9D91-7224C49458BB}">
                  <c15:layout>
                    <c:manualLayout>
                      <c:w val="0.133778767631774"/>
                      <c:h val="0.0669491525423729"/>
                    </c:manualLayout>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[工作簿2]Sheet1!$A$1:$A$2</c:f>
              <c:strCache>
                <c:ptCount val="2"/>
                <c:pt idx="0">
                  <c:v>2021年</c:v>
                </c:pt>
                <c:pt idx="1">
                  <c:v>2022年</c:v>
                </c:pt>
              </c:strCache>
            </c:strRef>
          </c:cat>
          <c:val>
            <c:numRef>
              <c:f>[工作簿2]Sheet1!$B$1:$B$2</c:f>
              <c:numCache>
                <c:formatCode>General</c:formatCode>
                <c:ptCount val="2"/>
                <c:pt idx="0">
                  <c:v>1652.89</c:v>
                </c:pt>
                <c:pt idx="1">
                  <c:v>1810.63</c:v>
                </c:pt>
              </c:numCache>
            </c:numRef>
          </c:val>
        </c:ser>
        <c:dLbls>
          <c:showLegendKey val="false"/>
          <c:showVal val="true"/>
          <c:showCatName val="false"/>
          <c:showSerName val="false"/>
          <c:showPercent val="false"/>
          <c:showBubbleSize val="false"/>
        </c:dLbls>
        <c:gapWidth val="150"/>
        <c:overlap val="0"/>
        <c:axId val="192810189"/>
        <c:axId val="208527171"/>
      </c:barChart>
      <c:catAx>
        <c:axId val="192810189"/>
        <c:scaling>
          <c:orientation val="minMax"/>
        </c:scaling>
        <c:delete val="false"/>
        <c:axPos val="b"/>
        <c:majorTickMark val="out"/>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08527171"/>
        <c:crosses val="autoZero"/>
        <c:auto val="true"/>
        <c:lblAlgn val="ctr"/>
        <c:lblOffset val="100"/>
        <c:noMultiLvlLbl val="false"/>
      </c:catAx>
      <c:valAx>
        <c:axId val="208527171"/>
        <c:scaling>
          <c:orientation val="minMax"/>
          <c:min val="0"/>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out"/>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92810189"/>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49861111111111"/>
          <c:y val="0.0486111111111111"/>
        </c:manualLayout>
      </c:layout>
      <c:overlay val="false"/>
      <c:spPr>
        <a:noFill/>
        <a:ln>
          <a:noFill/>
        </a:ln>
        <a:effectLst/>
      </c:spPr>
    </c:title>
    <c:autoTitleDeleted val="false"/>
    <c:plotArea>
      <c:layout>
        <c:manualLayout>
          <c:layoutTarget val="inner"/>
          <c:xMode val="edge"/>
          <c:yMode val="edge"/>
          <c:x val="0.0791111111111111"/>
          <c:y val="0.169444444444444"/>
          <c:w val="0.882"/>
          <c:h val="0.606342592592593"/>
        </c:manualLayout>
      </c:layout>
      <c:pieChart>
        <c:varyColors val="true"/>
        <c:ser>
          <c:idx val="0"/>
          <c:order val="0"/>
          <c:spPr/>
          <c:explosion val="0"/>
          <c:dPt>
            <c:idx val="0"/>
            <c:bubble3D val="false"/>
            <c:spPr>
              <a:solidFill>
                <a:schemeClr val="accent1"/>
              </a:solidFill>
              <a:ln w="19050">
                <a:solidFill>
                  <a:schemeClr val="lt1"/>
                </a:solidFill>
              </a:ln>
              <a:effectLst/>
            </c:spPr>
          </c:dPt>
          <c:dPt>
            <c:idx val="1"/>
            <c:bubble3D val="false"/>
            <c:spPr>
              <a:solidFill>
                <a:schemeClr val="accent2"/>
              </a:solidFill>
              <a:ln w="19050">
                <a:solidFill>
                  <a:schemeClr val="lt1"/>
                </a:solidFill>
              </a:ln>
              <a:effectLst/>
            </c:spPr>
          </c:dPt>
          <c:dPt>
            <c:idx val="2"/>
            <c:bubble3D val="false"/>
            <c:spPr>
              <a:solidFill>
                <a:schemeClr val="accent3"/>
              </a:solidFill>
              <a:ln w="19050">
                <a:solidFill>
                  <a:schemeClr val="lt1"/>
                </a:solidFill>
              </a:ln>
              <a:effectLst/>
            </c:spPr>
          </c:dPt>
          <c:dPt>
            <c:idx val="3"/>
            <c:bubble3D val="false"/>
            <c:spPr>
              <a:solidFill>
                <a:schemeClr val="accent4"/>
              </a:solidFill>
              <a:ln w="19050">
                <a:solidFill>
                  <a:schemeClr val="lt1"/>
                </a:solidFill>
              </a:ln>
              <a:effectLst/>
            </c:spPr>
          </c:dPt>
          <c:dPt>
            <c:idx val="4"/>
            <c:bubble3D val="false"/>
            <c:spPr>
              <a:solidFill>
                <a:schemeClr val="accent5"/>
              </a:solidFill>
              <a:ln w="19050">
                <a:solidFill>
                  <a:schemeClr val="lt1"/>
                </a:solidFill>
              </a:ln>
              <a:effectLst/>
            </c:spPr>
          </c:dPt>
          <c:dLbls>
            <c:dLbl>
              <c:idx val="0"/>
              <c:layout>
                <c:manualLayout>
                  <c:x val="0.108879922663002"/>
                  <c:y val="-0.19441146641476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manualLayout>
                      <c:w val="0.09875"/>
                      <c:h val="0.0513888888888889"/>
                    </c:manualLayout>
                  </c15:layout>
                </c:ext>
              </c:extLst>
            </c:dLbl>
            <c:dLbl>
              <c:idx val="1"/>
              <c:layout>
                <c:manualLayout>
                  <c:x val="-0.026610399427374"/>
                  <c:y val="0.042530227333167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313943273659854"/>
                  <c:y val="-0.00225338306875099"/>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3"/>
              <c:layout>
                <c:manualLayout>
                  <c:x val="0.00291257190773434"/>
                  <c:y val="-0.0229203224938043"/>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4"/>
              <c:layout>
                <c:manualLayout>
                  <c:x val="0.0411306309833053"/>
                  <c:y val="-0.019276569553378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[工作簿2]Sheet1!$A$1:$A$5</c:f>
              <c:strCache>
                <c:ptCount val="5"/>
                <c:pt idx="0">
                  <c:v>一般公共服务支出</c:v>
                </c:pt>
                <c:pt idx="1">
                  <c:v>文化旅游体育与传媒支出</c:v>
                </c:pt>
                <c:pt idx="2">
                  <c:v>社会保障和就业支出</c:v>
                </c:pt>
                <c:pt idx="3">
                  <c:v>卫生健康支出</c:v>
                </c:pt>
                <c:pt idx="4">
                  <c:v>住房保障支出</c:v>
                </c:pt>
              </c:strCache>
            </c:strRef>
          </c:cat>
          <c:val>
            <c:numRef>
              <c:f>[工作簿2]Sheet1!$B$1:$B$5</c:f>
              <c:numCache>
                <c:formatCode>General</c:formatCode>
                <c:ptCount val="5"/>
                <c:pt idx="0">
                  <c:v>1571.57</c:v>
                </c:pt>
                <c:pt idx="1">
                  <c:v>69.27</c:v>
                </c:pt>
                <c:pt idx="2">
                  <c:v>78.28</c:v>
                </c:pt>
                <c:pt idx="3">
                  <c:v>29.3</c:v>
                </c:pt>
                <c:pt idx="4">
                  <c:v>62.21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05625"/>
          <c:y val="0.793287037037037"/>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单位：万元</a:t>
            </a:r>
          </a:p>
        </c:rich>
      </c:tx>
      <c:layout>
        <c:manualLayout>
          <c:xMode val="edge"/>
          <c:yMode val="edge"/>
          <c:x val="0.749861111111111"/>
          <c:y val="0.0486111111111111"/>
        </c:manualLayout>
      </c:layout>
      <c:overlay val="false"/>
      <c:spPr>
        <a:noFill/>
        <a:ln>
          <a:noFill/>
        </a:ln>
        <a:effectLst/>
      </c:spPr>
    </c:title>
    <c:autoTitleDeleted val="false"/>
    <c:plotArea>
      <c:layout>
        <c:manualLayout>
          <c:layoutTarget val="inner"/>
          <c:xMode val="edge"/>
          <c:yMode val="edge"/>
          <c:x val="0.0791111111111111"/>
          <c:y val="0.169444444444444"/>
          <c:w val="0.882"/>
          <c:h val="0.606342592592593"/>
        </c:manualLayout>
      </c:layout>
      <c:pieChart>
        <c:varyColors val="true"/>
        <c:ser>
          <c:idx val="0"/>
          <c:order val="0"/>
          <c:spPr>
            <a:solidFill>
              <a:srgbClr val="C00000"/>
            </a:solidFill>
          </c:spPr>
          <c:explosion val="0"/>
          <c:dPt>
            <c:idx val="0"/>
            <c:bubble3D val="false"/>
            <c:spPr>
              <a:solidFill>
                <a:srgbClr val="C00000"/>
              </a:solidFill>
              <a:ln w="19050">
                <a:solidFill>
                  <a:schemeClr val="lt1"/>
                </a:solidFill>
              </a:ln>
              <a:effectLst/>
            </c:spPr>
          </c:dPt>
          <c:dPt>
            <c:idx val="1"/>
            <c:bubble3D val="false"/>
            <c:spPr>
              <a:solidFill>
                <a:srgbClr val="0070C0"/>
              </a:solidFill>
              <a:ln w="19050">
                <a:solidFill>
                  <a:schemeClr val="lt1"/>
                </a:solidFill>
              </a:ln>
              <a:effectLst/>
            </c:spPr>
          </c:dPt>
          <c:dLbls>
            <c:dLbl>
              <c:idx val="0"/>
              <c:layout>
                <c:manualLayout>
                  <c:x val="0.108879922663002"/>
                  <c:y val="-0.19441146641476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manualLayout>
                      <c:w val="0.09875"/>
                      <c:h val="0.0513888888888889"/>
                    </c:manualLayout>
                  </c15:layout>
                </c:ext>
              </c:extLst>
            </c:dLbl>
            <c:dLbl>
              <c:idx val="1"/>
              <c:layout>
                <c:manualLayout>
                  <c:x val="-0.026610399427374"/>
                  <c:y val="0.0425302273331676"/>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strRef>
              <c:f>[工作簿2]Sheet1!$A$1:$A$2</c:f>
              <c:strCache>
                <c:ptCount val="2"/>
                <c:pt idx="0">
                  <c:v>公务用车购置及运行维护费</c:v>
                </c:pt>
                <c:pt idx="1">
                  <c:v>公务接待费</c:v>
                </c:pt>
              </c:strCache>
            </c:strRef>
          </c:cat>
          <c:val>
            <c:numRef>
              <c:f>[工作簿2]Sheet1!$B$1:$B$2</c:f>
              <c:numCache>
                <c:formatCode>General</c:formatCode>
                <c:ptCount val="2"/>
                <c:pt idx="0">
                  <c:v>8.8</c:v>
                </c:pt>
                <c:pt idx="1">
                  <c:v>7.31</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b"/>
      <c:layout>
        <c:manualLayout>
          <c:xMode val="edge"/>
          <c:yMode val="edge"/>
          <c:x val="0.260416666666667"/>
          <c:y val="0.78287037037037"/>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1</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2020-08-07T01:49:00Z</dcterms:created>
  <dc:creator>曹颖</dc:creator>
  <cp:lastModifiedBy> </cp:lastModifiedBy>
  <cp:lastPrinted>2023-08-02T02:35:00Z</cp:lastPrinted>
  <dcterms:modified xsi:type="dcterms:W3CDTF">2023-10-24T16:11:34Z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