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597"/>
      <w:bookmarkStart w:id="2" w:name="_Toc5318"/>
      <w:bookmarkStart w:id="3" w:name="_Toc15396475"/>
      <w:bookmarkStart w:id="4" w:name="_Toc15377193"/>
      <w:bookmarkStart w:id="5" w:name="_Toc15378441"/>
      <w:bookmarkStart w:id="6" w:name="_Toc15377425"/>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15396476"/>
      <w:bookmarkStart w:id="8" w:name="_Toc15377194"/>
      <w:bookmarkStart w:id="9" w:name="_Toc3773"/>
      <w:bookmarkStart w:id="10" w:name="_Toc15377426"/>
      <w:bookmarkStart w:id="11" w:name="_Toc15396598"/>
      <w:bookmarkStart w:id="12" w:name="_Toc15378442"/>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妇幼保健院</w:t>
      </w:r>
      <w:r>
        <w:rPr>
          <w:rFonts w:hint="eastAsia" w:ascii="方正小标宋简体" w:hAnsi="方正小标宋简体" w:eastAsia="方正小标宋简体" w:cs="方正小标宋简体"/>
          <w:color w:val="auto"/>
          <w:sz w:val="72"/>
          <w:szCs w:val="72"/>
          <w:highlight w:val="none"/>
          <w:lang w:val="en-US" w:eastAsia="zh-CN"/>
        </w:rPr>
        <w:t xml:space="preserve">      </w:t>
      </w: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1"/>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sdt>
      <w:sdtPr>
        <w:rPr>
          <w:rFonts w:ascii="宋体" w:hAnsi="宋体" w:eastAsia="宋体" w:cs="Times New Roman"/>
          <w:kern w:val="2"/>
          <w:sz w:val="28"/>
          <w:szCs w:val="28"/>
          <w:lang w:val="en-US" w:eastAsia="zh-CN" w:bidi="ar-SA"/>
        </w:rPr>
        <w:id w:val="147469613"/>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pStyle w:val="11"/>
            <w:spacing w:before="0"/>
            <w:rPr>
              <w:sz w:val="28"/>
              <w:szCs w:val="28"/>
            </w:rPr>
          </w:pPr>
          <w:r>
            <w:rPr>
              <w:sz w:val="28"/>
              <w:szCs w:val="28"/>
            </w:rPr>
            <w:fldChar w:fldCharType="begin"/>
          </w:r>
          <w:r>
            <w:rPr>
              <w:sz w:val="28"/>
              <w:szCs w:val="28"/>
            </w:rPr>
            <w:instrText xml:space="preserve">TOC \o "1-3" \h \u </w:instrText>
          </w:r>
          <w:r>
            <w:rPr>
              <w:sz w:val="28"/>
              <w:szCs w:val="28"/>
            </w:rPr>
            <w:fldChar w:fldCharType="separate"/>
          </w:r>
          <w:r>
            <w:rPr>
              <w:sz w:val="28"/>
              <w:szCs w:val="28"/>
            </w:rPr>
            <w:fldChar w:fldCharType="begin"/>
          </w:r>
          <w:r>
            <w:rPr>
              <w:sz w:val="28"/>
              <w:szCs w:val="28"/>
            </w:rPr>
            <w:instrText xml:space="preserve"> HYPERLINK \l _Toc13904 </w:instrText>
          </w:r>
          <w:r>
            <w:rPr>
              <w:sz w:val="28"/>
              <w:szCs w:val="28"/>
            </w:rPr>
            <w:fldChar w:fldCharType="separate"/>
          </w:r>
          <w:r>
            <w:rPr>
              <w:rFonts w:hint="eastAsia" w:ascii="黑体" w:hAnsi="黑体" w:eastAsia="黑体"/>
              <w:sz w:val="28"/>
              <w:szCs w:val="28"/>
              <w:highlight w:val="none"/>
            </w:rPr>
            <w:t xml:space="preserve">第一部分 </w:t>
          </w:r>
          <w:r>
            <w:rPr>
              <w:rFonts w:hint="eastAsia" w:ascii="黑体" w:hAnsi="黑体" w:eastAsia="黑体"/>
              <w:sz w:val="28"/>
              <w:szCs w:val="28"/>
              <w:highlight w:val="none"/>
              <w:lang w:eastAsia="zh-CN"/>
            </w:rPr>
            <w:t>单位</w:t>
          </w:r>
          <w:r>
            <w:rPr>
              <w:rFonts w:hint="eastAsia" w:ascii="黑体" w:hAnsi="黑体" w:eastAsia="黑体"/>
              <w:bCs w:val="0"/>
              <w:sz w:val="28"/>
              <w:szCs w:val="28"/>
              <w:highlight w:val="none"/>
            </w:rPr>
            <w:t>概况</w:t>
          </w:r>
          <w:r>
            <w:rPr>
              <w:sz w:val="28"/>
              <w:szCs w:val="28"/>
            </w:rPr>
            <w:tab/>
          </w:r>
          <w:r>
            <w:rPr>
              <w:sz w:val="28"/>
              <w:szCs w:val="28"/>
            </w:rPr>
            <w:fldChar w:fldCharType="begin"/>
          </w:r>
          <w:r>
            <w:rPr>
              <w:sz w:val="28"/>
              <w:szCs w:val="28"/>
            </w:rPr>
            <w:instrText xml:space="preserve"> PAGEREF _Toc13904 \h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11"/>
            <w:tabs>
              <w:tab w:val="right" w:leader="dot" w:pos="8306"/>
              <w:tab w:val="clear" w:pos="8296"/>
            </w:tabs>
            <w:rPr>
              <w:sz w:val="28"/>
              <w:szCs w:val="28"/>
            </w:rPr>
          </w:pPr>
          <w:r>
            <w:rPr>
              <w:sz w:val="28"/>
              <w:szCs w:val="28"/>
            </w:rPr>
            <w:fldChar w:fldCharType="begin"/>
          </w:r>
          <w:r>
            <w:rPr>
              <w:sz w:val="28"/>
              <w:szCs w:val="28"/>
            </w:rPr>
            <w:instrText xml:space="preserve"> HYPERLINK \l _Toc32413 </w:instrText>
          </w:r>
          <w:r>
            <w:rPr>
              <w:sz w:val="28"/>
              <w:szCs w:val="28"/>
            </w:rPr>
            <w:fldChar w:fldCharType="separate"/>
          </w:r>
          <w:r>
            <w:rPr>
              <w:rFonts w:hint="eastAsia" w:ascii="黑体" w:hAnsi="黑体" w:eastAsia="黑体"/>
              <w:bCs/>
              <w:sz w:val="28"/>
              <w:szCs w:val="28"/>
              <w:highlight w:val="none"/>
            </w:rPr>
            <w:t xml:space="preserve">第二部分 </w:t>
          </w:r>
          <w:r>
            <w:rPr>
              <w:rFonts w:hint="eastAsia" w:ascii="黑体" w:hAnsi="黑体" w:eastAsia="黑体"/>
              <w:bCs/>
              <w:sz w:val="28"/>
              <w:szCs w:val="28"/>
              <w:highlight w:val="none"/>
              <w:lang w:val="en-US" w:eastAsia="zh-CN"/>
            </w:rPr>
            <w:t>2022年度</w:t>
          </w:r>
          <w:r>
            <w:rPr>
              <w:rFonts w:hint="eastAsia" w:ascii="黑体" w:hAnsi="黑体" w:eastAsia="黑体"/>
              <w:bCs/>
              <w:sz w:val="28"/>
              <w:szCs w:val="28"/>
              <w:highlight w:val="none"/>
              <w:lang w:eastAsia="zh-CN"/>
            </w:rPr>
            <w:t>单位</w:t>
          </w:r>
          <w:r>
            <w:rPr>
              <w:rFonts w:hint="eastAsia" w:ascii="黑体" w:hAnsi="黑体" w:eastAsia="黑体"/>
              <w:bCs/>
              <w:sz w:val="28"/>
              <w:szCs w:val="28"/>
              <w:highlight w:val="none"/>
            </w:rPr>
            <w:t>决算情况说明</w:t>
          </w:r>
          <w:r>
            <w:rPr>
              <w:sz w:val="28"/>
              <w:szCs w:val="28"/>
            </w:rPr>
            <w:tab/>
          </w:r>
          <w:r>
            <w:rPr>
              <w:sz w:val="28"/>
              <w:szCs w:val="28"/>
            </w:rPr>
            <w:fldChar w:fldCharType="begin"/>
          </w:r>
          <w:r>
            <w:rPr>
              <w:sz w:val="28"/>
              <w:szCs w:val="28"/>
            </w:rPr>
            <w:instrText xml:space="preserve"> PAGEREF _Toc32413 \h </w:instrText>
          </w:r>
          <w:r>
            <w:rPr>
              <w:sz w:val="28"/>
              <w:szCs w:val="28"/>
            </w:rPr>
            <w:fldChar w:fldCharType="separate"/>
          </w:r>
          <w:r>
            <w:rPr>
              <w:sz w:val="28"/>
              <w:szCs w:val="28"/>
            </w:rPr>
            <w:t>2</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_Toc10841 </w:instrText>
          </w:r>
          <w:r>
            <w:rPr>
              <w:sz w:val="28"/>
              <w:szCs w:val="28"/>
            </w:rPr>
            <w:fldChar w:fldCharType="separate"/>
          </w:r>
          <w:r>
            <w:rPr>
              <w:rFonts w:hint="default" w:ascii="黑体" w:hAnsi="黑体" w:eastAsia="黑体"/>
              <w:sz w:val="28"/>
              <w:szCs w:val="28"/>
            </w:rPr>
            <w:t xml:space="preserve">一、 </w:t>
          </w:r>
          <w:r>
            <w:rPr>
              <w:rFonts w:hint="eastAsia" w:ascii="黑体" w:hAnsi="黑体" w:eastAsia="黑体"/>
              <w:sz w:val="28"/>
              <w:szCs w:val="28"/>
              <w:highlight w:val="none"/>
            </w:rPr>
            <w:t>收入支出决算总体情况说明</w:t>
          </w:r>
          <w:r>
            <w:rPr>
              <w:sz w:val="28"/>
              <w:szCs w:val="28"/>
            </w:rPr>
            <w:tab/>
          </w:r>
          <w:r>
            <w:rPr>
              <w:sz w:val="28"/>
              <w:szCs w:val="28"/>
            </w:rPr>
            <w:fldChar w:fldCharType="begin"/>
          </w:r>
          <w:r>
            <w:rPr>
              <w:sz w:val="28"/>
              <w:szCs w:val="28"/>
            </w:rPr>
            <w:instrText xml:space="preserve"> PAGEREF _Toc10841 \h </w:instrText>
          </w:r>
          <w:r>
            <w:rPr>
              <w:sz w:val="28"/>
              <w:szCs w:val="28"/>
            </w:rPr>
            <w:fldChar w:fldCharType="separate"/>
          </w:r>
          <w:r>
            <w:rPr>
              <w:sz w:val="28"/>
              <w:szCs w:val="28"/>
            </w:rPr>
            <w:t>2</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_Toc5165 </w:instrText>
          </w:r>
          <w:r>
            <w:rPr>
              <w:sz w:val="28"/>
              <w:szCs w:val="28"/>
            </w:rPr>
            <w:fldChar w:fldCharType="separate"/>
          </w:r>
          <w:r>
            <w:rPr>
              <w:rFonts w:hint="default" w:ascii="黑体" w:hAnsi="黑体" w:eastAsia="黑体"/>
              <w:sz w:val="28"/>
              <w:szCs w:val="28"/>
            </w:rPr>
            <w:t xml:space="preserve">二、 </w:t>
          </w:r>
          <w:r>
            <w:rPr>
              <w:rFonts w:hint="eastAsia" w:ascii="黑体" w:hAnsi="黑体" w:eastAsia="黑体"/>
              <w:sz w:val="28"/>
              <w:szCs w:val="28"/>
              <w:highlight w:val="none"/>
            </w:rPr>
            <w:t>收入决算情况说明</w:t>
          </w:r>
          <w:r>
            <w:rPr>
              <w:sz w:val="28"/>
              <w:szCs w:val="28"/>
            </w:rPr>
            <w:tab/>
          </w:r>
          <w:r>
            <w:rPr>
              <w:sz w:val="28"/>
              <w:szCs w:val="28"/>
            </w:rPr>
            <w:fldChar w:fldCharType="begin"/>
          </w:r>
          <w:r>
            <w:rPr>
              <w:sz w:val="28"/>
              <w:szCs w:val="28"/>
            </w:rPr>
            <w:instrText xml:space="preserve"> PAGEREF _Toc5165 \h </w:instrText>
          </w:r>
          <w:r>
            <w:rPr>
              <w:sz w:val="28"/>
              <w:szCs w:val="28"/>
            </w:rPr>
            <w:fldChar w:fldCharType="separate"/>
          </w:r>
          <w:r>
            <w:rPr>
              <w:sz w:val="28"/>
              <w:szCs w:val="28"/>
            </w:rPr>
            <w:t>2</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_Toc17367 </w:instrText>
          </w:r>
          <w:r>
            <w:rPr>
              <w:sz w:val="28"/>
              <w:szCs w:val="28"/>
            </w:rPr>
            <w:fldChar w:fldCharType="separate"/>
          </w:r>
          <w:r>
            <w:rPr>
              <w:rFonts w:hint="default" w:ascii="黑体" w:hAnsi="黑体" w:eastAsia="黑体"/>
              <w:sz w:val="28"/>
              <w:szCs w:val="28"/>
            </w:rPr>
            <w:t xml:space="preserve">三、 </w:t>
          </w:r>
          <w:r>
            <w:rPr>
              <w:rFonts w:hint="eastAsia" w:ascii="黑体" w:hAnsi="黑体" w:eastAsia="黑体"/>
              <w:sz w:val="28"/>
              <w:szCs w:val="28"/>
              <w:highlight w:val="none"/>
            </w:rPr>
            <w:t>支出决算情况说明</w:t>
          </w:r>
          <w:r>
            <w:rPr>
              <w:sz w:val="28"/>
              <w:szCs w:val="28"/>
            </w:rPr>
            <w:tab/>
          </w:r>
          <w:r>
            <w:rPr>
              <w:sz w:val="28"/>
              <w:szCs w:val="28"/>
            </w:rPr>
            <w:fldChar w:fldCharType="begin"/>
          </w:r>
          <w:r>
            <w:rPr>
              <w:sz w:val="28"/>
              <w:szCs w:val="28"/>
            </w:rPr>
            <w:instrText xml:space="preserve"> PAGEREF _Toc17367 \h </w:instrText>
          </w:r>
          <w:r>
            <w:rPr>
              <w:sz w:val="28"/>
              <w:szCs w:val="28"/>
            </w:rPr>
            <w:fldChar w:fldCharType="separate"/>
          </w:r>
          <w:r>
            <w:rPr>
              <w:sz w:val="28"/>
              <w:szCs w:val="28"/>
            </w:rPr>
            <w:t>3</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_Toc16877 </w:instrText>
          </w:r>
          <w:r>
            <w:rPr>
              <w:sz w:val="28"/>
              <w:szCs w:val="28"/>
            </w:rPr>
            <w:fldChar w:fldCharType="separate"/>
          </w:r>
          <w:r>
            <w:rPr>
              <w:rFonts w:hint="eastAsia" w:ascii="黑体" w:hAnsi="黑体" w:eastAsia="黑体"/>
              <w:sz w:val="28"/>
              <w:szCs w:val="28"/>
              <w:highlight w:val="none"/>
            </w:rPr>
            <w:t>四、财政拨款收入支出决算总体情况说明</w:t>
          </w:r>
          <w:r>
            <w:rPr>
              <w:sz w:val="28"/>
              <w:szCs w:val="28"/>
            </w:rPr>
            <w:tab/>
          </w:r>
          <w:r>
            <w:rPr>
              <w:sz w:val="28"/>
              <w:szCs w:val="28"/>
            </w:rPr>
            <w:fldChar w:fldCharType="begin"/>
          </w:r>
          <w:r>
            <w:rPr>
              <w:sz w:val="28"/>
              <w:szCs w:val="28"/>
            </w:rPr>
            <w:instrText xml:space="preserve"> PAGEREF _Toc16877 \h </w:instrText>
          </w:r>
          <w:r>
            <w:rPr>
              <w:sz w:val="28"/>
              <w:szCs w:val="28"/>
            </w:rPr>
            <w:fldChar w:fldCharType="separate"/>
          </w:r>
          <w:r>
            <w:rPr>
              <w:sz w:val="28"/>
              <w:szCs w:val="28"/>
            </w:rPr>
            <w:t>3</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_Toc844 </w:instrText>
          </w:r>
          <w:r>
            <w:rPr>
              <w:sz w:val="28"/>
              <w:szCs w:val="28"/>
            </w:rPr>
            <w:fldChar w:fldCharType="separate"/>
          </w:r>
          <w:r>
            <w:rPr>
              <w:rFonts w:hint="eastAsia" w:ascii="黑体" w:hAnsi="黑体" w:eastAsia="黑体"/>
              <w:sz w:val="28"/>
              <w:szCs w:val="28"/>
              <w:highlight w:val="none"/>
            </w:rPr>
            <w:t>五、一般公共预算财政拨款支出决算情况说明</w:t>
          </w:r>
          <w:r>
            <w:rPr>
              <w:sz w:val="28"/>
              <w:szCs w:val="28"/>
            </w:rPr>
            <w:tab/>
          </w:r>
          <w:r>
            <w:rPr>
              <w:sz w:val="28"/>
              <w:szCs w:val="28"/>
            </w:rPr>
            <w:fldChar w:fldCharType="begin"/>
          </w:r>
          <w:r>
            <w:rPr>
              <w:sz w:val="28"/>
              <w:szCs w:val="28"/>
            </w:rPr>
            <w:instrText xml:space="preserve"> PAGEREF _Toc844 \h </w:instrText>
          </w:r>
          <w:r>
            <w:rPr>
              <w:sz w:val="28"/>
              <w:szCs w:val="28"/>
            </w:rPr>
            <w:fldChar w:fldCharType="separate"/>
          </w:r>
          <w:r>
            <w:rPr>
              <w:sz w:val="28"/>
              <w:szCs w:val="28"/>
            </w:rPr>
            <w:t>4</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_Toc25865 </w:instrText>
          </w:r>
          <w:r>
            <w:rPr>
              <w:sz w:val="28"/>
              <w:szCs w:val="28"/>
            </w:rPr>
            <w:fldChar w:fldCharType="separate"/>
          </w:r>
          <w:r>
            <w:rPr>
              <w:rFonts w:hint="eastAsia" w:ascii="黑体" w:eastAsia="黑体"/>
              <w:sz w:val="28"/>
              <w:szCs w:val="28"/>
              <w:highlight w:val="none"/>
            </w:rPr>
            <w:t>六、</w:t>
          </w:r>
          <w:r>
            <w:rPr>
              <w:rFonts w:hint="eastAsia" w:ascii="黑体" w:hAnsi="黑体" w:eastAsia="黑体"/>
              <w:sz w:val="28"/>
              <w:szCs w:val="28"/>
              <w:highlight w:val="none"/>
            </w:rPr>
            <w:t>一般公共预算财政拨款基本支出决算情况说明</w:t>
          </w:r>
          <w:r>
            <w:rPr>
              <w:sz w:val="28"/>
              <w:szCs w:val="28"/>
            </w:rPr>
            <w:tab/>
          </w:r>
          <w:r>
            <w:rPr>
              <w:sz w:val="28"/>
              <w:szCs w:val="28"/>
            </w:rPr>
            <w:fldChar w:fldCharType="begin"/>
          </w:r>
          <w:r>
            <w:rPr>
              <w:sz w:val="28"/>
              <w:szCs w:val="28"/>
            </w:rPr>
            <w:instrText xml:space="preserve"> PAGEREF _Toc25865 \h </w:instrText>
          </w:r>
          <w:r>
            <w:rPr>
              <w:sz w:val="28"/>
              <w:szCs w:val="28"/>
            </w:rPr>
            <w:fldChar w:fldCharType="separate"/>
          </w:r>
          <w:r>
            <w:rPr>
              <w:sz w:val="28"/>
              <w:szCs w:val="28"/>
            </w:rPr>
            <w:t>6</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_Toc30342 </w:instrText>
          </w:r>
          <w:r>
            <w:rPr>
              <w:sz w:val="28"/>
              <w:szCs w:val="28"/>
            </w:rPr>
            <w:fldChar w:fldCharType="separate"/>
          </w:r>
          <w:r>
            <w:rPr>
              <w:rFonts w:hint="eastAsia" w:ascii="黑体" w:eastAsia="黑体"/>
              <w:sz w:val="28"/>
              <w:szCs w:val="28"/>
              <w:highlight w:val="none"/>
            </w:rPr>
            <w:t>七、</w:t>
          </w:r>
          <w:r>
            <w:rPr>
              <w:rFonts w:hint="eastAsia" w:ascii="黑体" w:hAnsi="黑体" w:eastAsia="黑体"/>
              <w:sz w:val="28"/>
              <w:szCs w:val="28"/>
              <w:highlight w:val="none"/>
            </w:rPr>
            <w:t>财政拨款“三公”经费支出决算情况说明</w:t>
          </w:r>
          <w:r>
            <w:rPr>
              <w:sz w:val="28"/>
              <w:szCs w:val="28"/>
            </w:rPr>
            <w:tab/>
          </w:r>
          <w:r>
            <w:rPr>
              <w:sz w:val="28"/>
              <w:szCs w:val="28"/>
            </w:rPr>
            <w:fldChar w:fldCharType="begin"/>
          </w:r>
          <w:r>
            <w:rPr>
              <w:sz w:val="28"/>
              <w:szCs w:val="28"/>
            </w:rPr>
            <w:instrText xml:space="preserve"> PAGEREF _Toc30342 \h </w:instrText>
          </w:r>
          <w:r>
            <w:rPr>
              <w:sz w:val="28"/>
              <w:szCs w:val="28"/>
            </w:rPr>
            <w:fldChar w:fldCharType="separate"/>
          </w:r>
          <w:r>
            <w:rPr>
              <w:sz w:val="28"/>
              <w:szCs w:val="28"/>
            </w:rPr>
            <w:t>7</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_Toc27086 </w:instrText>
          </w:r>
          <w:r>
            <w:rPr>
              <w:sz w:val="28"/>
              <w:szCs w:val="28"/>
            </w:rPr>
            <w:fldChar w:fldCharType="separate"/>
          </w:r>
          <w:r>
            <w:rPr>
              <w:rFonts w:hint="eastAsia" w:ascii="黑体" w:eastAsia="黑体"/>
              <w:sz w:val="28"/>
              <w:szCs w:val="28"/>
              <w:highlight w:val="none"/>
            </w:rPr>
            <w:t>八、</w:t>
          </w:r>
          <w:r>
            <w:rPr>
              <w:rFonts w:hint="eastAsia" w:ascii="黑体" w:hAnsi="黑体" w:eastAsia="黑体"/>
              <w:sz w:val="28"/>
              <w:szCs w:val="28"/>
              <w:highlight w:val="none"/>
            </w:rPr>
            <w:t>政府性基金预算支出决算情况说</w:t>
          </w:r>
          <w:bookmarkStart w:id="108" w:name="_GoBack"/>
          <w:bookmarkEnd w:id="108"/>
          <w:r>
            <w:rPr>
              <w:rFonts w:hint="eastAsia" w:ascii="黑体" w:hAnsi="黑体" w:eastAsia="黑体"/>
              <w:sz w:val="28"/>
              <w:szCs w:val="28"/>
              <w:highlight w:val="none"/>
            </w:rPr>
            <w:t>明</w:t>
          </w:r>
          <w:r>
            <w:rPr>
              <w:sz w:val="28"/>
              <w:szCs w:val="28"/>
            </w:rPr>
            <w:tab/>
          </w:r>
          <w:r>
            <w:rPr>
              <w:sz w:val="28"/>
              <w:szCs w:val="28"/>
            </w:rPr>
            <w:fldChar w:fldCharType="begin"/>
          </w:r>
          <w:r>
            <w:rPr>
              <w:sz w:val="28"/>
              <w:szCs w:val="28"/>
            </w:rPr>
            <w:instrText xml:space="preserve"> PAGEREF _Toc27086 \h </w:instrText>
          </w:r>
          <w:r>
            <w:rPr>
              <w:sz w:val="28"/>
              <w:szCs w:val="28"/>
            </w:rPr>
            <w:fldChar w:fldCharType="separate"/>
          </w:r>
          <w:r>
            <w:rPr>
              <w:sz w:val="28"/>
              <w:szCs w:val="28"/>
            </w:rPr>
            <w:t>8</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_Toc27788 </w:instrText>
          </w:r>
          <w:r>
            <w:rPr>
              <w:sz w:val="28"/>
              <w:szCs w:val="28"/>
            </w:rPr>
            <w:fldChar w:fldCharType="separate"/>
          </w:r>
          <w:r>
            <w:rPr>
              <w:rFonts w:hint="eastAsia" w:ascii="黑体" w:hAnsi="黑体" w:eastAsia="黑体"/>
              <w:sz w:val="28"/>
              <w:szCs w:val="28"/>
            </w:rPr>
            <w:t xml:space="preserve">九、 </w:t>
          </w:r>
          <w:r>
            <w:rPr>
              <w:rFonts w:hint="eastAsia" w:ascii="黑体" w:hAnsi="黑体" w:eastAsia="黑体"/>
              <w:sz w:val="28"/>
              <w:szCs w:val="28"/>
              <w:highlight w:val="none"/>
            </w:rPr>
            <w:t>国有资本经营预算支出决算情况说明</w:t>
          </w:r>
          <w:r>
            <w:rPr>
              <w:sz w:val="28"/>
              <w:szCs w:val="28"/>
            </w:rPr>
            <w:tab/>
          </w:r>
          <w:r>
            <w:rPr>
              <w:sz w:val="28"/>
              <w:szCs w:val="28"/>
            </w:rPr>
            <w:fldChar w:fldCharType="begin"/>
          </w:r>
          <w:r>
            <w:rPr>
              <w:sz w:val="28"/>
              <w:szCs w:val="28"/>
            </w:rPr>
            <w:instrText xml:space="preserve"> PAGEREF _Toc27788 \h </w:instrText>
          </w:r>
          <w:r>
            <w:rPr>
              <w:sz w:val="28"/>
              <w:szCs w:val="28"/>
            </w:rPr>
            <w:fldChar w:fldCharType="separate"/>
          </w:r>
          <w:r>
            <w:rPr>
              <w:sz w:val="28"/>
              <w:szCs w:val="28"/>
            </w:rPr>
            <w:t>8</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_Toc25820 </w:instrText>
          </w:r>
          <w:r>
            <w:rPr>
              <w:sz w:val="28"/>
              <w:szCs w:val="28"/>
            </w:rPr>
            <w:fldChar w:fldCharType="separate"/>
          </w:r>
          <w:r>
            <w:rPr>
              <w:rFonts w:hint="eastAsia" w:ascii="黑体" w:hAnsi="黑体" w:eastAsia="黑体"/>
              <w:sz w:val="28"/>
              <w:szCs w:val="28"/>
            </w:rPr>
            <w:t xml:space="preserve">十、 </w:t>
          </w:r>
          <w:r>
            <w:rPr>
              <w:rFonts w:hint="eastAsia" w:ascii="黑体" w:hAnsi="黑体" w:eastAsia="黑体"/>
              <w:sz w:val="28"/>
              <w:szCs w:val="28"/>
              <w:highlight w:val="none"/>
            </w:rPr>
            <w:t>其他重要事项的情况说明</w:t>
          </w:r>
          <w:r>
            <w:rPr>
              <w:sz w:val="28"/>
              <w:szCs w:val="28"/>
            </w:rPr>
            <w:tab/>
          </w:r>
          <w:r>
            <w:rPr>
              <w:sz w:val="28"/>
              <w:szCs w:val="28"/>
            </w:rPr>
            <w:fldChar w:fldCharType="begin"/>
          </w:r>
          <w:r>
            <w:rPr>
              <w:sz w:val="28"/>
              <w:szCs w:val="28"/>
            </w:rPr>
            <w:instrText xml:space="preserve"> PAGEREF _Toc25820 \h </w:instrText>
          </w:r>
          <w:r>
            <w:rPr>
              <w:sz w:val="28"/>
              <w:szCs w:val="28"/>
            </w:rPr>
            <w:fldChar w:fldCharType="separate"/>
          </w:r>
          <w:r>
            <w:rPr>
              <w:sz w:val="28"/>
              <w:szCs w:val="28"/>
            </w:rPr>
            <w:t>9</w:t>
          </w:r>
          <w:r>
            <w:rPr>
              <w:sz w:val="28"/>
              <w:szCs w:val="28"/>
            </w:rPr>
            <w:fldChar w:fldCharType="end"/>
          </w:r>
          <w:r>
            <w:rPr>
              <w:sz w:val="28"/>
              <w:szCs w:val="28"/>
            </w:rPr>
            <w:fldChar w:fldCharType="end"/>
          </w:r>
        </w:p>
        <w:p>
          <w:pPr>
            <w:pStyle w:val="11"/>
            <w:tabs>
              <w:tab w:val="right" w:leader="dot" w:pos="8306"/>
              <w:tab w:val="clear" w:pos="8296"/>
            </w:tabs>
            <w:rPr>
              <w:sz w:val="28"/>
              <w:szCs w:val="28"/>
            </w:rPr>
          </w:pPr>
          <w:r>
            <w:rPr>
              <w:sz w:val="28"/>
              <w:szCs w:val="28"/>
            </w:rPr>
            <w:fldChar w:fldCharType="begin"/>
          </w:r>
          <w:r>
            <w:rPr>
              <w:sz w:val="28"/>
              <w:szCs w:val="28"/>
            </w:rPr>
            <w:instrText xml:space="preserve"> HYPERLINK \l _Toc1887 </w:instrText>
          </w:r>
          <w:r>
            <w:rPr>
              <w:sz w:val="28"/>
              <w:szCs w:val="28"/>
            </w:rPr>
            <w:fldChar w:fldCharType="separate"/>
          </w:r>
          <w:r>
            <w:rPr>
              <w:rFonts w:hint="eastAsia" w:ascii="黑体" w:hAnsi="黑体" w:eastAsia="黑体" w:cs="黑体"/>
              <w:sz w:val="28"/>
              <w:szCs w:val="28"/>
            </w:rPr>
            <w:t xml:space="preserve">第三部分 </w:t>
          </w:r>
          <w:r>
            <w:rPr>
              <w:rFonts w:hint="eastAsia" w:ascii="黑体" w:hAnsi="黑体" w:eastAsia="黑体"/>
              <w:sz w:val="28"/>
              <w:szCs w:val="28"/>
              <w:highlight w:val="none"/>
            </w:rPr>
            <w:t>名词解释</w:t>
          </w:r>
          <w:r>
            <w:rPr>
              <w:sz w:val="28"/>
              <w:szCs w:val="28"/>
            </w:rPr>
            <w:tab/>
          </w:r>
          <w:r>
            <w:rPr>
              <w:sz w:val="28"/>
              <w:szCs w:val="28"/>
            </w:rPr>
            <w:fldChar w:fldCharType="begin"/>
          </w:r>
          <w:r>
            <w:rPr>
              <w:sz w:val="28"/>
              <w:szCs w:val="28"/>
            </w:rPr>
            <w:instrText xml:space="preserve"> PAGEREF _Toc1887 \h </w:instrText>
          </w:r>
          <w:r>
            <w:rPr>
              <w:sz w:val="28"/>
              <w:szCs w:val="28"/>
            </w:rPr>
            <w:fldChar w:fldCharType="separate"/>
          </w:r>
          <w:r>
            <w:rPr>
              <w:sz w:val="28"/>
              <w:szCs w:val="28"/>
            </w:rPr>
            <w:t>10</w:t>
          </w:r>
          <w:r>
            <w:rPr>
              <w:sz w:val="28"/>
              <w:szCs w:val="28"/>
            </w:rPr>
            <w:fldChar w:fldCharType="end"/>
          </w:r>
          <w:r>
            <w:rPr>
              <w:sz w:val="28"/>
              <w:szCs w:val="28"/>
            </w:rPr>
            <w:fldChar w:fldCharType="end"/>
          </w:r>
        </w:p>
        <w:p>
          <w:pPr>
            <w:pStyle w:val="11"/>
            <w:tabs>
              <w:tab w:val="right" w:leader="dot" w:pos="8306"/>
              <w:tab w:val="clear" w:pos="8296"/>
            </w:tabs>
            <w:rPr>
              <w:sz w:val="28"/>
              <w:szCs w:val="28"/>
            </w:rPr>
          </w:pPr>
          <w:r>
            <w:rPr>
              <w:sz w:val="28"/>
              <w:szCs w:val="28"/>
            </w:rPr>
            <w:fldChar w:fldCharType="begin"/>
          </w:r>
          <w:r>
            <w:rPr>
              <w:sz w:val="28"/>
              <w:szCs w:val="28"/>
            </w:rPr>
            <w:instrText xml:space="preserve"> HYPERLINK \l _Toc24173 </w:instrText>
          </w:r>
          <w:r>
            <w:rPr>
              <w:sz w:val="28"/>
              <w:szCs w:val="28"/>
            </w:rPr>
            <w:fldChar w:fldCharType="separate"/>
          </w:r>
          <w:r>
            <w:rPr>
              <w:rFonts w:hint="eastAsia" w:ascii="黑体" w:hAnsi="黑体" w:eastAsia="黑体"/>
              <w:sz w:val="28"/>
              <w:szCs w:val="28"/>
              <w:highlight w:val="none"/>
            </w:rPr>
            <w:t>第四部分 附件</w:t>
          </w:r>
          <w:r>
            <w:rPr>
              <w:sz w:val="28"/>
              <w:szCs w:val="28"/>
            </w:rPr>
            <w:tab/>
          </w:r>
          <w:r>
            <w:rPr>
              <w:sz w:val="28"/>
              <w:szCs w:val="28"/>
            </w:rPr>
            <w:fldChar w:fldCharType="begin"/>
          </w:r>
          <w:r>
            <w:rPr>
              <w:sz w:val="28"/>
              <w:szCs w:val="28"/>
            </w:rPr>
            <w:instrText xml:space="preserve"> PAGEREF _Toc24173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11"/>
            <w:tabs>
              <w:tab w:val="right" w:leader="dot" w:pos="8306"/>
              <w:tab w:val="clear" w:pos="8296"/>
            </w:tabs>
            <w:jc w:val="both"/>
            <w:rPr>
              <w:sz w:val="28"/>
              <w:szCs w:val="28"/>
            </w:rPr>
          </w:pPr>
          <w:r>
            <w:rPr>
              <w:sz w:val="28"/>
              <w:szCs w:val="28"/>
            </w:rPr>
            <w:fldChar w:fldCharType="begin"/>
          </w:r>
          <w:r>
            <w:rPr>
              <w:sz w:val="28"/>
              <w:szCs w:val="28"/>
            </w:rPr>
            <w:instrText xml:space="preserve"> HYPERLINK \l _Toc6612 </w:instrText>
          </w:r>
          <w:r>
            <w:rPr>
              <w:sz w:val="28"/>
              <w:szCs w:val="28"/>
            </w:rPr>
            <w:fldChar w:fldCharType="separate"/>
          </w:r>
          <w:r>
            <w:rPr>
              <w:rFonts w:hint="eastAsia" w:ascii="黑体" w:hAnsi="黑体" w:eastAsia="黑体"/>
              <w:sz w:val="28"/>
              <w:szCs w:val="28"/>
              <w:highlight w:val="none"/>
            </w:rPr>
            <w:t>第五部分 附表</w:t>
          </w:r>
          <w:r>
            <w:rPr>
              <w:sz w:val="28"/>
              <w:szCs w:val="28"/>
            </w:rPr>
            <w:tab/>
          </w:r>
          <w:r>
            <w:rPr>
              <w:sz w:val="28"/>
              <w:szCs w:val="28"/>
            </w:rPr>
            <w:fldChar w:fldCharType="begin"/>
          </w:r>
          <w:r>
            <w:rPr>
              <w:sz w:val="28"/>
              <w:szCs w:val="28"/>
            </w:rPr>
            <w:instrText xml:space="preserve"> PAGEREF _Toc6612 \h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_Toc6719 </w:instrText>
          </w:r>
          <w:r>
            <w:rPr>
              <w:sz w:val="28"/>
              <w:szCs w:val="28"/>
            </w:rPr>
            <w:fldChar w:fldCharType="separate"/>
          </w:r>
          <w:r>
            <w:rPr>
              <w:rFonts w:hint="eastAsia" w:ascii="仿宋" w:hAnsi="仿宋" w:eastAsia="仿宋"/>
              <w:sz w:val="28"/>
              <w:szCs w:val="28"/>
              <w:highlight w:val="none"/>
            </w:rPr>
            <w:t>一、收</w:t>
          </w:r>
          <w:r>
            <w:rPr>
              <w:rFonts w:hint="eastAsia" w:ascii="仿宋" w:hAnsi="仿宋" w:eastAsia="仿宋"/>
              <w:bCs w:val="0"/>
              <w:sz w:val="28"/>
              <w:szCs w:val="28"/>
              <w:highlight w:val="none"/>
            </w:rPr>
            <w:t>入支出决算总表</w:t>
          </w:r>
          <w:r>
            <w:rPr>
              <w:sz w:val="28"/>
              <w:szCs w:val="28"/>
            </w:rPr>
            <w:tab/>
          </w:r>
          <w:r>
            <w:rPr>
              <w:sz w:val="28"/>
              <w:szCs w:val="28"/>
            </w:rPr>
            <w:fldChar w:fldCharType="begin"/>
          </w:r>
          <w:r>
            <w:rPr>
              <w:sz w:val="28"/>
              <w:szCs w:val="28"/>
            </w:rPr>
            <w:instrText xml:space="preserve"> PAGEREF _Toc6719 \h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_Toc3532 </w:instrText>
          </w:r>
          <w:r>
            <w:rPr>
              <w:sz w:val="28"/>
              <w:szCs w:val="28"/>
            </w:rPr>
            <w:fldChar w:fldCharType="separate"/>
          </w:r>
          <w:r>
            <w:rPr>
              <w:rFonts w:hint="eastAsia" w:ascii="仿宋" w:hAnsi="仿宋" w:eastAsia="仿宋"/>
              <w:sz w:val="28"/>
              <w:szCs w:val="28"/>
              <w:highlight w:val="none"/>
            </w:rPr>
            <w:t>二、收</w:t>
          </w:r>
          <w:r>
            <w:rPr>
              <w:rFonts w:hint="eastAsia" w:ascii="仿宋" w:hAnsi="仿宋" w:eastAsia="仿宋"/>
              <w:bCs w:val="0"/>
              <w:sz w:val="28"/>
              <w:szCs w:val="28"/>
              <w:highlight w:val="none"/>
            </w:rPr>
            <w:t>入决算表</w:t>
          </w:r>
          <w:r>
            <w:rPr>
              <w:sz w:val="28"/>
              <w:szCs w:val="28"/>
            </w:rPr>
            <w:tab/>
          </w:r>
          <w:r>
            <w:rPr>
              <w:sz w:val="28"/>
              <w:szCs w:val="28"/>
            </w:rPr>
            <w:fldChar w:fldCharType="begin"/>
          </w:r>
          <w:r>
            <w:rPr>
              <w:sz w:val="28"/>
              <w:szCs w:val="28"/>
            </w:rPr>
            <w:instrText xml:space="preserve"> PAGEREF _Toc3532 \h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_Toc11303 </w:instrText>
          </w:r>
          <w:r>
            <w:rPr>
              <w:sz w:val="28"/>
              <w:szCs w:val="28"/>
            </w:rPr>
            <w:fldChar w:fldCharType="separate"/>
          </w:r>
          <w:r>
            <w:rPr>
              <w:rFonts w:hint="eastAsia" w:ascii="仿宋" w:hAnsi="仿宋" w:eastAsia="仿宋"/>
              <w:bCs w:val="0"/>
              <w:sz w:val="28"/>
              <w:szCs w:val="28"/>
              <w:highlight w:val="none"/>
            </w:rPr>
            <w:t>三、</w:t>
          </w:r>
          <w:r>
            <w:rPr>
              <w:rFonts w:hint="eastAsia" w:ascii="仿宋" w:hAnsi="仿宋" w:eastAsia="仿宋"/>
              <w:sz w:val="28"/>
              <w:szCs w:val="28"/>
              <w:highlight w:val="none"/>
            </w:rPr>
            <w:t>支</w:t>
          </w:r>
          <w:r>
            <w:rPr>
              <w:rFonts w:hint="eastAsia" w:ascii="仿宋" w:hAnsi="仿宋" w:eastAsia="仿宋"/>
              <w:bCs w:val="0"/>
              <w:sz w:val="28"/>
              <w:szCs w:val="28"/>
              <w:highlight w:val="none"/>
            </w:rPr>
            <w:t>出决算表</w:t>
          </w:r>
          <w:r>
            <w:rPr>
              <w:sz w:val="28"/>
              <w:szCs w:val="28"/>
            </w:rPr>
            <w:tab/>
          </w:r>
          <w:r>
            <w:rPr>
              <w:sz w:val="28"/>
              <w:szCs w:val="28"/>
            </w:rPr>
            <w:fldChar w:fldCharType="begin"/>
          </w:r>
          <w:r>
            <w:rPr>
              <w:sz w:val="28"/>
              <w:szCs w:val="28"/>
            </w:rPr>
            <w:instrText xml:space="preserve"> PAGEREF _Toc11303 \h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_Toc8126 </w:instrText>
          </w:r>
          <w:r>
            <w:rPr>
              <w:sz w:val="28"/>
              <w:szCs w:val="28"/>
            </w:rPr>
            <w:fldChar w:fldCharType="separate"/>
          </w:r>
          <w:r>
            <w:rPr>
              <w:rFonts w:hint="eastAsia" w:ascii="仿宋" w:hAnsi="仿宋" w:eastAsia="仿宋"/>
              <w:bCs w:val="0"/>
              <w:sz w:val="28"/>
              <w:szCs w:val="28"/>
              <w:highlight w:val="none"/>
            </w:rPr>
            <w:t>四、</w:t>
          </w:r>
          <w:r>
            <w:rPr>
              <w:rFonts w:hint="eastAsia" w:ascii="仿宋" w:hAnsi="仿宋" w:eastAsia="仿宋"/>
              <w:sz w:val="28"/>
              <w:szCs w:val="28"/>
              <w:highlight w:val="none"/>
            </w:rPr>
            <w:t>财</w:t>
          </w:r>
          <w:r>
            <w:rPr>
              <w:rFonts w:hint="eastAsia" w:ascii="仿宋" w:hAnsi="仿宋" w:eastAsia="仿宋"/>
              <w:bCs w:val="0"/>
              <w:sz w:val="28"/>
              <w:szCs w:val="28"/>
              <w:highlight w:val="none"/>
            </w:rPr>
            <w:t>政拨款收入支出决算总表</w:t>
          </w:r>
          <w:r>
            <w:rPr>
              <w:sz w:val="28"/>
              <w:szCs w:val="28"/>
            </w:rPr>
            <w:tab/>
          </w:r>
          <w:r>
            <w:rPr>
              <w:sz w:val="28"/>
              <w:szCs w:val="28"/>
            </w:rPr>
            <w:fldChar w:fldCharType="begin"/>
          </w:r>
          <w:r>
            <w:rPr>
              <w:sz w:val="28"/>
              <w:szCs w:val="28"/>
            </w:rPr>
            <w:instrText xml:space="preserve"> PAGEREF _Toc8126 \h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_Toc27635 </w:instrText>
          </w:r>
          <w:r>
            <w:rPr>
              <w:sz w:val="28"/>
              <w:szCs w:val="28"/>
            </w:rPr>
            <w:fldChar w:fldCharType="separate"/>
          </w:r>
          <w:r>
            <w:rPr>
              <w:rFonts w:hint="eastAsia" w:ascii="仿宋" w:hAnsi="仿宋" w:eastAsia="仿宋"/>
              <w:bCs w:val="0"/>
              <w:sz w:val="28"/>
              <w:szCs w:val="28"/>
              <w:highlight w:val="none"/>
            </w:rPr>
            <w:t>五、</w:t>
          </w:r>
          <w:r>
            <w:rPr>
              <w:rFonts w:hint="eastAsia" w:ascii="仿宋" w:hAnsi="仿宋" w:eastAsia="仿宋"/>
              <w:sz w:val="28"/>
              <w:szCs w:val="28"/>
              <w:highlight w:val="none"/>
            </w:rPr>
            <w:t>财</w:t>
          </w:r>
          <w:r>
            <w:rPr>
              <w:rFonts w:hint="eastAsia" w:ascii="仿宋" w:hAnsi="仿宋" w:eastAsia="仿宋"/>
              <w:bCs w:val="0"/>
              <w:sz w:val="28"/>
              <w:szCs w:val="28"/>
              <w:highlight w:val="none"/>
            </w:rPr>
            <w:t>政拨款支出决算明细表</w:t>
          </w:r>
          <w:r>
            <w:rPr>
              <w:sz w:val="28"/>
              <w:szCs w:val="28"/>
            </w:rPr>
            <w:tab/>
          </w:r>
          <w:r>
            <w:rPr>
              <w:sz w:val="28"/>
              <w:szCs w:val="28"/>
            </w:rPr>
            <w:fldChar w:fldCharType="begin"/>
          </w:r>
          <w:r>
            <w:rPr>
              <w:sz w:val="28"/>
              <w:szCs w:val="28"/>
            </w:rPr>
            <w:instrText xml:space="preserve"> PAGEREF _Toc27635 \h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_Toc6556 </w:instrText>
          </w:r>
          <w:r>
            <w:rPr>
              <w:sz w:val="28"/>
              <w:szCs w:val="28"/>
            </w:rPr>
            <w:fldChar w:fldCharType="separate"/>
          </w:r>
          <w:r>
            <w:rPr>
              <w:rFonts w:hint="eastAsia" w:ascii="仿宋" w:hAnsi="仿宋" w:eastAsia="仿宋"/>
              <w:bCs w:val="0"/>
              <w:sz w:val="28"/>
              <w:szCs w:val="28"/>
              <w:highlight w:val="none"/>
            </w:rPr>
            <w:t>六、</w:t>
          </w:r>
          <w:r>
            <w:rPr>
              <w:rFonts w:hint="eastAsia" w:ascii="仿宋" w:hAnsi="仿宋" w:eastAsia="仿宋"/>
              <w:sz w:val="28"/>
              <w:szCs w:val="28"/>
              <w:highlight w:val="none"/>
            </w:rPr>
            <w:t>一</w:t>
          </w:r>
          <w:r>
            <w:rPr>
              <w:rFonts w:hint="eastAsia" w:ascii="仿宋" w:hAnsi="仿宋" w:eastAsia="仿宋"/>
              <w:bCs w:val="0"/>
              <w:sz w:val="28"/>
              <w:szCs w:val="28"/>
              <w:highlight w:val="none"/>
            </w:rPr>
            <w:t>般公共预算财政拨款支出决算表</w:t>
          </w:r>
          <w:r>
            <w:rPr>
              <w:sz w:val="28"/>
              <w:szCs w:val="28"/>
            </w:rPr>
            <w:tab/>
          </w:r>
          <w:r>
            <w:rPr>
              <w:sz w:val="28"/>
              <w:szCs w:val="28"/>
            </w:rPr>
            <w:fldChar w:fldCharType="begin"/>
          </w:r>
          <w:r>
            <w:rPr>
              <w:sz w:val="28"/>
              <w:szCs w:val="28"/>
            </w:rPr>
            <w:instrText xml:space="preserve"> PAGEREF _Toc6556 \h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_Toc1080 </w:instrText>
          </w:r>
          <w:r>
            <w:rPr>
              <w:sz w:val="28"/>
              <w:szCs w:val="28"/>
            </w:rPr>
            <w:fldChar w:fldCharType="separate"/>
          </w:r>
          <w:r>
            <w:rPr>
              <w:rFonts w:hint="eastAsia" w:ascii="仿宋" w:hAnsi="仿宋" w:eastAsia="仿宋"/>
              <w:bCs w:val="0"/>
              <w:sz w:val="28"/>
              <w:szCs w:val="28"/>
              <w:highlight w:val="none"/>
            </w:rPr>
            <w:t>七、</w:t>
          </w:r>
          <w:r>
            <w:rPr>
              <w:rFonts w:hint="eastAsia" w:ascii="仿宋" w:hAnsi="仿宋" w:eastAsia="仿宋"/>
              <w:sz w:val="28"/>
              <w:szCs w:val="28"/>
              <w:highlight w:val="none"/>
            </w:rPr>
            <w:t>一</w:t>
          </w:r>
          <w:r>
            <w:rPr>
              <w:rFonts w:hint="eastAsia" w:ascii="仿宋" w:hAnsi="仿宋" w:eastAsia="仿宋"/>
              <w:bCs w:val="0"/>
              <w:sz w:val="28"/>
              <w:szCs w:val="28"/>
              <w:highlight w:val="none"/>
            </w:rPr>
            <w:t>般公共预算财政拨款支出决算明细表</w:t>
          </w:r>
          <w:r>
            <w:rPr>
              <w:sz w:val="28"/>
              <w:szCs w:val="28"/>
            </w:rPr>
            <w:tab/>
          </w:r>
          <w:r>
            <w:rPr>
              <w:sz w:val="28"/>
              <w:szCs w:val="28"/>
            </w:rPr>
            <w:fldChar w:fldCharType="begin"/>
          </w:r>
          <w:r>
            <w:rPr>
              <w:sz w:val="28"/>
              <w:szCs w:val="28"/>
            </w:rPr>
            <w:instrText xml:space="preserve"> PAGEREF _Toc1080 \h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_Toc10826 </w:instrText>
          </w:r>
          <w:r>
            <w:rPr>
              <w:sz w:val="28"/>
              <w:szCs w:val="28"/>
            </w:rPr>
            <w:fldChar w:fldCharType="separate"/>
          </w:r>
          <w:r>
            <w:rPr>
              <w:rFonts w:hint="eastAsia" w:ascii="仿宋" w:hAnsi="仿宋" w:eastAsia="仿宋"/>
              <w:bCs w:val="0"/>
              <w:sz w:val="28"/>
              <w:szCs w:val="28"/>
              <w:highlight w:val="none"/>
            </w:rPr>
            <w:t>八、</w:t>
          </w:r>
          <w:r>
            <w:rPr>
              <w:rFonts w:hint="eastAsia" w:ascii="仿宋" w:hAnsi="仿宋" w:eastAsia="仿宋"/>
              <w:sz w:val="28"/>
              <w:szCs w:val="28"/>
              <w:highlight w:val="none"/>
            </w:rPr>
            <w:t>一</w:t>
          </w:r>
          <w:r>
            <w:rPr>
              <w:rFonts w:hint="eastAsia" w:ascii="仿宋" w:hAnsi="仿宋" w:eastAsia="仿宋"/>
              <w:bCs w:val="0"/>
              <w:sz w:val="28"/>
              <w:szCs w:val="28"/>
              <w:highlight w:val="none"/>
            </w:rPr>
            <w:t>般公共预算财政拨款基本支出决算表</w:t>
          </w:r>
          <w:r>
            <w:rPr>
              <w:sz w:val="28"/>
              <w:szCs w:val="28"/>
            </w:rPr>
            <w:tab/>
          </w:r>
          <w:r>
            <w:rPr>
              <w:sz w:val="28"/>
              <w:szCs w:val="28"/>
            </w:rPr>
            <w:fldChar w:fldCharType="begin"/>
          </w:r>
          <w:r>
            <w:rPr>
              <w:sz w:val="28"/>
              <w:szCs w:val="28"/>
            </w:rPr>
            <w:instrText xml:space="preserve"> PAGEREF _Toc10826 \h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_Toc1105 </w:instrText>
          </w:r>
          <w:r>
            <w:rPr>
              <w:sz w:val="28"/>
              <w:szCs w:val="28"/>
            </w:rPr>
            <w:fldChar w:fldCharType="separate"/>
          </w:r>
          <w:r>
            <w:rPr>
              <w:rFonts w:hint="eastAsia" w:ascii="仿宋" w:hAnsi="仿宋" w:eastAsia="仿宋"/>
              <w:bCs w:val="0"/>
              <w:sz w:val="28"/>
              <w:szCs w:val="28"/>
              <w:highlight w:val="none"/>
            </w:rPr>
            <w:t>九、</w:t>
          </w:r>
          <w:r>
            <w:rPr>
              <w:rFonts w:hint="eastAsia" w:ascii="仿宋" w:hAnsi="仿宋" w:eastAsia="仿宋"/>
              <w:sz w:val="28"/>
              <w:szCs w:val="28"/>
              <w:highlight w:val="none"/>
            </w:rPr>
            <w:t>一</w:t>
          </w:r>
          <w:r>
            <w:rPr>
              <w:rFonts w:hint="eastAsia" w:ascii="仿宋" w:hAnsi="仿宋" w:eastAsia="仿宋"/>
              <w:bCs w:val="0"/>
              <w:sz w:val="28"/>
              <w:szCs w:val="28"/>
              <w:highlight w:val="none"/>
            </w:rPr>
            <w:t>般公共预算财政拨款项目支出决算表</w:t>
          </w:r>
          <w:r>
            <w:rPr>
              <w:sz w:val="28"/>
              <w:szCs w:val="28"/>
            </w:rPr>
            <w:tab/>
          </w:r>
          <w:r>
            <w:rPr>
              <w:sz w:val="28"/>
              <w:szCs w:val="28"/>
            </w:rPr>
            <w:fldChar w:fldCharType="begin"/>
          </w:r>
          <w:r>
            <w:rPr>
              <w:sz w:val="28"/>
              <w:szCs w:val="28"/>
            </w:rPr>
            <w:instrText xml:space="preserve"> PAGEREF _Toc1105 \h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_Toc22455 </w:instrText>
          </w:r>
          <w:r>
            <w:rPr>
              <w:sz w:val="28"/>
              <w:szCs w:val="28"/>
            </w:rPr>
            <w:fldChar w:fldCharType="separate"/>
          </w:r>
          <w:r>
            <w:rPr>
              <w:rFonts w:hint="eastAsia" w:ascii="仿宋" w:hAnsi="仿宋" w:eastAsia="仿宋"/>
              <w:bCs w:val="0"/>
              <w:sz w:val="28"/>
              <w:szCs w:val="28"/>
              <w:highlight w:val="none"/>
            </w:rPr>
            <w:t>十、</w:t>
          </w:r>
          <w:r>
            <w:rPr>
              <w:rFonts w:hint="eastAsia" w:ascii="仿宋" w:hAnsi="仿宋" w:eastAsia="仿宋"/>
              <w:sz w:val="28"/>
              <w:szCs w:val="28"/>
              <w:highlight w:val="none"/>
            </w:rPr>
            <w:t>政</w:t>
          </w:r>
          <w:r>
            <w:rPr>
              <w:rFonts w:hint="eastAsia" w:ascii="仿宋" w:hAnsi="仿宋" w:eastAsia="仿宋"/>
              <w:bCs w:val="0"/>
              <w:sz w:val="28"/>
              <w:szCs w:val="28"/>
              <w:highlight w:val="none"/>
            </w:rPr>
            <w:t>府性基金预算财政拨款收入支出决算表</w:t>
          </w:r>
          <w:r>
            <w:rPr>
              <w:sz w:val="28"/>
              <w:szCs w:val="28"/>
            </w:rPr>
            <w:tab/>
          </w:r>
          <w:r>
            <w:rPr>
              <w:sz w:val="28"/>
              <w:szCs w:val="28"/>
            </w:rPr>
            <w:fldChar w:fldCharType="begin"/>
          </w:r>
          <w:r>
            <w:rPr>
              <w:sz w:val="28"/>
              <w:szCs w:val="28"/>
            </w:rPr>
            <w:instrText xml:space="preserve"> PAGEREF _Toc22455 \h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_Toc9856 </w:instrText>
          </w:r>
          <w:r>
            <w:rPr>
              <w:sz w:val="28"/>
              <w:szCs w:val="28"/>
            </w:rPr>
            <w:fldChar w:fldCharType="separate"/>
          </w:r>
          <w:r>
            <w:rPr>
              <w:rFonts w:hint="eastAsia" w:ascii="仿宋" w:hAnsi="仿宋" w:eastAsia="仿宋"/>
              <w:bCs w:val="0"/>
              <w:sz w:val="28"/>
              <w:szCs w:val="28"/>
              <w:highlight w:val="none"/>
            </w:rPr>
            <w:t>十一、</w:t>
          </w:r>
          <w:r>
            <w:rPr>
              <w:rFonts w:hint="eastAsia" w:ascii="仿宋" w:hAnsi="仿宋" w:eastAsia="仿宋"/>
              <w:sz w:val="28"/>
              <w:szCs w:val="28"/>
              <w:highlight w:val="none"/>
            </w:rPr>
            <w:t>国</w:t>
          </w:r>
          <w:r>
            <w:rPr>
              <w:rFonts w:hint="eastAsia" w:ascii="仿宋" w:hAnsi="仿宋" w:eastAsia="仿宋"/>
              <w:bCs w:val="0"/>
              <w:sz w:val="28"/>
              <w:szCs w:val="28"/>
              <w:highlight w:val="none"/>
            </w:rPr>
            <w:t>有资本经营预算</w:t>
          </w:r>
          <w:r>
            <w:rPr>
              <w:rFonts w:hint="eastAsia" w:ascii="仿宋" w:hAnsi="仿宋" w:eastAsia="仿宋"/>
              <w:bCs w:val="0"/>
              <w:sz w:val="28"/>
              <w:szCs w:val="28"/>
              <w:highlight w:val="none"/>
              <w:lang w:eastAsia="zh-CN"/>
            </w:rPr>
            <w:t>财政拨款收入</w:t>
          </w:r>
          <w:r>
            <w:rPr>
              <w:rFonts w:hint="eastAsia" w:ascii="仿宋" w:hAnsi="仿宋" w:eastAsia="仿宋"/>
              <w:bCs w:val="0"/>
              <w:sz w:val="28"/>
              <w:szCs w:val="28"/>
              <w:highlight w:val="none"/>
            </w:rPr>
            <w:t>支出决算表</w:t>
          </w:r>
          <w:r>
            <w:rPr>
              <w:sz w:val="28"/>
              <w:szCs w:val="28"/>
            </w:rPr>
            <w:tab/>
          </w:r>
          <w:r>
            <w:rPr>
              <w:sz w:val="28"/>
              <w:szCs w:val="28"/>
            </w:rPr>
            <w:fldChar w:fldCharType="begin"/>
          </w:r>
          <w:r>
            <w:rPr>
              <w:sz w:val="28"/>
              <w:szCs w:val="28"/>
            </w:rPr>
            <w:instrText xml:space="preserve"> PAGEREF _Toc9856 \h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_Toc22247 </w:instrText>
          </w:r>
          <w:r>
            <w:rPr>
              <w:sz w:val="28"/>
              <w:szCs w:val="28"/>
            </w:rPr>
            <w:fldChar w:fldCharType="separate"/>
          </w:r>
          <w:r>
            <w:rPr>
              <w:rFonts w:hint="eastAsia" w:ascii="仿宋" w:hAnsi="仿宋" w:eastAsia="仿宋"/>
              <w:bCs w:val="0"/>
              <w:sz w:val="28"/>
              <w:szCs w:val="28"/>
              <w:highlight w:val="none"/>
            </w:rPr>
            <w:t>十二、</w:t>
          </w:r>
          <w:r>
            <w:rPr>
              <w:rFonts w:hint="eastAsia" w:ascii="仿宋" w:hAnsi="仿宋" w:eastAsia="仿宋"/>
              <w:bCs w:val="0"/>
              <w:sz w:val="28"/>
              <w:szCs w:val="28"/>
              <w:highlight w:val="none"/>
              <w:lang w:eastAsia="zh-CN"/>
            </w:rPr>
            <w:t>国有资本经营预算财政拨款支出决算表</w:t>
          </w:r>
          <w:r>
            <w:rPr>
              <w:sz w:val="28"/>
              <w:szCs w:val="28"/>
            </w:rPr>
            <w:tab/>
          </w:r>
          <w:r>
            <w:rPr>
              <w:sz w:val="28"/>
              <w:szCs w:val="28"/>
            </w:rPr>
            <w:fldChar w:fldCharType="begin"/>
          </w:r>
          <w:r>
            <w:rPr>
              <w:sz w:val="28"/>
              <w:szCs w:val="28"/>
            </w:rPr>
            <w:instrText xml:space="preserve"> PAGEREF _Toc22247 \h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3"/>
            <w:tabs>
              <w:tab w:val="right" w:leader="dot" w:pos="8306"/>
              <w:tab w:val="clear" w:pos="8296"/>
            </w:tabs>
            <w:rPr>
              <w:sz w:val="28"/>
              <w:szCs w:val="28"/>
            </w:rPr>
          </w:pPr>
          <w:r>
            <w:rPr>
              <w:sz w:val="28"/>
              <w:szCs w:val="28"/>
            </w:rPr>
            <w:fldChar w:fldCharType="begin"/>
          </w:r>
          <w:r>
            <w:rPr>
              <w:sz w:val="28"/>
              <w:szCs w:val="28"/>
            </w:rPr>
            <w:instrText xml:space="preserve"> HYPERLINK \l _Toc18526 </w:instrText>
          </w:r>
          <w:r>
            <w:rPr>
              <w:sz w:val="28"/>
              <w:szCs w:val="28"/>
            </w:rPr>
            <w:fldChar w:fldCharType="separate"/>
          </w:r>
          <w:r>
            <w:rPr>
              <w:rFonts w:hint="eastAsia" w:ascii="仿宋" w:hAnsi="仿宋" w:eastAsia="仿宋"/>
              <w:bCs w:val="0"/>
              <w:sz w:val="28"/>
              <w:szCs w:val="28"/>
              <w:highlight w:val="none"/>
            </w:rPr>
            <w:t>十三、</w:t>
          </w:r>
          <w:r>
            <w:rPr>
              <w:rFonts w:hint="eastAsia" w:ascii="仿宋" w:hAnsi="仿宋" w:eastAsia="仿宋"/>
              <w:bCs w:val="0"/>
              <w:sz w:val="28"/>
              <w:szCs w:val="28"/>
              <w:highlight w:val="none"/>
              <w:lang w:eastAsia="zh-CN"/>
            </w:rPr>
            <w:t>财政拨款“三公”经费支出决算表</w:t>
          </w:r>
          <w:r>
            <w:rPr>
              <w:sz w:val="28"/>
              <w:szCs w:val="28"/>
            </w:rPr>
            <w:tab/>
          </w:r>
          <w:r>
            <w:rPr>
              <w:sz w:val="28"/>
              <w:szCs w:val="28"/>
            </w:rPr>
            <w:fldChar w:fldCharType="begin"/>
          </w:r>
          <w:r>
            <w:rPr>
              <w:sz w:val="28"/>
              <w:szCs w:val="28"/>
            </w:rPr>
            <w:instrText xml:space="preserve"> PAGEREF _Toc18526 \h </w:instrText>
          </w:r>
          <w:r>
            <w:rPr>
              <w:sz w:val="28"/>
              <w:szCs w:val="28"/>
            </w:rPr>
            <w:fldChar w:fldCharType="separate"/>
          </w:r>
          <w:r>
            <w:rPr>
              <w:sz w:val="28"/>
              <w:szCs w:val="28"/>
            </w:rPr>
            <w:t>38</w:t>
          </w:r>
          <w:r>
            <w:rPr>
              <w:sz w:val="28"/>
              <w:szCs w:val="28"/>
            </w:rPr>
            <w:fldChar w:fldCharType="end"/>
          </w:r>
          <w:r>
            <w:rPr>
              <w:sz w:val="28"/>
              <w:szCs w:val="28"/>
            </w:rPr>
            <w:fldChar w:fldCharType="end"/>
          </w:r>
        </w:p>
        <w:p>
          <w:r>
            <w:rPr>
              <w:sz w:val="28"/>
              <w:szCs w:val="28"/>
            </w:rPr>
            <w:fldChar w:fldCharType="end"/>
          </w:r>
        </w:p>
      </w:sdtContent>
    </w:sdt>
    <w:p>
      <w:pPr>
        <w:pStyle w:val="3"/>
        <w:jc w:val="center"/>
        <w:rPr>
          <w:rFonts w:hint="eastAsia" w:ascii="黑体" w:hAnsi="黑体" w:eastAsia="黑体"/>
          <w:b w:val="0"/>
          <w:color w:val="auto"/>
          <w:highlight w:val="none"/>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4" w:name="_Toc15377196"/>
      <w:bookmarkStart w:id="15" w:name="_Toc15396599"/>
      <w:bookmarkStart w:id="16" w:name="_Toc13904"/>
    </w:p>
    <w:p>
      <w:pPr>
        <w:pStyle w:val="3"/>
        <w:jc w:val="center"/>
        <w:rPr>
          <w:rStyle w:val="18"/>
          <w:rFonts w:ascii="黑体" w:hAnsi="黑体" w:eastAsia="黑体"/>
          <w:b/>
          <w:bCs w:val="0"/>
          <w:color w:val="auto"/>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8"/>
          <w:rFonts w:hint="eastAsia" w:ascii="黑体" w:hAnsi="黑体" w:eastAsia="黑体"/>
          <w:b w:val="0"/>
          <w:bCs w:val="0"/>
          <w:color w:val="auto"/>
          <w:highlight w:val="none"/>
        </w:rPr>
        <w:t>概况</w:t>
      </w:r>
      <w:bookmarkEnd w:id="14"/>
      <w:bookmarkEnd w:id="15"/>
      <w:bookmarkEnd w:id="16"/>
    </w:p>
    <w:p>
      <w:pPr>
        <w:widowControl/>
        <w:jc w:val="left"/>
        <w:rPr>
          <w:rFonts w:hint="eastAsia" w:ascii="黑体" w:hAnsi="黑体" w:eastAsia="黑体" w:cs="黑体"/>
          <w:b/>
          <w:bCs/>
          <w:color w:val="auto"/>
          <w:sz w:val="32"/>
          <w:szCs w:val="32"/>
          <w:highlight w:val="none"/>
        </w:rPr>
      </w:pPr>
    </w:p>
    <w:p>
      <w:pPr>
        <w:pStyle w:val="13"/>
        <w:adjustRightInd w:val="0"/>
        <w:snapToGrid w:val="0"/>
        <w:spacing w:line="440" w:lineRule="exact"/>
        <w:ind w:firstLine="321" w:firstLineChars="100"/>
        <w:jc w:val="left"/>
        <w:rPr>
          <w:rFonts w:hint="eastAsia" w:ascii="黑体" w:hAnsi="黑体" w:eastAsia="黑体" w:cs="黑体"/>
          <w:b/>
          <w:bCs/>
          <w:color w:val="000000"/>
          <w:sz w:val="32"/>
          <w:szCs w:val="32"/>
        </w:rPr>
      </w:pPr>
      <w:r>
        <w:rPr>
          <w:rFonts w:hint="eastAsia" w:ascii="黑体" w:hAnsi="黑体" w:eastAsia="黑体" w:cs="黑体"/>
          <w:b/>
          <w:bCs/>
          <w:color w:val="auto"/>
          <w:sz w:val="32"/>
          <w:szCs w:val="32"/>
          <w:highlight w:val="none"/>
        </w:rPr>
        <w:t>一、</w:t>
      </w:r>
      <w:r>
        <w:rPr>
          <w:rFonts w:hint="eastAsia" w:ascii="黑体" w:hAnsi="黑体" w:eastAsia="黑体" w:cs="黑体"/>
          <w:b/>
          <w:bCs/>
          <w:color w:val="auto"/>
          <w:sz w:val="32"/>
          <w:szCs w:val="32"/>
          <w:highlight w:val="none"/>
          <w:lang w:eastAsia="zh-CN"/>
        </w:rPr>
        <w:t>主要职责</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广元市妇幼保健</w:t>
      </w:r>
      <w:r>
        <w:rPr>
          <w:rFonts w:hint="eastAsia" w:ascii="仿宋_GB2312" w:hAnsi="仿宋_GB2312" w:eastAsia="仿宋_GB2312" w:cs="仿宋_GB2312"/>
          <w:sz w:val="32"/>
          <w:szCs w:val="32"/>
          <w:lang w:eastAsia="zh-CN"/>
        </w:rPr>
        <w:t>院</w:t>
      </w:r>
      <w:r>
        <w:rPr>
          <w:rFonts w:hint="eastAsia" w:ascii="仿宋_GB2312" w:hAnsi="仿宋_GB2312" w:eastAsia="仿宋_GB2312" w:cs="仿宋_GB2312"/>
          <w:sz w:val="32"/>
          <w:szCs w:val="32"/>
        </w:rPr>
        <w:t>是一所由广元市政府举办的集妇幼医疗、保健、教学、科研、指导于一体的，为全市妇女儿童提供公共卫生服务和医疗保健服务的公益性现代化三级妇幼保健</w:t>
      </w:r>
      <w:r>
        <w:rPr>
          <w:rFonts w:hint="eastAsia" w:ascii="仿宋_GB2312" w:hAnsi="仿宋_GB2312" w:eastAsia="仿宋_GB2312" w:cs="仿宋_GB2312"/>
          <w:sz w:val="32"/>
          <w:szCs w:val="32"/>
          <w:lang w:eastAsia="zh-CN"/>
        </w:rPr>
        <w:t>院。主要承担市、利州区两级妇幼健康公共卫生和计划生育技术服务，对下级服务机构进行技术指导与培训，接受转诊等；完成市（区）政府和卫健主管部门下达的指令性任务；受市（区）卫健主管部门委托，对全市及利州区各级各类妇幼保健服务机构进行检查、指导、考核和评价。</w:t>
      </w:r>
      <w:r>
        <w:rPr>
          <w:rFonts w:hint="eastAsia" w:ascii="仿宋_GB2312" w:hAnsi="仿宋_GB2312" w:eastAsia="仿宋_GB2312" w:cs="仿宋_GB2312"/>
          <w:b w:val="0"/>
          <w:bCs w:val="0"/>
          <w:snapToGrid w:val="0"/>
          <w:color w:val="000000" w:themeColor="text1"/>
          <w:spacing w:val="0"/>
          <w:kern w:val="0"/>
          <w:sz w:val="32"/>
          <w:szCs w:val="32"/>
          <w14:textFill>
            <w14:solidFill>
              <w14:schemeClr w14:val="tx1"/>
            </w14:solidFill>
          </w14:textFill>
        </w:rPr>
        <w:t>是全市妇幼健康服务中心、管理中心、指导中心和教学科研中心，是全省首批儿童早期发展示范基地，是四川大学华西第二医院区域联盟医院、成都市妇女儿童中心医院对口支援医院和四川中医药高等专科学校实习基地。</w:t>
      </w:r>
      <w:r>
        <w:rPr>
          <w:rFonts w:hint="eastAsia" w:ascii="仿宋_GB2312" w:hAnsi="仿宋_GB2312" w:eastAsia="仿宋_GB2312" w:cs="仿宋_GB2312"/>
          <w:b w:val="0"/>
          <w:bCs w:val="0"/>
          <w:color w:val="000000" w:themeColor="text1"/>
          <w:spacing w:val="0"/>
          <w:kern w:val="0"/>
          <w:sz w:val="32"/>
          <w:szCs w:val="32"/>
          <w:shd w:val="clear" w:color="auto" w:fill="FFFFFF"/>
          <w:lang w:val="en-US" w:eastAsia="zh-CN"/>
          <w14:textFill>
            <w14:solidFill>
              <w14:schemeClr w14:val="tx1"/>
            </w14:solidFill>
          </w14:textFill>
        </w:rPr>
        <w:t>儿童保健科是市级重点专科，新生儿保健和婚前保健是省级特色专科。</w:t>
      </w:r>
    </w:p>
    <w:p>
      <w:pPr>
        <w:pStyle w:val="13"/>
        <w:adjustRightInd w:val="0"/>
        <w:snapToGrid w:val="0"/>
        <w:spacing w:line="440" w:lineRule="exact"/>
        <w:ind w:firstLine="320" w:firstLineChars="100"/>
        <w:jc w:val="left"/>
        <w:rPr>
          <w:rFonts w:hint="eastAsia" w:ascii="黑体" w:hAnsi="黑体" w:eastAsia="黑体" w:cs="黑体"/>
          <w:b w:val="0"/>
          <w:bCs w:val="0"/>
        </w:rPr>
      </w:pPr>
      <w:r>
        <w:rPr>
          <w:rFonts w:hint="eastAsia" w:ascii="黑体" w:hAnsi="黑体" w:eastAsia="黑体" w:cs="黑体"/>
          <w:b w:val="0"/>
          <w:bCs w:val="0"/>
          <w:color w:val="auto"/>
          <w:sz w:val="32"/>
          <w:szCs w:val="32"/>
          <w:highlight w:val="none"/>
          <w:lang w:eastAsia="zh-CN"/>
        </w:rPr>
        <w:t>二</w:t>
      </w:r>
      <w:r>
        <w:rPr>
          <w:rFonts w:hint="eastAsia" w:ascii="黑体" w:hAnsi="黑体" w:eastAsia="黑体" w:cs="黑体"/>
          <w:b w:val="0"/>
          <w:bCs w:val="0"/>
          <w:color w:val="auto"/>
          <w:sz w:val="32"/>
          <w:szCs w:val="32"/>
          <w:highlight w:val="none"/>
        </w:rPr>
        <w:t>、</w:t>
      </w:r>
      <w:r>
        <w:rPr>
          <w:rFonts w:hint="eastAsia" w:ascii="黑体" w:hAnsi="黑体" w:eastAsia="黑体" w:cs="黑体"/>
          <w:b w:val="0"/>
          <w:bCs w:val="0"/>
          <w:color w:val="auto"/>
          <w:sz w:val="32"/>
          <w:szCs w:val="32"/>
          <w:highlight w:val="none"/>
          <w:lang w:eastAsia="zh-CN"/>
        </w:rPr>
        <w:t>机构设置</w:t>
      </w:r>
    </w:p>
    <w:p>
      <w:pPr>
        <w:spacing w:before="1" w:line="220" w:lineRule="auto"/>
        <w:ind w:firstLine="640" w:firstLineChars="200"/>
        <w:rPr>
          <w:rStyle w:val="26"/>
          <w:rFonts w:hint="default"/>
          <w:sz w:val="32"/>
          <w:szCs w:val="32"/>
          <w:lang w:val="en-US" w:eastAsia="zh-CN"/>
        </w:rPr>
      </w:pPr>
      <w:r>
        <w:rPr>
          <w:rStyle w:val="26"/>
          <w:rFonts w:hint="eastAsia"/>
          <w:sz w:val="32"/>
          <w:szCs w:val="32"/>
          <w:lang w:val="en-US" w:eastAsia="zh-CN"/>
        </w:rPr>
        <w:t>广元市妇幼保健院属于广元市卫生健康委员会下属的二级单位，下设独立编制机构1个，其中行政机构0个，参照公务员法管理的事业单位机构0个，其他事业机构1个。纳入2022年度单位决算编制范围的独立编制机构包括：1.广元市妇幼保健院。</w:t>
      </w:r>
    </w:p>
    <w:p>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3"/>
        <w:ind w:right="440"/>
        <w:jc w:val="center"/>
        <w:rPr>
          <w:rStyle w:val="18"/>
          <w:rFonts w:ascii="黑体" w:hAnsi="黑体" w:eastAsia="黑体"/>
          <w:b w:val="0"/>
          <w:bCs/>
          <w:color w:val="auto"/>
          <w:highlight w:val="none"/>
        </w:rPr>
      </w:pPr>
      <w:bookmarkStart w:id="17" w:name="_Toc15396602"/>
      <w:bookmarkStart w:id="18" w:name="_Toc15377204"/>
      <w:bookmarkStart w:id="19" w:name="_Toc32413"/>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8"/>
          <w:rFonts w:hint="eastAsia" w:ascii="黑体" w:hAnsi="黑体" w:eastAsia="黑体"/>
          <w:b w:val="0"/>
          <w:bCs/>
          <w:color w:val="auto"/>
          <w:highlight w:val="none"/>
          <w:lang w:eastAsia="zh-CN"/>
        </w:rPr>
        <w:t>单位</w:t>
      </w:r>
      <w:r>
        <w:rPr>
          <w:rStyle w:val="18"/>
          <w:rFonts w:hint="eastAsia" w:ascii="黑体" w:hAnsi="黑体" w:eastAsia="黑体"/>
          <w:b w:val="0"/>
          <w:bCs/>
          <w:color w:val="auto"/>
          <w:highlight w:val="none"/>
        </w:rPr>
        <w:t>决算情况说明</w:t>
      </w:r>
      <w:bookmarkEnd w:id="17"/>
      <w:bookmarkEnd w:id="18"/>
      <w:bookmarkEnd w:id="19"/>
    </w:p>
    <w:p>
      <w:pPr>
        <w:rPr>
          <w:color w:val="auto"/>
          <w:highlight w:val="none"/>
        </w:rPr>
      </w:pPr>
    </w:p>
    <w:p>
      <w:pPr>
        <w:pStyle w:val="28"/>
        <w:numPr>
          <w:ilvl w:val="0"/>
          <w:numId w:val="1"/>
        </w:numPr>
        <w:spacing w:line="600" w:lineRule="exact"/>
        <w:ind w:firstLineChars="0"/>
        <w:outlineLvl w:val="1"/>
        <w:rPr>
          <w:rStyle w:val="19"/>
          <w:rFonts w:ascii="黑体" w:hAnsi="黑体" w:eastAsia="黑体"/>
          <w:b w:val="0"/>
          <w:color w:val="auto"/>
          <w:highlight w:val="none"/>
        </w:rPr>
      </w:pPr>
      <w:bookmarkStart w:id="20" w:name="_Toc15377205"/>
      <w:bookmarkStart w:id="21" w:name="_Toc10841"/>
      <w:bookmarkStart w:id="22" w:name="_Toc15396603"/>
      <w:r>
        <w:rPr>
          <w:rFonts w:hint="eastAsia" w:ascii="黑体" w:hAnsi="黑体" w:eastAsia="黑体"/>
          <w:color w:val="auto"/>
          <w:sz w:val="32"/>
          <w:szCs w:val="32"/>
          <w:highlight w:val="none"/>
        </w:rPr>
        <w:t>收</w:t>
      </w:r>
      <w:r>
        <w:rPr>
          <w:rStyle w:val="19"/>
          <w:rFonts w:hint="eastAsia" w:ascii="黑体" w:hAnsi="黑体" w:eastAsia="黑体"/>
          <w:b w:val="0"/>
          <w:color w:val="auto"/>
          <w:highlight w:val="none"/>
        </w:rPr>
        <w:t>入支出决算总体情况说明</w:t>
      </w:r>
      <w:bookmarkEnd w:id="20"/>
      <w:bookmarkEnd w:id="21"/>
      <w:bookmarkEnd w:id="22"/>
    </w:p>
    <w:p>
      <w:pPr>
        <w:spacing w:line="600" w:lineRule="exact"/>
        <w:ind w:firstLine="640" w:firstLineChars="200"/>
        <w:jc w:val="both"/>
        <w:rPr>
          <w:rFonts w:hint="eastAsia" w:ascii="仿宋" w:hAnsi="仿宋" w:eastAsia="仿宋"/>
          <w:color w:val="000000"/>
          <w:sz w:val="32"/>
          <w:szCs w:val="32"/>
          <w:lang w:val="en-US" w:eastAsia="zh-CN"/>
        </w:rPr>
      </w:pPr>
      <w:r>
        <w:rPr>
          <w:rFonts w:hint="eastAsia" w:ascii="仿宋_GB2312" w:hAnsi="Times New Roman" w:eastAsia="仿宋_GB2312" w:cs="Times New Roman"/>
          <w:color w:val="000000"/>
          <w:sz w:val="32"/>
          <w:szCs w:val="32"/>
        </w:rPr>
        <w:t>202</w:t>
      </w:r>
      <w:r>
        <w:rPr>
          <w:rFonts w:hint="eastAsia" w:ascii="仿宋_GB2312" w:hAnsi="Times New Roman" w:eastAsia="仿宋_GB2312" w:cs="Times New Roman"/>
          <w:color w:val="000000"/>
          <w:sz w:val="32"/>
          <w:szCs w:val="32"/>
          <w:lang w:val="en-US" w:eastAsia="zh-CN"/>
        </w:rPr>
        <w:t>2</w:t>
      </w:r>
      <w:r>
        <w:rPr>
          <w:rFonts w:hint="eastAsia" w:ascii="仿宋_GB2312" w:hAnsi="Times New Roman" w:eastAsia="仿宋_GB2312" w:cs="Times New Roman"/>
          <w:color w:val="000000"/>
          <w:sz w:val="32"/>
          <w:szCs w:val="32"/>
        </w:rPr>
        <w:t>年度收、支总计</w:t>
      </w:r>
      <w:r>
        <w:rPr>
          <w:rFonts w:hint="eastAsia" w:ascii="仿宋_GB2312" w:eastAsia="仿宋_GB2312" w:cs="Times New Roman"/>
          <w:color w:val="000000"/>
          <w:sz w:val="32"/>
          <w:szCs w:val="32"/>
          <w:lang w:val="en-US" w:eastAsia="zh-CN"/>
        </w:rPr>
        <w:t>9167.55</w:t>
      </w:r>
      <w:r>
        <w:rPr>
          <w:rFonts w:hint="eastAsia" w:ascii="仿宋_GB2312" w:hAnsi="Times New Roman" w:eastAsia="仿宋_GB2312" w:cs="Times New Roman"/>
          <w:color w:val="000000"/>
          <w:sz w:val="32"/>
          <w:szCs w:val="32"/>
        </w:rPr>
        <w:t>万元。与</w:t>
      </w:r>
      <w:r>
        <w:rPr>
          <w:rFonts w:hint="eastAsia" w:ascii="仿宋_GB2312" w:hAnsi="Times New Roman" w:eastAsia="仿宋_GB2312" w:cs="Times New Roman"/>
          <w:color w:val="000000"/>
          <w:sz w:val="32"/>
          <w:szCs w:val="32"/>
          <w:lang w:val="en-US" w:eastAsia="zh-CN"/>
        </w:rPr>
        <w:t>2021</w:t>
      </w:r>
      <w:r>
        <w:rPr>
          <w:rFonts w:hint="eastAsia" w:ascii="仿宋_GB2312" w:hAnsi="Times New Roman" w:eastAsia="仿宋_GB2312" w:cs="Times New Roman"/>
          <w:color w:val="000000"/>
          <w:sz w:val="32"/>
          <w:szCs w:val="32"/>
        </w:rPr>
        <w:t>年</w:t>
      </w:r>
      <w:r>
        <w:rPr>
          <w:rFonts w:hint="eastAsia" w:ascii="仿宋_GB2312" w:eastAsia="仿宋_GB2312" w:cs="Times New Roman"/>
          <w:color w:val="000000"/>
          <w:sz w:val="32"/>
          <w:szCs w:val="32"/>
          <w:lang w:val="en-US" w:eastAsia="zh-CN"/>
        </w:rPr>
        <w:t>10388.46</w:t>
      </w:r>
      <w:r>
        <w:rPr>
          <w:rFonts w:hint="eastAsia" w:ascii="仿宋_GB2312" w:hAnsi="Times New Roman" w:eastAsia="仿宋_GB2312" w:cs="Times New Roman"/>
          <w:color w:val="000000"/>
          <w:sz w:val="32"/>
          <w:szCs w:val="32"/>
          <w:lang w:val="en-US" w:eastAsia="zh-CN"/>
        </w:rPr>
        <w:t>万元</w:t>
      </w:r>
      <w:r>
        <w:rPr>
          <w:rFonts w:hint="eastAsia" w:ascii="仿宋_GB2312" w:hAnsi="Times New Roman" w:eastAsia="仿宋_GB2312" w:cs="Times New Roman"/>
          <w:color w:val="000000"/>
          <w:sz w:val="32"/>
          <w:szCs w:val="32"/>
        </w:rPr>
        <w:t>相比，收、支总计</w:t>
      </w:r>
      <w:r>
        <w:rPr>
          <w:rFonts w:hint="eastAsia" w:ascii="仿宋_GB2312" w:hAnsi="Times New Roman" w:eastAsia="仿宋_GB2312" w:cs="Times New Roman"/>
          <w:color w:val="000000"/>
          <w:sz w:val="32"/>
          <w:szCs w:val="32"/>
          <w:lang w:eastAsia="zh-CN"/>
        </w:rPr>
        <w:t>各下降</w:t>
      </w:r>
      <w:r>
        <w:rPr>
          <w:rFonts w:hint="eastAsia" w:ascii="仿宋_GB2312" w:eastAsia="仿宋_GB2312" w:cs="Times New Roman"/>
          <w:color w:val="000000"/>
          <w:sz w:val="32"/>
          <w:szCs w:val="32"/>
          <w:lang w:val="en-US" w:eastAsia="zh-CN"/>
        </w:rPr>
        <w:t>1220.91</w:t>
      </w:r>
      <w:r>
        <w:rPr>
          <w:rFonts w:hint="eastAsia" w:ascii="仿宋_GB2312" w:hAnsi="Times New Roman" w:eastAsia="仿宋_GB2312" w:cs="Times New Roman"/>
          <w:color w:val="000000"/>
          <w:sz w:val="32"/>
          <w:szCs w:val="32"/>
        </w:rPr>
        <w:t>万元，</w:t>
      </w:r>
      <w:r>
        <w:rPr>
          <w:rFonts w:hint="eastAsia" w:ascii="仿宋_GB2312" w:hAnsi="Times New Roman" w:eastAsia="仿宋_GB2312" w:cs="Times New Roman"/>
          <w:color w:val="000000"/>
          <w:sz w:val="32"/>
          <w:szCs w:val="32"/>
          <w:lang w:eastAsia="zh-CN"/>
        </w:rPr>
        <w:t>下降</w:t>
      </w:r>
      <w:r>
        <w:rPr>
          <w:rFonts w:hint="eastAsia" w:ascii="仿宋_GB2312" w:eastAsia="仿宋_GB2312" w:cs="Times New Roman"/>
          <w:color w:val="000000"/>
          <w:sz w:val="32"/>
          <w:szCs w:val="32"/>
          <w:lang w:val="en-US" w:eastAsia="zh-CN"/>
        </w:rPr>
        <w:t>11.75</w:t>
      </w:r>
      <w:r>
        <w:rPr>
          <w:rFonts w:hint="eastAsia" w:ascii="仿宋_GB2312" w:hAnsi="Times New Roman" w:eastAsia="仿宋_GB2312" w:cs="Times New Roman"/>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2022年初结转和结余资金较上年下降917.8万元，下降76.93%。</w:t>
      </w:r>
    </w:p>
    <w:p>
      <w:pPr>
        <w:pStyle w:val="2"/>
        <w:rPr>
          <w:rFonts w:ascii="仿宋_GB2312" w:eastAsia="仿宋_GB2312"/>
          <w:color w:val="auto"/>
          <w:sz w:val="32"/>
          <w:szCs w:val="32"/>
          <w:highlight w:val="none"/>
        </w:rPr>
      </w:pPr>
      <w:r>
        <w:rPr>
          <w:rFonts w:ascii="宋体" w:hAnsi="宋体" w:eastAsia="宋体" w:cs="宋体"/>
          <w:sz w:val="24"/>
          <w:szCs w:val="24"/>
        </w:rPr>
        <w:drawing>
          <wp:anchor distT="0" distB="0" distL="114300" distR="114300" simplePos="0" relativeHeight="251660288" behindDoc="0" locked="0" layoutInCell="1" allowOverlap="1">
            <wp:simplePos x="0" y="0"/>
            <wp:positionH relativeFrom="column">
              <wp:posOffset>142875</wp:posOffset>
            </wp:positionH>
            <wp:positionV relativeFrom="paragraph">
              <wp:posOffset>257175</wp:posOffset>
            </wp:positionV>
            <wp:extent cx="4581525" cy="2771775"/>
            <wp:effectExtent l="0" t="0" r="9525" b="9525"/>
            <wp:wrapTopAndBottom/>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4581525" cy="2771775"/>
                    </a:xfrm>
                    <a:prstGeom prst="rect">
                      <a:avLst/>
                    </a:prstGeom>
                    <a:noFill/>
                    <a:ln w="9525">
                      <a:noFill/>
                    </a:ln>
                  </pic:spPr>
                </pic:pic>
              </a:graphicData>
            </a:graphic>
          </wp:anchor>
        </w:drawing>
      </w:r>
      <w:r>
        <w:rPr>
          <w:rFonts w:hint="eastAsia" w:ascii="仿宋" w:hAnsi="仿宋" w:eastAsia="仿宋"/>
          <w:color w:val="auto"/>
          <w:sz w:val="32"/>
          <w:szCs w:val="32"/>
          <w:highlight w:val="none"/>
          <w:lang w:val="en-US" w:eastAsia="zh-CN"/>
        </w:rPr>
        <w:t xml:space="preserve">               </w:t>
      </w:r>
    </w:p>
    <w:p>
      <w:pPr>
        <w:pStyle w:val="28"/>
        <w:numPr>
          <w:ilvl w:val="0"/>
          <w:numId w:val="1"/>
        </w:numPr>
        <w:spacing w:line="600" w:lineRule="exact"/>
        <w:ind w:firstLineChars="0"/>
        <w:outlineLvl w:val="1"/>
        <w:rPr>
          <w:rStyle w:val="19"/>
          <w:rFonts w:ascii="黑体" w:hAnsi="黑体" w:eastAsia="黑体"/>
          <w:b w:val="0"/>
          <w:color w:val="auto"/>
          <w:highlight w:val="none"/>
        </w:rPr>
      </w:pPr>
      <w:bookmarkStart w:id="23" w:name="_Toc15377206"/>
      <w:bookmarkStart w:id="24" w:name="_Toc5165"/>
      <w:bookmarkStart w:id="25" w:name="_Toc15396604"/>
      <w:r>
        <w:rPr>
          <w:rFonts w:hint="eastAsia" w:ascii="黑体" w:hAnsi="黑体" w:eastAsia="黑体"/>
          <w:color w:val="auto"/>
          <w:sz w:val="32"/>
          <w:szCs w:val="32"/>
          <w:highlight w:val="none"/>
        </w:rPr>
        <w:t>收</w:t>
      </w:r>
      <w:r>
        <w:rPr>
          <w:rStyle w:val="19"/>
          <w:rFonts w:hint="eastAsia" w:ascii="黑体" w:hAnsi="黑体" w:eastAsia="黑体"/>
          <w:b w:val="0"/>
          <w:color w:val="auto"/>
          <w:highlight w:val="none"/>
        </w:rPr>
        <w:t>入决算情况说明</w:t>
      </w:r>
      <w:bookmarkEnd w:id="23"/>
      <w:bookmarkEnd w:id="24"/>
      <w:bookmarkEnd w:id="25"/>
    </w:p>
    <w:p>
      <w:pPr>
        <w:spacing w:line="600" w:lineRule="exact"/>
        <w:ind w:firstLine="480" w:firstLineChars="200"/>
        <w:outlineLvl w:val="1"/>
        <w:rPr>
          <w:rFonts w:ascii="仿宋_GB2312" w:eastAsia="仿宋_GB2312"/>
          <w:color w:val="auto"/>
          <w:sz w:val="32"/>
          <w:szCs w:val="32"/>
          <w:highlight w:val="none"/>
        </w:rPr>
      </w:pPr>
      <w:bookmarkStart w:id="26" w:name="_Toc14650"/>
      <w:bookmarkStart w:id="27" w:name="_Toc780"/>
      <w:r>
        <w:rPr>
          <w:rFonts w:ascii="宋体" w:hAnsi="宋体" w:eastAsia="宋体" w:cs="宋体"/>
          <w:sz w:val="24"/>
          <w:szCs w:val="24"/>
        </w:rPr>
        <w:drawing>
          <wp:anchor distT="0" distB="0" distL="114300" distR="114300" simplePos="0" relativeHeight="251661312" behindDoc="0" locked="0" layoutInCell="1" allowOverlap="1">
            <wp:simplePos x="0" y="0"/>
            <wp:positionH relativeFrom="column">
              <wp:posOffset>771525</wp:posOffset>
            </wp:positionH>
            <wp:positionV relativeFrom="paragraph">
              <wp:posOffset>780415</wp:posOffset>
            </wp:positionV>
            <wp:extent cx="3285490" cy="2103120"/>
            <wp:effectExtent l="0" t="0" r="10160" b="11430"/>
            <wp:wrapTopAndBottom/>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8"/>
                    <a:stretch>
                      <a:fillRect/>
                    </a:stretch>
                  </pic:blipFill>
                  <pic:spPr>
                    <a:xfrm>
                      <a:off x="0" y="0"/>
                      <a:ext cx="3285490" cy="2103120"/>
                    </a:xfrm>
                    <a:prstGeom prst="rect">
                      <a:avLst/>
                    </a:prstGeom>
                    <a:noFill/>
                    <a:ln w="9525">
                      <a:noFill/>
                    </a:ln>
                  </pic:spPr>
                </pic:pic>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8892.34</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8892.34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26"/>
      <w:bookmarkEnd w:id="27"/>
    </w:p>
    <w:p>
      <w:pPr>
        <w:pStyle w:val="28"/>
        <w:numPr>
          <w:ilvl w:val="0"/>
          <w:numId w:val="1"/>
        </w:numPr>
        <w:spacing w:line="600" w:lineRule="exact"/>
        <w:ind w:firstLineChars="0"/>
        <w:outlineLvl w:val="1"/>
        <w:rPr>
          <w:rStyle w:val="19"/>
          <w:rFonts w:ascii="黑体" w:hAnsi="黑体" w:eastAsia="黑体"/>
          <w:b w:val="0"/>
          <w:color w:val="auto"/>
          <w:highlight w:val="none"/>
        </w:rPr>
      </w:pPr>
      <w:bookmarkStart w:id="28" w:name="_Toc15396605"/>
      <w:bookmarkStart w:id="29" w:name="_Toc17367"/>
      <w:bookmarkStart w:id="30" w:name="_Toc15377207"/>
      <w:r>
        <w:rPr>
          <w:rFonts w:hint="eastAsia" w:ascii="黑体" w:hAnsi="黑体" w:eastAsia="黑体"/>
          <w:color w:val="auto"/>
          <w:sz w:val="32"/>
          <w:szCs w:val="32"/>
          <w:highlight w:val="none"/>
        </w:rPr>
        <w:t>支</w:t>
      </w:r>
      <w:r>
        <w:rPr>
          <w:rStyle w:val="19"/>
          <w:rFonts w:hint="eastAsia" w:ascii="黑体" w:hAnsi="黑体" w:eastAsia="黑体"/>
          <w:b w:val="0"/>
          <w:color w:val="auto"/>
          <w:highlight w:val="none"/>
        </w:rPr>
        <w:t>出决算情况说明</w:t>
      </w:r>
      <w:bookmarkEnd w:id="28"/>
      <w:bookmarkEnd w:id="29"/>
      <w:bookmarkEnd w:id="30"/>
    </w:p>
    <w:p>
      <w:pPr>
        <w:spacing w:line="600" w:lineRule="exact"/>
        <w:ind w:firstLine="640" w:firstLineChars="200"/>
        <w:outlineLvl w:val="1"/>
        <w:rPr>
          <w:rFonts w:ascii="仿宋" w:hAnsi="仿宋" w:eastAsia="仿宋"/>
          <w:color w:val="auto"/>
          <w:sz w:val="32"/>
          <w:szCs w:val="32"/>
          <w:highlight w:val="none"/>
        </w:rPr>
      </w:pPr>
      <w:bookmarkStart w:id="31" w:name="_Toc14045"/>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9167.55</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1575.75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17.18</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7591.8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 xml:space="preserve">82.82 </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1"/>
    </w:p>
    <w:p>
      <w:pPr>
        <w:spacing w:line="600" w:lineRule="exact"/>
        <w:ind w:firstLine="480" w:firstLineChars="200"/>
        <w:outlineLvl w:val="1"/>
        <w:rPr>
          <w:rStyle w:val="19"/>
          <w:rFonts w:ascii="黑体" w:hAnsi="黑体" w:eastAsia="黑体"/>
          <w:b w:val="0"/>
          <w:color w:val="auto"/>
          <w:highlight w:val="none"/>
        </w:rPr>
      </w:pPr>
      <w:bookmarkStart w:id="32" w:name="_Toc16877"/>
      <w:bookmarkStart w:id="33" w:name="_Toc15396606"/>
      <w:bookmarkStart w:id="34" w:name="_Toc15377208"/>
      <w:r>
        <w:rPr>
          <w:rFonts w:ascii="宋体" w:hAnsi="宋体" w:eastAsia="宋体" w:cs="宋体"/>
          <w:sz w:val="24"/>
          <w:szCs w:val="24"/>
        </w:rPr>
        <w:drawing>
          <wp:anchor distT="0" distB="0" distL="114300" distR="114300" simplePos="0" relativeHeight="251663360" behindDoc="0" locked="0" layoutInCell="1" allowOverlap="1">
            <wp:simplePos x="0" y="0"/>
            <wp:positionH relativeFrom="column">
              <wp:posOffset>151765</wp:posOffset>
            </wp:positionH>
            <wp:positionV relativeFrom="paragraph">
              <wp:posOffset>123190</wp:posOffset>
            </wp:positionV>
            <wp:extent cx="4429760" cy="2967355"/>
            <wp:effectExtent l="0" t="0" r="8890" b="4445"/>
            <wp:wrapTopAndBottom/>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r:embed="rId9"/>
                    <a:stretch>
                      <a:fillRect/>
                    </a:stretch>
                  </pic:blipFill>
                  <pic:spPr>
                    <a:xfrm>
                      <a:off x="0" y="0"/>
                      <a:ext cx="4429760" cy="2967355"/>
                    </a:xfrm>
                    <a:prstGeom prst="rect">
                      <a:avLst/>
                    </a:prstGeom>
                    <a:noFill/>
                    <a:ln w="9525">
                      <a:noFill/>
                    </a:ln>
                  </pic:spPr>
                </pic:pic>
              </a:graphicData>
            </a:graphic>
          </wp:anchor>
        </w:drawing>
      </w:r>
      <w:r>
        <w:rPr>
          <w:rFonts w:hint="eastAsia" w:ascii="黑体" w:hAnsi="黑体" w:eastAsia="黑体"/>
          <w:color w:val="auto"/>
          <w:sz w:val="32"/>
          <w:szCs w:val="32"/>
          <w:highlight w:val="none"/>
        </w:rPr>
        <w:t>四、财</w:t>
      </w:r>
      <w:r>
        <w:rPr>
          <w:rStyle w:val="19"/>
          <w:rFonts w:hint="eastAsia" w:ascii="黑体" w:hAnsi="黑体" w:eastAsia="黑体"/>
          <w:b w:val="0"/>
          <w:color w:val="auto"/>
          <w:highlight w:val="none"/>
        </w:rPr>
        <w:t>政拨款收入支出决算总体情况说明</w:t>
      </w:r>
      <w:bookmarkEnd w:id="32"/>
      <w:bookmarkEnd w:id="33"/>
      <w:bookmarkEnd w:id="34"/>
    </w:p>
    <w:p>
      <w:pPr>
        <w:spacing w:line="600" w:lineRule="exact"/>
        <w:ind w:firstLine="480" w:firstLineChars="200"/>
        <w:jc w:val="both"/>
        <w:rPr>
          <w:rFonts w:ascii="仿宋" w:hAnsi="仿宋" w:eastAsia="仿宋"/>
          <w:color w:val="auto"/>
          <w:sz w:val="32"/>
          <w:szCs w:val="32"/>
          <w:highlight w:val="none"/>
        </w:rPr>
      </w:pPr>
      <w:r>
        <w:rPr>
          <w:rFonts w:ascii="宋体" w:hAnsi="宋体" w:eastAsia="宋体" w:cs="宋体"/>
          <w:sz w:val="24"/>
          <w:szCs w:val="24"/>
        </w:rPr>
        <w:drawing>
          <wp:anchor distT="0" distB="0" distL="114300" distR="114300" simplePos="0" relativeHeight="251662336" behindDoc="0" locked="0" layoutInCell="1" allowOverlap="1">
            <wp:simplePos x="0" y="0"/>
            <wp:positionH relativeFrom="column">
              <wp:posOffset>351790</wp:posOffset>
            </wp:positionH>
            <wp:positionV relativeFrom="paragraph">
              <wp:posOffset>1566545</wp:posOffset>
            </wp:positionV>
            <wp:extent cx="4286885" cy="2543175"/>
            <wp:effectExtent l="0" t="0" r="18415" b="9525"/>
            <wp:wrapTopAndBottom/>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10"/>
                    <a:stretch>
                      <a:fillRect/>
                    </a:stretch>
                  </pic:blipFill>
                  <pic:spPr>
                    <a:xfrm>
                      <a:off x="0" y="0"/>
                      <a:ext cx="4286885" cy="2543175"/>
                    </a:xfrm>
                    <a:prstGeom prst="rect">
                      <a:avLst/>
                    </a:prstGeom>
                    <a:noFill/>
                    <a:ln w="9525">
                      <a:noFill/>
                    </a:ln>
                  </pic:spPr>
                </pic:pic>
              </a:graphicData>
            </a:graphic>
          </wp:anchor>
        </w:drawing>
      </w:r>
      <w:r>
        <w:rPr>
          <w:rFonts w:hint="eastAsia" w:ascii="仿宋_GB2312" w:hAnsi="Times New Roman" w:eastAsia="仿宋_GB2312" w:cs="Times New Roman"/>
          <w:color w:val="000000"/>
          <w:sz w:val="32"/>
          <w:szCs w:val="32"/>
        </w:rPr>
        <w:t>202</w:t>
      </w:r>
      <w:r>
        <w:rPr>
          <w:rFonts w:hint="eastAsia" w:ascii="仿宋_GB2312" w:hAnsi="Times New Roman" w:eastAsia="仿宋_GB2312" w:cs="Times New Roman"/>
          <w:color w:val="000000"/>
          <w:sz w:val="32"/>
          <w:szCs w:val="32"/>
          <w:lang w:val="en-US" w:eastAsia="zh-CN"/>
        </w:rPr>
        <w:t>2</w:t>
      </w:r>
      <w:r>
        <w:rPr>
          <w:rFonts w:hint="eastAsia" w:ascii="仿宋_GB2312" w:hAnsi="Times New Roman" w:eastAsia="仿宋_GB2312" w:cs="Times New Roman"/>
          <w:color w:val="000000"/>
          <w:sz w:val="32"/>
          <w:szCs w:val="32"/>
        </w:rPr>
        <w:t>年度收、支总计</w:t>
      </w:r>
      <w:r>
        <w:rPr>
          <w:rFonts w:hint="eastAsia" w:ascii="仿宋_GB2312" w:eastAsia="仿宋_GB2312" w:cs="Times New Roman"/>
          <w:color w:val="000000"/>
          <w:sz w:val="32"/>
          <w:szCs w:val="32"/>
          <w:lang w:val="en-US" w:eastAsia="zh-CN"/>
        </w:rPr>
        <w:t>9167.55</w:t>
      </w:r>
      <w:r>
        <w:rPr>
          <w:rFonts w:hint="eastAsia" w:ascii="仿宋_GB2312" w:hAnsi="Times New Roman" w:eastAsia="仿宋_GB2312" w:cs="Times New Roman"/>
          <w:color w:val="000000"/>
          <w:sz w:val="32"/>
          <w:szCs w:val="32"/>
        </w:rPr>
        <w:t>万元。与</w:t>
      </w:r>
      <w:r>
        <w:rPr>
          <w:rFonts w:hint="eastAsia" w:ascii="仿宋_GB2312" w:hAnsi="Times New Roman" w:eastAsia="仿宋_GB2312" w:cs="Times New Roman"/>
          <w:color w:val="000000"/>
          <w:sz w:val="32"/>
          <w:szCs w:val="32"/>
          <w:lang w:val="en-US" w:eastAsia="zh-CN"/>
        </w:rPr>
        <w:t>2021</w:t>
      </w:r>
      <w:r>
        <w:rPr>
          <w:rFonts w:hint="eastAsia" w:ascii="仿宋_GB2312" w:hAnsi="Times New Roman" w:eastAsia="仿宋_GB2312" w:cs="Times New Roman"/>
          <w:color w:val="000000"/>
          <w:sz w:val="32"/>
          <w:szCs w:val="32"/>
        </w:rPr>
        <w:t>年</w:t>
      </w:r>
      <w:r>
        <w:rPr>
          <w:rFonts w:hint="eastAsia" w:ascii="仿宋_GB2312" w:eastAsia="仿宋_GB2312" w:cs="Times New Roman"/>
          <w:color w:val="000000"/>
          <w:sz w:val="32"/>
          <w:szCs w:val="32"/>
          <w:lang w:val="en-US" w:eastAsia="zh-CN"/>
        </w:rPr>
        <w:t>10388.46</w:t>
      </w:r>
      <w:r>
        <w:rPr>
          <w:rFonts w:hint="eastAsia" w:ascii="仿宋_GB2312" w:hAnsi="Times New Roman" w:eastAsia="仿宋_GB2312" w:cs="Times New Roman"/>
          <w:color w:val="000000"/>
          <w:sz w:val="32"/>
          <w:szCs w:val="32"/>
          <w:lang w:val="en-US" w:eastAsia="zh-CN"/>
        </w:rPr>
        <w:t>万元</w:t>
      </w:r>
      <w:r>
        <w:rPr>
          <w:rFonts w:hint="eastAsia" w:ascii="仿宋_GB2312" w:hAnsi="Times New Roman" w:eastAsia="仿宋_GB2312" w:cs="Times New Roman"/>
          <w:color w:val="000000"/>
          <w:sz w:val="32"/>
          <w:szCs w:val="32"/>
        </w:rPr>
        <w:t>相比，收、支总计</w:t>
      </w:r>
      <w:r>
        <w:rPr>
          <w:rFonts w:hint="eastAsia" w:ascii="仿宋_GB2312" w:hAnsi="Times New Roman" w:eastAsia="仿宋_GB2312" w:cs="Times New Roman"/>
          <w:color w:val="000000"/>
          <w:sz w:val="32"/>
          <w:szCs w:val="32"/>
          <w:lang w:eastAsia="zh-CN"/>
        </w:rPr>
        <w:t>各下降</w:t>
      </w:r>
      <w:r>
        <w:rPr>
          <w:rFonts w:hint="eastAsia" w:ascii="仿宋_GB2312" w:eastAsia="仿宋_GB2312" w:cs="Times New Roman"/>
          <w:color w:val="000000"/>
          <w:sz w:val="32"/>
          <w:szCs w:val="32"/>
          <w:lang w:val="en-US" w:eastAsia="zh-CN"/>
        </w:rPr>
        <w:t>1220.91</w:t>
      </w:r>
      <w:r>
        <w:rPr>
          <w:rFonts w:hint="eastAsia" w:ascii="仿宋_GB2312" w:hAnsi="Times New Roman" w:eastAsia="仿宋_GB2312" w:cs="Times New Roman"/>
          <w:color w:val="000000"/>
          <w:sz w:val="32"/>
          <w:szCs w:val="32"/>
        </w:rPr>
        <w:t>万元，</w:t>
      </w:r>
      <w:r>
        <w:rPr>
          <w:rFonts w:hint="eastAsia" w:ascii="仿宋_GB2312" w:hAnsi="Times New Roman" w:eastAsia="仿宋_GB2312" w:cs="Times New Roman"/>
          <w:color w:val="000000"/>
          <w:sz w:val="32"/>
          <w:szCs w:val="32"/>
          <w:lang w:eastAsia="zh-CN"/>
        </w:rPr>
        <w:t>下降</w:t>
      </w:r>
      <w:r>
        <w:rPr>
          <w:rFonts w:hint="eastAsia" w:ascii="仿宋_GB2312" w:eastAsia="仿宋_GB2312" w:cs="Times New Roman"/>
          <w:color w:val="000000"/>
          <w:sz w:val="32"/>
          <w:szCs w:val="32"/>
          <w:lang w:val="en-US" w:eastAsia="zh-CN"/>
        </w:rPr>
        <w:t>11.75</w:t>
      </w:r>
      <w:r>
        <w:rPr>
          <w:rFonts w:hint="eastAsia" w:ascii="仿宋_GB2312" w:hAnsi="Times New Roman" w:eastAsia="仿宋_GB2312" w:cs="Times New Roman"/>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2022年初结转和结余资金较上年下降917.8万元，下降76.93%。</w:t>
      </w:r>
    </w:p>
    <w:p>
      <w:pPr>
        <w:spacing w:line="600" w:lineRule="exact"/>
        <w:ind w:firstLine="480" w:firstLineChars="200"/>
        <w:outlineLvl w:val="1"/>
        <w:rPr>
          <w:rStyle w:val="19"/>
          <w:rFonts w:ascii="黑体" w:hAnsi="黑体" w:eastAsia="黑体"/>
          <w:b w:val="0"/>
          <w:color w:val="auto"/>
          <w:highlight w:val="none"/>
        </w:rPr>
      </w:pPr>
      <w:bookmarkStart w:id="35" w:name="_Toc844"/>
      <w:bookmarkStart w:id="36" w:name="_Toc15377209"/>
      <w:bookmarkStart w:id="37" w:name="_Toc15396607"/>
      <w:r>
        <w:rPr>
          <w:rFonts w:ascii="宋体" w:hAnsi="宋体" w:eastAsia="宋体" w:cs="宋体"/>
          <w:sz w:val="24"/>
          <w:szCs w:val="24"/>
        </w:rPr>
        <w:drawing>
          <wp:anchor distT="0" distB="0" distL="114300" distR="114300" simplePos="0" relativeHeight="251666432" behindDoc="0" locked="0" layoutInCell="1" allowOverlap="1">
            <wp:simplePos x="0" y="0"/>
            <wp:positionH relativeFrom="column">
              <wp:posOffset>438150</wp:posOffset>
            </wp:positionH>
            <wp:positionV relativeFrom="paragraph">
              <wp:posOffset>2390775</wp:posOffset>
            </wp:positionV>
            <wp:extent cx="4791075" cy="2705100"/>
            <wp:effectExtent l="0" t="0" r="9525" b="0"/>
            <wp:wrapTopAndBottom/>
            <wp:docPr id="12"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IMG_256"/>
                    <pic:cNvPicPr>
                      <a:picLocks noChangeAspect="1"/>
                    </pic:cNvPicPr>
                  </pic:nvPicPr>
                  <pic:blipFill>
                    <a:blip r:embed="rId11"/>
                    <a:stretch>
                      <a:fillRect/>
                    </a:stretch>
                  </pic:blipFill>
                  <pic:spPr>
                    <a:xfrm>
                      <a:off x="0" y="0"/>
                      <a:ext cx="4791075" cy="2705100"/>
                    </a:xfrm>
                    <a:prstGeom prst="rect">
                      <a:avLst/>
                    </a:prstGeom>
                    <a:noFill/>
                    <a:ln w="9525">
                      <a:noFill/>
                    </a:ln>
                  </pic:spPr>
                </pic:pic>
              </a:graphicData>
            </a:graphic>
          </wp:anchor>
        </w:drawing>
      </w:r>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9"/>
          <w:rFonts w:hint="eastAsia" w:ascii="黑体" w:hAnsi="黑体" w:eastAsia="黑体"/>
          <w:b w:val="0"/>
          <w:color w:val="auto"/>
          <w:highlight w:val="none"/>
        </w:rPr>
        <w:t>般公共预算财政拨款支出决算情况说明</w:t>
      </w:r>
      <w:bookmarkEnd w:id="35"/>
      <w:bookmarkEnd w:id="36"/>
      <w:bookmarkEnd w:id="37"/>
    </w:p>
    <w:p>
      <w:pPr>
        <w:spacing w:line="600" w:lineRule="exact"/>
        <w:ind w:firstLine="643" w:firstLineChars="200"/>
        <w:outlineLvl w:val="2"/>
        <w:rPr>
          <w:rFonts w:ascii="仿宋" w:hAnsi="仿宋" w:eastAsia="仿宋"/>
          <w:b/>
          <w:color w:val="auto"/>
          <w:sz w:val="32"/>
          <w:szCs w:val="32"/>
          <w:highlight w:val="none"/>
        </w:rPr>
      </w:pPr>
      <w:bookmarkStart w:id="38" w:name="_Toc21803"/>
      <w:bookmarkStart w:id="39" w:name="_Toc15377210"/>
      <w:r>
        <w:rPr>
          <w:rFonts w:hint="eastAsia" w:ascii="仿宋" w:hAnsi="仿宋" w:eastAsia="仿宋"/>
          <w:b/>
          <w:color w:val="auto"/>
          <w:sz w:val="32"/>
          <w:szCs w:val="32"/>
          <w:highlight w:val="none"/>
        </w:rPr>
        <w:t>（一）一般公共预算财政拨款支出决算总体情况</w:t>
      </w:r>
      <w:bookmarkEnd w:id="38"/>
      <w:bookmarkEnd w:id="39"/>
    </w:p>
    <w:p>
      <w:pPr>
        <w:spacing w:line="600" w:lineRule="exact"/>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9167.55</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支出减少</w:t>
      </w:r>
      <w:r>
        <w:rPr>
          <w:rFonts w:hint="eastAsia" w:ascii="仿宋" w:hAnsi="仿宋" w:eastAsia="仿宋"/>
          <w:color w:val="auto"/>
          <w:sz w:val="32"/>
          <w:szCs w:val="32"/>
          <w:highlight w:val="none"/>
          <w:lang w:val="en-US" w:eastAsia="zh-CN"/>
        </w:rPr>
        <w:t>689.67</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6.99</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医疗业务收入较</w:t>
      </w:r>
      <w:r>
        <w:rPr>
          <w:rFonts w:hint="eastAsia" w:ascii="仿宋" w:hAnsi="仿宋" w:eastAsia="仿宋"/>
          <w:color w:val="auto"/>
          <w:sz w:val="32"/>
          <w:szCs w:val="32"/>
          <w:highlight w:val="none"/>
          <w:lang w:val="en-US" w:eastAsia="zh-CN"/>
        </w:rPr>
        <w:t>2021年下降，支出随之下降。</w:t>
      </w:r>
    </w:p>
    <w:p>
      <w:pPr>
        <w:spacing w:line="600" w:lineRule="exact"/>
        <w:ind w:firstLine="643" w:firstLineChars="200"/>
        <w:outlineLvl w:val="2"/>
        <w:rPr>
          <w:rFonts w:ascii="仿宋" w:hAnsi="仿宋" w:eastAsia="仿宋"/>
          <w:b/>
          <w:color w:val="auto"/>
          <w:sz w:val="32"/>
          <w:szCs w:val="32"/>
          <w:highlight w:val="none"/>
        </w:rPr>
      </w:pPr>
      <w:bookmarkStart w:id="40" w:name="_Toc15377211"/>
      <w:bookmarkStart w:id="41" w:name="_Toc6853"/>
      <w:r>
        <w:rPr>
          <w:rFonts w:hint="eastAsia" w:ascii="仿宋" w:hAnsi="仿宋" w:eastAsia="仿宋"/>
          <w:b/>
          <w:color w:val="auto"/>
          <w:sz w:val="32"/>
          <w:szCs w:val="32"/>
          <w:highlight w:val="none"/>
        </w:rPr>
        <w:t>（二）一般公共预算财政拨款支出决算结构情况</w:t>
      </w:r>
      <w:bookmarkEnd w:id="40"/>
      <w:bookmarkEnd w:id="41"/>
    </w:p>
    <w:p>
      <w:pPr>
        <w:spacing w:line="600" w:lineRule="exact"/>
        <w:ind w:firstLine="640"/>
        <w:rPr>
          <w:rFonts w:ascii="仿宋" w:hAnsi="仿宋" w:eastAsia="仿宋"/>
          <w:color w:val="auto"/>
          <w:sz w:val="32"/>
          <w:szCs w:val="32"/>
          <w:highlight w:val="none"/>
        </w:rPr>
      </w:pPr>
      <w:r>
        <w:rPr>
          <w:rFonts w:ascii="宋体" w:hAnsi="宋体" w:eastAsia="宋体" w:cs="宋体"/>
          <w:sz w:val="24"/>
          <w:szCs w:val="24"/>
        </w:rPr>
        <w:drawing>
          <wp:anchor distT="0" distB="0" distL="114300" distR="114300" simplePos="0" relativeHeight="251664384" behindDoc="0" locked="0" layoutInCell="1" allowOverlap="1">
            <wp:simplePos x="0" y="0"/>
            <wp:positionH relativeFrom="column">
              <wp:posOffset>485775</wp:posOffset>
            </wp:positionH>
            <wp:positionV relativeFrom="paragraph">
              <wp:posOffset>1802765</wp:posOffset>
            </wp:positionV>
            <wp:extent cx="4180205" cy="2139315"/>
            <wp:effectExtent l="0" t="0" r="1270" b="3810"/>
            <wp:wrapTopAndBottom/>
            <wp:docPr id="1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IMG_256"/>
                    <pic:cNvPicPr>
                      <a:picLocks noChangeAspect="1"/>
                    </pic:cNvPicPr>
                  </pic:nvPicPr>
                  <pic:blipFill>
                    <a:blip r:embed="rId12"/>
                    <a:stretch>
                      <a:fillRect/>
                    </a:stretch>
                  </pic:blipFill>
                  <pic:spPr>
                    <a:xfrm>
                      <a:off x="0" y="0"/>
                      <a:ext cx="4180205" cy="2139315"/>
                    </a:xfrm>
                    <a:prstGeom prst="rect">
                      <a:avLst/>
                    </a:prstGeom>
                    <a:noFill/>
                    <a:ln w="9525">
                      <a:noFill/>
                    </a:ln>
                  </pic:spPr>
                </pic:pic>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9167.55</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社会保障和就业（类）</w:t>
      </w:r>
      <w:r>
        <w:rPr>
          <w:rFonts w:hint="eastAsia" w:ascii="仿宋" w:hAnsi="仿宋" w:eastAsia="仿宋"/>
          <w:color w:val="auto"/>
          <w:sz w:val="32"/>
          <w:szCs w:val="32"/>
          <w:highlight w:val="none"/>
        </w:rPr>
        <w:t>支出</w:t>
      </w:r>
      <w:r>
        <w:rPr>
          <w:rFonts w:hint="eastAsia" w:ascii="仿宋" w:hAnsi="仿宋" w:eastAsia="仿宋"/>
          <w:color w:val="auto"/>
          <w:sz w:val="32"/>
          <w:szCs w:val="32"/>
          <w:highlight w:val="none"/>
          <w:lang w:val="en-US" w:eastAsia="zh-CN"/>
        </w:rPr>
        <w:t>109.54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1.19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8962.60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97.76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w:t>
      </w:r>
      <w:r>
        <w:rPr>
          <w:rFonts w:hint="eastAsia" w:ascii="仿宋" w:hAnsi="仿宋" w:eastAsia="仿宋"/>
          <w:b w:val="0"/>
          <w:bCs w:val="0"/>
          <w:color w:val="auto"/>
          <w:sz w:val="32"/>
          <w:szCs w:val="32"/>
          <w:highlight w:val="none"/>
        </w:rPr>
        <w:t>支出</w:t>
      </w:r>
      <w:r>
        <w:rPr>
          <w:rFonts w:hint="eastAsia" w:ascii="仿宋" w:hAnsi="仿宋" w:eastAsia="仿宋"/>
          <w:b w:val="0"/>
          <w:bCs w:val="0"/>
          <w:color w:val="auto"/>
          <w:sz w:val="32"/>
          <w:szCs w:val="32"/>
          <w:highlight w:val="none"/>
          <w:lang w:val="en-US" w:eastAsia="zh-CN"/>
        </w:rPr>
        <w:t>95.41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3" w:firstLineChars="200"/>
        <w:outlineLvl w:val="2"/>
        <w:rPr>
          <w:rFonts w:ascii="仿宋" w:hAnsi="仿宋" w:eastAsia="仿宋"/>
          <w:b/>
          <w:color w:val="auto"/>
          <w:sz w:val="32"/>
          <w:szCs w:val="32"/>
          <w:highlight w:val="none"/>
        </w:rPr>
      </w:pPr>
      <w:bookmarkStart w:id="42" w:name="_Toc24771"/>
      <w:bookmarkStart w:id="43" w:name="_Toc15377212"/>
      <w:r>
        <w:rPr>
          <w:rFonts w:hint="eastAsia" w:ascii="仿宋" w:hAnsi="仿宋" w:eastAsia="仿宋"/>
          <w:b/>
          <w:color w:val="auto"/>
          <w:sz w:val="32"/>
          <w:szCs w:val="32"/>
          <w:highlight w:val="none"/>
        </w:rPr>
        <w:t>（三）一般公共预算财政拨款支出决算具体情况</w:t>
      </w:r>
      <w:bookmarkEnd w:id="42"/>
      <w:bookmarkEnd w:id="43"/>
    </w:p>
    <w:p>
      <w:pPr>
        <w:spacing w:line="600" w:lineRule="exact"/>
        <w:ind w:firstLine="643" w:firstLineChars="200"/>
        <w:jc w:val="both"/>
        <w:outlineLvl w:val="2"/>
        <w:rPr>
          <w:rStyle w:val="16"/>
          <w:rFonts w:hint="eastAsia" w:ascii="仿宋" w:hAnsi="仿宋" w:eastAsia="仿宋"/>
          <w:bCs/>
          <w:color w:val="000000"/>
          <w:sz w:val="32"/>
          <w:szCs w:val="32"/>
        </w:rPr>
      </w:pPr>
      <w:bookmarkStart w:id="44" w:name="_Toc15377213"/>
      <w:bookmarkStart w:id="45" w:name="_Toc15378460"/>
      <w:bookmarkStart w:id="46" w:name="_Toc15377444"/>
      <w:r>
        <w:rPr>
          <w:rFonts w:ascii="仿宋" w:hAnsi="仿宋" w:eastAsia="仿宋"/>
          <w:b/>
          <w:color w:val="000000"/>
          <w:sz w:val="32"/>
          <w:szCs w:val="32"/>
        </w:rPr>
        <w:t>202</w:t>
      </w:r>
      <w:r>
        <w:rPr>
          <w:rFonts w:hint="eastAsia" w:ascii="仿宋" w:hAnsi="仿宋" w:eastAsia="仿宋"/>
          <w:b/>
          <w:color w:val="000000"/>
          <w:sz w:val="32"/>
          <w:szCs w:val="32"/>
          <w:lang w:val="en-US" w:eastAsia="zh-CN"/>
        </w:rPr>
        <w:t>2</w:t>
      </w:r>
      <w:r>
        <w:rPr>
          <w:rFonts w:hint="eastAsia" w:ascii="仿宋" w:hAnsi="仿宋" w:eastAsia="仿宋"/>
          <w:b/>
          <w:color w:val="000000"/>
          <w:sz w:val="32"/>
          <w:szCs w:val="32"/>
        </w:rPr>
        <w:t>年一般公共预算支出决算数为</w:t>
      </w:r>
      <w:r>
        <w:rPr>
          <w:rFonts w:hint="eastAsia" w:ascii="仿宋" w:hAnsi="仿宋" w:eastAsia="仿宋"/>
          <w:b/>
          <w:color w:val="000000"/>
          <w:sz w:val="32"/>
          <w:szCs w:val="32"/>
          <w:lang w:val="en-US" w:eastAsia="zh-CN"/>
        </w:rPr>
        <w:t>9167.55万元</w:t>
      </w:r>
      <w:r>
        <w:rPr>
          <w:rFonts w:hint="eastAsia" w:ascii="仿宋" w:hAnsi="仿宋" w:eastAsia="仿宋"/>
          <w:color w:val="000000"/>
          <w:sz w:val="32"/>
          <w:szCs w:val="32"/>
        </w:rPr>
        <w:t>，</w:t>
      </w:r>
      <w:r>
        <w:rPr>
          <w:rStyle w:val="16"/>
          <w:rFonts w:hint="eastAsia" w:ascii="仿宋" w:hAnsi="仿宋" w:eastAsia="仿宋"/>
          <w:bCs/>
          <w:color w:val="000000"/>
          <w:sz w:val="32"/>
          <w:szCs w:val="32"/>
        </w:rPr>
        <w:t>完成预算</w:t>
      </w:r>
      <w:r>
        <w:rPr>
          <w:rStyle w:val="16"/>
          <w:rFonts w:hint="eastAsia" w:ascii="仿宋" w:hAnsi="仿宋" w:eastAsia="仿宋"/>
          <w:bCs/>
          <w:color w:val="000000"/>
          <w:sz w:val="32"/>
          <w:szCs w:val="32"/>
          <w:lang w:val="en-US" w:eastAsia="zh-CN"/>
        </w:rPr>
        <w:t>100</w:t>
      </w:r>
      <w:r>
        <w:rPr>
          <w:rStyle w:val="16"/>
          <w:rFonts w:ascii="仿宋" w:hAnsi="仿宋" w:eastAsia="仿宋"/>
          <w:bCs/>
          <w:color w:val="000000"/>
          <w:sz w:val="32"/>
          <w:szCs w:val="32"/>
        </w:rPr>
        <w:t>%</w:t>
      </w:r>
      <w:r>
        <w:rPr>
          <w:rStyle w:val="16"/>
          <w:rFonts w:hint="eastAsia" w:ascii="仿宋" w:hAnsi="仿宋" w:eastAsia="仿宋"/>
          <w:bCs/>
          <w:color w:val="000000"/>
          <w:sz w:val="32"/>
          <w:szCs w:val="32"/>
        </w:rPr>
        <w:t>。其中：</w:t>
      </w:r>
      <w:bookmarkEnd w:id="44"/>
      <w:bookmarkEnd w:id="45"/>
      <w:bookmarkEnd w:id="46"/>
    </w:p>
    <w:p>
      <w:pPr>
        <w:pStyle w:val="2"/>
        <w:numPr>
          <w:ilvl w:val="0"/>
          <w:numId w:val="2"/>
        </w:numPr>
        <w:ind w:left="0" w:leftChars="0" w:firstLine="400" w:firstLineChars="0"/>
        <w:rPr>
          <w:rFonts w:ascii="仿宋" w:hAnsi="仿宋" w:eastAsia="仿宋"/>
          <w:b/>
          <w:color w:val="000000"/>
          <w:sz w:val="32"/>
          <w:szCs w:val="32"/>
        </w:rPr>
      </w:pPr>
      <w:r>
        <w:rPr>
          <w:rStyle w:val="16"/>
          <w:rFonts w:hint="eastAsia" w:ascii="仿宋" w:hAnsi="仿宋" w:eastAsia="仿宋"/>
          <w:bCs/>
          <w:color w:val="000000"/>
          <w:sz w:val="32"/>
          <w:szCs w:val="32"/>
        </w:rPr>
        <w:t>社会保障和就业</w:t>
      </w:r>
      <w:r>
        <w:rPr>
          <w:rStyle w:val="16"/>
          <w:rFonts w:hint="eastAsia" w:ascii="仿宋" w:hAnsi="仿宋" w:eastAsia="仿宋"/>
          <w:bCs/>
          <w:color w:val="000000"/>
          <w:sz w:val="32"/>
          <w:szCs w:val="32"/>
          <w:lang w:eastAsia="zh-CN"/>
        </w:rPr>
        <w:t>支出</w:t>
      </w:r>
      <w:r>
        <w:rPr>
          <w:rStyle w:val="16"/>
          <w:rFonts w:hint="eastAsia" w:ascii="仿宋" w:hAnsi="仿宋" w:eastAsia="仿宋"/>
          <w:bCs/>
          <w:color w:val="000000"/>
          <w:sz w:val="32"/>
          <w:szCs w:val="32"/>
        </w:rPr>
        <w:t>（类）</w:t>
      </w:r>
      <w:r>
        <w:rPr>
          <w:rStyle w:val="16"/>
          <w:rFonts w:hint="eastAsia" w:ascii="仿宋" w:hAnsi="仿宋" w:eastAsia="仿宋"/>
          <w:bCs/>
          <w:color w:val="000000"/>
          <w:sz w:val="32"/>
          <w:szCs w:val="32"/>
          <w:lang w:eastAsia="zh-CN"/>
        </w:rPr>
        <w:t>人力资源和社会保障管理事务</w:t>
      </w:r>
      <w:r>
        <w:rPr>
          <w:rStyle w:val="16"/>
          <w:rFonts w:hint="eastAsia" w:ascii="仿宋" w:hAnsi="仿宋" w:eastAsia="仿宋"/>
          <w:bCs/>
          <w:color w:val="000000"/>
          <w:sz w:val="32"/>
          <w:szCs w:val="32"/>
        </w:rPr>
        <w:t>（</w:t>
      </w:r>
      <w:r>
        <w:rPr>
          <w:rStyle w:val="16"/>
          <w:rFonts w:hint="eastAsia" w:ascii="仿宋" w:hAnsi="仿宋" w:eastAsia="仿宋"/>
          <w:bCs/>
          <w:color w:val="000000"/>
          <w:sz w:val="32"/>
          <w:szCs w:val="32"/>
          <w:lang w:eastAsia="zh-CN"/>
        </w:rPr>
        <w:t>款</w:t>
      </w:r>
      <w:r>
        <w:rPr>
          <w:rStyle w:val="16"/>
          <w:rFonts w:hint="eastAsia" w:ascii="仿宋" w:hAnsi="仿宋" w:eastAsia="仿宋"/>
          <w:bCs/>
          <w:color w:val="000000"/>
          <w:sz w:val="32"/>
          <w:szCs w:val="32"/>
        </w:rPr>
        <w:t>）</w:t>
      </w:r>
      <w:r>
        <w:rPr>
          <w:rStyle w:val="16"/>
          <w:rFonts w:hint="eastAsia" w:ascii="仿宋" w:hAnsi="仿宋" w:eastAsia="仿宋"/>
          <w:bCs/>
          <w:color w:val="000000"/>
          <w:sz w:val="32"/>
          <w:szCs w:val="32"/>
          <w:lang w:eastAsia="zh-CN"/>
        </w:rPr>
        <w:t>其他人力资源和社会保障管理事务（项）：</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6.24</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w:t>
      </w:r>
    </w:p>
    <w:p>
      <w:pPr>
        <w:numPr>
          <w:ilvl w:val="0"/>
          <w:numId w:val="2"/>
        </w:numPr>
        <w:spacing w:line="600" w:lineRule="exact"/>
        <w:ind w:left="0" w:leftChars="0" w:firstLine="400" w:firstLineChars="0"/>
        <w:jc w:val="both"/>
        <w:rPr>
          <w:rStyle w:val="16"/>
          <w:rFonts w:hint="eastAsia" w:ascii="仿宋" w:hAnsi="仿宋" w:eastAsia="仿宋"/>
          <w:bCs/>
          <w:color w:val="000000"/>
          <w:sz w:val="32"/>
          <w:szCs w:val="32"/>
        </w:rPr>
      </w:pPr>
      <w:r>
        <w:rPr>
          <w:rStyle w:val="16"/>
          <w:rFonts w:hint="eastAsia" w:ascii="仿宋" w:hAnsi="仿宋" w:eastAsia="仿宋"/>
          <w:bCs/>
          <w:color w:val="000000"/>
          <w:sz w:val="32"/>
          <w:szCs w:val="32"/>
        </w:rPr>
        <w:t>社会保障和就业</w:t>
      </w:r>
      <w:r>
        <w:rPr>
          <w:rStyle w:val="16"/>
          <w:rFonts w:hint="eastAsia" w:ascii="仿宋" w:hAnsi="仿宋" w:eastAsia="仿宋"/>
          <w:bCs/>
          <w:color w:val="000000"/>
          <w:sz w:val="32"/>
          <w:szCs w:val="32"/>
          <w:lang w:eastAsia="zh-CN"/>
        </w:rPr>
        <w:t>支出</w:t>
      </w:r>
      <w:r>
        <w:rPr>
          <w:rStyle w:val="16"/>
          <w:rFonts w:hint="eastAsia" w:ascii="仿宋" w:hAnsi="仿宋" w:eastAsia="仿宋"/>
          <w:bCs/>
          <w:color w:val="000000"/>
          <w:sz w:val="32"/>
          <w:szCs w:val="32"/>
        </w:rPr>
        <w:t>（类）</w:t>
      </w:r>
      <w:r>
        <w:rPr>
          <w:rStyle w:val="16"/>
          <w:rFonts w:hint="eastAsia" w:ascii="仿宋" w:hAnsi="仿宋" w:eastAsia="仿宋"/>
          <w:bCs/>
          <w:color w:val="000000"/>
          <w:sz w:val="32"/>
          <w:szCs w:val="32"/>
          <w:lang w:eastAsia="zh-CN"/>
        </w:rPr>
        <w:t>行政事业单位养老支出</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eastAsia="zh-CN"/>
        </w:rPr>
        <w:t>机关事业单位基本养老保险缴费支出</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90.82</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w:t>
      </w:r>
    </w:p>
    <w:p>
      <w:pPr>
        <w:numPr>
          <w:ilvl w:val="0"/>
          <w:numId w:val="2"/>
        </w:numPr>
        <w:spacing w:line="600" w:lineRule="exact"/>
        <w:ind w:left="0" w:leftChars="0" w:firstLine="400" w:firstLineChars="0"/>
        <w:jc w:val="both"/>
        <w:rPr>
          <w:rStyle w:val="16"/>
          <w:rFonts w:hint="eastAsia" w:ascii="仿宋" w:hAnsi="仿宋" w:eastAsia="仿宋"/>
          <w:b w:val="0"/>
          <w:bCs/>
          <w:color w:val="000000"/>
          <w:sz w:val="32"/>
          <w:szCs w:val="32"/>
        </w:rPr>
      </w:pPr>
      <w:r>
        <w:rPr>
          <w:rStyle w:val="16"/>
          <w:rFonts w:hint="eastAsia" w:ascii="仿宋" w:hAnsi="仿宋" w:eastAsia="仿宋"/>
          <w:bCs/>
          <w:color w:val="000000"/>
          <w:sz w:val="32"/>
          <w:szCs w:val="32"/>
        </w:rPr>
        <w:t>社会保障和就业</w:t>
      </w:r>
      <w:r>
        <w:rPr>
          <w:rStyle w:val="16"/>
          <w:rFonts w:hint="eastAsia" w:ascii="仿宋" w:hAnsi="仿宋" w:eastAsia="仿宋"/>
          <w:bCs/>
          <w:color w:val="000000"/>
          <w:sz w:val="32"/>
          <w:szCs w:val="32"/>
          <w:lang w:eastAsia="zh-CN"/>
        </w:rPr>
        <w:t>支出</w:t>
      </w:r>
      <w:r>
        <w:rPr>
          <w:rStyle w:val="16"/>
          <w:rFonts w:hint="eastAsia" w:ascii="仿宋" w:hAnsi="仿宋" w:eastAsia="仿宋"/>
          <w:bCs/>
          <w:color w:val="000000"/>
          <w:sz w:val="32"/>
          <w:szCs w:val="32"/>
        </w:rPr>
        <w:t>（类）</w:t>
      </w:r>
      <w:r>
        <w:rPr>
          <w:rStyle w:val="16"/>
          <w:rFonts w:hint="eastAsia" w:ascii="仿宋" w:hAnsi="仿宋" w:eastAsia="仿宋"/>
          <w:bCs/>
          <w:color w:val="000000"/>
          <w:sz w:val="32"/>
          <w:szCs w:val="32"/>
          <w:lang w:eastAsia="zh-CN"/>
        </w:rPr>
        <w:t>行政事业单位养老支出</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eastAsia="zh-CN"/>
        </w:rPr>
        <w:t>机关事业单位职业年金缴费支出</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5.25</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w:t>
      </w:r>
    </w:p>
    <w:p>
      <w:pPr>
        <w:numPr>
          <w:ilvl w:val="0"/>
          <w:numId w:val="2"/>
        </w:numPr>
        <w:spacing w:line="600" w:lineRule="exact"/>
        <w:ind w:left="0" w:leftChars="0" w:firstLine="400" w:firstLineChars="0"/>
        <w:jc w:val="both"/>
        <w:rPr>
          <w:rStyle w:val="16"/>
          <w:rFonts w:hint="eastAsia" w:ascii="仿宋" w:hAnsi="仿宋" w:eastAsia="仿宋"/>
          <w:b w:val="0"/>
          <w:bCs/>
          <w:color w:val="000000"/>
          <w:sz w:val="32"/>
          <w:szCs w:val="32"/>
        </w:rPr>
      </w:pPr>
      <w:r>
        <w:rPr>
          <w:rStyle w:val="16"/>
          <w:rFonts w:hint="eastAsia" w:ascii="仿宋" w:hAnsi="仿宋" w:eastAsia="仿宋"/>
          <w:bCs/>
          <w:color w:val="000000"/>
          <w:sz w:val="32"/>
          <w:szCs w:val="32"/>
        </w:rPr>
        <w:t>社会保障和就业</w:t>
      </w:r>
      <w:r>
        <w:rPr>
          <w:rStyle w:val="16"/>
          <w:rFonts w:hint="eastAsia" w:ascii="仿宋" w:hAnsi="仿宋" w:eastAsia="仿宋"/>
          <w:bCs/>
          <w:color w:val="000000"/>
          <w:sz w:val="32"/>
          <w:szCs w:val="32"/>
          <w:lang w:eastAsia="zh-CN"/>
        </w:rPr>
        <w:t>支出</w:t>
      </w:r>
      <w:r>
        <w:rPr>
          <w:rStyle w:val="16"/>
          <w:rFonts w:hint="eastAsia" w:ascii="仿宋" w:hAnsi="仿宋" w:eastAsia="仿宋"/>
          <w:bCs/>
          <w:color w:val="000000"/>
          <w:sz w:val="32"/>
          <w:szCs w:val="32"/>
        </w:rPr>
        <w:t>（类）</w:t>
      </w:r>
      <w:r>
        <w:rPr>
          <w:rStyle w:val="16"/>
          <w:rFonts w:hint="eastAsia" w:ascii="仿宋" w:hAnsi="仿宋" w:eastAsia="仿宋"/>
          <w:bCs/>
          <w:color w:val="000000"/>
          <w:sz w:val="32"/>
          <w:szCs w:val="32"/>
          <w:lang w:eastAsia="zh-CN"/>
        </w:rPr>
        <w:t>其他社会保障和就业支出</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eastAsia="zh-CN"/>
        </w:rPr>
        <w:t>其他社会保障和就业支出</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7.23</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w:t>
      </w:r>
    </w:p>
    <w:p>
      <w:pPr>
        <w:pStyle w:val="2"/>
        <w:numPr>
          <w:ilvl w:val="0"/>
          <w:numId w:val="2"/>
        </w:numPr>
        <w:ind w:left="0" w:leftChars="0" w:firstLine="400" w:firstLineChars="0"/>
        <w:rPr>
          <w:rStyle w:val="16"/>
          <w:rFonts w:hint="eastAsia" w:ascii="仿宋" w:eastAsia="仿宋"/>
          <w:b w:val="0"/>
          <w:bCs/>
          <w:color w:val="000000"/>
          <w:sz w:val="32"/>
          <w:szCs w:val="32"/>
          <w:highlight w:val="none"/>
          <w:lang w:val="en-US" w:eastAsia="zh-CN"/>
        </w:rPr>
      </w:pPr>
      <w:r>
        <w:rPr>
          <w:rFonts w:hint="eastAsia" w:ascii="仿宋" w:hAnsi="仿宋" w:eastAsia="仿宋"/>
          <w:b/>
          <w:bCs/>
          <w:color w:val="000000"/>
          <w:sz w:val="32"/>
          <w:szCs w:val="32"/>
        </w:rPr>
        <w:t>卫生健康</w:t>
      </w:r>
      <w:r>
        <w:rPr>
          <w:rFonts w:hint="eastAsia" w:ascii="仿宋" w:hAnsi="仿宋" w:eastAsia="仿宋"/>
          <w:b/>
          <w:bCs/>
          <w:color w:val="000000"/>
          <w:sz w:val="32"/>
          <w:szCs w:val="32"/>
          <w:lang w:eastAsia="zh-CN"/>
        </w:rPr>
        <w:t>支出</w:t>
      </w:r>
      <w:r>
        <w:rPr>
          <w:rStyle w:val="16"/>
          <w:rFonts w:hint="eastAsia" w:ascii="仿宋" w:hAnsi="仿宋" w:eastAsia="仿宋"/>
          <w:bCs/>
          <w:color w:val="000000"/>
          <w:sz w:val="32"/>
          <w:szCs w:val="32"/>
        </w:rPr>
        <w:t>（类）</w:t>
      </w:r>
      <w:r>
        <w:rPr>
          <w:rStyle w:val="16"/>
          <w:rFonts w:hint="eastAsia" w:ascii="仿宋" w:hAnsi="仿宋" w:eastAsia="仿宋"/>
          <w:bCs/>
          <w:color w:val="000000"/>
          <w:sz w:val="32"/>
          <w:szCs w:val="32"/>
          <w:lang w:eastAsia="zh-CN"/>
        </w:rPr>
        <w:t>公立医院</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eastAsia="zh-CN"/>
        </w:rPr>
        <w:t>妇幼保健医院</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6.7</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eastAsia="仿宋"/>
          <w:b w:val="0"/>
          <w:bCs/>
          <w:color w:val="000000"/>
          <w:sz w:val="32"/>
          <w:szCs w:val="32"/>
          <w:highlight w:val="none"/>
          <w:lang w:val="en-US" w:eastAsia="zh-CN"/>
        </w:rPr>
        <w:t>。</w:t>
      </w:r>
    </w:p>
    <w:p>
      <w:pPr>
        <w:pStyle w:val="2"/>
        <w:numPr>
          <w:ilvl w:val="0"/>
          <w:numId w:val="2"/>
        </w:numPr>
        <w:ind w:left="0" w:leftChars="0" w:firstLine="400" w:firstLineChars="0"/>
        <w:rPr>
          <w:rStyle w:val="16"/>
          <w:rFonts w:hint="eastAsia" w:ascii="仿宋" w:eastAsia="仿宋"/>
          <w:b w:val="0"/>
          <w:bCs/>
          <w:color w:val="000000"/>
          <w:sz w:val="32"/>
          <w:szCs w:val="32"/>
          <w:highlight w:val="none"/>
          <w:lang w:val="en-US" w:eastAsia="zh-CN"/>
        </w:rPr>
      </w:pPr>
      <w:r>
        <w:rPr>
          <w:rFonts w:hint="eastAsia" w:ascii="仿宋" w:hAnsi="仿宋" w:eastAsia="仿宋"/>
          <w:b/>
          <w:bCs/>
          <w:color w:val="000000"/>
          <w:sz w:val="32"/>
          <w:szCs w:val="32"/>
        </w:rPr>
        <w:t>卫生健康</w:t>
      </w:r>
      <w:r>
        <w:rPr>
          <w:rFonts w:hint="eastAsia" w:ascii="仿宋" w:hAnsi="仿宋" w:eastAsia="仿宋"/>
          <w:b/>
          <w:bCs/>
          <w:color w:val="000000"/>
          <w:sz w:val="32"/>
          <w:szCs w:val="32"/>
          <w:lang w:eastAsia="zh-CN"/>
        </w:rPr>
        <w:t>支出</w:t>
      </w:r>
      <w:r>
        <w:rPr>
          <w:rStyle w:val="16"/>
          <w:rFonts w:hint="eastAsia" w:ascii="仿宋" w:hAnsi="仿宋" w:eastAsia="仿宋"/>
          <w:bCs/>
          <w:color w:val="000000"/>
          <w:sz w:val="32"/>
          <w:szCs w:val="32"/>
        </w:rPr>
        <w:t>（类）</w:t>
      </w:r>
      <w:r>
        <w:rPr>
          <w:rStyle w:val="16"/>
          <w:rFonts w:hint="eastAsia" w:ascii="仿宋" w:hAnsi="仿宋" w:eastAsia="仿宋"/>
          <w:bCs/>
          <w:color w:val="000000"/>
          <w:sz w:val="32"/>
          <w:szCs w:val="32"/>
          <w:lang w:eastAsia="zh-CN"/>
        </w:rPr>
        <w:t>公立医院</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eastAsia="zh-CN"/>
        </w:rPr>
        <w:t>其他公立医院</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20</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eastAsia="仿宋"/>
          <w:b w:val="0"/>
          <w:bCs/>
          <w:color w:val="000000"/>
          <w:sz w:val="32"/>
          <w:szCs w:val="32"/>
          <w:highlight w:val="none"/>
          <w:lang w:val="en-US" w:eastAsia="zh-CN"/>
        </w:rPr>
        <w:t>。</w:t>
      </w:r>
    </w:p>
    <w:p>
      <w:pPr>
        <w:numPr>
          <w:ilvl w:val="0"/>
          <w:numId w:val="2"/>
        </w:numPr>
        <w:spacing w:line="600" w:lineRule="exact"/>
        <w:ind w:left="0" w:leftChars="0" w:firstLine="400" w:firstLineChars="0"/>
        <w:rPr>
          <w:rStyle w:val="16"/>
          <w:rFonts w:hint="eastAsia" w:ascii="仿宋" w:hAnsi="仿宋" w:eastAsia="仿宋"/>
          <w:b w:val="0"/>
          <w:bCs/>
          <w:color w:val="000000"/>
          <w:sz w:val="32"/>
          <w:szCs w:val="32"/>
          <w:lang w:eastAsia="zh-CN"/>
        </w:rPr>
      </w:pPr>
      <w:r>
        <w:rPr>
          <w:rFonts w:hint="eastAsia" w:ascii="仿宋" w:hAnsi="仿宋" w:eastAsia="仿宋"/>
          <w:b/>
          <w:bCs/>
          <w:color w:val="000000"/>
          <w:sz w:val="32"/>
          <w:szCs w:val="32"/>
        </w:rPr>
        <w:t>卫生健康</w:t>
      </w:r>
      <w:r>
        <w:rPr>
          <w:rFonts w:hint="eastAsia" w:ascii="仿宋" w:hAnsi="仿宋" w:eastAsia="仿宋"/>
          <w:b/>
          <w:bCs/>
          <w:color w:val="000000"/>
          <w:sz w:val="32"/>
          <w:szCs w:val="32"/>
          <w:lang w:eastAsia="zh-CN"/>
        </w:rPr>
        <w:t>支出</w:t>
      </w:r>
      <w:r>
        <w:rPr>
          <w:rStyle w:val="16"/>
          <w:rFonts w:hint="eastAsia" w:ascii="仿宋" w:hAnsi="仿宋" w:eastAsia="仿宋"/>
          <w:bCs/>
          <w:color w:val="000000"/>
          <w:sz w:val="32"/>
          <w:szCs w:val="32"/>
        </w:rPr>
        <w:t>（类）</w:t>
      </w:r>
      <w:r>
        <w:rPr>
          <w:rStyle w:val="16"/>
          <w:rFonts w:hint="eastAsia" w:ascii="仿宋" w:hAnsi="仿宋" w:eastAsia="仿宋"/>
          <w:bCs/>
          <w:color w:val="000000"/>
          <w:sz w:val="32"/>
          <w:szCs w:val="32"/>
          <w:lang w:eastAsia="zh-CN"/>
        </w:rPr>
        <w:t>公共卫生</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eastAsia="zh-CN"/>
        </w:rPr>
        <w:t>妇幼保健机构</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1318.7</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eastAsia="仿宋"/>
          <w:b w:val="0"/>
          <w:bCs/>
          <w:color w:val="000000"/>
          <w:sz w:val="32"/>
          <w:szCs w:val="32"/>
          <w:highlight w:val="none"/>
          <w:lang w:val="en-US" w:eastAsia="zh-CN"/>
        </w:rPr>
        <w:t>。</w:t>
      </w:r>
    </w:p>
    <w:p>
      <w:pPr>
        <w:numPr>
          <w:ilvl w:val="0"/>
          <w:numId w:val="2"/>
        </w:numPr>
        <w:spacing w:line="240" w:lineRule="auto"/>
        <w:ind w:left="0" w:leftChars="0" w:firstLine="400" w:firstLineChars="0"/>
        <w:jc w:val="both"/>
        <w:rPr>
          <w:rStyle w:val="16"/>
          <w:rFonts w:hint="eastAsia" w:ascii="仿宋" w:hAnsi="仿宋" w:eastAsia="仿宋"/>
          <w:b w:val="0"/>
          <w:bCs/>
          <w:color w:val="000000"/>
          <w:sz w:val="32"/>
          <w:szCs w:val="32"/>
        </w:rPr>
      </w:pPr>
      <w:r>
        <w:rPr>
          <w:rFonts w:hint="eastAsia" w:ascii="仿宋" w:hAnsi="仿宋" w:eastAsia="仿宋"/>
          <w:b/>
          <w:bCs/>
          <w:color w:val="000000"/>
          <w:sz w:val="32"/>
          <w:szCs w:val="32"/>
        </w:rPr>
        <w:t>卫生健康</w:t>
      </w:r>
      <w:r>
        <w:rPr>
          <w:rFonts w:hint="eastAsia" w:ascii="仿宋" w:hAnsi="仿宋" w:eastAsia="仿宋"/>
          <w:b/>
          <w:bCs/>
          <w:color w:val="000000"/>
          <w:sz w:val="32"/>
          <w:szCs w:val="32"/>
          <w:lang w:eastAsia="zh-CN"/>
        </w:rPr>
        <w:t>支出</w:t>
      </w:r>
      <w:r>
        <w:rPr>
          <w:rStyle w:val="16"/>
          <w:rFonts w:hint="eastAsia" w:ascii="仿宋" w:hAnsi="仿宋" w:eastAsia="仿宋"/>
          <w:bCs/>
          <w:color w:val="000000"/>
          <w:sz w:val="32"/>
          <w:szCs w:val="32"/>
        </w:rPr>
        <w:t>（类）</w:t>
      </w:r>
      <w:r>
        <w:rPr>
          <w:rStyle w:val="16"/>
          <w:rFonts w:hint="eastAsia" w:ascii="仿宋" w:hAnsi="仿宋" w:eastAsia="仿宋"/>
          <w:bCs/>
          <w:color w:val="000000"/>
          <w:sz w:val="32"/>
          <w:szCs w:val="32"/>
          <w:lang w:eastAsia="zh-CN"/>
        </w:rPr>
        <w:t>公共卫生</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eastAsia="zh-CN"/>
        </w:rPr>
        <w:t>重大公共卫生服务</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24.76</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w:t>
      </w:r>
    </w:p>
    <w:p>
      <w:pPr>
        <w:numPr>
          <w:ilvl w:val="0"/>
          <w:numId w:val="2"/>
        </w:numPr>
        <w:spacing w:line="240" w:lineRule="auto"/>
        <w:ind w:left="0" w:leftChars="0" w:firstLine="400" w:firstLineChars="0"/>
        <w:jc w:val="both"/>
        <w:rPr>
          <w:rStyle w:val="16"/>
          <w:rFonts w:hint="eastAsia" w:ascii="仿宋" w:hAnsi="仿宋" w:eastAsia="仿宋"/>
          <w:b w:val="0"/>
          <w:bCs/>
          <w:color w:val="auto"/>
          <w:sz w:val="32"/>
          <w:szCs w:val="32"/>
          <w:lang w:eastAsia="zh-CN"/>
        </w:rPr>
      </w:pPr>
      <w:r>
        <w:rPr>
          <w:rFonts w:hint="eastAsia" w:ascii="仿宋" w:hAnsi="仿宋" w:eastAsia="仿宋"/>
          <w:b/>
          <w:bCs/>
          <w:color w:val="auto"/>
          <w:sz w:val="32"/>
          <w:szCs w:val="32"/>
        </w:rPr>
        <w:t>卫生健康</w:t>
      </w:r>
      <w:r>
        <w:rPr>
          <w:rFonts w:hint="eastAsia" w:ascii="仿宋" w:hAnsi="仿宋" w:eastAsia="仿宋"/>
          <w:b/>
          <w:bCs/>
          <w:color w:val="auto"/>
          <w:sz w:val="32"/>
          <w:szCs w:val="32"/>
          <w:lang w:eastAsia="zh-CN"/>
        </w:rPr>
        <w:t>支出</w:t>
      </w:r>
      <w:r>
        <w:rPr>
          <w:rStyle w:val="16"/>
          <w:rFonts w:hint="eastAsia" w:ascii="仿宋" w:hAnsi="仿宋" w:eastAsia="仿宋"/>
          <w:bCs/>
          <w:color w:val="auto"/>
          <w:sz w:val="32"/>
          <w:szCs w:val="32"/>
        </w:rPr>
        <w:t>（类）</w:t>
      </w:r>
      <w:r>
        <w:rPr>
          <w:rStyle w:val="16"/>
          <w:rFonts w:hint="eastAsia" w:ascii="仿宋" w:hAnsi="仿宋" w:eastAsia="仿宋"/>
          <w:bCs/>
          <w:color w:val="auto"/>
          <w:sz w:val="32"/>
          <w:szCs w:val="32"/>
          <w:lang w:eastAsia="zh-CN"/>
        </w:rPr>
        <w:t>公共卫生</w:t>
      </w:r>
      <w:r>
        <w:rPr>
          <w:rStyle w:val="16"/>
          <w:rFonts w:hint="eastAsia" w:ascii="仿宋" w:hAnsi="仿宋" w:eastAsia="仿宋"/>
          <w:bCs/>
          <w:color w:val="auto"/>
          <w:sz w:val="32"/>
          <w:szCs w:val="32"/>
        </w:rPr>
        <w:t>（款）</w:t>
      </w:r>
      <w:r>
        <w:rPr>
          <w:rStyle w:val="16"/>
          <w:rFonts w:hint="eastAsia" w:ascii="仿宋" w:hAnsi="仿宋" w:eastAsia="仿宋"/>
          <w:bCs/>
          <w:color w:val="auto"/>
          <w:sz w:val="32"/>
          <w:szCs w:val="32"/>
          <w:lang w:eastAsia="zh-CN"/>
        </w:rPr>
        <w:t>突发公共卫生事件应急处理</w:t>
      </w:r>
      <w:r>
        <w:rPr>
          <w:rStyle w:val="16"/>
          <w:rFonts w:hint="eastAsia" w:ascii="仿宋" w:hAnsi="仿宋" w:eastAsia="仿宋"/>
          <w:bCs/>
          <w:color w:val="auto"/>
          <w:sz w:val="32"/>
          <w:szCs w:val="32"/>
        </w:rPr>
        <w:t>（项）</w:t>
      </w:r>
      <w:r>
        <w:rPr>
          <w:rStyle w:val="16"/>
          <w:rFonts w:ascii="仿宋" w:hAnsi="仿宋" w:eastAsia="仿宋"/>
          <w:bCs/>
          <w:color w:val="auto"/>
          <w:sz w:val="32"/>
          <w:szCs w:val="32"/>
        </w:rPr>
        <w:t>:</w:t>
      </w:r>
      <w:r>
        <w:rPr>
          <w:rStyle w:val="16"/>
          <w:rFonts w:hint="eastAsia" w:ascii="仿宋" w:hAnsi="仿宋" w:eastAsia="仿宋"/>
          <w:b w:val="0"/>
          <w:bCs/>
          <w:color w:val="auto"/>
          <w:sz w:val="32"/>
          <w:szCs w:val="32"/>
        </w:rPr>
        <w:t>支出决算为</w:t>
      </w:r>
      <w:r>
        <w:rPr>
          <w:rStyle w:val="16"/>
          <w:rFonts w:hint="eastAsia" w:ascii="仿宋" w:hAnsi="仿宋" w:eastAsia="仿宋"/>
          <w:b w:val="0"/>
          <w:bCs/>
          <w:color w:val="auto"/>
          <w:sz w:val="32"/>
          <w:szCs w:val="32"/>
          <w:lang w:val="en-US" w:eastAsia="zh-CN"/>
        </w:rPr>
        <w:t>7.39</w:t>
      </w:r>
      <w:r>
        <w:rPr>
          <w:rStyle w:val="16"/>
          <w:rFonts w:hint="eastAsia" w:ascii="仿宋" w:hAnsi="仿宋" w:eastAsia="仿宋"/>
          <w:b w:val="0"/>
          <w:bCs/>
          <w:color w:val="auto"/>
          <w:sz w:val="32"/>
          <w:szCs w:val="32"/>
        </w:rPr>
        <w:t>万元，完成预算</w:t>
      </w:r>
      <w:r>
        <w:rPr>
          <w:rStyle w:val="16"/>
          <w:rFonts w:hint="eastAsia" w:ascii="仿宋" w:hAnsi="仿宋" w:eastAsia="仿宋"/>
          <w:b w:val="0"/>
          <w:bCs/>
          <w:color w:val="auto"/>
          <w:sz w:val="32"/>
          <w:szCs w:val="32"/>
          <w:lang w:val="en-US" w:eastAsia="zh-CN"/>
        </w:rPr>
        <w:t>100</w:t>
      </w:r>
      <w:r>
        <w:rPr>
          <w:rStyle w:val="16"/>
          <w:rFonts w:ascii="仿宋" w:hAnsi="仿宋" w:eastAsia="仿宋"/>
          <w:b w:val="0"/>
          <w:bCs/>
          <w:color w:val="auto"/>
          <w:sz w:val="32"/>
          <w:szCs w:val="32"/>
        </w:rPr>
        <w:t>%</w:t>
      </w:r>
      <w:r>
        <w:rPr>
          <w:rStyle w:val="16"/>
          <w:rFonts w:hint="eastAsia" w:ascii="仿宋" w:hAnsi="仿宋" w:eastAsia="仿宋"/>
          <w:b w:val="0"/>
          <w:bCs/>
          <w:color w:val="auto"/>
          <w:sz w:val="32"/>
          <w:szCs w:val="32"/>
          <w:lang w:eastAsia="zh-CN"/>
        </w:rPr>
        <w:t>，</w:t>
      </w:r>
    </w:p>
    <w:p>
      <w:pPr>
        <w:numPr>
          <w:ilvl w:val="0"/>
          <w:numId w:val="2"/>
        </w:numPr>
        <w:spacing w:line="240" w:lineRule="auto"/>
        <w:ind w:left="0" w:leftChars="0" w:firstLine="400" w:firstLineChars="0"/>
        <w:jc w:val="both"/>
        <w:rPr>
          <w:rStyle w:val="16"/>
          <w:rFonts w:hint="eastAsia" w:ascii="仿宋" w:hAnsi="仿宋" w:eastAsia="仿宋"/>
          <w:b w:val="0"/>
          <w:bCs/>
          <w:color w:val="000000"/>
          <w:sz w:val="32"/>
          <w:szCs w:val="32"/>
        </w:rPr>
      </w:pPr>
      <w:r>
        <w:rPr>
          <w:rFonts w:hint="eastAsia" w:ascii="仿宋" w:hAnsi="仿宋" w:eastAsia="仿宋"/>
          <w:b/>
          <w:bCs/>
          <w:color w:val="000000"/>
          <w:sz w:val="32"/>
          <w:szCs w:val="32"/>
        </w:rPr>
        <w:t>卫生健康</w:t>
      </w:r>
      <w:r>
        <w:rPr>
          <w:rFonts w:hint="eastAsia" w:ascii="仿宋" w:hAnsi="仿宋" w:eastAsia="仿宋"/>
          <w:b/>
          <w:bCs/>
          <w:color w:val="000000"/>
          <w:sz w:val="32"/>
          <w:szCs w:val="32"/>
          <w:lang w:eastAsia="zh-CN"/>
        </w:rPr>
        <w:t>支出</w:t>
      </w:r>
      <w:r>
        <w:rPr>
          <w:rStyle w:val="16"/>
          <w:rFonts w:hint="eastAsia" w:ascii="仿宋" w:hAnsi="仿宋" w:eastAsia="仿宋"/>
          <w:bCs/>
          <w:color w:val="000000"/>
          <w:sz w:val="32"/>
          <w:szCs w:val="32"/>
        </w:rPr>
        <w:t>（类）</w:t>
      </w:r>
      <w:r>
        <w:rPr>
          <w:rStyle w:val="16"/>
          <w:rFonts w:hint="eastAsia" w:ascii="仿宋" w:hAnsi="仿宋" w:eastAsia="仿宋"/>
          <w:bCs/>
          <w:color w:val="000000"/>
          <w:sz w:val="32"/>
          <w:szCs w:val="32"/>
          <w:lang w:eastAsia="zh-CN"/>
        </w:rPr>
        <w:t>公共卫生</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eastAsia="zh-CN"/>
        </w:rPr>
        <w:t>其他公共卫生服务</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7298.98</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w:t>
      </w:r>
    </w:p>
    <w:p>
      <w:pPr>
        <w:numPr>
          <w:ilvl w:val="0"/>
          <w:numId w:val="2"/>
        </w:numPr>
        <w:spacing w:line="240" w:lineRule="auto"/>
        <w:ind w:left="0" w:leftChars="0" w:firstLine="400" w:firstLineChars="0"/>
        <w:jc w:val="both"/>
        <w:rPr>
          <w:rStyle w:val="16"/>
          <w:rFonts w:hint="eastAsia" w:ascii="仿宋" w:hAnsi="仿宋" w:eastAsia="仿宋"/>
          <w:b w:val="0"/>
          <w:bCs/>
          <w:color w:val="000000"/>
          <w:sz w:val="32"/>
          <w:szCs w:val="32"/>
        </w:rPr>
      </w:pPr>
      <w:r>
        <w:rPr>
          <w:rFonts w:hint="eastAsia" w:ascii="仿宋" w:hAnsi="仿宋" w:eastAsia="仿宋"/>
          <w:b/>
          <w:bCs/>
          <w:color w:val="000000"/>
          <w:sz w:val="32"/>
          <w:szCs w:val="32"/>
        </w:rPr>
        <w:t>卫生健康</w:t>
      </w:r>
      <w:r>
        <w:rPr>
          <w:rFonts w:hint="eastAsia" w:ascii="仿宋" w:hAnsi="仿宋" w:eastAsia="仿宋"/>
          <w:b/>
          <w:bCs/>
          <w:color w:val="000000"/>
          <w:sz w:val="32"/>
          <w:szCs w:val="32"/>
          <w:lang w:eastAsia="zh-CN"/>
        </w:rPr>
        <w:t>支出</w:t>
      </w:r>
      <w:r>
        <w:rPr>
          <w:rStyle w:val="16"/>
          <w:rFonts w:hint="eastAsia" w:ascii="仿宋" w:hAnsi="仿宋" w:eastAsia="仿宋"/>
          <w:bCs/>
          <w:color w:val="000000"/>
          <w:sz w:val="32"/>
          <w:szCs w:val="32"/>
        </w:rPr>
        <w:t>（类）</w:t>
      </w:r>
      <w:r>
        <w:rPr>
          <w:rStyle w:val="16"/>
          <w:rFonts w:hint="eastAsia" w:ascii="仿宋" w:hAnsi="仿宋" w:eastAsia="仿宋"/>
          <w:bCs/>
          <w:color w:val="000000"/>
          <w:sz w:val="32"/>
          <w:szCs w:val="32"/>
          <w:lang w:eastAsia="zh-CN"/>
        </w:rPr>
        <w:t>计划生育服务</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eastAsia="zh-CN"/>
        </w:rPr>
        <w:t>其他计划生育服务支出</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20</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w:t>
      </w:r>
    </w:p>
    <w:p>
      <w:pPr>
        <w:numPr>
          <w:ilvl w:val="0"/>
          <w:numId w:val="2"/>
        </w:numPr>
        <w:spacing w:line="240" w:lineRule="auto"/>
        <w:ind w:left="0" w:leftChars="0" w:firstLine="400" w:firstLineChars="0"/>
        <w:jc w:val="both"/>
        <w:rPr>
          <w:rStyle w:val="16"/>
          <w:rFonts w:hint="eastAsia" w:ascii="仿宋" w:hAnsi="仿宋" w:eastAsia="仿宋"/>
          <w:b w:val="0"/>
          <w:bCs/>
          <w:color w:val="000000"/>
          <w:sz w:val="32"/>
          <w:szCs w:val="32"/>
        </w:rPr>
      </w:pPr>
      <w:r>
        <w:rPr>
          <w:rFonts w:hint="eastAsia" w:ascii="仿宋" w:hAnsi="仿宋" w:eastAsia="仿宋"/>
          <w:b/>
          <w:bCs/>
          <w:color w:val="000000"/>
          <w:sz w:val="32"/>
          <w:szCs w:val="32"/>
        </w:rPr>
        <w:t>卫生健康</w:t>
      </w:r>
      <w:r>
        <w:rPr>
          <w:rFonts w:hint="eastAsia" w:ascii="仿宋" w:hAnsi="仿宋" w:eastAsia="仿宋"/>
          <w:b/>
          <w:bCs/>
          <w:color w:val="000000"/>
          <w:sz w:val="32"/>
          <w:szCs w:val="32"/>
          <w:lang w:eastAsia="zh-CN"/>
        </w:rPr>
        <w:t>支出</w:t>
      </w:r>
      <w:r>
        <w:rPr>
          <w:rStyle w:val="16"/>
          <w:rFonts w:hint="eastAsia" w:ascii="仿宋" w:hAnsi="仿宋" w:eastAsia="仿宋"/>
          <w:bCs/>
          <w:color w:val="000000"/>
          <w:sz w:val="32"/>
          <w:szCs w:val="32"/>
        </w:rPr>
        <w:t>（类）</w:t>
      </w:r>
      <w:r>
        <w:rPr>
          <w:rStyle w:val="16"/>
          <w:rFonts w:hint="eastAsia" w:ascii="仿宋" w:hAnsi="仿宋" w:eastAsia="仿宋"/>
          <w:bCs/>
          <w:color w:val="000000"/>
          <w:sz w:val="32"/>
          <w:szCs w:val="32"/>
          <w:lang w:eastAsia="zh-CN"/>
        </w:rPr>
        <w:t>行政事业单位医疗</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eastAsia="zh-CN"/>
        </w:rPr>
        <w:t>事业单位医疗</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45.41</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w:t>
      </w:r>
    </w:p>
    <w:p>
      <w:pPr>
        <w:pStyle w:val="2"/>
        <w:numPr>
          <w:ilvl w:val="0"/>
          <w:numId w:val="2"/>
        </w:numPr>
        <w:ind w:left="0" w:leftChars="0" w:firstLine="400" w:firstLineChars="0"/>
        <w:rPr>
          <w:rFonts w:hint="default" w:eastAsia="宋体"/>
          <w:lang w:val="en-US" w:eastAsia="zh-CN"/>
        </w:rPr>
      </w:pPr>
      <w:r>
        <w:rPr>
          <w:rFonts w:hint="eastAsia" w:ascii="仿宋" w:hAnsi="仿宋" w:eastAsia="仿宋"/>
          <w:b/>
          <w:bCs/>
          <w:color w:val="000000"/>
          <w:sz w:val="32"/>
          <w:szCs w:val="32"/>
        </w:rPr>
        <w:t>卫生健康</w:t>
      </w:r>
      <w:r>
        <w:rPr>
          <w:rFonts w:hint="eastAsia" w:ascii="仿宋" w:hAnsi="仿宋" w:eastAsia="仿宋"/>
          <w:b/>
          <w:bCs/>
          <w:color w:val="000000"/>
          <w:sz w:val="32"/>
          <w:szCs w:val="32"/>
          <w:lang w:eastAsia="zh-CN"/>
        </w:rPr>
        <w:t>支出</w:t>
      </w:r>
      <w:r>
        <w:rPr>
          <w:rStyle w:val="16"/>
          <w:rFonts w:hint="eastAsia" w:ascii="仿宋" w:hAnsi="仿宋" w:eastAsia="仿宋"/>
          <w:bCs/>
          <w:color w:val="000000"/>
          <w:sz w:val="32"/>
          <w:szCs w:val="32"/>
        </w:rPr>
        <w:t>（类）</w:t>
      </w:r>
      <w:r>
        <w:rPr>
          <w:rStyle w:val="16"/>
          <w:rFonts w:hint="eastAsia" w:ascii="仿宋" w:hAnsi="仿宋" w:eastAsia="仿宋"/>
          <w:bCs/>
          <w:color w:val="000000"/>
          <w:sz w:val="32"/>
          <w:szCs w:val="32"/>
          <w:lang w:eastAsia="zh-CN"/>
        </w:rPr>
        <w:t>其他卫生健康支出</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eastAsia="zh-CN"/>
        </w:rPr>
        <w:t>其他卫生健康支出</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220.67</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w:t>
      </w:r>
    </w:p>
    <w:p>
      <w:pPr>
        <w:numPr>
          <w:ilvl w:val="0"/>
          <w:numId w:val="2"/>
        </w:numPr>
        <w:spacing w:line="240" w:lineRule="auto"/>
        <w:ind w:left="0" w:leftChars="0" w:firstLine="400" w:firstLineChars="0"/>
        <w:jc w:val="both"/>
        <w:rPr>
          <w:rFonts w:ascii="仿宋" w:hAnsi="仿宋" w:eastAsia="仿宋"/>
          <w:b/>
          <w:color w:val="auto"/>
          <w:sz w:val="32"/>
          <w:szCs w:val="32"/>
          <w:highlight w:val="none"/>
        </w:rPr>
      </w:pPr>
      <w:r>
        <w:rPr>
          <w:rFonts w:hint="eastAsia" w:ascii="仿宋" w:hAnsi="仿宋" w:eastAsia="仿宋"/>
          <w:b/>
          <w:bCs/>
          <w:color w:val="000000"/>
          <w:sz w:val="32"/>
          <w:szCs w:val="32"/>
          <w:lang w:eastAsia="zh-CN"/>
        </w:rPr>
        <w:t>住房保障支出</w:t>
      </w:r>
      <w:r>
        <w:rPr>
          <w:rStyle w:val="16"/>
          <w:rFonts w:hint="eastAsia" w:ascii="仿宋" w:hAnsi="仿宋" w:eastAsia="仿宋"/>
          <w:bCs/>
          <w:color w:val="000000"/>
          <w:sz w:val="32"/>
          <w:szCs w:val="32"/>
        </w:rPr>
        <w:t>（类）</w:t>
      </w:r>
      <w:r>
        <w:rPr>
          <w:rStyle w:val="16"/>
          <w:rFonts w:hint="eastAsia" w:ascii="仿宋" w:hAnsi="仿宋" w:eastAsia="仿宋"/>
          <w:bCs/>
          <w:color w:val="000000"/>
          <w:sz w:val="32"/>
          <w:szCs w:val="32"/>
          <w:lang w:eastAsia="zh-CN"/>
        </w:rPr>
        <w:t>住房改革支出</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eastAsia="zh-CN"/>
        </w:rPr>
        <w:t>住房公积金</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95.41</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w:t>
      </w:r>
    </w:p>
    <w:p>
      <w:pPr>
        <w:tabs>
          <w:tab w:val="right" w:pos="8306"/>
        </w:tabs>
        <w:spacing w:line="600" w:lineRule="exact"/>
        <w:ind w:firstLine="640"/>
        <w:outlineLvl w:val="1"/>
        <w:rPr>
          <w:rStyle w:val="19"/>
          <w:color w:val="auto"/>
          <w:highlight w:val="none"/>
        </w:rPr>
      </w:pPr>
      <w:bookmarkStart w:id="47" w:name="_Toc25865"/>
      <w:bookmarkStart w:id="48" w:name="_Toc15377214"/>
      <w:bookmarkStart w:id="49"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9"/>
          <w:rFonts w:hint="eastAsia" w:ascii="黑体" w:hAnsi="黑体" w:eastAsia="黑体"/>
          <w:b w:val="0"/>
          <w:color w:val="auto"/>
          <w:highlight w:val="none"/>
        </w:rPr>
        <w:t>般公共预算财政拨款基本支出决算情况说明</w:t>
      </w:r>
      <w:bookmarkEnd w:id="47"/>
      <w:bookmarkEnd w:id="48"/>
      <w:bookmarkEnd w:id="49"/>
      <w:r>
        <w:rPr>
          <w:rStyle w:val="19"/>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1575.75</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1463.11</w:t>
      </w:r>
      <w:r>
        <w:rPr>
          <w:rFonts w:hint="eastAsia" w:ascii="仿宋" w:hAnsi="仿宋" w:eastAsia="仿宋"/>
          <w:color w:val="auto"/>
          <w:sz w:val="32"/>
          <w:szCs w:val="32"/>
          <w:highlight w:val="none"/>
        </w:rPr>
        <w:t>万元，主要包括：基本工资、津贴补贴、奖金、绩效工资、机关事业单位基本养老保险缴费、职业年金缴费、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其他社会保障缴费、其他工资福利支出、住房公积金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生活补助。</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112.64</w:t>
      </w:r>
      <w:r>
        <w:rPr>
          <w:rFonts w:hint="eastAsia" w:ascii="仿宋" w:hAnsi="仿宋" w:eastAsia="仿宋"/>
          <w:color w:val="auto"/>
          <w:sz w:val="32"/>
          <w:szCs w:val="32"/>
          <w:highlight w:val="none"/>
        </w:rPr>
        <w:t>万元，主要包括：印刷费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维修（护）费、工会经费、福利费、公务用车运行维护费、其他交通费</w:t>
      </w:r>
      <w:r>
        <w:rPr>
          <w:rFonts w:hint="eastAsia" w:ascii="仿宋" w:hAnsi="仿宋" w:eastAsia="仿宋"/>
          <w:color w:val="auto"/>
          <w:sz w:val="32"/>
          <w:szCs w:val="32"/>
          <w:highlight w:val="none"/>
          <w:lang w:val="en-US" w:eastAsia="zh-CN"/>
        </w:rPr>
        <w:t>用</w:t>
      </w:r>
      <w:r>
        <w:rPr>
          <w:rFonts w:hint="eastAsia" w:ascii="仿宋" w:hAnsi="仿宋" w:eastAsia="仿宋"/>
          <w:color w:val="auto"/>
          <w:sz w:val="32"/>
          <w:szCs w:val="32"/>
          <w:highlight w:val="none"/>
        </w:rPr>
        <w:t>、其他商品和服务支出。</w:t>
      </w:r>
    </w:p>
    <w:p>
      <w:pPr>
        <w:spacing w:line="600" w:lineRule="exact"/>
        <w:ind w:firstLine="640"/>
        <w:outlineLvl w:val="1"/>
        <w:rPr>
          <w:rStyle w:val="19"/>
          <w:rFonts w:ascii="黑体" w:hAnsi="黑体" w:eastAsia="黑体"/>
          <w:b w:val="0"/>
          <w:color w:val="auto"/>
          <w:highlight w:val="none"/>
        </w:rPr>
      </w:pPr>
      <w:bookmarkStart w:id="50" w:name="_Toc30342"/>
      <w:bookmarkStart w:id="51" w:name="_Toc15396609"/>
      <w:bookmarkStart w:id="52" w:name="_Toc15377215"/>
      <w:r>
        <w:rPr>
          <w:rFonts w:hint="eastAsia" w:ascii="黑体" w:eastAsia="黑体"/>
          <w:color w:val="auto"/>
          <w:sz w:val="32"/>
          <w:szCs w:val="32"/>
          <w:highlight w:val="none"/>
        </w:rPr>
        <w:t>七、</w:t>
      </w:r>
      <w:r>
        <w:rPr>
          <w:rStyle w:val="19"/>
          <w:rFonts w:hint="eastAsia" w:ascii="黑体" w:hAnsi="黑体" w:eastAsia="黑体"/>
          <w:b w:val="0"/>
          <w:color w:val="auto"/>
          <w:highlight w:val="none"/>
        </w:rPr>
        <w:t>财政拨款</w:t>
      </w:r>
      <w:r>
        <w:rPr>
          <w:rStyle w:val="19"/>
          <w:rFonts w:hint="eastAsia" w:ascii="黑体" w:hAnsi="黑体" w:eastAsia="黑体"/>
          <w:color w:val="auto"/>
          <w:highlight w:val="none"/>
        </w:rPr>
        <w:t>“</w:t>
      </w:r>
      <w:r>
        <w:rPr>
          <w:rStyle w:val="19"/>
          <w:rFonts w:hint="eastAsia" w:ascii="黑体" w:hAnsi="黑体" w:eastAsia="黑体"/>
          <w:b w:val="0"/>
          <w:color w:val="auto"/>
          <w:highlight w:val="none"/>
        </w:rPr>
        <w:t>三公”经费支出决算情况说明</w:t>
      </w:r>
      <w:bookmarkEnd w:id="50"/>
      <w:bookmarkEnd w:id="51"/>
      <w:bookmarkEnd w:id="52"/>
    </w:p>
    <w:p>
      <w:pPr>
        <w:spacing w:line="600" w:lineRule="exact"/>
        <w:ind w:firstLine="640"/>
        <w:outlineLvl w:val="2"/>
        <w:rPr>
          <w:rFonts w:ascii="仿宋" w:hAnsi="仿宋" w:eastAsia="仿宋"/>
          <w:b/>
          <w:color w:val="auto"/>
          <w:sz w:val="32"/>
          <w:szCs w:val="32"/>
          <w:highlight w:val="none"/>
        </w:rPr>
      </w:pPr>
      <w:bookmarkStart w:id="53" w:name="_Toc15377216"/>
      <w:bookmarkStart w:id="54" w:name="_Toc9650"/>
      <w:r>
        <w:rPr>
          <w:rFonts w:hint="eastAsia" w:ascii="仿宋" w:hAnsi="仿宋" w:eastAsia="仿宋"/>
          <w:b/>
          <w:color w:val="auto"/>
          <w:sz w:val="32"/>
          <w:szCs w:val="32"/>
          <w:highlight w:val="none"/>
        </w:rPr>
        <w:t>（一）“三公”经费财政拨款支出决算总体情况说明</w:t>
      </w:r>
      <w:bookmarkEnd w:id="53"/>
      <w:bookmarkEnd w:id="54"/>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4.8</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减少1.89万元，下降28.25%。</w:t>
      </w:r>
      <w:r>
        <w:rPr>
          <w:rFonts w:hint="eastAsia" w:ascii="仿宋" w:hAnsi="仿宋" w:eastAsia="仿宋"/>
          <w:color w:val="auto"/>
          <w:sz w:val="32"/>
          <w:szCs w:val="32"/>
          <w:highlight w:val="none"/>
        </w:rPr>
        <w:t>决算数小于预算数的主要原因是</w:t>
      </w:r>
      <w:r>
        <w:rPr>
          <w:rFonts w:hint="eastAsia" w:ascii="仿宋" w:hAnsi="仿宋" w:eastAsia="仿宋"/>
          <w:color w:val="000000"/>
          <w:sz w:val="32"/>
          <w:szCs w:val="32"/>
          <w:lang w:val="en-US" w:eastAsia="zh-CN"/>
        </w:rPr>
        <w:t>受新冠疫情影响，2022年下半年长期处于封控状态，接待费用基本未发生</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55" w:name="_Toc15377217"/>
      <w:bookmarkStart w:id="56" w:name="_Toc27380"/>
      <w:r>
        <w:rPr>
          <w:rFonts w:hint="eastAsia" w:ascii="仿宋" w:hAnsi="仿宋" w:eastAsia="仿宋"/>
          <w:b/>
          <w:color w:val="auto"/>
          <w:sz w:val="32"/>
          <w:szCs w:val="32"/>
          <w:highlight w:val="none"/>
        </w:rPr>
        <w:t>（二）“三公”经费财政拨款支出决算具体情况说明</w:t>
      </w:r>
      <w:bookmarkEnd w:id="55"/>
      <w:bookmarkEnd w:id="56"/>
    </w:p>
    <w:p>
      <w:pPr>
        <w:spacing w:line="600" w:lineRule="exact"/>
        <w:ind w:firstLine="640"/>
        <w:rPr>
          <w:rFonts w:ascii="仿宋" w:hAnsi="仿宋" w:eastAsia="仿宋"/>
          <w:color w:val="auto"/>
          <w:sz w:val="32"/>
          <w:szCs w:val="32"/>
          <w:highlight w:val="none"/>
        </w:rPr>
      </w:pPr>
      <w:r>
        <w:rPr>
          <w:rFonts w:ascii="宋体" w:hAnsi="宋体" w:eastAsia="宋体" w:cs="宋体"/>
          <w:sz w:val="24"/>
          <w:szCs w:val="24"/>
        </w:rPr>
        <w:drawing>
          <wp:anchor distT="0" distB="0" distL="114300" distR="114300" simplePos="0" relativeHeight="251665408" behindDoc="0" locked="0" layoutInCell="1" allowOverlap="1">
            <wp:simplePos x="0" y="0"/>
            <wp:positionH relativeFrom="column">
              <wp:posOffset>466725</wp:posOffset>
            </wp:positionH>
            <wp:positionV relativeFrom="paragraph">
              <wp:posOffset>1577975</wp:posOffset>
            </wp:positionV>
            <wp:extent cx="4324350" cy="2646680"/>
            <wp:effectExtent l="0" t="0" r="0" b="1270"/>
            <wp:wrapTopAndBottom/>
            <wp:docPr id="11"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IMG_256"/>
                    <pic:cNvPicPr>
                      <a:picLocks noChangeAspect="1"/>
                    </pic:cNvPicPr>
                  </pic:nvPicPr>
                  <pic:blipFill>
                    <a:blip r:embed="rId13"/>
                    <a:stretch>
                      <a:fillRect/>
                    </a:stretch>
                  </pic:blipFill>
                  <pic:spPr>
                    <a:xfrm>
                      <a:off x="0" y="0"/>
                      <a:ext cx="4324350" cy="2646680"/>
                    </a:xfrm>
                    <a:prstGeom prst="rect">
                      <a:avLst/>
                    </a:prstGeom>
                    <a:noFill/>
                    <a:ln w="9525">
                      <a:noFill/>
                    </a:ln>
                  </pic:spPr>
                </pic:pic>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83.33</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16.67</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6"/>
          <w:rFonts w:hint="eastAsia" w:ascii="仿宋" w:hAnsi="仿宋" w:eastAsia="仿宋"/>
          <w:b w:val="0"/>
          <w:bCs/>
          <w:color w:val="auto"/>
          <w:sz w:val="32"/>
          <w:szCs w:val="32"/>
          <w:highlight w:val="none"/>
          <w:lang w:eastAsia="zh-CN"/>
        </w:rPr>
        <w:t>年初未安排预算，</w:t>
      </w:r>
      <w:r>
        <w:rPr>
          <w:rFonts w:hint="eastAsia" w:ascii="仿宋_GB2312" w:eastAsia="仿宋_GB2312"/>
          <w:color w:val="auto"/>
          <w:sz w:val="32"/>
          <w:szCs w:val="32"/>
          <w:highlight w:val="none"/>
          <w:lang w:eastAsia="zh-CN"/>
        </w:rPr>
        <w:t>较</w:t>
      </w:r>
      <w:r>
        <w:rPr>
          <w:rFonts w:hint="eastAsia" w:ascii="仿宋_GB2312" w:eastAsia="仿宋_GB2312"/>
          <w:color w:val="auto"/>
          <w:sz w:val="32"/>
          <w:szCs w:val="32"/>
          <w:highlight w:val="none"/>
          <w:lang w:val="en-US" w:eastAsia="zh-CN"/>
        </w:rPr>
        <w:t>2021年无变化。</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万元,</w:t>
      </w:r>
      <w:r>
        <w:rPr>
          <w:rStyle w:val="16"/>
          <w:rFonts w:hint="eastAsia" w:ascii="仿宋" w:hAnsi="仿宋" w:eastAsia="仿宋"/>
          <w:b w:val="0"/>
          <w:bCs/>
          <w:color w:val="auto"/>
          <w:sz w:val="32"/>
          <w:szCs w:val="32"/>
          <w:highlight w:val="none"/>
        </w:rPr>
        <w:t>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33.33</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按照年初预算，主要用于公务车运行维护费用</w:t>
      </w:r>
      <w:r>
        <w:rPr>
          <w:rFonts w:hint="eastAsia" w:ascii="仿宋_GB2312" w:eastAsia="仿宋_GB2312"/>
          <w:color w:val="auto"/>
          <w:sz w:val="32"/>
          <w:szCs w:val="32"/>
          <w:highlight w:val="none"/>
        </w:rPr>
        <w:t>。</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辆，其中：越野车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，较</w:t>
      </w:r>
      <w:r>
        <w:rPr>
          <w:rFonts w:hint="eastAsia" w:ascii="仿宋_GB2312" w:eastAsia="仿宋_GB2312"/>
          <w:color w:val="auto"/>
          <w:sz w:val="32"/>
          <w:szCs w:val="32"/>
          <w:highlight w:val="none"/>
          <w:lang w:val="en-US" w:eastAsia="zh-CN"/>
        </w:rPr>
        <w:t>2021年无变化。</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万元。主要用于</w:t>
      </w:r>
      <w:r>
        <w:rPr>
          <w:rFonts w:hint="eastAsia" w:ascii="仿宋_GB2312" w:eastAsia="仿宋_GB2312"/>
          <w:color w:val="000000"/>
          <w:sz w:val="32"/>
          <w:szCs w:val="32"/>
        </w:rPr>
        <w:t>公共卫生服务检查与督导、健康教育宣传、基本公共卫生服务重大公共卫生服务</w:t>
      </w:r>
      <w:r>
        <w:rPr>
          <w:rFonts w:hint="eastAsia" w:ascii="仿宋_GB2312" w:eastAsia="仿宋_GB2312"/>
          <w:color w:val="000000"/>
          <w:sz w:val="32"/>
          <w:szCs w:val="32"/>
          <w:lang w:eastAsia="zh-CN"/>
        </w:rPr>
        <w:t>、</w:t>
      </w:r>
      <w:r>
        <w:rPr>
          <w:rFonts w:hint="eastAsia" w:ascii="仿宋_GB2312" w:eastAsia="仿宋_GB2312"/>
          <w:color w:val="000000"/>
          <w:sz w:val="32"/>
          <w:szCs w:val="32"/>
        </w:rPr>
        <w:t>妇幼保健机构</w:t>
      </w:r>
      <w:r>
        <w:rPr>
          <w:rFonts w:hint="eastAsia" w:ascii="仿宋_GB2312" w:eastAsia="仿宋_GB2312"/>
          <w:color w:val="auto"/>
          <w:sz w:val="32"/>
          <w:szCs w:val="32"/>
          <w:highlight w:val="none"/>
        </w:rPr>
        <w:t>等所需的公务用车燃料费、维修费、过路过桥费、保险费等支出</w:t>
      </w:r>
      <w:r>
        <w:rPr>
          <w:rFonts w:hint="eastAsia" w:ascii="仿宋_GB2312" w:eastAsia="仿宋_GB2312"/>
          <w:color w:val="auto"/>
          <w:sz w:val="32"/>
          <w:szCs w:val="32"/>
          <w:highlight w:val="none"/>
          <w:lang w:eastAsia="zh-CN"/>
        </w:rPr>
        <w:t>，较</w:t>
      </w:r>
      <w:r>
        <w:rPr>
          <w:rFonts w:hint="eastAsia" w:ascii="仿宋_GB2312" w:eastAsia="仿宋_GB2312"/>
          <w:color w:val="auto"/>
          <w:sz w:val="32"/>
          <w:szCs w:val="32"/>
          <w:highlight w:val="none"/>
          <w:lang w:val="en-US" w:eastAsia="zh-CN"/>
        </w:rPr>
        <w:t>2021年增长33.33%</w:t>
      </w:r>
      <w:r>
        <w:rPr>
          <w:rFonts w:hint="eastAsia" w:ascii="仿宋_GB2312" w:eastAsia="仿宋_GB2312"/>
          <w:color w:val="auto"/>
          <w:sz w:val="32"/>
          <w:szCs w:val="32"/>
          <w:highlight w:val="none"/>
        </w:rPr>
        <w:t>。</w:t>
      </w:r>
    </w:p>
    <w:p>
      <w:pPr>
        <w:spacing w:line="600" w:lineRule="exact"/>
        <w:ind w:firstLine="640"/>
        <w:jc w:val="both"/>
        <w:rPr>
          <w:rFonts w:ascii="仿宋" w:hAnsi="仿宋" w:eastAsia="仿宋"/>
          <w:color w:val="000000"/>
          <w:sz w:val="32"/>
          <w:szCs w:val="32"/>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0.8</w:t>
      </w:r>
      <w:r>
        <w:rPr>
          <w:rFonts w:hint="eastAsia" w:ascii="仿宋_GB2312" w:eastAsia="仿宋_GB2312"/>
          <w:color w:val="auto"/>
          <w:sz w:val="32"/>
          <w:szCs w:val="32"/>
          <w:highlight w:val="none"/>
        </w:rPr>
        <w:t>万元，</w:t>
      </w:r>
      <w:r>
        <w:rPr>
          <w:rStyle w:val="16"/>
          <w:rFonts w:hint="eastAsia" w:ascii="仿宋" w:hAnsi="仿宋" w:eastAsia="仿宋"/>
          <w:b w:val="0"/>
          <w:bCs/>
          <w:color w:val="auto"/>
          <w:sz w:val="32"/>
          <w:szCs w:val="32"/>
          <w:highlight w:val="none"/>
        </w:rPr>
        <w:t>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2.89</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78.32</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r>
        <w:rPr>
          <w:rFonts w:hint="eastAsia" w:ascii="仿宋" w:hAnsi="仿宋" w:eastAsia="仿宋"/>
          <w:color w:val="000000"/>
          <w:sz w:val="32"/>
          <w:szCs w:val="32"/>
        </w:rPr>
        <w:t>主要原因</w:t>
      </w:r>
      <w:r>
        <w:rPr>
          <w:rFonts w:hint="eastAsia" w:ascii="仿宋" w:hAnsi="仿宋" w:eastAsia="仿宋"/>
          <w:color w:val="auto"/>
          <w:sz w:val="32"/>
          <w:szCs w:val="32"/>
          <w:highlight w:val="none"/>
        </w:rPr>
        <w:t>是</w:t>
      </w:r>
      <w:r>
        <w:rPr>
          <w:rFonts w:hint="eastAsia" w:ascii="仿宋" w:hAnsi="仿宋" w:eastAsia="仿宋"/>
          <w:color w:val="000000"/>
          <w:sz w:val="32"/>
          <w:szCs w:val="32"/>
          <w:lang w:val="en-US" w:eastAsia="zh-CN"/>
        </w:rPr>
        <w:t>受新冠疫情影响，2022年下半年长期处于封控状态，接待费用基本未发生</w:t>
      </w:r>
      <w:r>
        <w:rPr>
          <w:rFonts w:hint="eastAsia" w:ascii="仿宋" w:hAnsi="仿宋" w:eastAsia="仿宋"/>
          <w:color w:val="000000"/>
          <w:sz w:val="32"/>
          <w:szCs w:val="32"/>
        </w:rPr>
        <w:t>。其中：</w:t>
      </w: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t>国内公务接待支出</w:t>
      </w:r>
      <w:r>
        <w:rPr>
          <w:rFonts w:hint="eastAsia" w:ascii="仿宋" w:hAnsi="仿宋" w:eastAsia="仿宋"/>
          <w:color w:val="000000"/>
          <w:sz w:val="32"/>
          <w:szCs w:val="32"/>
          <w:lang w:val="en-US" w:eastAsia="zh-CN"/>
        </w:rPr>
        <w:t>0.8</w:t>
      </w:r>
      <w:r>
        <w:rPr>
          <w:rFonts w:hint="eastAsia" w:ascii="仿宋" w:hAnsi="仿宋" w:eastAsia="仿宋"/>
          <w:color w:val="000000"/>
          <w:sz w:val="32"/>
          <w:szCs w:val="32"/>
        </w:rPr>
        <w:t>万元，主要用于开展业务活动开支的</w:t>
      </w:r>
      <w:r>
        <w:rPr>
          <w:rFonts w:hint="eastAsia" w:ascii="仿宋" w:hAnsi="仿宋" w:eastAsia="仿宋"/>
          <w:color w:val="000000"/>
          <w:sz w:val="32"/>
          <w:szCs w:val="32"/>
          <w:lang w:eastAsia="zh-CN"/>
        </w:rPr>
        <w:t>接待费</w:t>
      </w:r>
      <w:r>
        <w:rPr>
          <w:rFonts w:hint="eastAsia" w:ascii="仿宋" w:hAnsi="仿宋" w:eastAsia="仿宋"/>
          <w:color w:val="000000"/>
          <w:sz w:val="32"/>
          <w:szCs w:val="32"/>
        </w:rPr>
        <w:t>。国内公务接待</w:t>
      </w:r>
      <w:r>
        <w:rPr>
          <w:rFonts w:hint="eastAsia" w:ascii="仿宋" w:hAnsi="仿宋" w:eastAsia="仿宋"/>
          <w:color w:val="000000"/>
          <w:sz w:val="32"/>
          <w:szCs w:val="32"/>
          <w:lang w:val="en-US" w:eastAsia="zh-CN"/>
        </w:rPr>
        <w:t>6</w:t>
      </w:r>
      <w:r>
        <w:rPr>
          <w:rFonts w:hint="eastAsia" w:ascii="仿宋" w:hAnsi="仿宋" w:eastAsia="仿宋"/>
          <w:color w:val="000000"/>
          <w:sz w:val="32"/>
          <w:szCs w:val="32"/>
        </w:rPr>
        <w:t>批次，</w:t>
      </w:r>
      <w:r>
        <w:rPr>
          <w:rFonts w:hint="eastAsia" w:ascii="仿宋" w:hAnsi="仿宋" w:eastAsia="仿宋"/>
          <w:color w:val="000000"/>
          <w:sz w:val="32"/>
          <w:szCs w:val="32"/>
          <w:lang w:val="en-US" w:eastAsia="zh-CN"/>
        </w:rPr>
        <w:t>80</w:t>
      </w:r>
      <w:r>
        <w:rPr>
          <w:rFonts w:hint="eastAsia" w:ascii="仿宋" w:hAnsi="仿宋" w:eastAsia="仿宋"/>
          <w:color w:val="000000"/>
          <w:sz w:val="32"/>
          <w:szCs w:val="32"/>
        </w:rPr>
        <w:t>人次（不包括陪同人员），共计支出</w:t>
      </w:r>
      <w:r>
        <w:rPr>
          <w:rFonts w:hint="eastAsia" w:ascii="仿宋" w:hAnsi="仿宋" w:eastAsia="仿宋"/>
          <w:color w:val="000000"/>
          <w:sz w:val="32"/>
          <w:szCs w:val="32"/>
          <w:lang w:val="en-US" w:eastAsia="zh-CN"/>
        </w:rPr>
        <w:t>0.8</w:t>
      </w:r>
      <w:r>
        <w:rPr>
          <w:rFonts w:hint="eastAsia" w:ascii="仿宋" w:hAnsi="仿宋" w:eastAsia="仿宋"/>
          <w:color w:val="000000"/>
          <w:sz w:val="32"/>
          <w:szCs w:val="32"/>
        </w:rPr>
        <w:t>万元，具体内容包括：</w:t>
      </w:r>
      <w:r>
        <w:rPr>
          <w:rFonts w:hint="eastAsia" w:ascii="仿宋_GB2312" w:eastAsia="仿宋_GB2312"/>
          <w:color w:val="000000"/>
          <w:sz w:val="32"/>
          <w:szCs w:val="32"/>
          <w:lang w:eastAsia="zh-CN"/>
        </w:rPr>
        <w:t>妇幼保健健康促进工作、妇幼系统</w:t>
      </w:r>
      <w:r>
        <w:rPr>
          <w:rFonts w:hint="eastAsia" w:ascii="仿宋_GB2312" w:eastAsia="仿宋_GB2312"/>
          <w:color w:val="000000"/>
          <w:sz w:val="32"/>
          <w:szCs w:val="32"/>
        </w:rPr>
        <w:t>单位来广调研、学习交流所发生的接待支出</w:t>
      </w:r>
      <w:r>
        <w:rPr>
          <w:rFonts w:hint="eastAsia" w:ascii="仿宋" w:hAnsi="仿宋" w:eastAsia="仿宋"/>
          <w:color w:val="000000"/>
          <w:sz w:val="32"/>
          <w:szCs w:val="32"/>
        </w:rPr>
        <w:t>。</w:t>
      </w:r>
    </w:p>
    <w:p>
      <w:pPr>
        <w:spacing w:line="600" w:lineRule="exact"/>
        <w:ind w:firstLine="640" w:firstLineChars="200"/>
        <w:rPr>
          <w:rFonts w:hint="eastAsia" w:ascii="仿宋_GB2312" w:eastAsia="仿宋_GB2312"/>
          <w:color w:val="auto"/>
          <w:sz w:val="32"/>
          <w:szCs w:val="32"/>
          <w:highlight w:val="none"/>
        </w:rPr>
      </w:pPr>
      <w:r>
        <w:rPr>
          <w:rFonts w:hint="eastAsia" w:ascii="仿宋" w:hAnsi="仿宋" w:eastAsia="仿宋"/>
          <w:color w:val="000000"/>
          <w:sz w:val="32"/>
          <w:szCs w:val="32"/>
        </w:rPr>
        <w:t>外事接待支出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p>
    <w:p>
      <w:pPr>
        <w:spacing w:line="600" w:lineRule="exact"/>
        <w:ind w:firstLine="640"/>
        <w:outlineLvl w:val="1"/>
        <w:rPr>
          <w:rStyle w:val="19"/>
          <w:rFonts w:ascii="黑体" w:hAnsi="黑体" w:eastAsia="黑体"/>
          <w:color w:val="auto"/>
          <w:highlight w:val="none"/>
        </w:rPr>
      </w:pPr>
      <w:bookmarkStart w:id="57" w:name="_Toc27086"/>
      <w:bookmarkStart w:id="58" w:name="_Toc15377218"/>
      <w:bookmarkStart w:id="59" w:name="_Toc15396610"/>
      <w:r>
        <w:rPr>
          <w:rFonts w:hint="eastAsia" w:ascii="黑体" w:eastAsia="黑体"/>
          <w:color w:val="auto"/>
          <w:sz w:val="32"/>
          <w:szCs w:val="32"/>
          <w:highlight w:val="none"/>
        </w:rPr>
        <w:t>八、</w:t>
      </w:r>
      <w:r>
        <w:rPr>
          <w:rStyle w:val="19"/>
          <w:rFonts w:hint="eastAsia" w:ascii="黑体" w:hAnsi="黑体" w:eastAsia="黑体"/>
          <w:b w:val="0"/>
          <w:color w:val="auto"/>
          <w:highlight w:val="none"/>
        </w:rPr>
        <w:t>政府性基金预算支出决算情况说明</w:t>
      </w:r>
      <w:bookmarkEnd w:id="57"/>
      <w:bookmarkEnd w:id="58"/>
      <w:bookmarkEnd w:id="59"/>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2022年本单位未在政府性基金预算拨款安排“三公经费”支出。</w:t>
      </w:r>
    </w:p>
    <w:p>
      <w:pPr>
        <w:numPr>
          <w:ilvl w:val="0"/>
          <w:numId w:val="3"/>
        </w:numPr>
        <w:spacing w:line="600" w:lineRule="exact"/>
        <w:ind w:firstLine="640"/>
        <w:outlineLvl w:val="1"/>
        <w:rPr>
          <w:rStyle w:val="19"/>
          <w:rFonts w:ascii="黑体" w:hAnsi="黑体" w:eastAsia="黑体"/>
          <w:b w:val="0"/>
          <w:color w:val="auto"/>
          <w:highlight w:val="none"/>
        </w:rPr>
      </w:pPr>
      <w:bookmarkStart w:id="60" w:name="_Toc15396611"/>
      <w:bookmarkStart w:id="61" w:name="_Toc27788"/>
      <w:bookmarkStart w:id="62" w:name="_Toc15377219"/>
      <w:r>
        <w:rPr>
          <w:rStyle w:val="19"/>
          <w:rFonts w:hint="eastAsia" w:ascii="黑体" w:hAnsi="黑体" w:eastAsia="黑体"/>
          <w:b w:val="0"/>
          <w:color w:val="auto"/>
          <w:highlight w:val="none"/>
        </w:rPr>
        <w:t>国有资本经营预算支出决算情况说明</w:t>
      </w:r>
      <w:bookmarkEnd w:id="60"/>
      <w:bookmarkEnd w:id="61"/>
      <w:bookmarkEnd w:id="62"/>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19"/>
          <w:rFonts w:hint="eastAsia" w:ascii="黑体" w:hAnsi="黑体" w:eastAsia="黑体"/>
          <w:b w:val="0"/>
          <w:color w:val="auto"/>
          <w:highlight w:val="none"/>
        </w:rPr>
      </w:pPr>
      <w:bookmarkStart w:id="63" w:name="_Toc15396612"/>
      <w:bookmarkStart w:id="64" w:name="_Toc15377221"/>
      <w:bookmarkStart w:id="65" w:name="_Toc25820"/>
      <w:r>
        <w:rPr>
          <w:rStyle w:val="19"/>
          <w:rFonts w:hint="eastAsia" w:ascii="黑体" w:hAnsi="黑体" w:eastAsia="黑体"/>
          <w:b w:val="0"/>
          <w:color w:val="auto"/>
          <w:highlight w:val="none"/>
        </w:rPr>
        <w:t>其他重要事项的情况说明</w:t>
      </w:r>
      <w:bookmarkEnd w:id="63"/>
      <w:bookmarkEnd w:id="64"/>
      <w:bookmarkEnd w:id="65"/>
    </w:p>
    <w:p>
      <w:pPr>
        <w:spacing w:line="600" w:lineRule="exact"/>
        <w:ind w:firstLine="643" w:firstLineChars="200"/>
        <w:outlineLvl w:val="2"/>
        <w:rPr>
          <w:rFonts w:ascii="仿宋" w:hAnsi="仿宋" w:eastAsia="仿宋"/>
          <w:color w:val="auto"/>
          <w:sz w:val="32"/>
          <w:szCs w:val="32"/>
          <w:highlight w:val="none"/>
        </w:rPr>
      </w:pPr>
      <w:bookmarkStart w:id="66" w:name="_Toc16128"/>
      <w:bookmarkStart w:id="67" w:name="_Toc15377222"/>
      <w:r>
        <w:rPr>
          <w:rFonts w:hint="eastAsia" w:ascii="仿宋" w:hAnsi="仿宋" w:eastAsia="仿宋"/>
          <w:b/>
          <w:color w:val="auto"/>
          <w:sz w:val="32"/>
          <w:szCs w:val="32"/>
          <w:highlight w:val="none"/>
        </w:rPr>
        <w:t>（一）机关运行经费支出情况</w:t>
      </w:r>
      <w:bookmarkEnd w:id="66"/>
      <w:bookmarkEnd w:id="67"/>
    </w:p>
    <w:p>
      <w:pPr>
        <w:keepNext w:val="0"/>
        <w:keepLines w:val="0"/>
        <w:pageBreakBefore w:val="0"/>
        <w:widowControl w:val="0"/>
        <w:kinsoku/>
        <w:wordWrap/>
        <w:overflowPunct/>
        <w:topLinePunct w:val="0"/>
        <w:bidi w:val="0"/>
        <w:snapToGrid/>
        <w:spacing w:line="576" w:lineRule="atLeast"/>
        <w:ind w:firstLine="640" w:firstLineChars="200"/>
        <w:textAlignment w:val="auto"/>
        <w:rPr>
          <w:rFonts w:ascii="仿宋" w:hAnsi="仿宋" w:eastAsia="仿宋"/>
          <w:b/>
          <w:color w:val="auto"/>
          <w:sz w:val="32"/>
          <w:szCs w:val="32"/>
          <w:highlight w:val="none"/>
        </w:rPr>
      </w:pPr>
      <w:bookmarkStart w:id="68" w:name="_Toc15377223"/>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年未发生机关运行经费支出，与202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年决算数持平</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9" w:name="_Toc22857"/>
      <w:r>
        <w:rPr>
          <w:rFonts w:hint="eastAsia" w:ascii="仿宋" w:hAnsi="仿宋" w:eastAsia="仿宋"/>
          <w:b/>
          <w:color w:val="auto"/>
          <w:sz w:val="32"/>
          <w:szCs w:val="32"/>
          <w:highlight w:val="none"/>
        </w:rPr>
        <w:t>（二）政府采购支出情况</w:t>
      </w:r>
      <w:bookmarkEnd w:id="68"/>
      <w:bookmarkEnd w:id="69"/>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广元市妇幼保健院</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214.13</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144.16</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69.97</w:t>
      </w:r>
      <w:r>
        <w:rPr>
          <w:rFonts w:hint="eastAsia" w:ascii="仿宋_GB2312" w:eastAsia="仿宋_GB2312"/>
          <w:color w:val="auto"/>
          <w:sz w:val="32"/>
          <w:szCs w:val="32"/>
          <w:highlight w:val="none"/>
        </w:rPr>
        <w:t>万元。</w:t>
      </w:r>
      <w:r>
        <w:rPr>
          <w:rFonts w:hint="eastAsia" w:ascii="仿宋" w:hAnsi="仿宋" w:eastAsia="仿宋"/>
          <w:color w:val="000000"/>
          <w:sz w:val="32"/>
          <w:szCs w:val="32"/>
        </w:rPr>
        <w:t>主要用于</w:t>
      </w:r>
      <w:r>
        <w:rPr>
          <w:rFonts w:hint="eastAsia" w:ascii="仿宋" w:hAnsi="仿宋" w:eastAsia="仿宋"/>
          <w:color w:val="000000"/>
          <w:sz w:val="32"/>
          <w:szCs w:val="32"/>
          <w:lang w:eastAsia="zh-CN"/>
        </w:rPr>
        <w:t>医疗设备购置、办公设备购置以及支付物业管理费等采购项目</w:t>
      </w:r>
      <w:r>
        <w:rPr>
          <w:rFonts w:hint="eastAsia" w:ascii="仿宋" w:hAnsi="仿宋" w:eastAsia="仿宋"/>
          <w:color w:val="000000"/>
          <w:sz w:val="32"/>
          <w:szCs w:val="32"/>
        </w:rPr>
        <w:t>。</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214.13</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214.13</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0" w:name="_Toc31361"/>
      <w:bookmarkStart w:id="71" w:name="_Toc15377224"/>
      <w:r>
        <w:rPr>
          <w:rFonts w:hint="eastAsia" w:ascii="仿宋" w:hAnsi="仿宋" w:eastAsia="仿宋"/>
          <w:b/>
          <w:color w:val="auto"/>
          <w:sz w:val="32"/>
          <w:szCs w:val="32"/>
          <w:highlight w:val="none"/>
        </w:rPr>
        <w:t>（三）国有资产占有使用情况</w:t>
      </w:r>
      <w:bookmarkEnd w:id="70"/>
      <w:bookmarkEnd w:id="71"/>
    </w:p>
    <w:p>
      <w:pPr>
        <w:autoSpaceDE w:val="0"/>
        <w:autoSpaceDN w:val="0"/>
        <w:adjustRightInd w:val="0"/>
        <w:spacing w:line="600" w:lineRule="exact"/>
        <w:ind w:firstLine="640" w:firstLineChars="200"/>
        <w:jc w:val="left"/>
        <w:outlineLvl w:val="2"/>
        <w:rPr>
          <w:rFonts w:hint="eastAsia" w:ascii="仿宋" w:hAnsi="仿宋" w:eastAsia="仿宋"/>
          <w:color w:val="000000"/>
          <w:sz w:val="32"/>
          <w:szCs w:val="32"/>
        </w:rPr>
      </w:pPr>
      <w:bookmarkStart w:id="72" w:name="_Toc18450"/>
      <w:r>
        <w:rPr>
          <w:rFonts w:hint="eastAsia" w:ascii="仿宋" w:hAnsi="仿宋" w:eastAsia="仿宋"/>
          <w:color w:val="000000"/>
          <w:sz w:val="32"/>
          <w:szCs w:val="32"/>
          <w:highlight w:val="none"/>
        </w:rPr>
        <w:t>截至</w:t>
      </w:r>
      <w:r>
        <w:rPr>
          <w:rFonts w:ascii="仿宋" w:hAnsi="仿宋" w:eastAsia="仿宋"/>
          <w:color w:val="000000"/>
          <w:sz w:val="32"/>
          <w:szCs w:val="32"/>
          <w:highlight w:val="none"/>
        </w:rPr>
        <w:t>202</w:t>
      </w:r>
      <w:r>
        <w:rPr>
          <w:rFonts w:hint="eastAsia" w:ascii="仿宋" w:hAnsi="仿宋" w:eastAsia="仿宋"/>
          <w:color w:val="000000"/>
          <w:sz w:val="32"/>
          <w:szCs w:val="32"/>
          <w:highlight w:val="none"/>
          <w:lang w:val="en-US" w:eastAsia="zh-CN"/>
        </w:rPr>
        <w:t>2</w:t>
      </w:r>
      <w:r>
        <w:rPr>
          <w:rFonts w:hint="eastAsia" w:ascii="仿宋" w:hAnsi="仿宋" w:eastAsia="仿宋"/>
          <w:color w:val="000000"/>
          <w:sz w:val="32"/>
          <w:szCs w:val="32"/>
          <w:highlight w:val="none"/>
        </w:rPr>
        <w:t>年</w:t>
      </w:r>
      <w:r>
        <w:rPr>
          <w:rFonts w:ascii="仿宋" w:hAnsi="仿宋" w:eastAsia="仿宋"/>
          <w:color w:val="000000"/>
          <w:sz w:val="32"/>
          <w:szCs w:val="32"/>
          <w:highlight w:val="none"/>
        </w:rPr>
        <w:t>12</w:t>
      </w:r>
      <w:r>
        <w:rPr>
          <w:rFonts w:hint="eastAsia" w:ascii="仿宋" w:hAnsi="仿宋" w:eastAsia="仿宋"/>
          <w:color w:val="000000"/>
          <w:sz w:val="32"/>
          <w:szCs w:val="32"/>
          <w:highlight w:val="none"/>
        </w:rPr>
        <w:t>月</w:t>
      </w:r>
      <w:r>
        <w:rPr>
          <w:rFonts w:ascii="仿宋" w:hAnsi="仿宋" w:eastAsia="仿宋"/>
          <w:color w:val="000000"/>
          <w:sz w:val="32"/>
          <w:szCs w:val="32"/>
          <w:highlight w:val="none"/>
        </w:rPr>
        <w:t>31</w:t>
      </w:r>
      <w:r>
        <w:rPr>
          <w:rFonts w:hint="eastAsia" w:ascii="仿宋" w:hAnsi="仿宋" w:eastAsia="仿宋"/>
          <w:color w:val="000000"/>
          <w:sz w:val="32"/>
          <w:szCs w:val="32"/>
          <w:highlight w:val="none"/>
        </w:rPr>
        <w:t>日</w:t>
      </w:r>
      <w:r>
        <w:rPr>
          <w:rFonts w:hint="eastAsia" w:ascii="仿宋" w:hAnsi="仿宋" w:eastAsia="仿宋"/>
          <w:color w:val="000000"/>
          <w:sz w:val="32"/>
          <w:szCs w:val="32"/>
        </w:rPr>
        <w:t>，共有车辆</w:t>
      </w:r>
      <w:r>
        <w:rPr>
          <w:rFonts w:hint="eastAsia" w:ascii="仿宋" w:hAnsi="仿宋" w:eastAsia="仿宋"/>
          <w:color w:val="000000"/>
          <w:sz w:val="32"/>
          <w:szCs w:val="32"/>
          <w:lang w:val="en-US" w:eastAsia="zh-CN"/>
        </w:rPr>
        <w:t>4</w:t>
      </w:r>
      <w:r>
        <w:rPr>
          <w:rFonts w:hint="eastAsia" w:ascii="仿宋" w:hAnsi="仿宋" w:eastAsia="仿宋"/>
          <w:color w:val="000000"/>
          <w:sz w:val="32"/>
          <w:szCs w:val="32"/>
        </w:rPr>
        <w:t>辆，其中：其他用车</w:t>
      </w:r>
      <w:r>
        <w:rPr>
          <w:rFonts w:hint="eastAsia" w:ascii="仿宋" w:hAnsi="仿宋" w:eastAsia="仿宋"/>
          <w:color w:val="000000"/>
          <w:sz w:val="32"/>
          <w:szCs w:val="32"/>
          <w:lang w:val="en-US" w:eastAsia="zh-CN"/>
        </w:rPr>
        <w:t>4</w:t>
      </w:r>
      <w:r>
        <w:rPr>
          <w:rFonts w:hint="eastAsia" w:ascii="仿宋" w:hAnsi="仿宋" w:eastAsia="仿宋"/>
          <w:color w:val="000000"/>
          <w:sz w:val="32"/>
          <w:szCs w:val="32"/>
        </w:rPr>
        <w:t>辆</w:t>
      </w:r>
      <w:r>
        <w:rPr>
          <w:rFonts w:hint="eastAsia" w:ascii="仿宋" w:hAnsi="仿宋" w:eastAsia="仿宋"/>
          <w:color w:val="000000"/>
          <w:sz w:val="32"/>
          <w:szCs w:val="32"/>
          <w:lang w:eastAsia="zh-CN"/>
        </w:rPr>
        <w:t>，</w:t>
      </w:r>
      <w:r>
        <w:rPr>
          <w:rFonts w:hint="eastAsia" w:ascii="仿宋" w:hAnsi="仿宋" w:eastAsia="仿宋"/>
          <w:color w:val="000000"/>
          <w:sz w:val="32"/>
          <w:szCs w:val="32"/>
        </w:rPr>
        <w:t>主要是用于</w:t>
      </w:r>
      <w:r>
        <w:rPr>
          <w:rFonts w:hint="eastAsia" w:ascii="仿宋" w:hAnsi="仿宋" w:eastAsia="仿宋"/>
          <w:color w:val="000000"/>
          <w:sz w:val="32"/>
          <w:szCs w:val="32"/>
          <w:lang w:eastAsia="zh-CN"/>
        </w:rPr>
        <w:t>公共卫生项目和急诊急救；</w:t>
      </w:r>
      <w:r>
        <w:rPr>
          <w:rFonts w:hint="eastAsia" w:ascii="仿宋" w:hAnsi="仿宋" w:eastAsia="仿宋"/>
          <w:color w:val="000000"/>
          <w:sz w:val="32"/>
          <w:szCs w:val="32"/>
        </w:rPr>
        <w:t>单价</w:t>
      </w:r>
      <w:r>
        <w:rPr>
          <w:rFonts w:ascii="仿宋" w:hAnsi="仿宋" w:eastAsia="仿宋"/>
          <w:color w:val="000000"/>
          <w:sz w:val="32"/>
          <w:szCs w:val="32"/>
        </w:rPr>
        <w:t>50</w:t>
      </w:r>
      <w:r>
        <w:rPr>
          <w:rFonts w:hint="eastAsia" w:ascii="仿宋" w:hAnsi="仿宋" w:eastAsia="仿宋"/>
          <w:color w:val="000000"/>
          <w:sz w:val="32"/>
          <w:szCs w:val="32"/>
        </w:rPr>
        <w:t>万元以上通用设备</w:t>
      </w:r>
      <w:r>
        <w:rPr>
          <w:rFonts w:hint="eastAsia" w:ascii="仿宋" w:hAnsi="仿宋" w:eastAsia="仿宋"/>
          <w:color w:val="000000"/>
          <w:sz w:val="32"/>
          <w:szCs w:val="32"/>
          <w:lang w:val="en-US" w:eastAsia="zh-CN"/>
        </w:rPr>
        <w:t>10</w:t>
      </w:r>
      <w:r>
        <w:rPr>
          <w:rFonts w:hint="eastAsia" w:ascii="仿宋" w:hAnsi="仿宋" w:eastAsia="仿宋"/>
          <w:color w:val="000000"/>
          <w:sz w:val="32"/>
          <w:szCs w:val="32"/>
        </w:rPr>
        <w:t>台，单价</w:t>
      </w:r>
      <w:r>
        <w:rPr>
          <w:rFonts w:ascii="仿宋" w:hAnsi="仿宋" w:eastAsia="仿宋"/>
          <w:color w:val="000000"/>
          <w:sz w:val="32"/>
          <w:szCs w:val="32"/>
        </w:rPr>
        <w:t>100</w:t>
      </w:r>
      <w:r>
        <w:rPr>
          <w:rFonts w:hint="eastAsia" w:ascii="仿宋" w:hAnsi="仿宋" w:eastAsia="仿宋"/>
          <w:color w:val="000000"/>
          <w:sz w:val="32"/>
          <w:szCs w:val="32"/>
        </w:rPr>
        <w:t>万元以上专用设备</w:t>
      </w:r>
      <w:r>
        <w:rPr>
          <w:rFonts w:hint="eastAsia" w:ascii="仿宋" w:hAnsi="仿宋" w:eastAsia="仿宋"/>
          <w:color w:val="000000"/>
          <w:sz w:val="32"/>
          <w:szCs w:val="32"/>
          <w:lang w:val="en-US" w:eastAsia="zh-CN"/>
        </w:rPr>
        <w:t>9</w:t>
      </w:r>
      <w:r>
        <w:rPr>
          <w:rFonts w:hint="eastAsia" w:ascii="仿宋" w:hAnsi="仿宋" w:eastAsia="仿宋"/>
          <w:color w:val="000000"/>
          <w:sz w:val="32"/>
          <w:szCs w:val="32"/>
        </w:rPr>
        <w:t>台。</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bookmarkEnd w:id="72"/>
    </w:p>
    <w:p>
      <w:pPr>
        <w:pStyle w:val="6"/>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eastAsia="zh-CN"/>
        </w:rPr>
        <w:t>医疗设备购置</w:t>
      </w:r>
      <w:r>
        <w:rPr>
          <w:rFonts w:hint="eastAsia" w:ascii="仿宋_GB2312" w:hAnsi="仿宋_GB2312" w:eastAsia="仿宋_GB2312" w:cs="仿宋_GB2312"/>
          <w:color w:val="auto"/>
          <w:sz w:val="32"/>
          <w:szCs w:val="32"/>
          <w:highlight w:val="none"/>
        </w:rPr>
        <w:t>项目等</w:t>
      </w:r>
      <w:r>
        <w:rPr>
          <w:rFonts w:hint="eastAsia" w:hAnsi="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Times New Roman" w:hAnsi="Times New Roman" w:eastAsia="宋体" w:cs="Times New Roman"/>
          <w:kern w:val="2"/>
          <w:sz w:val="21"/>
          <w:szCs w:val="24"/>
          <w:lang w:val="en-US" w:eastAsia="zh-CN" w:bidi="ar-SA"/>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18"/>
          <w:rFonts w:ascii="黑体" w:hAnsi="黑体" w:eastAsia="黑体"/>
          <w:b w:val="0"/>
          <w:color w:val="auto"/>
          <w:highlight w:val="none"/>
        </w:rPr>
      </w:pPr>
      <w:bookmarkStart w:id="73" w:name="_Toc1887"/>
      <w:bookmarkStart w:id="74" w:name="_Toc15377225"/>
      <w:bookmarkStart w:id="75" w:name="_Toc15396613"/>
      <w:r>
        <w:rPr>
          <w:rFonts w:hint="eastAsia" w:ascii="黑体" w:hAnsi="黑体" w:eastAsia="黑体"/>
          <w:color w:val="auto"/>
          <w:sz w:val="44"/>
          <w:szCs w:val="44"/>
          <w:highlight w:val="none"/>
        </w:rPr>
        <w:t>名</w:t>
      </w:r>
      <w:r>
        <w:rPr>
          <w:rStyle w:val="18"/>
          <w:rFonts w:hint="eastAsia" w:ascii="黑体" w:hAnsi="黑体" w:eastAsia="黑体"/>
          <w:b w:val="0"/>
          <w:color w:val="auto"/>
          <w:highlight w:val="none"/>
        </w:rPr>
        <w:t>词解释</w:t>
      </w:r>
      <w:bookmarkEnd w:id="73"/>
      <w:bookmarkEnd w:id="74"/>
      <w:bookmarkEnd w:id="75"/>
    </w:p>
    <w:p>
      <w:pPr>
        <w:spacing w:line="600" w:lineRule="exact"/>
        <w:jc w:val="left"/>
        <w:rPr>
          <w:rFonts w:ascii="宋体"/>
          <w:b/>
          <w:color w:val="auto"/>
          <w:sz w:val="44"/>
          <w:szCs w:val="44"/>
          <w:highlight w:val="none"/>
        </w:rPr>
      </w:pPr>
    </w:p>
    <w:p>
      <w:pPr>
        <w:pStyle w:val="27"/>
        <w:numPr>
          <w:ilvl w:val="0"/>
          <w:numId w:val="5"/>
        </w:numPr>
        <w:spacing w:line="560" w:lineRule="exact"/>
        <w:ind w:left="0" w:leftChars="0" w:firstLine="400" w:firstLineChars="0"/>
        <w:jc w:val="both"/>
        <w:outlineLvl w:val="1"/>
        <w:rPr>
          <w:rFonts w:ascii="仿宋_GB2312" w:hAnsi="仿宋_GB2312" w:eastAsia="仿宋_GB2312" w:cs="仿宋_GB2312"/>
          <w:color w:val="auto"/>
          <w:kern w:val="2"/>
          <w:sz w:val="32"/>
          <w:szCs w:val="32"/>
        </w:rPr>
      </w:pPr>
      <w:bookmarkStart w:id="76" w:name="_Toc30064"/>
      <w:bookmarkStart w:id="77" w:name="_Toc15377226"/>
      <w:r>
        <w:rPr>
          <w:rFonts w:hint="eastAsia" w:ascii="仿宋_GB2312" w:hAnsi="仿宋_GB2312" w:eastAsia="仿宋_GB2312" w:cs="仿宋_GB2312"/>
          <w:color w:val="auto"/>
          <w:kern w:val="2"/>
          <w:sz w:val="32"/>
          <w:szCs w:val="32"/>
        </w:rPr>
        <w:t>财政拨款收入：指单位从同级财政部门取得的财政预算资金。</w:t>
      </w:r>
      <w:bookmarkEnd w:id="76"/>
    </w:p>
    <w:p>
      <w:pPr>
        <w:pStyle w:val="27"/>
        <w:numPr>
          <w:ilvl w:val="0"/>
          <w:numId w:val="5"/>
        </w:numPr>
        <w:spacing w:line="560" w:lineRule="exact"/>
        <w:ind w:left="0" w:leftChars="0" w:firstLine="400" w:firstLineChars="0"/>
        <w:jc w:val="both"/>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年初结转和结余：指以前年度尚未完成、结转到本年按有关规定继续使用的资金。</w:t>
      </w:r>
    </w:p>
    <w:p>
      <w:pPr>
        <w:pStyle w:val="27"/>
        <w:numPr>
          <w:ilvl w:val="0"/>
          <w:numId w:val="5"/>
        </w:numPr>
        <w:spacing w:line="560" w:lineRule="exact"/>
        <w:ind w:left="0" w:leftChars="0" w:firstLine="400" w:firstLineChars="0"/>
        <w:jc w:val="both"/>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sz w:val="32"/>
          <w:szCs w:val="32"/>
        </w:rPr>
        <w:t>社会保障和就业支出（类）</w:t>
      </w:r>
      <w:r>
        <w:rPr>
          <w:rFonts w:hint="eastAsia" w:ascii="仿宋_GB2312" w:hAnsi="仿宋_GB2312" w:eastAsia="仿宋_GB2312" w:cs="仿宋_GB2312"/>
          <w:sz w:val="32"/>
          <w:szCs w:val="32"/>
          <w:lang w:eastAsia="zh-CN"/>
        </w:rPr>
        <w:t>人力资源和社会保障管理事务</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其他人力资源和社会保障管理事务</w:t>
      </w:r>
      <w:r>
        <w:rPr>
          <w:rFonts w:hint="eastAsia" w:ascii="仿宋_GB2312" w:hAnsi="仿宋_GB2312" w:eastAsia="仿宋_GB2312" w:cs="仿宋_GB2312"/>
          <w:sz w:val="32"/>
          <w:szCs w:val="32"/>
        </w:rPr>
        <w:t>（项）2080</w:t>
      </w:r>
      <w:r>
        <w:rPr>
          <w:rFonts w:hint="eastAsia" w:ascii="仿宋_GB2312" w:hAnsi="仿宋_GB2312" w:eastAsia="仿宋_GB2312" w:cs="仿宋_GB2312"/>
          <w:sz w:val="32"/>
          <w:szCs w:val="32"/>
          <w:lang w:val="en-US" w:eastAsia="zh-CN"/>
        </w:rPr>
        <w:t>199</w:t>
      </w:r>
      <w:r>
        <w:rPr>
          <w:rFonts w:hint="eastAsia" w:ascii="仿宋_GB2312" w:hAnsi="仿宋_GB2312" w:eastAsia="仿宋_GB2312" w:cs="仿宋_GB2312"/>
          <w:sz w:val="32"/>
          <w:szCs w:val="32"/>
        </w:rPr>
        <w:t>：</w:t>
      </w:r>
      <w:r>
        <w:rPr>
          <w:rFonts w:hint="eastAsia" w:ascii="仿宋_GB2312" w:eastAsia="仿宋_GB2312" w:cs="仿宋_GB2312"/>
          <w:sz w:val="32"/>
          <w:szCs w:val="32"/>
          <w:lang w:bidi="ar-SA"/>
        </w:rPr>
        <w:t>指反映</w:t>
      </w:r>
      <w:r>
        <w:rPr>
          <w:rFonts w:hint="eastAsia" w:ascii="仿宋_GB2312" w:eastAsia="仿宋_GB2312" w:cs="仿宋_GB2312"/>
          <w:sz w:val="32"/>
          <w:szCs w:val="32"/>
          <w:lang w:eastAsia="zh-CN" w:bidi="ar-SA"/>
        </w:rPr>
        <w:t>除上述项目以外其他用于人力资源和社会保障管理事务方面的</w:t>
      </w:r>
      <w:r>
        <w:rPr>
          <w:rFonts w:hint="eastAsia" w:ascii="仿宋_GB2312" w:eastAsia="仿宋_GB2312" w:cs="仿宋_GB2312"/>
          <w:sz w:val="32"/>
          <w:szCs w:val="32"/>
          <w:lang w:bidi="ar-SA"/>
        </w:rPr>
        <w:t>支出。</w:t>
      </w:r>
    </w:p>
    <w:p>
      <w:pPr>
        <w:numPr>
          <w:ilvl w:val="0"/>
          <w:numId w:val="5"/>
        </w:numPr>
        <w:ind w:left="0" w:leftChars="0" w:firstLine="400" w:firstLineChars="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社会保障和就业支出（类）行政事业单位养老支出（款）机关事业单位基本养老保险缴费支出（项）2080505：指反映机关事业单位实施养老保险制度由单位缴纳的基本养老保险费支出。</w:t>
      </w:r>
    </w:p>
    <w:p>
      <w:pPr>
        <w:numPr>
          <w:ilvl w:val="0"/>
          <w:numId w:val="5"/>
        </w:numPr>
        <w:ind w:left="0" w:leftChars="0" w:firstLine="400" w:firstLineChars="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社会保障和就业支出（类）行政事业单位养老支出（款）机关事业单位职业年金缴费支出（项）2080506：指反映机关事业单位实施养老保险制度由单位实际缴纳的职业年金支出。</w:t>
      </w:r>
    </w:p>
    <w:p>
      <w:pPr>
        <w:numPr>
          <w:ilvl w:val="0"/>
          <w:numId w:val="5"/>
        </w:numPr>
        <w:ind w:left="0" w:leftChars="0" w:firstLine="400" w:firstLineChars="0"/>
        <w:rPr>
          <w:rFonts w:hint="eastAsia" w:ascii="仿宋_GB2312" w:eastAsia="仿宋_GB2312" w:cs="仿宋_GB2312"/>
          <w:sz w:val="32"/>
          <w:szCs w:val="32"/>
          <w:lang w:bidi="ar-SA"/>
        </w:rPr>
      </w:pPr>
      <w:r>
        <w:rPr>
          <w:rFonts w:hint="eastAsia" w:ascii="仿宋_GB2312" w:eastAsia="仿宋_GB2312" w:cs="仿宋_GB2312"/>
          <w:sz w:val="32"/>
          <w:szCs w:val="32"/>
          <w:lang w:bidi="ar-SA"/>
        </w:rPr>
        <w:t>社会保障和就业支出（类）</w:t>
      </w:r>
      <w:r>
        <w:rPr>
          <w:rFonts w:hint="eastAsia" w:ascii="仿宋_GB2312" w:eastAsia="仿宋_GB2312" w:cs="仿宋_GB2312"/>
          <w:sz w:val="32"/>
          <w:szCs w:val="32"/>
          <w:lang w:eastAsia="zh-CN" w:bidi="ar-SA"/>
        </w:rPr>
        <w:t>其他</w:t>
      </w:r>
      <w:r>
        <w:rPr>
          <w:rFonts w:hint="eastAsia" w:ascii="仿宋_GB2312" w:eastAsia="仿宋_GB2312" w:cs="仿宋_GB2312"/>
          <w:sz w:val="32"/>
          <w:szCs w:val="32"/>
          <w:lang w:bidi="ar-SA"/>
        </w:rPr>
        <w:t>社会保障和就业支出（款）</w:t>
      </w:r>
      <w:r>
        <w:rPr>
          <w:rFonts w:hint="eastAsia" w:ascii="仿宋_GB2312" w:eastAsia="仿宋_GB2312" w:cs="仿宋_GB2312"/>
          <w:sz w:val="32"/>
          <w:szCs w:val="32"/>
          <w:lang w:eastAsia="zh-CN" w:bidi="ar-SA"/>
        </w:rPr>
        <w:t>其他</w:t>
      </w:r>
      <w:r>
        <w:rPr>
          <w:rFonts w:hint="eastAsia" w:ascii="仿宋_GB2312" w:eastAsia="仿宋_GB2312" w:cs="仿宋_GB2312"/>
          <w:sz w:val="32"/>
          <w:szCs w:val="32"/>
          <w:lang w:bidi="ar-SA"/>
        </w:rPr>
        <w:t>社会保障和就业支出（项）208</w:t>
      </w:r>
      <w:r>
        <w:rPr>
          <w:rFonts w:hint="eastAsia" w:ascii="仿宋_GB2312" w:eastAsia="仿宋_GB2312" w:cs="仿宋_GB2312"/>
          <w:sz w:val="32"/>
          <w:szCs w:val="32"/>
          <w:lang w:val="en-US" w:eastAsia="zh-CN" w:bidi="ar-SA"/>
        </w:rPr>
        <w:t>99</w:t>
      </w:r>
      <w:r>
        <w:rPr>
          <w:rFonts w:hint="eastAsia" w:ascii="仿宋_GB2312" w:eastAsia="仿宋_GB2312" w:cs="仿宋_GB2312"/>
          <w:sz w:val="32"/>
          <w:szCs w:val="32"/>
          <w:lang w:bidi="ar-SA"/>
        </w:rPr>
        <w:t>99：指反映除上述项目以外其他用于社会保障和就业</w:t>
      </w:r>
      <w:r>
        <w:rPr>
          <w:rFonts w:hint="eastAsia" w:ascii="仿宋_GB2312" w:eastAsia="仿宋_GB2312" w:cs="仿宋_GB2312"/>
          <w:sz w:val="32"/>
          <w:szCs w:val="32"/>
          <w:lang w:eastAsia="zh-CN" w:bidi="ar-SA"/>
        </w:rPr>
        <w:t>方面</w:t>
      </w:r>
      <w:r>
        <w:rPr>
          <w:rFonts w:hint="eastAsia" w:ascii="仿宋_GB2312" w:eastAsia="仿宋_GB2312" w:cs="仿宋_GB2312"/>
          <w:sz w:val="32"/>
          <w:szCs w:val="32"/>
          <w:lang w:bidi="ar-SA"/>
        </w:rPr>
        <w:t>的支出。</w:t>
      </w:r>
    </w:p>
    <w:p>
      <w:pPr>
        <w:numPr>
          <w:ilvl w:val="0"/>
          <w:numId w:val="5"/>
        </w:numPr>
        <w:ind w:left="0" w:leftChars="0" w:firstLine="400" w:firstLineChars="0"/>
        <w:rPr>
          <w:rFonts w:hint="default" w:eastAsia="宋体"/>
          <w:lang w:val="en-US" w:eastAsia="zh-CN"/>
        </w:rPr>
      </w:pPr>
      <w:r>
        <w:rPr>
          <w:rFonts w:hint="eastAsia" w:ascii="仿宋" w:hAnsi="仿宋" w:eastAsia="仿宋" w:cs="仿宋"/>
          <w:sz w:val="32"/>
          <w:szCs w:val="32"/>
          <w:lang w:bidi="ar-SA"/>
        </w:rPr>
        <w:t>卫</w:t>
      </w:r>
      <w:r>
        <w:rPr>
          <w:rFonts w:hint="eastAsia" w:ascii="仿宋_GB2312" w:eastAsia="仿宋_GB2312" w:cs="仿宋_GB2312"/>
          <w:sz w:val="32"/>
          <w:szCs w:val="32"/>
          <w:lang w:bidi="ar-SA"/>
        </w:rPr>
        <w:t>生健康支出</w:t>
      </w:r>
      <w:r>
        <w:rPr>
          <w:rFonts w:hint="eastAsia" w:ascii="仿宋_GB2312" w:eastAsia="仿宋_GB2312" w:cs="仿宋_GB2312"/>
          <w:color w:val="000000"/>
          <w:sz w:val="32"/>
          <w:szCs w:val="32"/>
          <w:lang w:bidi="ar-SA"/>
        </w:rPr>
        <w:t>（类）公立医院（款）</w:t>
      </w:r>
      <w:r>
        <w:rPr>
          <w:rFonts w:hint="eastAsia" w:ascii="仿宋_GB2312" w:eastAsia="仿宋_GB2312" w:cs="仿宋_GB2312"/>
          <w:color w:val="000000"/>
          <w:sz w:val="32"/>
          <w:szCs w:val="32"/>
          <w:lang w:eastAsia="zh-CN" w:bidi="ar-SA"/>
        </w:rPr>
        <w:t>妇幼保健医院</w:t>
      </w:r>
      <w:r>
        <w:rPr>
          <w:rFonts w:hint="eastAsia" w:ascii="仿宋_GB2312" w:eastAsia="仿宋_GB2312" w:cs="仿宋_GB2312"/>
          <w:color w:val="000000"/>
          <w:sz w:val="32"/>
          <w:szCs w:val="32"/>
          <w:lang w:bidi="ar-SA"/>
        </w:rPr>
        <w:t>（项）21002</w:t>
      </w:r>
      <w:r>
        <w:rPr>
          <w:rFonts w:hint="eastAsia" w:ascii="仿宋_GB2312" w:eastAsia="仿宋_GB2312" w:cs="仿宋_GB2312"/>
          <w:color w:val="000000"/>
          <w:sz w:val="32"/>
          <w:szCs w:val="32"/>
          <w:lang w:val="en-US" w:eastAsia="zh-CN" w:bidi="ar-SA"/>
        </w:rPr>
        <w:t>06</w:t>
      </w:r>
      <w:r>
        <w:rPr>
          <w:rFonts w:hint="eastAsia" w:ascii="仿宋_GB2312" w:eastAsia="仿宋_GB2312" w:cs="仿宋_GB2312"/>
          <w:color w:val="000000"/>
          <w:sz w:val="32"/>
          <w:szCs w:val="32"/>
          <w:lang w:bidi="ar-SA"/>
        </w:rPr>
        <w:t>：指反映</w:t>
      </w:r>
      <w:r>
        <w:rPr>
          <w:rFonts w:hint="eastAsia" w:ascii="仿宋_GB2312" w:eastAsia="仿宋_GB2312" w:cs="仿宋_GB2312"/>
          <w:color w:val="000000"/>
          <w:sz w:val="32"/>
          <w:szCs w:val="32"/>
          <w:lang w:eastAsia="zh-CN" w:bidi="ar-SA"/>
        </w:rPr>
        <w:t>妇幼保健院医院</w:t>
      </w:r>
      <w:r>
        <w:rPr>
          <w:rFonts w:hint="eastAsia" w:ascii="仿宋_GB2312" w:eastAsia="仿宋_GB2312" w:cs="仿宋_GB2312"/>
          <w:color w:val="000000"/>
          <w:sz w:val="32"/>
          <w:szCs w:val="32"/>
          <w:lang w:bidi="ar-SA"/>
        </w:rPr>
        <w:t>方面的支出。</w:t>
      </w:r>
    </w:p>
    <w:p>
      <w:pPr>
        <w:numPr>
          <w:ilvl w:val="0"/>
          <w:numId w:val="5"/>
        </w:numPr>
        <w:ind w:left="0" w:leftChars="0" w:firstLine="400" w:firstLineChars="0"/>
        <w:rPr>
          <w:rFonts w:hint="eastAsia" w:ascii="仿宋_GB2312" w:eastAsia="仿宋_GB2312" w:cs="仿宋_GB2312"/>
          <w:color w:val="000000"/>
          <w:sz w:val="32"/>
          <w:szCs w:val="32"/>
          <w:lang w:bidi="ar-SA"/>
        </w:rPr>
      </w:pPr>
      <w:r>
        <w:rPr>
          <w:rFonts w:hint="eastAsia" w:ascii="仿宋_GB2312" w:eastAsia="仿宋_GB2312" w:cs="仿宋_GB2312"/>
          <w:sz w:val="32"/>
          <w:szCs w:val="32"/>
          <w:lang w:bidi="ar-SA"/>
        </w:rPr>
        <w:t>卫生健康支出</w:t>
      </w:r>
      <w:r>
        <w:rPr>
          <w:rFonts w:hint="eastAsia" w:ascii="仿宋_GB2312" w:eastAsia="仿宋_GB2312" w:cs="仿宋_GB2312"/>
          <w:color w:val="000000"/>
          <w:sz w:val="32"/>
          <w:szCs w:val="32"/>
          <w:lang w:bidi="ar-SA"/>
        </w:rPr>
        <w:t>（类）公立医院（款）其他公立医院支出（项）2100299：指反映除上述项目以外的其他用于公立医院方面的支出。</w:t>
      </w:r>
    </w:p>
    <w:p>
      <w:pPr>
        <w:numPr>
          <w:ilvl w:val="0"/>
          <w:numId w:val="5"/>
        </w:numPr>
        <w:ind w:left="0" w:leftChars="0" w:firstLine="400" w:firstLineChars="0"/>
        <w:jc w:val="both"/>
        <w:rPr>
          <w:rFonts w:hint="default" w:eastAsia="仿宋_GB2312"/>
          <w:lang w:val="en-US" w:eastAsia="zh-CN"/>
        </w:rPr>
      </w:pPr>
      <w:r>
        <w:rPr>
          <w:rFonts w:hint="eastAsia" w:ascii="仿宋_GB2312" w:hAnsi="仿宋_GB2312" w:eastAsia="仿宋_GB2312" w:cs="仿宋_GB2312"/>
          <w:sz w:val="32"/>
          <w:szCs w:val="32"/>
        </w:rPr>
        <w:t>卫生健康支出（类）公共卫生（款）妇幼保健机构（项）2100403：指反映卫生健康部门所属妇幼保健机构的支出。</w:t>
      </w:r>
    </w:p>
    <w:p>
      <w:pPr>
        <w:numPr>
          <w:ilvl w:val="0"/>
          <w:numId w:val="5"/>
        </w:numPr>
        <w:ind w:left="0" w:leftChars="0" w:firstLine="400" w:firstLineChars="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卫生健康支出（类）公共卫生（款）重大公共卫生专项（项）2100409：指反映重大疾病预防控制等重大公共卫生服务项目支出。</w:t>
      </w:r>
    </w:p>
    <w:p>
      <w:pPr>
        <w:pStyle w:val="2"/>
        <w:numPr>
          <w:ilvl w:val="0"/>
          <w:numId w:val="5"/>
        </w:numPr>
        <w:ind w:left="0" w:leftChars="0" w:firstLine="400" w:firstLineChars="0"/>
        <w:rPr>
          <w:rFonts w:hint="eastAsia" w:eastAsia="仿宋"/>
          <w:b w:val="0"/>
          <w:bCs w:val="0"/>
          <w:lang w:val="en-US" w:eastAsia="zh-CN"/>
        </w:rPr>
      </w:pPr>
      <w:r>
        <w:rPr>
          <w:rFonts w:hint="eastAsia" w:ascii="仿宋" w:hAnsi="仿宋" w:eastAsia="仿宋"/>
          <w:b w:val="0"/>
          <w:bCs w:val="0"/>
          <w:color w:val="auto"/>
          <w:sz w:val="32"/>
          <w:szCs w:val="32"/>
        </w:rPr>
        <w:t>卫生健康</w:t>
      </w:r>
      <w:r>
        <w:rPr>
          <w:rFonts w:hint="eastAsia" w:ascii="仿宋" w:hAnsi="仿宋" w:eastAsia="仿宋"/>
          <w:b w:val="0"/>
          <w:bCs w:val="0"/>
          <w:color w:val="auto"/>
          <w:sz w:val="32"/>
          <w:szCs w:val="32"/>
          <w:lang w:eastAsia="zh-CN"/>
        </w:rPr>
        <w:t>支出</w:t>
      </w:r>
      <w:r>
        <w:rPr>
          <w:rStyle w:val="16"/>
          <w:rFonts w:hint="eastAsia" w:ascii="仿宋" w:hAnsi="仿宋" w:eastAsia="仿宋"/>
          <w:b w:val="0"/>
          <w:bCs w:val="0"/>
          <w:color w:val="auto"/>
          <w:sz w:val="32"/>
          <w:szCs w:val="32"/>
        </w:rPr>
        <w:t>（类）</w:t>
      </w:r>
      <w:r>
        <w:rPr>
          <w:rStyle w:val="16"/>
          <w:rFonts w:hint="eastAsia" w:ascii="仿宋" w:hAnsi="仿宋" w:eastAsia="仿宋"/>
          <w:b w:val="0"/>
          <w:bCs w:val="0"/>
          <w:color w:val="auto"/>
          <w:sz w:val="32"/>
          <w:szCs w:val="32"/>
          <w:lang w:eastAsia="zh-CN"/>
        </w:rPr>
        <w:t>公共卫生</w:t>
      </w:r>
      <w:r>
        <w:rPr>
          <w:rStyle w:val="16"/>
          <w:rFonts w:hint="eastAsia" w:ascii="仿宋" w:hAnsi="仿宋" w:eastAsia="仿宋"/>
          <w:b w:val="0"/>
          <w:bCs w:val="0"/>
          <w:color w:val="auto"/>
          <w:sz w:val="32"/>
          <w:szCs w:val="32"/>
        </w:rPr>
        <w:t>（款）</w:t>
      </w:r>
      <w:r>
        <w:rPr>
          <w:rStyle w:val="16"/>
          <w:rFonts w:hint="eastAsia" w:ascii="仿宋" w:hAnsi="仿宋" w:eastAsia="仿宋"/>
          <w:b w:val="0"/>
          <w:bCs w:val="0"/>
          <w:color w:val="auto"/>
          <w:sz w:val="32"/>
          <w:szCs w:val="32"/>
          <w:lang w:eastAsia="zh-CN"/>
        </w:rPr>
        <w:t>突发公共卫生事件应急处理</w:t>
      </w:r>
      <w:r>
        <w:rPr>
          <w:rStyle w:val="16"/>
          <w:rFonts w:hint="eastAsia" w:ascii="仿宋" w:hAnsi="仿宋" w:eastAsia="仿宋"/>
          <w:b w:val="0"/>
          <w:bCs w:val="0"/>
          <w:color w:val="auto"/>
          <w:sz w:val="32"/>
          <w:szCs w:val="32"/>
        </w:rPr>
        <w:t>（项）</w:t>
      </w:r>
      <w:r>
        <w:rPr>
          <w:rStyle w:val="16"/>
          <w:rFonts w:hint="eastAsia" w:ascii="仿宋" w:hAnsi="仿宋" w:eastAsia="仿宋"/>
          <w:b w:val="0"/>
          <w:bCs w:val="0"/>
          <w:color w:val="auto"/>
          <w:sz w:val="32"/>
          <w:szCs w:val="32"/>
          <w:lang w:val="en-US" w:eastAsia="zh-CN"/>
        </w:rPr>
        <w:t>2100410</w:t>
      </w:r>
      <w:r>
        <w:rPr>
          <w:rStyle w:val="16"/>
          <w:rFonts w:ascii="仿宋" w:hAnsi="仿宋" w:eastAsia="仿宋"/>
          <w:b w:val="0"/>
          <w:bCs w:val="0"/>
          <w:color w:val="auto"/>
          <w:sz w:val="32"/>
          <w:szCs w:val="32"/>
        </w:rPr>
        <w:t>:</w:t>
      </w:r>
      <w:r>
        <w:rPr>
          <w:rStyle w:val="16"/>
          <w:rFonts w:hint="eastAsia" w:ascii="仿宋" w:hAnsi="仿宋" w:eastAsia="仿宋"/>
          <w:b w:val="0"/>
          <w:bCs w:val="0"/>
          <w:color w:val="auto"/>
          <w:sz w:val="32"/>
          <w:szCs w:val="32"/>
          <w:lang w:eastAsia="zh-CN"/>
        </w:rPr>
        <w:t>指反映用于突发公共卫生事件应急处理的支出。</w:t>
      </w:r>
    </w:p>
    <w:p>
      <w:pPr>
        <w:numPr>
          <w:ilvl w:val="0"/>
          <w:numId w:val="5"/>
        </w:numPr>
        <w:ind w:left="0" w:leftChars="0" w:firstLine="400" w:firstLineChars="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卫生健康支出（类）公共卫生（款）其他公共卫生支出（项）2100499：指反映除上述项目以外的其他用于公共卫生方面的支出。</w:t>
      </w:r>
    </w:p>
    <w:p>
      <w:pPr>
        <w:numPr>
          <w:ilvl w:val="0"/>
          <w:numId w:val="5"/>
        </w:numPr>
        <w:ind w:left="0" w:leftChars="0" w:firstLine="400" w:firstLineChars="0"/>
        <w:jc w:val="both"/>
        <w:rPr>
          <w:rFonts w:hint="eastAsia" w:ascii="仿宋_GB2312" w:eastAsia="仿宋_GB2312" w:cs="仿宋_GB2312"/>
          <w:sz w:val="32"/>
          <w:szCs w:val="32"/>
          <w:lang w:val="en-US" w:eastAsia="zh-CN" w:bidi="ar-SA"/>
        </w:rPr>
      </w:pPr>
      <w:r>
        <w:rPr>
          <w:rFonts w:hint="eastAsia" w:ascii="仿宋_GB2312" w:hAnsi="仿宋_GB2312" w:eastAsia="仿宋_GB2312" w:cs="仿宋_GB2312"/>
          <w:sz w:val="32"/>
          <w:szCs w:val="32"/>
        </w:rPr>
        <w:t>卫生健康支出（类）计划生育事务（款）其他计划生育事务支出（项）2100799：指反映除上述项目以外其他用于计划生育管理事务方面的支出。</w:t>
      </w:r>
      <w:r>
        <w:rPr>
          <w:rFonts w:hint="eastAsia" w:ascii="仿宋_GB2312" w:eastAsia="仿宋_GB2312" w:cs="仿宋_GB2312"/>
          <w:sz w:val="32"/>
          <w:szCs w:val="32"/>
          <w:lang w:val="en-US" w:eastAsia="zh-CN" w:bidi="ar-SA"/>
        </w:rPr>
        <w:t xml:space="preserve">     </w:t>
      </w:r>
    </w:p>
    <w:p>
      <w:pPr>
        <w:numPr>
          <w:ilvl w:val="0"/>
          <w:numId w:val="5"/>
        </w:numPr>
        <w:ind w:left="0" w:leftChars="0" w:firstLine="400" w:firstLineChars="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卫生健康支出（类）行政事业单位医疗（款）事业单位医疗（项）2101102：指反映财政部门安排的事业单位基本医疗保险缴费经费，未参加医疗保险的事业单位的公费医疗经费，按国家规定享受离休人员待遇的医疗经费。</w:t>
      </w:r>
    </w:p>
    <w:p>
      <w:pPr>
        <w:numPr>
          <w:ilvl w:val="0"/>
          <w:numId w:val="5"/>
        </w:numPr>
        <w:ind w:left="0" w:leftChars="0" w:firstLine="400" w:firstLineChars="0"/>
        <w:jc w:val="both"/>
        <w:rPr>
          <w:rFonts w:ascii="仿宋_GB2312" w:hAnsi="仿宋_GB2312" w:eastAsia="仿宋_GB2312" w:cs="仿宋_GB2312"/>
          <w:sz w:val="32"/>
          <w:szCs w:val="32"/>
        </w:rPr>
      </w:pPr>
      <w:r>
        <w:rPr>
          <w:rFonts w:hint="eastAsia" w:ascii="仿宋_GB2312" w:eastAsia="仿宋_GB2312" w:cs="仿宋_GB2312"/>
          <w:sz w:val="32"/>
          <w:szCs w:val="32"/>
          <w:lang w:bidi="ar-SA"/>
        </w:rPr>
        <w:t>卫生健康支出（类）其他卫生健康支出（款）其他卫生健康支出（项）21099</w:t>
      </w:r>
      <w:r>
        <w:rPr>
          <w:rFonts w:hint="eastAsia" w:ascii="仿宋_GB2312" w:eastAsia="仿宋_GB2312" w:cs="仿宋_GB2312"/>
          <w:sz w:val="32"/>
          <w:szCs w:val="32"/>
          <w:lang w:val="en-US" w:eastAsia="zh-CN" w:bidi="ar-SA"/>
        </w:rPr>
        <w:t>99</w:t>
      </w:r>
      <w:r>
        <w:rPr>
          <w:rFonts w:hint="eastAsia" w:ascii="仿宋_GB2312" w:eastAsia="仿宋_GB2312" w:cs="仿宋_GB2312"/>
          <w:sz w:val="32"/>
          <w:szCs w:val="32"/>
          <w:lang w:bidi="ar-SA"/>
        </w:rPr>
        <w:t>：指反映除上述项目以外其他用于卫生健康方面的支出。</w:t>
      </w:r>
    </w:p>
    <w:p>
      <w:pPr>
        <w:numPr>
          <w:ilvl w:val="0"/>
          <w:numId w:val="5"/>
        </w:numPr>
        <w:ind w:left="0" w:leftChars="0" w:firstLine="400" w:firstLineChars="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住房保障支出（类）住房改革支出（款）住房公积金（项）2210201：指反映行政事业单位按人力资源和社会保障部、财政部规定的基本工资和津贴补贴以及规定比例为职工缴纳的住房公积金。</w:t>
      </w:r>
    </w:p>
    <w:p>
      <w:pPr>
        <w:numPr>
          <w:ilvl w:val="0"/>
          <w:numId w:val="5"/>
        </w:numPr>
        <w:ind w:left="0" w:leftChars="0" w:firstLine="400" w:firstLineChars="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numPr>
          <w:ilvl w:val="0"/>
          <w:numId w:val="5"/>
        </w:numPr>
        <w:ind w:left="0" w:leftChars="0" w:firstLine="400" w:firstLineChars="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pStyle w:val="27"/>
        <w:numPr>
          <w:ilvl w:val="0"/>
          <w:numId w:val="5"/>
        </w:numPr>
        <w:spacing w:line="560" w:lineRule="exact"/>
        <w:ind w:left="0" w:leftChars="0" w:firstLine="400" w:firstLineChars="0"/>
        <w:jc w:val="both"/>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18"/>
          <w:rFonts w:ascii="黑体" w:hAnsi="黑体" w:eastAsia="黑体"/>
          <w:b w:val="0"/>
          <w:color w:val="auto"/>
          <w:highlight w:val="none"/>
        </w:rPr>
      </w:pPr>
      <w:r>
        <w:rPr>
          <w:rFonts w:ascii="宋体"/>
          <w:b/>
          <w:color w:val="auto"/>
          <w:sz w:val="44"/>
          <w:szCs w:val="44"/>
          <w:highlight w:val="none"/>
        </w:rPr>
        <w:br w:type="page"/>
      </w:r>
      <w:bookmarkStart w:id="78" w:name="_Toc24173"/>
      <w:bookmarkStart w:id="79" w:name="_Toc15396614"/>
      <w:r>
        <w:rPr>
          <w:rFonts w:hint="eastAsia" w:ascii="黑体" w:hAnsi="黑体" w:eastAsia="黑体"/>
          <w:color w:val="auto"/>
          <w:sz w:val="44"/>
          <w:szCs w:val="44"/>
          <w:highlight w:val="none"/>
        </w:rPr>
        <w:t>第</w:t>
      </w:r>
      <w:r>
        <w:rPr>
          <w:rStyle w:val="18"/>
          <w:rFonts w:hint="eastAsia" w:ascii="黑体" w:hAnsi="黑体" w:eastAsia="黑体"/>
          <w:b w:val="0"/>
          <w:color w:val="auto"/>
          <w:highlight w:val="none"/>
        </w:rPr>
        <w:t>四部分 附件</w:t>
      </w:r>
      <w:bookmarkEnd w:id="78"/>
      <w:bookmarkEnd w:id="79"/>
    </w:p>
    <w:tbl>
      <w:tblPr>
        <w:tblStyle w:val="14"/>
        <w:tblpPr w:leftFromText="180" w:rightFromText="180" w:vertAnchor="text" w:horzAnchor="page" w:tblpX="701" w:tblpY="1487"/>
        <w:tblOverlap w:val="never"/>
        <w:tblW w:w="571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08"/>
        <w:gridCol w:w="521"/>
        <w:gridCol w:w="247"/>
        <w:gridCol w:w="931"/>
        <w:gridCol w:w="1008"/>
        <w:gridCol w:w="255"/>
        <w:gridCol w:w="1094"/>
        <w:gridCol w:w="709"/>
        <w:gridCol w:w="267"/>
        <w:gridCol w:w="769"/>
        <w:gridCol w:w="822"/>
        <w:gridCol w:w="267"/>
        <w:gridCol w:w="13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32"/>
                <w:szCs w:val="32"/>
                <w:u w:val="none"/>
              </w:rPr>
            </w:pPr>
          </w:p>
        </w:tc>
        <w:tc>
          <w:tcPr>
            <w:tcW w:w="268" w:type="pct"/>
            <w:tcBorders>
              <w:top w:val="nil"/>
              <w:left w:val="nil"/>
              <w:bottom w:val="nil"/>
              <w:right w:val="nil"/>
            </w:tcBorders>
            <w:shd w:val="clear" w:color="auto" w:fill="auto"/>
            <w:noWrap/>
            <w:vAlign w:val="center"/>
          </w:tcPr>
          <w:p>
            <w:pPr>
              <w:rPr>
                <w:rFonts w:hint="eastAsia" w:ascii="黑体" w:hAnsi="宋体" w:eastAsia="黑体" w:cs="黑体"/>
                <w:i w:val="0"/>
                <w:iCs w:val="0"/>
                <w:color w:val="000000"/>
                <w:sz w:val="24"/>
                <w:szCs w:val="24"/>
                <w:u w:val="none"/>
              </w:rPr>
            </w:pPr>
          </w:p>
        </w:tc>
        <w:tc>
          <w:tcPr>
            <w:tcW w:w="126" w:type="pct"/>
            <w:tcBorders>
              <w:top w:val="nil"/>
              <w:left w:val="nil"/>
              <w:bottom w:val="nil"/>
              <w:right w:val="nil"/>
            </w:tcBorders>
            <w:shd w:val="clear" w:color="auto" w:fill="auto"/>
            <w:noWrap/>
            <w:vAlign w:val="center"/>
          </w:tcPr>
          <w:p>
            <w:pPr>
              <w:rPr>
                <w:rFonts w:hint="eastAsia" w:ascii="黑体" w:hAnsi="宋体" w:eastAsia="黑体" w:cs="黑体"/>
                <w:i w:val="0"/>
                <w:iCs w:val="0"/>
                <w:color w:val="000000"/>
                <w:sz w:val="24"/>
                <w:szCs w:val="24"/>
                <w:u w:val="none"/>
              </w:rPr>
            </w:pPr>
          </w:p>
        </w:tc>
        <w:tc>
          <w:tcPr>
            <w:tcW w:w="478" w:type="pct"/>
            <w:tcBorders>
              <w:top w:val="nil"/>
              <w:left w:val="nil"/>
              <w:bottom w:val="nil"/>
              <w:right w:val="nil"/>
            </w:tcBorders>
            <w:shd w:val="clear" w:color="auto" w:fill="auto"/>
            <w:noWrap/>
            <w:vAlign w:val="center"/>
          </w:tcPr>
          <w:p>
            <w:pPr>
              <w:rPr>
                <w:rFonts w:hint="eastAsia" w:ascii="黑体" w:hAnsi="宋体" w:eastAsia="黑体" w:cs="黑体"/>
                <w:i w:val="0"/>
                <w:iCs w:val="0"/>
                <w:color w:val="000000"/>
                <w:sz w:val="24"/>
                <w:szCs w:val="24"/>
                <w:u w:val="none"/>
              </w:rPr>
            </w:pPr>
          </w:p>
        </w:tc>
        <w:tc>
          <w:tcPr>
            <w:tcW w:w="517"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30"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562"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36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37"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39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422"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33"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87"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5000" w:type="pct"/>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b/>
                <w:bCs/>
                <w:i w:val="0"/>
                <w:iCs w:val="0"/>
                <w:color w:val="000000"/>
                <w:kern w:val="0"/>
                <w:sz w:val="44"/>
                <w:szCs w:val="44"/>
                <w:u w:val="none"/>
                <w:lang w:val="en-US" w:eastAsia="zh-CN" w:bidi="ar"/>
              </w:rPr>
              <w:t>部门整体支出绩效目标自评表              （2022年度）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1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部门名称</w:t>
            </w:r>
          </w:p>
        </w:tc>
        <w:tc>
          <w:tcPr>
            <w:tcW w:w="382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任务</w:t>
            </w:r>
          </w:p>
        </w:tc>
        <w:tc>
          <w:tcPr>
            <w:tcW w:w="39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任务名称</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主要内容</w:t>
            </w:r>
          </w:p>
        </w:tc>
        <w:tc>
          <w:tcPr>
            <w:tcW w:w="157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预算金额（万元）</w:t>
            </w:r>
          </w:p>
        </w:tc>
        <w:tc>
          <w:tcPr>
            <w:tcW w:w="1776"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实际执行（万元）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9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总额</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财政拨款</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总额</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财政拨款</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人员经费支出项目</w:t>
            </w:r>
          </w:p>
        </w:tc>
        <w:tc>
          <w:tcPr>
            <w:tcW w:w="478"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保障医院2022年度人员工资、社会保障费支出支付</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3383.61</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3383.61</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3268.94</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3268.94</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日常运转类成本支出项目</w:t>
            </w:r>
          </w:p>
        </w:tc>
        <w:tc>
          <w:tcPr>
            <w:tcW w:w="478"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保障2022年药品、耗材、水电气等日常运转类成本支付。</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3148.22</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3148.22</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3142.8</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3142.8</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医疗设备购置项目</w:t>
            </w:r>
          </w:p>
        </w:tc>
        <w:tc>
          <w:tcPr>
            <w:tcW w:w="478"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完成2022年度预算新增新生儿双面蓝光箱等设备购置</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153.01</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153.01</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150.71</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150.71</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信息化建设项目</w:t>
            </w:r>
          </w:p>
        </w:tc>
        <w:tc>
          <w:tcPr>
            <w:tcW w:w="478"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完成2022年度统一运维监控管理系统采购</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132.93</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132.93</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132.93</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132.93</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物业管理服务项目</w:t>
            </w:r>
          </w:p>
        </w:tc>
        <w:tc>
          <w:tcPr>
            <w:tcW w:w="478"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完成2022年度环境保洁服务、安保服务、消防服务、中央运送服务等合同项目</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281.76</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281.76</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281.76</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281.76</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医疗布类洗涤服务项目</w:t>
            </w:r>
          </w:p>
        </w:tc>
        <w:tc>
          <w:tcPr>
            <w:tcW w:w="478"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完成2022年度病人使用的衣物、床单、被服等洗涤服务</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38.49</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38.49</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办公设备购置项目</w:t>
            </w:r>
          </w:p>
        </w:tc>
        <w:tc>
          <w:tcPr>
            <w:tcW w:w="478"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完成2022年预算新增空调、复印纸、办公设备采购</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17.74</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17.74</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文化建设项目</w:t>
            </w:r>
          </w:p>
        </w:tc>
        <w:tc>
          <w:tcPr>
            <w:tcW w:w="478"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完成2022年预算文化建设项目</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36.73</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36.73</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36.73</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36.73</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乡村振兴项目</w:t>
            </w:r>
          </w:p>
        </w:tc>
        <w:tc>
          <w:tcPr>
            <w:tcW w:w="478"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完成2022年乡村帮扶、振兴任务</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3.64</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3.64</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3.64</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3.64</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73" w:type="pct"/>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金额合计</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9400.35</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9400.35</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9167.55</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9167.55</w:t>
            </w:r>
          </w:p>
        </w:tc>
        <w:tc>
          <w:tcPr>
            <w:tcW w:w="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restart"/>
            <w:tcBorders>
              <w:top w:val="nil"/>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总体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w:t>
            </w:r>
          </w:p>
        </w:tc>
        <w:tc>
          <w:tcPr>
            <w:tcW w:w="1391" w:type="pct"/>
            <w:gridSpan w:val="4"/>
            <w:tcBorders>
              <w:top w:val="single" w:color="000000" w:sz="4" w:space="0"/>
              <w:left w:val="single" w:color="000000"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283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91"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目标1：完成上级部门安排的目标任务。                                                                                                            目标2：按照医院2022年年度预算目标，完成非税收入年度缴任务，保障单位人员、运转类经费正常支付。                                                                                        目标3：完成2022年度预算新增新生儿双面蓝光箱2台，新生儿暖箱2台，儿童心电监护仪2台，胎心监护仪4台、超净工作台1台、婴儿卧式秤1台，婴儿立式秤1台、输液泵6台、排痰仪1台、注射泵4台、皮测黄疸仪1台等共31台件设备采购                                                                                                                         目标4：完成2022年全院环境卫生、水电维护、安全保卫等和布类洗涤合同内容。                                                                        目标5：台式电脑（标配）7台、高配1台、笔记本电脑1台。、验钞机4台、存折式打印机2台、一体机1台、书柜1组、病历储存柜10组采购。                                                                                                                                                                                                                                                                                                                                                          目标6：完成2022年度预算新统一运维监控管理系统、短信平台、移动医护网络改造、预防接种信息系统、医院电子图书系统使用费用、OA办公系统服务器、软件正版化改造、CA接口费、医保接口采购。                                                                                                                          目标7：完成2022年预算文化建设项目，其中导视系统制作与安装25万元、文化长廊。                                                                             目标8：完成2022年度乡村振兴任务。</w:t>
            </w:r>
          </w:p>
        </w:tc>
        <w:tc>
          <w:tcPr>
            <w:tcW w:w="2833" w:type="pct"/>
            <w:gridSpan w:val="8"/>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1.2022年度部门整体预算整体执行率97.52%。                                                                                2.人员经费支出项目预算完成率96.61%。                                                                              3.日常运转类成本支出项目预算完成率99.82%。                                                                          4.医疗设备购置项目预算完成率98.5%。                                                                                5.信息化建设项目预算完成率100%。                                                                                6.物业管理服务项目预算完成率100%。                                                                          7.医疗布类洗涤服务项目预算完成率83.67%。                                                                    8.办公设备购置项目预算完成率83.67%。                                                                            9.文化建设项目预算完成率100%。                                                                                  10.乡村振兴项目预算完成率100%。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26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6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6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562"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指标值（包含数字及文字描述）</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实际完成指标值（包含数字及文字描述）</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部门自评得分</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财政部门科室复评得分</w:t>
            </w: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未完成原因及改进措施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605" w:type="pct"/>
            <w:gridSpan w:val="2"/>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648"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指标1：完成人员工资、社会保障费等支付</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3268.94万元</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3268.94万元</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指标2：完成药品、耗材、水电气等等项目</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3148.22万元</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3142.8万元</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指标3：完成25台件新增医疗设备采购任务</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153.01万元</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150.71万元</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指标4：完成统一运维监控管理系统等9套系统采购</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132.93万元</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132.93万元</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指标5：物管完成合同规定内容</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281.76万元</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281.76万元</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指标6：洗涤完成合同规定内容</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46万元</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38.49万元</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指标7：完成办公设备采购</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17.74万元</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13.8万元</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指标8：导视系统、文化长廊</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2套</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2套</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指标1：人员经费相关考核指标完成率</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指标2：运转类成本相关考核指标完成率</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指标3：医疗设备采购符合《医疗器械管理条列》和《政府采购法相关规定 </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指标4：物业管理项目按照合同标准执行</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99%</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指标5：洗涤按照合同标准执行</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指标6：文化建设按照行业标准执行</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指标1：人员经费支出完成时间</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指标2：运转类成本支出完成时间</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指标3：医疗设备采购完成时间</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指标4：信息化建设完成时间</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指标5：物业管理费合同完成时间</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指标6：洗涤服务项目完成时间</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指标7：办公设备项目完成时间</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指标8：文化建设项目完成时间</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指标9：乡村振兴项目完成时间</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指标1：信息化建设项目采购成本控制在预算范围内</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132.93万元</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132.93万元</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 医疗设备引进该批设备后，各科可收费经济收入有一定增长。</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指标1：更新超年限设备，保障病人安全；新项目开展，增加检查和治疗手段，社会影响力大。</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指标2：更新超年限设备系统、保障临床业务正常开展</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指标3：给患者舒适、整洁就医环境</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99%</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指标4：为医护、患者提供更方便的就诊、就医服务</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指标5：乡村振兴项目满意度</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60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指标1：人员经费项目满意度</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指标2：运转类成本项目满意度</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指标3：医疗设备临床医护人员、社会大众满意度提升</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99%</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指标4：信息化建设满意度</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指标5：物业管理费项目满意度</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指标:6：洗涤服务项目满意度</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指标:7：办公设备项目满意度</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指标8：文化建设项目满意度</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指标9：乡村振兴项目满意度</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lang w:val="en-US" w:eastAsia="zh-CN" w:bidi="ar"/>
              </w:rPr>
              <w:t>指标考核</w:t>
            </w:r>
            <w:r>
              <w:rPr>
                <w:rStyle w:val="34"/>
                <w:rFonts w:eastAsia="宋体"/>
                <w:lang w:val="en-US" w:eastAsia="zh-CN" w:bidi="ar"/>
              </w:rPr>
              <w:t>≥</w:t>
            </w:r>
            <w:r>
              <w:rPr>
                <w:rStyle w:val="33"/>
                <w:lang w:val="en-US" w:eastAsia="zh-CN" w:bidi="ar"/>
              </w:rPr>
              <w:t>95%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部门（单位）自评结论</w:t>
            </w:r>
          </w:p>
        </w:tc>
        <w:tc>
          <w:tcPr>
            <w:tcW w:w="422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2022年度整体支出绩效评价得分是96.7分，完成绩效目标成果优良。                                                                                                 一是基本完成了人员经费、运转类成本项目支付任务，预算执行率大于95%。                                                                                              二是完成了医疗设备、信息化建设、办公设备等项目采购，包括年中因疫情原因需调整增加核酸检测提能设备采购项目，保障了核酸检测任务顺利完成。                                                                 三是按照合同约定按时支付了物业管理费、医疗布类洗涤费用。四是圆满完成了乡村振兴等各项任务。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部门（单位）自评存在问题</w:t>
            </w:r>
          </w:p>
        </w:tc>
        <w:tc>
          <w:tcPr>
            <w:tcW w:w="422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2022年度预算项目在执行过程中还存在以下问题：                                                                                                                            一是年初项目预算精细程度不够，特别是部分采购项目。                                                                                                                       二是部分项目执行启动时间较晚，在进行年中预算项目监控时部分采购项目未完成首笔款项支付，项目执行主要集中在下半年。                                                                           三是预算执行过程中进行预算调整较多。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部门（单位）自评改进措施</w:t>
            </w:r>
          </w:p>
        </w:tc>
        <w:tc>
          <w:tcPr>
            <w:tcW w:w="422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针对2022年预算执行中存在的问题提出改进措施：                                                                                                                            一是加强预算的精细化、合理化，综合全方位考虑涉及到的资金。                                                                                                                 二是加快预算执行进度，特别涉及到采购项目，提早谋划，优化流程，避免流程问题导致预算项目执行进度滞后，影响全年预算资金执行。                                                                                          三是严格按照年初预算执行，并纳入年度预算目标考核。 四是 绩效考评指标应尽量量化，不能量化的要尽量细化，以提高考评工作的可操作性和确保考评结果的客观性、公正性。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财政部门对口科室复评结论及整改要求</w:t>
            </w:r>
          </w:p>
        </w:tc>
        <w:tc>
          <w:tcPr>
            <w:tcW w:w="422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229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单位项目负责人：</w:t>
            </w:r>
          </w:p>
        </w:tc>
        <w:tc>
          <w:tcPr>
            <w:tcW w:w="270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229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部门项目负责人：</w:t>
            </w:r>
          </w:p>
        </w:tc>
        <w:tc>
          <w:tcPr>
            <w:tcW w:w="270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312"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财政部门科室负责人：</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5000" w:type="pct"/>
            <w:gridSpan w:val="13"/>
            <w:tcBorders>
              <w:top w:val="single" w:color="000000" w:sz="4" w:space="0"/>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注：部门整体支出绩效目标自评表在年度预算执行完毕后填报。</w:t>
            </w:r>
          </w:p>
        </w:tc>
      </w:tr>
    </w:tbl>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tbl>
      <w:tblPr>
        <w:tblStyle w:val="14"/>
        <w:tblW w:w="9840" w:type="dxa"/>
        <w:tblInd w:w="-1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81"/>
        <w:gridCol w:w="648"/>
        <w:gridCol w:w="959"/>
        <w:gridCol w:w="1025"/>
        <w:gridCol w:w="418"/>
        <w:gridCol w:w="846"/>
        <w:gridCol w:w="418"/>
        <w:gridCol w:w="881"/>
        <w:gridCol w:w="495"/>
        <w:gridCol w:w="432"/>
        <w:gridCol w:w="460"/>
        <w:gridCol w:w="9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228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32"/>
                <w:szCs w:val="32"/>
                <w:u w:val="none"/>
              </w:rPr>
            </w:pPr>
          </w:p>
        </w:tc>
        <w:tc>
          <w:tcPr>
            <w:tcW w:w="64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5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4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8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9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3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7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9840" w:type="dxa"/>
            <w:gridSpan w:val="1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b/>
                <w:bCs/>
                <w:i w:val="0"/>
                <w:iCs w:val="0"/>
                <w:color w:val="000000"/>
                <w:kern w:val="0"/>
                <w:sz w:val="44"/>
                <w:szCs w:val="44"/>
                <w:u w:val="none"/>
                <w:lang w:val="en-US" w:eastAsia="zh-CN" w:bidi="ar"/>
              </w:rPr>
              <w:t>人员经费预算项目支出绩效目标自评表      （2022年度）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29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691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人员经费支出项目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9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3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23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3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32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3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保障医院2022年度人员工资、社会保障费支出支付。</w:t>
            </w:r>
          </w:p>
        </w:tc>
        <w:tc>
          <w:tcPr>
            <w:tcW w:w="32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年初预算完成率96.61%。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691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按照医院2022年年度预算目标，保障医院2022年度人员工资、社会保障费支出支付。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2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预算执行情况（10分）</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年度预算数（万元）</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1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3629.17</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3,383.61</w:t>
            </w:r>
          </w:p>
        </w:tc>
        <w:tc>
          <w:tcPr>
            <w:tcW w:w="1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3,268.94</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96.61%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受疫情影响，医疗收入未能达到年度预算目标，压减预算支出。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3629.17</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3,383.61</w:t>
            </w:r>
          </w:p>
        </w:tc>
        <w:tc>
          <w:tcPr>
            <w:tcW w:w="1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3,268.94</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96.61%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完成人员工资、社会保障费等支付</w:t>
            </w:r>
          </w:p>
        </w:tc>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3268.94</w:t>
            </w:r>
          </w:p>
        </w:tc>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3268.94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完成时间</w:t>
            </w:r>
          </w:p>
        </w:tc>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相关考核指标完成率</w:t>
            </w:r>
          </w:p>
        </w:tc>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p>
        </w:tc>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47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部门（单位）自评结论</w:t>
            </w:r>
          </w:p>
        </w:tc>
        <w:tc>
          <w:tcPr>
            <w:tcW w:w="755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人员经费支出项目是保障医院正常运行的基础项目，对相关明细分项的预算应更加精细化、科学化，预算执行与年初预算偏差率较大。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部门（单位）自评存在问题</w:t>
            </w:r>
          </w:p>
        </w:tc>
        <w:tc>
          <w:tcPr>
            <w:tcW w:w="755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人员经费项目预算执行率96.61%，主要为2022年初预算3629.17万元，因受新冠疫情影响全年预计收入较年初大幅下降，年末调整追减预算245.56万元，调整后预算数为3268.94万元。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部门（单位）自评改进措施</w:t>
            </w:r>
          </w:p>
        </w:tc>
        <w:tc>
          <w:tcPr>
            <w:tcW w:w="755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加强预算的精细化、合理化，综合全方位考虑涉及到的资金。对预算项目执行严格监督、考核，并将项目执行情况作为下年预算安排参考的重要依据。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755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533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w:t>
            </w:r>
          </w:p>
        </w:tc>
        <w:tc>
          <w:tcPr>
            <w:tcW w:w="450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533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w:t>
            </w:r>
          </w:p>
        </w:tc>
        <w:tc>
          <w:tcPr>
            <w:tcW w:w="450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84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bl>
    <w:p>
      <w:pPr>
        <w:pStyle w:val="2"/>
      </w:pPr>
    </w:p>
    <w:tbl>
      <w:tblPr>
        <w:tblStyle w:val="14"/>
        <w:tblW w:w="9825" w:type="dxa"/>
        <w:tblInd w:w="-108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89"/>
        <w:gridCol w:w="1492"/>
        <w:gridCol w:w="846"/>
        <w:gridCol w:w="936"/>
        <w:gridCol w:w="397"/>
        <w:gridCol w:w="936"/>
        <w:gridCol w:w="397"/>
        <w:gridCol w:w="756"/>
        <w:gridCol w:w="488"/>
        <w:gridCol w:w="397"/>
        <w:gridCol w:w="397"/>
        <w:gridCol w:w="7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98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79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9825" w:type="dxa"/>
            <w:gridSpan w:val="1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44"/>
                <w:szCs w:val="44"/>
                <w:u w:val="none"/>
              </w:rPr>
            </w:pPr>
            <w:r>
              <w:rPr>
                <w:rFonts w:hint="eastAsia" w:ascii="方正小标宋简体" w:hAnsi="方正小标宋简体" w:eastAsia="方正小标宋简体" w:cs="方正小标宋简体"/>
                <w:b/>
                <w:bCs/>
                <w:i w:val="0"/>
                <w:iCs w:val="0"/>
                <w:color w:val="000000"/>
                <w:kern w:val="0"/>
                <w:sz w:val="44"/>
                <w:szCs w:val="44"/>
                <w:u w:val="none"/>
                <w:lang w:val="en-US" w:eastAsia="zh-CN" w:bidi="ar"/>
              </w:rPr>
              <w:t>日常运转类成本项目支出绩效目标自评表    （2022年度）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3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63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日常运转类成本支出项目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3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2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28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保障2022年药品、耗材、水电气等日常运转类成本支付。</w:t>
            </w:r>
          </w:p>
        </w:tc>
        <w:tc>
          <w:tcPr>
            <w:tcW w:w="28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年初预算完成率99.82%。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63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按照医院2022年年度预算目标，保障2022年药品、耗材、水电气等日常运转类成本支付。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1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3936.66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3,148.22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3,142.80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受疫情影响，医疗收入未能达到年度预算目标，压减预算支出。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3936.66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3,148.22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3,142.80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完成药品、耗材、水电气等等项目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3,148.22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3142.8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相关指标考核完成率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74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部门（单位）自评结论</w:t>
            </w:r>
          </w:p>
        </w:tc>
        <w:tc>
          <w:tcPr>
            <w:tcW w:w="783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日常运转类成本支出项目是保障医院正常运行的基础项目，对各明细项的预算应更加精细化、科学化，避免各内部成本项目差异加大，导致日常运转类成本支出项目内明细项目预算执行与年初预算偏差率较大。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部门（单位）自评存在问题</w:t>
            </w:r>
          </w:p>
        </w:tc>
        <w:tc>
          <w:tcPr>
            <w:tcW w:w="783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成本项目各明细项预算执行率99.82%，主要为2022年初预算3936.66万元，因受新冠疫情影响全年预计收入较年初预算大幅下降，年末调整追减预算788.44万元，调整后预算数为3148.22万元。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部门（单位）自评改进措施</w:t>
            </w:r>
          </w:p>
        </w:tc>
        <w:tc>
          <w:tcPr>
            <w:tcW w:w="783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加强预算的精细化、合理化，综合全方位考虑涉及到的资金。对预算项目执行严格监督、考核，并将项目执行情况作为下年预算安排参考的重要依据。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783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6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w:t>
            </w:r>
          </w:p>
        </w:tc>
        <w:tc>
          <w:tcPr>
            <w:tcW w:w="416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6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w:t>
            </w:r>
          </w:p>
        </w:tc>
        <w:tc>
          <w:tcPr>
            <w:tcW w:w="416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bl>
    <w:p>
      <w:pPr>
        <w:pStyle w:val="2"/>
      </w:pPr>
    </w:p>
    <w:tbl>
      <w:tblPr>
        <w:tblStyle w:val="14"/>
        <w:tblW w:w="9825" w:type="dxa"/>
        <w:tblInd w:w="-108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43"/>
        <w:gridCol w:w="1408"/>
        <w:gridCol w:w="936"/>
        <w:gridCol w:w="756"/>
        <w:gridCol w:w="397"/>
        <w:gridCol w:w="756"/>
        <w:gridCol w:w="397"/>
        <w:gridCol w:w="756"/>
        <w:gridCol w:w="488"/>
        <w:gridCol w:w="397"/>
        <w:gridCol w:w="397"/>
        <w:gridCol w:w="7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2343"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32"/>
                <w:szCs w:val="3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9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9825" w:type="dxa"/>
            <w:gridSpan w:val="1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44"/>
                <w:szCs w:val="44"/>
                <w:u w:val="none"/>
              </w:rPr>
            </w:pPr>
            <w:r>
              <w:rPr>
                <w:rFonts w:hint="eastAsia" w:ascii="方正小标宋简体" w:hAnsi="方正小标宋简体" w:eastAsia="方正小标宋简体" w:cs="方正小标宋简体"/>
                <w:b/>
                <w:bCs/>
                <w:i w:val="0"/>
                <w:iCs w:val="0"/>
                <w:color w:val="000000"/>
                <w:kern w:val="0"/>
                <w:sz w:val="44"/>
                <w:szCs w:val="44"/>
                <w:u w:val="none"/>
                <w:lang w:val="en-US" w:eastAsia="zh-CN" w:bidi="ar"/>
              </w:rPr>
              <w:t>医疗设备购置项目支出绩效目标自评表     （2022年度）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37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60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医疗设备购置项目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7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2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3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28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23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完成2022年度预算新增新生儿双面蓝光箱2台，新生儿暖箱2台，儿童心电监护仪2台，胎心监护仪4台、超净工作台1台、婴儿卧式秤1台，婴儿立式秤1台、输液泵6台、排痰仪1台、注射泵4台、皮测黄疸仪1台。</w:t>
            </w:r>
          </w:p>
        </w:tc>
        <w:tc>
          <w:tcPr>
            <w:tcW w:w="28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年初预算完成率98.5%。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3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60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底，全院各科室提交2022年预算新增设备11台件，预算经费23.05万元，实际执行采购11台件，采购金额21.43万元，执行率92.97%；2022年中，调增预算132.66万元采购麻醉机和配套监护仪两台，使用资金130.36万元，执行率98.5%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23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3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153.01</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150.71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疫情防控要求，需紧急采购核酸检测提能设备，年中调增了医疗设备采购预算。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3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153.01</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150.71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3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3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3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3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3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符合《医疗器械管理条列》和《政府采购法相关规定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招标价格控制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23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完成25台件新增医疗设备采购任务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153.01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150.71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3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23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引进该批设备后，各科可收费经济收入有一定增长。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23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更新超年限设备，保障病人安全；新项目开展，增加检查和治疗手段，社会影响力大。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3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临床医护人员、社会大众满意度提升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4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2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部门（单位）自评结论</w:t>
            </w:r>
          </w:p>
        </w:tc>
        <w:tc>
          <w:tcPr>
            <w:tcW w:w="748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2022年度，按照年初批复的预算和调增的预算项目，在12月31日前圆满完成项目类各设备的采购。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2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部门（单位）自评存在问题</w:t>
            </w:r>
          </w:p>
        </w:tc>
        <w:tc>
          <w:tcPr>
            <w:tcW w:w="748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因医院资金困难，临床部分紧缺设备无资金购买，限制了新项目新技术的发展。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2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部门（单位）自评改进措施</w:t>
            </w:r>
          </w:p>
        </w:tc>
        <w:tc>
          <w:tcPr>
            <w:tcW w:w="748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2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748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8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w:t>
            </w:r>
          </w:p>
        </w:tc>
        <w:tc>
          <w:tcPr>
            <w:tcW w:w="39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8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w:t>
            </w:r>
          </w:p>
        </w:tc>
        <w:tc>
          <w:tcPr>
            <w:tcW w:w="39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bl>
    <w:p>
      <w:pPr>
        <w:pStyle w:val="2"/>
      </w:pPr>
    </w:p>
    <w:tbl>
      <w:tblPr>
        <w:tblStyle w:val="14"/>
        <w:tblW w:w="9840" w:type="dxa"/>
        <w:tblInd w:w="-108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40"/>
        <w:gridCol w:w="1501"/>
        <w:gridCol w:w="756"/>
        <w:gridCol w:w="756"/>
        <w:gridCol w:w="397"/>
        <w:gridCol w:w="756"/>
        <w:gridCol w:w="397"/>
        <w:gridCol w:w="846"/>
        <w:gridCol w:w="488"/>
        <w:gridCol w:w="397"/>
        <w:gridCol w:w="397"/>
        <w:gridCol w:w="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2340"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32"/>
                <w:szCs w:val="3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0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9840" w:type="dxa"/>
            <w:gridSpan w:val="1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44"/>
                <w:szCs w:val="44"/>
                <w:u w:val="none"/>
              </w:rPr>
            </w:pPr>
            <w:r>
              <w:rPr>
                <w:rFonts w:hint="eastAsia" w:ascii="方正小标宋简体" w:hAnsi="方正小标宋简体" w:eastAsia="方正小标宋简体" w:cs="方正小标宋简体"/>
                <w:b/>
                <w:bCs/>
                <w:i w:val="0"/>
                <w:iCs w:val="0"/>
                <w:color w:val="000000"/>
                <w:kern w:val="0"/>
                <w:sz w:val="44"/>
                <w:szCs w:val="44"/>
                <w:u w:val="none"/>
                <w:lang w:val="en-US" w:eastAsia="zh-CN" w:bidi="ar"/>
              </w:rPr>
              <w:t>信息化建设预算项目支出绩效目标自评表    （2022年度）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3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599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信息化建设项目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3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20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29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trPr>
        <w:tc>
          <w:tcPr>
            <w:tcW w:w="2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统一运维监控管理系统（预算资金28万元）、短信平台（预算资金1.2万元）、移动医护网络改造（预算资金20万元）、预防接种信息系统（预算资金15万元）、医院电子图书系统使用费用（8万元）、OA办公系统服务器(预算资金2.4万元)、软件正版化改造（预算资金24万元）、CA接口费（预算资金28万元）、医保接口（预算资金12万元）。</w:t>
            </w:r>
          </w:p>
        </w:tc>
        <w:tc>
          <w:tcPr>
            <w:tcW w:w="29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年初预算完成率100%。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599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书系统使用费用、短信平台、统一运维监控管理系统、移动医护硬件、软件正版化改造、医保接口费、CA接口费、OA办公系统服务器共9项,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2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132.93</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132.93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采购项目预算数与实际采购金额差，年末申请调减。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132.93</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132.93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2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完成统一运维监控管理系统等9套系统采购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132.93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万元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132.93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采购成本控制在预算范围内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132.93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万元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132.93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2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更新超年限设备系统、保障临床业务正常开展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74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部门（单位）自评结论</w:t>
            </w:r>
          </w:p>
        </w:tc>
        <w:tc>
          <w:tcPr>
            <w:tcW w:w="75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项目总体完成情况较好，能按法律法规及医院制度流程要求如期完成。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部门（单位）自评存在问题</w:t>
            </w:r>
          </w:p>
        </w:tc>
        <w:tc>
          <w:tcPr>
            <w:tcW w:w="75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部门（单位）自评改进措施</w:t>
            </w:r>
          </w:p>
        </w:tc>
        <w:tc>
          <w:tcPr>
            <w:tcW w:w="75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75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w:t>
            </w:r>
          </w:p>
        </w:tc>
        <w:tc>
          <w:tcPr>
            <w:tcW w:w="40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w:t>
            </w:r>
          </w:p>
        </w:tc>
        <w:tc>
          <w:tcPr>
            <w:tcW w:w="40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4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bl>
    <w:p>
      <w:pPr>
        <w:pStyle w:val="2"/>
      </w:pPr>
    </w:p>
    <w:tbl>
      <w:tblPr>
        <w:tblStyle w:val="14"/>
        <w:tblW w:w="9840" w:type="dxa"/>
        <w:tblInd w:w="-108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53"/>
        <w:gridCol w:w="1487"/>
        <w:gridCol w:w="936"/>
        <w:gridCol w:w="756"/>
        <w:gridCol w:w="397"/>
        <w:gridCol w:w="756"/>
        <w:gridCol w:w="397"/>
        <w:gridCol w:w="846"/>
        <w:gridCol w:w="488"/>
        <w:gridCol w:w="397"/>
        <w:gridCol w:w="397"/>
        <w:gridCol w:w="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2353"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32"/>
                <w:szCs w:val="3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3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9840" w:type="dxa"/>
            <w:gridSpan w:val="1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44"/>
                <w:szCs w:val="44"/>
                <w:u w:val="none"/>
              </w:rPr>
            </w:pPr>
            <w:r>
              <w:rPr>
                <w:rFonts w:hint="eastAsia" w:ascii="方正小标宋简体" w:hAnsi="方正小标宋简体" w:eastAsia="方正小标宋简体" w:cs="方正小标宋简体"/>
                <w:b/>
                <w:bCs/>
                <w:i w:val="0"/>
                <w:iCs w:val="0"/>
                <w:color w:val="000000"/>
                <w:kern w:val="0"/>
                <w:sz w:val="44"/>
                <w:szCs w:val="44"/>
                <w:u w:val="none"/>
                <w:lang w:val="en-US" w:eastAsia="zh-CN" w:bidi="ar"/>
              </w:rPr>
              <w:t>物业管理服务预算项目支出绩效目标自评表   （2022年度）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3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60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物业管理服务项目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3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19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2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23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1.一期业务综合楼、新建二期工程所有区域及附属设施。                                                       2.行政办公区域即红十字会、广元市疾病预防控制中心所属甲方办公区域。                                       3.计划生育指导所所属甲方区域。</w:t>
            </w:r>
          </w:p>
        </w:tc>
        <w:tc>
          <w:tcPr>
            <w:tcW w:w="2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年初预算完成率100%。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60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本项目包括环境保洁服务、绿化养护服务、安保服务、消防服务、中央运送服务、非医疗设备设施维护服务等，2022年完成合同续签，合同标的不变，符合年初物业费用预算，即年服务费281.76万元。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23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281.76</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281.76</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3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3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按照合同标准执行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招标价格控制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23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完成合同规定内容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3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92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部门（单位）自评结论</w:t>
            </w:r>
          </w:p>
        </w:tc>
        <w:tc>
          <w:tcPr>
            <w:tcW w:w="748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项目服务通过监管、考核，完成情况较好。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部门（单位）自评存在问题</w:t>
            </w:r>
          </w:p>
        </w:tc>
        <w:tc>
          <w:tcPr>
            <w:tcW w:w="748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部门（单位）自评改进措施</w:t>
            </w:r>
          </w:p>
        </w:tc>
        <w:tc>
          <w:tcPr>
            <w:tcW w:w="748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748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9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w:t>
            </w:r>
          </w:p>
        </w:tc>
        <w:tc>
          <w:tcPr>
            <w:tcW w:w="391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9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w:t>
            </w:r>
          </w:p>
        </w:tc>
        <w:tc>
          <w:tcPr>
            <w:tcW w:w="391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4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bl>
    <w:p>
      <w:pPr>
        <w:pStyle w:val="2"/>
      </w:pPr>
    </w:p>
    <w:tbl>
      <w:tblPr>
        <w:tblStyle w:val="14"/>
        <w:tblW w:w="9825" w:type="dxa"/>
        <w:tblInd w:w="-107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64"/>
        <w:gridCol w:w="1304"/>
        <w:gridCol w:w="1096"/>
        <w:gridCol w:w="666"/>
        <w:gridCol w:w="405"/>
        <w:gridCol w:w="666"/>
        <w:gridCol w:w="397"/>
        <w:gridCol w:w="756"/>
        <w:gridCol w:w="488"/>
        <w:gridCol w:w="397"/>
        <w:gridCol w:w="397"/>
        <w:gridCol w:w="9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22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32"/>
                <w:szCs w:val="3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8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9825" w:type="dxa"/>
            <w:gridSpan w:val="1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44"/>
                <w:szCs w:val="44"/>
                <w:u w:val="none"/>
              </w:rPr>
            </w:pPr>
            <w:r>
              <w:rPr>
                <w:rFonts w:hint="eastAsia" w:ascii="方正小标宋简体" w:hAnsi="方正小标宋简体" w:eastAsia="方正小标宋简体" w:cs="方正小标宋简体"/>
                <w:b/>
                <w:bCs/>
                <w:i w:val="0"/>
                <w:iCs w:val="0"/>
                <w:color w:val="000000"/>
                <w:kern w:val="0"/>
                <w:sz w:val="44"/>
                <w:szCs w:val="44"/>
                <w:u w:val="none"/>
                <w:lang w:val="en-US" w:eastAsia="zh-CN" w:bidi="ar"/>
              </w:rPr>
              <w:t>医疗布类洗涤服务预算项目支出绩效目标自评表（2022年度）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2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68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医疗布类洗涤服务项目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25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34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2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1.各科室应洗涤医疗布类收送地点、指定专人交接脏污、洁净布类并签字确认交接数量。                                                                        2.提供房间和院内收送工具。                                                                          3.监督检查乙方的洗涤过程和洗涤效果，考核乙方的服务质量。</w:t>
            </w:r>
          </w:p>
        </w:tc>
        <w:tc>
          <w:tcPr>
            <w:tcW w:w="34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年初预算完成率83.67%。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22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68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服务范围主要包括病人使用的衣物\床单\被服\手术包布等布类用品和院内员工的工作服、值班被服以及窗帘等各种布类的清洗、烘干、折叠、熨烫、包装、收送等服务,2022年完成合同续签,合同标的不变，符合年初医疗布类洗涤费用预算，即年服务费38.49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22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38.49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83.67%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根据合同约定，按照实际洗涤业务结算，2022年度受疫情影响，业务量未达到年初预算目标，故结算金额低于预算金额。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38.49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83.67%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2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0" w:type="auto"/>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2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按照合同标准执行</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招标价格控制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2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完成合同规定内容</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2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c>
          <w:tcPr>
            <w:tcW w:w="0" w:type="auto"/>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2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给患者舒适、整洁就医环境</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26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2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部门（单位）自评结论</w:t>
            </w:r>
          </w:p>
        </w:tc>
        <w:tc>
          <w:tcPr>
            <w:tcW w:w="756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2022年度，按照年初批复的预算和调增的预算项目，在12月31日前圆满完成项目类各设备的采购。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部门（单位）自评存在问题</w:t>
            </w:r>
          </w:p>
        </w:tc>
        <w:tc>
          <w:tcPr>
            <w:tcW w:w="756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部门（单位）自评改进措施</w:t>
            </w:r>
          </w:p>
        </w:tc>
        <w:tc>
          <w:tcPr>
            <w:tcW w:w="756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756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w:t>
            </w:r>
          </w:p>
        </w:tc>
        <w:tc>
          <w:tcPr>
            <w:tcW w:w="460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w:t>
            </w:r>
          </w:p>
        </w:tc>
        <w:tc>
          <w:tcPr>
            <w:tcW w:w="460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22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32"/>
                <w:szCs w:val="3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8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9825" w:type="dxa"/>
            <w:gridSpan w:val="1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44"/>
                <w:szCs w:val="44"/>
                <w:u w:val="none"/>
              </w:rPr>
            </w:pPr>
            <w:r>
              <w:rPr>
                <w:rFonts w:hint="eastAsia" w:ascii="方正小标宋简体" w:hAnsi="方正小标宋简体" w:eastAsia="方正小标宋简体" w:cs="方正小标宋简体"/>
                <w:b/>
                <w:bCs/>
                <w:i w:val="0"/>
                <w:iCs w:val="0"/>
                <w:color w:val="000000"/>
                <w:kern w:val="0"/>
                <w:sz w:val="44"/>
                <w:szCs w:val="44"/>
                <w:u w:val="none"/>
                <w:lang w:val="en-US" w:eastAsia="zh-CN" w:bidi="ar"/>
              </w:rPr>
              <w:t>办公设备购置预算项目支出绩效目标自评表  （2022年度）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2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68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办公设备购置项目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2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30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22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1.各科室应洗涤医疗布类收送地点、指定专人交接脏污、洁净布类并签字确认交1.台式电脑（标配）7台、高配1台、笔记本电脑1台。                                                                                                          2.验钞机4台。                                                                                                               3.存折式打印机2台，、一体机1台。                                                                   4.书柜1组、病历储存柜10组。</w:t>
            </w:r>
          </w:p>
        </w:tc>
        <w:tc>
          <w:tcPr>
            <w:tcW w:w="30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年初预算完成率83.67%。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68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2021年底，全院各科室提交2022年预算新增空调、复印纸、办公设备，预算经费7.36万元，年中调增预算10.38万元，调整后预算数17.74万元，实际执行采购金额13.8万元，执行率73.28%。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22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17.74</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1.2022年中由于后勤办公室部分搬迁，需集中采购空调一批，进行办公设备预算调增。                         2.纸张采购2022年未实施完成，部分资金将结转至2023年度继续采购。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17.74</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26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2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0" w:type="auto"/>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2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完成合同规定内容</w:t>
            </w:r>
          </w:p>
        </w:tc>
        <w:tc>
          <w:tcPr>
            <w:tcW w:w="0" w:type="auto"/>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招标价格控制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26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r>
              <w:rPr>
                <w:rStyle w:val="35"/>
                <w:rFonts w:eastAsia="宋体"/>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26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为医护、患者提供更方便的就诊、就医服务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26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55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部门（单位）自评结论</w:t>
            </w:r>
          </w:p>
        </w:tc>
        <w:tc>
          <w:tcPr>
            <w:tcW w:w="756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2022年度，按照年初批复的预算和调增的预算项目，在12月31日前圆满完成项目类各设备的采购。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部门（单位）自评存在问题</w:t>
            </w:r>
          </w:p>
        </w:tc>
        <w:tc>
          <w:tcPr>
            <w:tcW w:w="756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部门（单位）自评改进措施</w:t>
            </w:r>
          </w:p>
        </w:tc>
        <w:tc>
          <w:tcPr>
            <w:tcW w:w="756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756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w:t>
            </w:r>
          </w:p>
        </w:tc>
        <w:tc>
          <w:tcPr>
            <w:tcW w:w="42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w:t>
            </w:r>
          </w:p>
        </w:tc>
        <w:tc>
          <w:tcPr>
            <w:tcW w:w="42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bl>
    <w:p>
      <w:pPr>
        <w:pStyle w:val="2"/>
      </w:pPr>
    </w:p>
    <w:tbl>
      <w:tblPr>
        <w:tblStyle w:val="14"/>
        <w:tblW w:w="9825" w:type="dxa"/>
        <w:tblInd w:w="-107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59"/>
        <w:gridCol w:w="1519"/>
        <w:gridCol w:w="716"/>
        <w:gridCol w:w="716"/>
        <w:gridCol w:w="397"/>
        <w:gridCol w:w="656"/>
        <w:gridCol w:w="436"/>
        <w:gridCol w:w="916"/>
        <w:gridCol w:w="488"/>
        <w:gridCol w:w="416"/>
        <w:gridCol w:w="397"/>
        <w:gridCol w:w="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235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pPr>
          </w:p>
          <w:p>
            <w:pPr>
              <w:pStyle w:val="2"/>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0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9825" w:type="dxa"/>
            <w:gridSpan w:val="1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bCs/>
                <w:i w:val="0"/>
                <w:iCs w:val="0"/>
                <w:color w:val="000000"/>
                <w:kern w:val="0"/>
                <w:sz w:val="44"/>
                <w:szCs w:val="44"/>
                <w:u w:val="none"/>
                <w:lang w:val="en-US" w:eastAsia="zh-CN" w:bidi="ar"/>
              </w:rPr>
            </w:pPr>
          </w:p>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44"/>
                <w:szCs w:val="44"/>
                <w:u w:val="none"/>
              </w:rPr>
            </w:pPr>
            <w:r>
              <w:rPr>
                <w:rFonts w:hint="eastAsia" w:ascii="方正小标宋简体" w:hAnsi="方正小标宋简体" w:eastAsia="方正小标宋简体" w:cs="方正小标宋简体"/>
                <w:b/>
                <w:bCs/>
                <w:i w:val="0"/>
                <w:iCs w:val="0"/>
                <w:color w:val="000000"/>
                <w:kern w:val="0"/>
                <w:sz w:val="44"/>
                <w:szCs w:val="44"/>
                <w:u w:val="none"/>
                <w:lang w:val="en-US" w:eastAsia="zh-CN" w:bidi="ar"/>
              </w:rPr>
              <w:t>文化建设预算项目支出绩效目标自评表      （2022年度）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38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594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文化建设项目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38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21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30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3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1.完成2022年预算文化建设项目，其中导视系统制作与安装25万元、文化长廊20万元，预算合计45万元。                                                                                   2.严格按照政府采购内控制度和流程实施招标。</w:t>
            </w:r>
          </w:p>
        </w:tc>
        <w:tc>
          <w:tcPr>
            <w:tcW w:w="30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年初预算完成率100%。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594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按照年初预算完成了导视系统制作与安装、文化长廊项目。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23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36.73</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36.73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采购项目预算数与实际采购金额差，年末申请调减。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36.73</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36.73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3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3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23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按照行业标准执行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3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导视系统、文化长廊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23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71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部门（单位）自评结论</w:t>
            </w:r>
          </w:p>
        </w:tc>
        <w:tc>
          <w:tcPr>
            <w:tcW w:w="746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项目总体完成情况较好，能按照法律法规及医院制度流程要求如期完成。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部门（单位）自评存在问题</w:t>
            </w:r>
          </w:p>
        </w:tc>
        <w:tc>
          <w:tcPr>
            <w:tcW w:w="746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部门（单位）自评改进措施</w:t>
            </w:r>
          </w:p>
        </w:tc>
        <w:tc>
          <w:tcPr>
            <w:tcW w:w="746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746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w:t>
            </w:r>
          </w:p>
        </w:tc>
        <w:tc>
          <w:tcPr>
            <w:tcW w:w="41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w:t>
            </w:r>
          </w:p>
        </w:tc>
        <w:tc>
          <w:tcPr>
            <w:tcW w:w="41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bl>
    <w:p>
      <w:pPr>
        <w:pStyle w:val="2"/>
      </w:pPr>
    </w:p>
    <w:tbl>
      <w:tblPr>
        <w:tblStyle w:val="14"/>
        <w:tblW w:w="9825" w:type="dxa"/>
        <w:tblInd w:w="-107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59"/>
        <w:gridCol w:w="1648"/>
        <w:gridCol w:w="616"/>
        <w:gridCol w:w="616"/>
        <w:gridCol w:w="447"/>
        <w:gridCol w:w="656"/>
        <w:gridCol w:w="436"/>
        <w:gridCol w:w="916"/>
        <w:gridCol w:w="488"/>
        <w:gridCol w:w="416"/>
        <w:gridCol w:w="397"/>
        <w:gridCol w:w="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255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32"/>
                <w:szCs w:val="3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3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9825" w:type="dxa"/>
            <w:gridSpan w:val="1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44"/>
                <w:szCs w:val="44"/>
                <w:u w:val="none"/>
              </w:rPr>
            </w:pPr>
            <w:r>
              <w:rPr>
                <w:rFonts w:hint="eastAsia" w:ascii="方正小标宋简体" w:hAnsi="方正小标宋简体" w:eastAsia="方正小标宋简体" w:cs="方正小标宋简体"/>
                <w:b/>
                <w:bCs/>
                <w:i w:val="0"/>
                <w:iCs w:val="0"/>
                <w:color w:val="000000"/>
                <w:kern w:val="0"/>
                <w:sz w:val="44"/>
                <w:szCs w:val="44"/>
                <w:u w:val="none"/>
                <w:lang w:val="en-US" w:eastAsia="zh-CN" w:bidi="ar"/>
              </w:rPr>
              <w:t>乡村振兴预算项目支出绩效目标自评表      （2022年度）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2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561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乡村振兴项目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42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广元市卫生健康委员会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19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5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28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2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1.开展动态监测帮扶，抓实分类帮扶。                                                                 2.夯实稳定增收群众基础，进一步拓宽增收渠道。                                                        3.按照“产业兴旺、生态宜居、乡风文明、治理有效、生活富裕”的总要求，走出一条农业高质高效、乡村宜居宜业、农民富裕富足的路子。</w:t>
            </w:r>
          </w:p>
        </w:tc>
        <w:tc>
          <w:tcPr>
            <w:tcW w:w="28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年初预算完成率100%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561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按照年初目标完成动态监测帮扶，分类帮扶；基本实现了稳定增收群众基础，进一步拓宽增收渠道。走出一条农业高质高效、乡村宜居宜业、农民富裕富足的路子。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25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3.64</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3.64</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5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w:t>
            </w:r>
            <w:r>
              <w:rPr>
                <w:rFonts w:ascii="Arial" w:hAnsi="Arial" w:eastAsia="宋体" w:cs="Arial"/>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帮扶村实质性变化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帮扶对象满意度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9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部门（单位）自评结论</w:t>
            </w:r>
          </w:p>
        </w:tc>
        <w:tc>
          <w:tcPr>
            <w:tcW w:w="726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严格按照项目实施方案执行，无违规使用项目资金。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部门（单位）自评存在问题</w:t>
            </w:r>
          </w:p>
        </w:tc>
        <w:tc>
          <w:tcPr>
            <w:tcW w:w="726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因驻村帮扶工作队入户开展工作交通存在很大问题，严重影响工作开展。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部门（单位）自评改进措施</w:t>
            </w:r>
          </w:p>
        </w:tc>
        <w:tc>
          <w:tcPr>
            <w:tcW w:w="726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726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8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w:t>
            </w:r>
          </w:p>
        </w:tc>
        <w:tc>
          <w:tcPr>
            <w:tcW w:w="393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8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w:t>
            </w:r>
          </w:p>
        </w:tc>
        <w:tc>
          <w:tcPr>
            <w:tcW w:w="393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bl>
    <w:p>
      <w:pPr>
        <w:pStyle w:val="2"/>
      </w:pPr>
    </w:p>
    <w:p>
      <w:pPr>
        <w:pStyle w:val="2"/>
      </w:pPr>
    </w:p>
    <w:p>
      <w:pPr>
        <w:pStyle w:val="2"/>
      </w:pPr>
    </w:p>
    <w:p>
      <w:pPr>
        <w:pStyle w:val="2"/>
      </w:pPr>
    </w:p>
    <w:p>
      <w:pPr>
        <w:pStyle w:val="2"/>
      </w:pPr>
    </w:p>
    <w:p>
      <w:pPr>
        <w:pStyle w:val="2"/>
      </w:pPr>
    </w:p>
    <w:p>
      <w:pPr>
        <w:pStyle w:val="2"/>
      </w:pPr>
    </w:p>
    <w:p>
      <w:pPr>
        <w:pStyle w:val="6"/>
        <w:rPr>
          <w:rFonts w:hint="eastAsia" w:ascii="仿宋_GB2312" w:hAnsi="Calibri" w:eastAsia="仿宋_GB2312" w:cs="仿宋"/>
          <w:color w:val="auto"/>
          <w:kern w:val="0"/>
          <w:sz w:val="32"/>
          <w:szCs w:val="32"/>
          <w:highlight w:val="none"/>
          <w:lang w:val="en-US" w:eastAsia="zh-CN" w:bidi="ar-SA"/>
        </w:rPr>
      </w:pPr>
      <w:bookmarkStart w:id="80" w:name="_Toc15396618"/>
    </w:p>
    <w:p>
      <w:pPr>
        <w:numPr>
          <w:ilvl w:val="0"/>
          <w:numId w:val="4"/>
        </w:numPr>
        <w:spacing w:line="600" w:lineRule="exact"/>
        <w:ind w:left="0" w:leftChars="0" w:firstLine="660" w:firstLineChars="150"/>
        <w:jc w:val="center"/>
        <w:outlineLvl w:val="0"/>
        <w:rPr>
          <w:rFonts w:hint="eastAsia" w:ascii="仿宋" w:hAnsi="仿宋" w:eastAsia="仿宋"/>
          <w:b w:val="0"/>
          <w:color w:val="auto"/>
          <w:sz w:val="32"/>
          <w:szCs w:val="32"/>
          <w:highlight w:val="none"/>
        </w:rPr>
      </w:pPr>
      <w:bookmarkStart w:id="81" w:name="_Toc6612"/>
      <w:r>
        <w:rPr>
          <w:rStyle w:val="18"/>
          <w:rFonts w:hint="eastAsia" w:ascii="黑体" w:hAnsi="黑体" w:eastAsia="黑体"/>
          <w:b w:val="0"/>
          <w:color w:val="auto"/>
          <w:highlight w:val="none"/>
        </w:rPr>
        <w:t>附表</w:t>
      </w:r>
      <w:bookmarkEnd w:id="77"/>
      <w:bookmarkEnd w:id="80"/>
      <w:bookmarkEnd w:id="81"/>
      <w:bookmarkStart w:id="82" w:name="_Toc15396619"/>
      <w:bookmarkStart w:id="83" w:name="_Toc6719"/>
    </w:p>
    <w:p>
      <w:pPr>
        <w:numPr>
          <w:ilvl w:val="0"/>
          <w:numId w:val="0"/>
        </w:numPr>
        <w:spacing w:line="600" w:lineRule="exact"/>
        <w:jc w:val="left"/>
        <w:outlineLvl w:val="0"/>
        <w:rPr>
          <w:rFonts w:ascii="仿宋" w:hAnsi="仿宋" w:eastAsia="仿宋"/>
          <w:color w:val="auto"/>
          <w:sz w:val="32"/>
          <w:szCs w:val="32"/>
          <w:highlight w:val="none"/>
        </w:rPr>
      </w:pPr>
      <w:r>
        <w:rPr>
          <w:rFonts w:hint="eastAsia" w:ascii="仿宋" w:hAnsi="仿宋" w:eastAsia="仿宋"/>
          <w:b w:val="0"/>
          <w:color w:val="auto"/>
          <w:sz w:val="32"/>
          <w:szCs w:val="32"/>
          <w:highlight w:val="none"/>
        </w:rPr>
        <w:t>一、收</w:t>
      </w:r>
      <w:r>
        <w:rPr>
          <w:rStyle w:val="19"/>
          <w:rFonts w:hint="eastAsia" w:ascii="仿宋" w:hAnsi="仿宋" w:eastAsia="仿宋"/>
          <w:b w:val="0"/>
          <w:bCs w:val="0"/>
          <w:color w:val="auto"/>
          <w:sz w:val="32"/>
          <w:szCs w:val="32"/>
          <w:highlight w:val="none"/>
        </w:rPr>
        <w:t>入支出决算总表</w:t>
      </w:r>
      <w:bookmarkEnd w:id="82"/>
      <w:bookmarkEnd w:id="83"/>
      <w:bookmarkStart w:id="84" w:name="_Toc3532"/>
      <w:bookmarkStart w:id="85" w:name="_Toc15396620"/>
      <w:r>
        <w:rPr>
          <w:rStyle w:val="19"/>
          <w:rFonts w:hint="eastAsia" w:ascii="仿宋" w:hAnsi="仿宋" w:eastAsia="仿宋"/>
          <w:b w:val="0"/>
          <w:bCs w:val="0"/>
          <w:color w:val="auto"/>
          <w:sz w:val="32"/>
          <w:szCs w:val="32"/>
          <w:highlight w:val="none"/>
          <w:lang w:val="en-US" w:eastAsia="zh-CN"/>
        </w:rPr>
        <w:t xml:space="preserve">                                </w:t>
      </w:r>
      <w:r>
        <w:rPr>
          <w:rFonts w:hint="eastAsia" w:ascii="仿宋" w:hAnsi="仿宋" w:eastAsia="仿宋"/>
          <w:b w:val="0"/>
          <w:color w:val="auto"/>
          <w:sz w:val="32"/>
          <w:szCs w:val="32"/>
          <w:highlight w:val="none"/>
        </w:rPr>
        <w:t>二、收</w:t>
      </w:r>
      <w:r>
        <w:rPr>
          <w:rStyle w:val="19"/>
          <w:rFonts w:hint="eastAsia" w:ascii="仿宋" w:hAnsi="仿宋" w:eastAsia="仿宋"/>
          <w:b w:val="0"/>
          <w:bCs w:val="0"/>
          <w:color w:val="auto"/>
          <w:sz w:val="32"/>
          <w:szCs w:val="32"/>
          <w:highlight w:val="none"/>
        </w:rPr>
        <w:t>入决算表</w:t>
      </w:r>
      <w:bookmarkEnd w:id="84"/>
      <w:bookmarkEnd w:id="85"/>
    </w:p>
    <w:p>
      <w:pPr>
        <w:pStyle w:val="4"/>
        <w:rPr>
          <w:rFonts w:ascii="仿宋" w:hAnsi="仿宋" w:eastAsia="仿宋"/>
          <w:color w:val="auto"/>
          <w:highlight w:val="none"/>
        </w:rPr>
      </w:pPr>
      <w:bookmarkStart w:id="86" w:name="_Toc15396621"/>
      <w:bookmarkStart w:id="87" w:name="_Toc11303"/>
      <w:r>
        <w:rPr>
          <w:rStyle w:val="19"/>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9"/>
          <w:rFonts w:hint="eastAsia" w:ascii="仿宋" w:hAnsi="仿宋" w:eastAsia="仿宋"/>
          <w:b w:val="0"/>
          <w:bCs w:val="0"/>
          <w:color w:val="auto"/>
          <w:highlight w:val="none"/>
        </w:rPr>
        <w:t>出决算表</w:t>
      </w:r>
      <w:bookmarkEnd w:id="86"/>
      <w:bookmarkEnd w:id="87"/>
    </w:p>
    <w:p>
      <w:pPr>
        <w:pStyle w:val="4"/>
        <w:rPr>
          <w:rFonts w:ascii="仿宋" w:hAnsi="仿宋" w:eastAsia="仿宋"/>
          <w:b w:val="0"/>
          <w:color w:val="auto"/>
          <w:highlight w:val="none"/>
        </w:rPr>
      </w:pPr>
      <w:bookmarkStart w:id="88" w:name="_Toc15396622"/>
      <w:bookmarkStart w:id="89" w:name="_Toc8126"/>
      <w:r>
        <w:rPr>
          <w:rStyle w:val="19"/>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9"/>
          <w:rFonts w:hint="eastAsia" w:ascii="仿宋" w:hAnsi="仿宋" w:eastAsia="仿宋"/>
          <w:b w:val="0"/>
          <w:bCs w:val="0"/>
          <w:color w:val="auto"/>
          <w:highlight w:val="none"/>
        </w:rPr>
        <w:t>政拨款收入支出决算总表</w:t>
      </w:r>
      <w:bookmarkEnd w:id="88"/>
      <w:bookmarkEnd w:id="89"/>
    </w:p>
    <w:p>
      <w:pPr>
        <w:pStyle w:val="4"/>
        <w:rPr>
          <w:rStyle w:val="19"/>
          <w:rFonts w:ascii="仿宋" w:hAnsi="仿宋" w:eastAsia="仿宋"/>
          <w:b w:val="0"/>
          <w:bCs w:val="0"/>
          <w:color w:val="auto"/>
          <w:highlight w:val="none"/>
        </w:rPr>
      </w:pPr>
      <w:bookmarkStart w:id="90" w:name="_Toc15396623"/>
      <w:bookmarkStart w:id="91" w:name="_Toc27635"/>
      <w:r>
        <w:rPr>
          <w:rStyle w:val="19"/>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9"/>
          <w:rFonts w:hint="eastAsia" w:ascii="仿宋" w:hAnsi="仿宋" w:eastAsia="仿宋"/>
          <w:b w:val="0"/>
          <w:bCs w:val="0"/>
          <w:color w:val="auto"/>
          <w:highlight w:val="none"/>
        </w:rPr>
        <w:t>政拨款支出决算明细表</w:t>
      </w:r>
      <w:bookmarkEnd w:id="90"/>
      <w:bookmarkEnd w:id="91"/>
      <w:bookmarkStart w:id="92" w:name="_Toc15396624"/>
    </w:p>
    <w:p>
      <w:pPr>
        <w:pStyle w:val="4"/>
        <w:rPr>
          <w:rFonts w:ascii="仿宋" w:hAnsi="仿宋" w:eastAsia="仿宋"/>
          <w:color w:val="auto"/>
          <w:highlight w:val="none"/>
        </w:rPr>
      </w:pPr>
      <w:bookmarkStart w:id="93" w:name="_Toc6556"/>
      <w:r>
        <w:rPr>
          <w:rStyle w:val="19"/>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9"/>
          <w:rFonts w:hint="eastAsia" w:ascii="仿宋" w:hAnsi="仿宋" w:eastAsia="仿宋"/>
          <w:b w:val="0"/>
          <w:bCs w:val="0"/>
          <w:color w:val="auto"/>
          <w:highlight w:val="none"/>
        </w:rPr>
        <w:t>般公共预算财政拨款支出决算表</w:t>
      </w:r>
      <w:bookmarkEnd w:id="92"/>
      <w:bookmarkEnd w:id="93"/>
    </w:p>
    <w:p>
      <w:pPr>
        <w:pStyle w:val="4"/>
        <w:rPr>
          <w:rFonts w:ascii="仿宋" w:hAnsi="仿宋" w:eastAsia="仿宋"/>
          <w:color w:val="auto"/>
          <w:highlight w:val="none"/>
        </w:rPr>
      </w:pPr>
      <w:bookmarkStart w:id="94" w:name="_Toc1080"/>
      <w:bookmarkStart w:id="95" w:name="_Toc15396625"/>
      <w:r>
        <w:rPr>
          <w:rStyle w:val="19"/>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9"/>
          <w:rFonts w:hint="eastAsia" w:ascii="仿宋" w:hAnsi="仿宋" w:eastAsia="仿宋"/>
          <w:b w:val="0"/>
          <w:bCs w:val="0"/>
          <w:color w:val="auto"/>
          <w:highlight w:val="none"/>
        </w:rPr>
        <w:t>般公共预算财政拨款支出决算明细表</w:t>
      </w:r>
      <w:bookmarkEnd w:id="94"/>
      <w:bookmarkEnd w:id="95"/>
    </w:p>
    <w:p>
      <w:pPr>
        <w:pStyle w:val="4"/>
        <w:rPr>
          <w:rFonts w:ascii="仿宋" w:hAnsi="仿宋" w:eastAsia="仿宋"/>
          <w:color w:val="auto"/>
          <w:highlight w:val="none"/>
        </w:rPr>
      </w:pPr>
      <w:bookmarkStart w:id="96" w:name="_Toc10826"/>
      <w:bookmarkStart w:id="97" w:name="_Toc15396626"/>
      <w:r>
        <w:rPr>
          <w:rStyle w:val="19"/>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9"/>
          <w:rFonts w:hint="eastAsia" w:ascii="仿宋" w:hAnsi="仿宋" w:eastAsia="仿宋"/>
          <w:b w:val="0"/>
          <w:bCs w:val="0"/>
          <w:color w:val="auto"/>
          <w:highlight w:val="none"/>
        </w:rPr>
        <w:t>般公共预算财政拨款基本支出决算表</w:t>
      </w:r>
      <w:bookmarkEnd w:id="96"/>
      <w:bookmarkEnd w:id="97"/>
    </w:p>
    <w:p>
      <w:pPr>
        <w:pStyle w:val="4"/>
        <w:rPr>
          <w:rFonts w:ascii="仿宋" w:hAnsi="仿宋" w:eastAsia="仿宋"/>
          <w:color w:val="auto"/>
          <w:highlight w:val="none"/>
        </w:rPr>
      </w:pPr>
      <w:bookmarkStart w:id="98" w:name="_Toc1105"/>
      <w:bookmarkStart w:id="99" w:name="_Toc15396627"/>
      <w:r>
        <w:rPr>
          <w:rStyle w:val="19"/>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9"/>
          <w:rFonts w:hint="eastAsia" w:ascii="仿宋" w:hAnsi="仿宋" w:eastAsia="仿宋"/>
          <w:b w:val="0"/>
          <w:bCs w:val="0"/>
          <w:color w:val="auto"/>
          <w:highlight w:val="none"/>
        </w:rPr>
        <w:t>般公共预算财政拨款项目支出决算表</w:t>
      </w:r>
      <w:bookmarkEnd w:id="98"/>
      <w:bookmarkEnd w:id="99"/>
    </w:p>
    <w:p>
      <w:pPr>
        <w:pStyle w:val="4"/>
        <w:rPr>
          <w:rFonts w:ascii="仿宋" w:hAnsi="仿宋" w:eastAsia="仿宋"/>
          <w:color w:val="auto"/>
          <w:highlight w:val="none"/>
        </w:rPr>
      </w:pPr>
      <w:bookmarkStart w:id="100" w:name="_Toc15396628"/>
      <w:bookmarkStart w:id="101" w:name="_Toc22455"/>
      <w:r>
        <w:rPr>
          <w:rStyle w:val="19"/>
          <w:rFonts w:hint="eastAsia" w:ascii="仿宋" w:hAnsi="仿宋" w:eastAsia="仿宋"/>
          <w:b w:val="0"/>
          <w:bCs w:val="0"/>
          <w:color w:val="auto"/>
          <w:highlight w:val="none"/>
        </w:rPr>
        <w:t>十、</w:t>
      </w:r>
      <w:bookmarkEnd w:id="100"/>
      <w:r>
        <w:rPr>
          <w:rFonts w:hint="eastAsia" w:ascii="仿宋" w:hAnsi="仿宋" w:eastAsia="仿宋"/>
          <w:b w:val="0"/>
          <w:color w:val="auto"/>
          <w:highlight w:val="none"/>
        </w:rPr>
        <w:t>政</w:t>
      </w:r>
      <w:r>
        <w:rPr>
          <w:rStyle w:val="19"/>
          <w:rFonts w:hint="eastAsia" w:ascii="仿宋" w:hAnsi="仿宋" w:eastAsia="仿宋"/>
          <w:b w:val="0"/>
          <w:bCs w:val="0"/>
          <w:color w:val="auto"/>
          <w:highlight w:val="none"/>
        </w:rPr>
        <w:t>府性基金预算财政拨款收入支出决算表</w:t>
      </w:r>
      <w:bookmarkEnd w:id="101"/>
    </w:p>
    <w:p>
      <w:pPr>
        <w:pStyle w:val="4"/>
        <w:rPr>
          <w:rFonts w:ascii="仿宋" w:hAnsi="仿宋" w:eastAsia="仿宋"/>
          <w:color w:val="auto"/>
          <w:highlight w:val="none"/>
        </w:rPr>
      </w:pPr>
      <w:bookmarkStart w:id="102" w:name="_Toc15396629"/>
      <w:bookmarkStart w:id="103" w:name="_Toc9856"/>
      <w:r>
        <w:rPr>
          <w:rStyle w:val="19"/>
          <w:rFonts w:hint="eastAsia" w:ascii="仿宋" w:hAnsi="仿宋" w:eastAsia="仿宋"/>
          <w:b w:val="0"/>
          <w:bCs w:val="0"/>
          <w:color w:val="auto"/>
          <w:highlight w:val="none"/>
        </w:rPr>
        <w:t>十一、</w:t>
      </w:r>
      <w:bookmarkEnd w:id="102"/>
      <w:r>
        <w:rPr>
          <w:rFonts w:hint="eastAsia" w:ascii="仿宋" w:hAnsi="仿宋" w:eastAsia="仿宋"/>
          <w:b w:val="0"/>
          <w:color w:val="auto"/>
          <w:highlight w:val="none"/>
        </w:rPr>
        <w:t>国</w:t>
      </w:r>
      <w:r>
        <w:rPr>
          <w:rStyle w:val="19"/>
          <w:rFonts w:hint="eastAsia" w:ascii="仿宋" w:hAnsi="仿宋" w:eastAsia="仿宋"/>
          <w:b w:val="0"/>
          <w:bCs w:val="0"/>
          <w:color w:val="auto"/>
          <w:highlight w:val="none"/>
        </w:rPr>
        <w:t>有资本经营预算</w:t>
      </w:r>
      <w:r>
        <w:rPr>
          <w:rStyle w:val="19"/>
          <w:rFonts w:hint="eastAsia" w:ascii="仿宋" w:hAnsi="仿宋" w:eastAsia="仿宋"/>
          <w:b w:val="0"/>
          <w:bCs w:val="0"/>
          <w:color w:val="auto"/>
          <w:highlight w:val="none"/>
          <w:lang w:eastAsia="zh-CN"/>
        </w:rPr>
        <w:t>财政拨款收入</w:t>
      </w:r>
      <w:r>
        <w:rPr>
          <w:rStyle w:val="19"/>
          <w:rFonts w:hint="eastAsia" w:ascii="仿宋" w:hAnsi="仿宋" w:eastAsia="仿宋"/>
          <w:b w:val="0"/>
          <w:bCs w:val="0"/>
          <w:color w:val="auto"/>
          <w:highlight w:val="none"/>
        </w:rPr>
        <w:t>支出决算表</w:t>
      </w:r>
      <w:bookmarkEnd w:id="103"/>
    </w:p>
    <w:p>
      <w:pPr>
        <w:pStyle w:val="4"/>
        <w:rPr>
          <w:rFonts w:ascii="仿宋" w:hAnsi="仿宋" w:eastAsia="仿宋"/>
          <w:color w:val="auto"/>
          <w:highlight w:val="none"/>
        </w:rPr>
      </w:pPr>
      <w:bookmarkStart w:id="104" w:name="_Toc15396630"/>
      <w:bookmarkStart w:id="105" w:name="_Toc22247"/>
      <w:r>
        <w:rPr>
          <w:rStyle w:val="19"/>
          <w:rFonts w:hint="eastAsia" w:ascii="仿宋" w:hAnsi="仿宋" w:eastAsia="仿宋"/>
          <w:b w:val="0"/>
          <w:bCs w:val="0"/>
          <w:color w:val="auto"/>
          <w:highlight w:val="none"/>
        </w:rPr>
        <w:t>十二、</w:t>
      </w:r>
      <w:bookmarkEnd w:id="104"/>
      <w:r>
        <w:rPr>
          <w:rStyle w:val="19"/>
          <w:rFonts w:hint="eastAsia" w:ascii="仿宋" w:hAnsi="仿宋" w:eastAsia="仿宋"/>
          <w:b w:val="0"/>
          <w:bCs w:val="0"/>
          <w:color w:val="auto"/>
          <w:highlight w:val="none"/>
          <w:lang w:eastAsia="zh-CN"/>
        </w:rPr>
        <w:t>国有资本经营预算财政拨款支出决算表</w:t>
      </w:r>
      <w:bookmarkEnd w:id="105"/>
    </w:p>
    <w:p>
      <w:pPr>
        <w:pStyle w:val="4"/>
        <w:rPr>
          <w:rFonts w:hint="eastAsia" w:eastAsia="仿宋"/>
          <w:color w:val="auto"/>
          <w:highlight w:val="none"/>
          <w:lang w:eastAsia="zh-CN"/>
        </w:rPr>
      </w:pPr>
      <w:bookmarkStart w:id="106" w:name="_Toc15396631"/>
      <w:bookmarkStart w:id="107" w:name="_Toc18526"/>
      <w:r>
        <w:rPr>
          <w:rStyle w:val="19"/>
          <w:rFonts w:hint="eastAsia" w:ascii="仿宋" w:hAnsi="仿宋" w:eastAsia="仿宋"/>
          <w:b w:val="0"/>
          <w:bCs w:val="0"/>
          <w:color w:val="auto"/>
          <w:highlight w:val="none"/>
        </w:rPr>
        <w:t>十三、</w:t>
      </w:r>
      <w:bookmarkEnd w:id="106"/>
      <w:r>
        <w:rPr>
          <w:rStyle w:val="19"/>
          <w:rFonts w:hint="eastAsia" w:ascii="仿宋" w:hAnsi="仿宋" w:eastAsia="仿宋"/>
          <w:b w:val="0"/>
          <w:bCs w:val="0"/>
          <w:color w:val="auto"/>
          <w:highlight w:val="none"/>
          <w:lang w:eastAsia="zh-CN"/>
        </w:rPr>
        <w:t>财政拨款“三公”经费支出决算表</w:t>
      </w:r>
      <w:bookmarkEnd w:id="107"/>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799566CC-2F08-4714-A7AB-647A0B60A031}"/>
  </w:font>
  <w:font w:name="黑体">
    <w:panose1 w:val="02010609060101010101"/>
    <w:charset w:val="86"/>
    <w:family w:val="auto"/>
    <w:pitch w:val="default"/>
    <w:sig w:usb0="800002BF" w:usb1="38CF7CFA" w:usb2="00000016" w:usb3="00000000" w:csb0="00040001" w:csb1="00000000"/>
    <w:embedRegular r:id="rId2" w:fontKey="{9F40584D-C949-4F4F-B776-E28B1834206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20198A12-0E4A-456E-9D95-850C511CB680}"/>
  </w:font>
  <w:font w:name="Cambria">
    <w:panose1 w:val="02040503050406030204"/>
    <w:charset w:val="00"/>
    <w:family w:val="roman"/>
    <w:pitch w:val="default"/>
    <w:sig w:usb0="E00002FF" w:usb1="400004FF" w:usb2="00000000" w:usb3="00000000" w:csb0="2000019F" w:csb1="00000000"/>
    <w:embedRegular r:id="rId4" w:fontKey="{E940B6A0-2C2A-46C8-9794-D7FB687822F1}"/>
  </w:font>
  <w:font w:name="仿宋_GB2312">
    <w:panose1 w:val="02010609030101010101"/>
    <w:charset w:val="86"/>
    <w:family w:val="modern"/>
    <w:pitch w:val="default"/>
    <w:sig w:usb0="00000001" w:usb1="080E0000" w:usb2="00000000" w:usb3="00000000" w:csb0="00040000" w:csb1="00000000"/>
    <w:embedRegular r:id="rId5" w:fontKey="{BDB62E8E-5861-4849-9403-3CEDF399488B}"/>
  </w:font>
  <w:font w:name="仿宋">
    <w:panose1 w:val="02010609060101010101"/>
    <w:charset w:val="86"/>
    <w:family w:val="auto"/>
    <w:pitch w:val="default"/>
    <w:sig w:usb0="800002BF" w:usb1="38CF7CFA" w:usb2="00000016" w:usb3="00000000" w:csb0="00040001" w:csb1="00000000"/>
    <w:embedRegular r:id="rId6" w:fontKey="{FC3EAE5E-87D8-49C9-9DFB-E53FA835AD2F}"/>
  </w:font>
  <w:font w:name="方正小标宋简体">
    <w:panose1 w:val="03000509000000000000"/>
    <w:charset w:val="86"/>
    <w:family w:val="script"/>
    <w:pitch w:val="default"/>
    <w:sig w:usb0="00000001" w:usb1="080E0000" w:usb2="00000000" w:usb3="00000000" w:csb0="00040000" w:csb1="00000000"/>
    <w:embedRegular r:id="rId7" w:fontKey="{536A4727-DB56-45EF-8D39-CDC9903D628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F344EB"/>
    <w:multiLevelType w:val="singleLevel"/>
    <w:tmpl w:val="A4F344EB"/>
    <w:lvl w:ilvl="0" w:tentative="0">
      <w:start w:val="1"/>
      <w:numFmt w:val="decimal"/>
      <w:suff w:val="nothing"/>
      <w:lvlText w:val="%1．"/>
      <w:lvlJc w:val="left"/>
      <w:pPr>
        <w:ind w:left="0" w:firstLine="400"/>
      </w:pPr>
      <w:rPr>
        <w:rFonts w:hint="default" w:ascii="Times New Roman" w:hAnsi="Times New Roman" w:cs="Times New Roman"/>
        <w:b w:val="0"/>
        <w:bCs w:val="0"/>
        <w:sz w:val="32"/>
        <w:szCs w:val="32"/>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DB8D9C34"/>
    <w:multiLevelType w:val="singleLevel"/>
    <w:tmpl w:val="DB8D9C34"/>
    <w:lvl w:ilvl="0" w:tentative="0">
      <w:start w:val="1"/>
      <w:numFmt w:val="decimal"/>
      <w:suff w:val="nothing"/>
      <w:lvlText w:val="%1．"/>
      <w:lvlJc w:val="left"/>
      <w:pPr>
        <w:ind w:left="0" w:firstLine="400"/>
      </w:pPr>
      <w:rPr>
        <w:rFonts w:hint="default" w:ascii="Times New Roman" w:hAnsi="Times New Roman" w:cs="Times New Roman"/>
        <w:b w:val="0"/>
        <w:bCs w:val="0"/>
        <w:sz w:val="32"/>
        <w:szCs w:val="32"/>
      </w:rPr>
    </w:lvl>
  </w:abstractNum>
  <w:abstractNum w:abstractNumId="3">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ZDNhMjhkOWY3OTNiYjkxMjEyZjk4MDgwODIyNm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D5A7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1C4A"/>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C3DC4"/>
    <w:rsid w:val="00FD3CC1"/>
    <w:rsid w:val="00FF1E02"/>
    <w:rsid w:val="00FF30B4"/>
    <w:rsid w:val="011253ED"/>
    <w:rsid w:val="01EF4544"/>
    <w:rsid w:val="01F323A5"/>
    <w:rsid w:val="053A62B5"/>
    <w:rsid w:val="0A2032A3"/>
    <w:rsid w:val="0B8A37D8"/>
    <w:rsid w:val="0CBB2DDD"/>
    <w:rsid w:val="0E401071"/>
    <w:rsid w:val="10C055FF"/>
    <w:rsid w:val="115433FE"/>
    <w:rsid w:val="118107EC"/>
    <w:rsid w:val="11BC5E2B"/>
    <w:rsid w:val="11DD6519"/>
    <w:rsid w:val="14B213ED"/>
    <w:rsid w:val="158027FD"/>
    <w:rsid w:val="16BB723D"/>
    <w:rsid w:val="17912EB8"/>
    <w:rsid w:val="18015F3F"/>
    <w:rsid w:val="196D36B1"/>
    <w:rsid w:val="1AF35B65"/>
    <w:rsid w:val="1BE8440E"/>
    <w:rsid w:val="1CFC240F"/>
    <w:rsid w:val="1D155CEE"/>
    <w:rsid w:val="20F57F95"/>
    <w:rsid w:val="21606590"/>
    <w:rsid w:val="240371BF"/>
    <w:rsid w:val="25711CC6"/>
    <w:rsid w:val="25C741E6"/>
    <w:rsid w:val="27842671"/>
    <w:rsid w:val="29437F4F"/>
    <w:rsid w:val="29FD04D3"/>
    <w:rsid w:val="2ABE7A3E"/>
    <w:rsid w:val="2BB43AC3"/>
    <w:rsid w:val="2CA234A8"/>
    <w:rsid w:val="2D594E34"/>
    <w:rsid w:val="2D8375D1"/>
    <w:rsid w:val="2EFA178C"/>
    <w:rsid w:val="30B46D73"/>
    <w:rsid w:val="313D1CB6"/>
    <w:rsid w:val="319F7F4E"/>
    <w:rsid w:val="3317072B"/>
    <w:rsid w:val="34B00BC9"/>
    <w:rsid w:val="359C1E05"/>
    <w:rsid w:val="365B6913"/>
    <w:rsid w:val="36AC716F"/>
    <w:rsid w:val="383D272C"/>
    <w:rsid w:val="39AE70AB"/>
    <w:rsid w:val="3A0611A8"/>
    <w:rsid w:val="3C0C0783"/>
    <w:rsid w:val="3CC46B1F"/>
    <w:rsid w:val="3F9F3A96"/>
    <w:rsid w:val="41085755"/>
    <w:rsid w:val="44C977EB"/>
    <w:rsid w:val="48BF60AB"/>
    <w:rsid w:val="493C27E9"/>
    <w:rsid w:val="496F39ED"/>
    <w:rsid w:val="49FF41D3"/>
    <w:rsid w:val="4BBC521C"/>
    <w:rsid w:val="4BE068DB"/>
    <w:rsid w:val="4BF6002B"/>
    <w:rsid w:val="4D423F31"/>
    <w:rsid w:val="4ECE2238"/>
    <w:rsid w:val="4F0923E4"/>
    <w:rsid w:val="51DB4B86"/>
    <w:rsid w:val="55333C3E"/>
    <w:rsid w:val="55D83449"/>
    <w:rsid w:val="57F84B75"/>
    <w:rsid w:val="5BE308CD"/>
    <w:rsid w:val="5CA00684"/>
    <w:rsid w:val="64CA39A1"/>
    <w:rsid w:val="68DD74D8"/>
    <w:rsid w:val="69630ADE"/>
    <w:rsid w:val="6B9E5223"/>
    <w:rsid w:val="6C4A05C8"/>
    <w:rsid w:val="6D3B1A89"/>
    <w:rsid w:val="71BF4EC2"/>
    <w:rsid w:val="7240182E"/>
    <w:rsid w:val="72734D90"/>
    <w:rsid w:val="7412278C"/>
    <w:rsid w:val="77E912C9"/>
    <w:rsid w:val="7904082E"/>
    <w:rsid w:val="79E7B28D"/>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0"/>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样式 行距: 固定值 28.9 磅"/>
    <w:basedOn w:val="1"/>
    <w:qFormat/>
    <w:uiPriority w:val="0"/>
    <w:pPr>
      <w:spacing w:line="578" w:lineRule="exact"/>
    </w:pPr>
    <w:rPr>
      <w:rFonts w:cs="宋体"/>
      <w:szCs w:val="20"/>
      <w:lang w:bidi="ar-SA"/>
    </w:rPr>
  </w:style>
  <w:style w:type="paragraph" w:styleId="6">
    <w:name w:val="Body Text"/>
    <w:basedOn w:val="1"/>
    <w:link w:val="26"/>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0"/>
    <w:semiHidden/>
    <w:unhideWhenUsed/>
    <w:qFormat/>
    <w:uiPriority w:val="99"/>
    <w:rPr>
      <w:sz w:val="18"/>
      <w:szCs w:val="18"/>
    </w:rPr>
  </w:style>
  <w:style w:type="paragraph" w:styleId="9">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able of figures"/>
    <w:basedOn w:val="1"/>
    <w:next w:val="1"/>
    <w:qFormat/>
    <w:uiPriority w:val="99"/>
    <w:pPr>
      <w:ind w:left="200" w:leftChars="200" w:hanging="200" w:hangingChars="200"/>
    </w:pPr>
    <w:rPr>
      <w:rFonts w:ascii="Times New Roman" w:hAnsi="Times New Roman" w:eastAsia="宋体" w:cs="Times New Roman"/>
    </w:rPr>
  </w:style>
  <w:style w:type="paragraph" w:styleId="13">
    <w:name w:val="toc 2"/>
    <w:basedOn w:val="1"/>
    <w:next w:val="1"/>
    <w:unhideWhenUsed/>
    <w:qFormat/>
    <w:uiPriority w:val="39"/>
    <w:pPr>
      <w:tabs>
        <w:tab w:val="right" w:leader="dot" w:pos="8296"/>
      </w:tabs>
      <w:ind w:left="420" w:leftChars="20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标题 1 Char"/>
    <w:basedOn w:val="15"/>
    <w:link w:val="3"/>
    <w:qFormat/>
    <w:uiPriority w:val="9"/>
    <w:rPr>
      <w:rFonts w:ascii="Times New Roman" w:hAnsi="Times New Roman"/>
      <w:b/>
      <w:bCs/>
      <w:kern w:val="44"/>
      <w:sz w:val="44"/>
      <w:szCs w:val="44"/>
    </w:rPr>
  </w:style>
  <w:style w:type="character" w:customStyle="1" w:styleId="19">
    <w:name w:val="标题 2 Char"/>
    <w:basedOn w:val="15"/>
    <w:link w:val="4"/>
    <w:qFormat/>
    <w:uiPriority w:val="9"/>
    <w:rPr>
      <w:rFonts w:asciiTheme="majorHAnsi" w:hAnsiTheme="majorHAnsi" w:eastAsiaTheme="majorEastAsia" w:cstheme="majorBidi"/>
      <w:b/>
      <w:bCs/>
      <w:kern w:val="2"/>
      <w:sz w:val="32"/>
      <w:szCs w:val="32"/>
    </w:rPr>
  </w:style>
  <w:style w:type="character" w:customStyle="1" w:styleId="20">
    <w:name w:val="标题 3 Char"/>
    <w:basedOn w:val="15"/>
    <w:link w:val="5"/>
    <w:qFormat/>
    <w:uiPriority w:val="9"/>
    <w:rPr>
      <w:rFonts w:ascii="Times New Roman" w:hAnsi="Times New Roman"/>
      <w:b/>
      <w:bCs/>
      <w:kern w:val="2"/>
      <w:sz w:val="32"/>
      <w:szCs w:val="32"/>
    </w:rPr>
  </w:style>
  <w:style w:type="character" w:customStyle="1" w:styleId="21">
    <w:name w:val="Header Char"/>
    <w:basedOn w:val="15"/>
    <w:semiHidden/>
    <w:qFormat/>
    <w:uiPriority w:val="99"/>
    <w:rPr>
      <w:rFonts w:ascii="Times New Roman" w:hAnsi="Times New Roman"/>
      <w:sz w:val="18"/>
      <w:szCs w:val="18"/>
    </w:rPr>
  </w:style>
  <w:style w:type="character" w:customStyle="1" w:styleId="22">
    <w:name w:val="页眉 Char"/>
    <w:link w:val="10"/>
    <w:semiHidden/>
    <w:qFormat/>
    <w:locked/>
    <w:uiPriority w:val="99"/>
    <w:rPr>
      <w:sz w:val="18"/>
    </w:rPr>
  </w:style>
  <w:style w:type="character" w:customStyle="1" w:styleId="23">
    <w:name w:val="Footer Char"/>
    <w:basedOn w:val="15"/>
    <w:semiHidden/>
    <w:qFormat/>
    <w:uiPriority w:val="99"/>
    <w:rPr>
      <w:rFonts w:ascii="Times New Roman" w:hAnsi="Times New Roman"/>
      <w:sz w:val="18"/>
      <w:szCs w:val="18"/>
    </w:rPr>
  </w:style>
  <w:style w:type="character" w:customStyle="1" w:styleId="24">
    <w:name w:val="页脚 Char"/>
    <w:link w:val="9"/>
    <w:qFormat/>
    <w:locked/>
    <w:uiPriority w:val="99"/>
    <w:rPr>
      <w:sz w:val="18"/>
    </w:rPr>
  </w:style>
  <w:style w:type="character" w:customStyle="1" w:styleId="25">
    <w:name w:val="Body Text Char"/>
    <w:basedOn w:val="15"/>
    <w:semiHidden/>
    <w:qFormat/>
    <w:uiPriority w:val="99"/>
    <w:rPr>
      <w:rFonts w:ascii="Times New Roman" w:hAnsi="Times New Roman"/>
      <w:szCs w:val="24"/>
    </w:rPr>
  </w:style>
  <w:style w:type="character" w:customStyle="1" w:styleId="26">
    <w:name w:val="正文文本 Char"/>
    <w:link w:val="6"/>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paragraph" w:customStyle="1" w:styleId="2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框文本 Char"/>
    <w:basedOn w:val="15"/>
    <w:link w:val="8"/>
    <w:semiHidden/>
    <w:qFormat/>
    <w:uiPriority w:val="99"/>
    <w:rPr>
      <w:rFonts w:ascii="Times New Roman" w:hAnsi="Times New Roman"/>
      <w:kern w:val="2"/>
      <w:sz w:val="18"/>
      <w:szCs w:val="18"/>
    </w:rPr>
  </w:style>
  <w:style w:type="paragraph" w:customStyle="1" w:styleId="31">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2">
    <w:name w:val="WPSOffice手动目录 1"/>
    <w:qFormat/>
    <w:uiPriority w:val="0"/>
    <w:pPr>
      <w:ind w:leftChars="0"/>
    </w:pPr>
    <w:rPr>
      <w:rFonts w:ascii="Times New Roman" w:hAnsi="Times New Roman" w:eastAsia="宋体" w:cs="Times New Roman"/>
      <w:sz w:val="20"/>
      <w:szCs w:val="20"/>
    </w:rPr>
  </w:style>
  <w:style w:type="character" w:customStyle="1" w:styleId="33">
    <w:name w:val="font51"/>
    <w:basedOn w:val="15"/>
    <w:qFormat/>
    <w:uiPriority w:val="0"/>
    <w:rPr>
      <w:rFonts w:hint="eastAsia" w:ascii="宋体" w:hAnsi="宋体" w:eastAsia="宋体" w:cs="宋体"/>
      <w:color w:val="000000"/>
      <w:sz w:val="20"/>
      <w:szCs w:val="20"/>
      <w:u w:val="none"/>
    </w:rPr>
  </w:style>
  <w:style w:type="character" w:customStyle="1" w:styleId="34">
    <w:name w:val="font91"/>
    <w:basedOn w:val="15"/>
    <w:qFormat/>
    <w:uiPriority w:val="0"/>
    <w:rPr>
      <w:rFonts w:ascii="Arial" w:hAnsi="Arial" w:cs="Arial"/>
      <w:color w:val="000000"/>
      <w:sz w:val="20"/>
      <w:szCs w:val="20"/>
      <w:u w:val="none"/>
    </w:rPr>
  </w:style>
  <w:style w:type="character" w:customStyle="1" w:styleId="35">
    <w:name w:val="font71"/>
    <w:basedOn w:val="15"/>
    <w:qFormat/>
    <w:uiPriority w:val="0"/>
    <w:rPr>
      <w:rFonts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jpeg"/><Relationship Id="rId12" Type="http://schemas.openxmlformats.org/officeDocument/2006/relationships/image" Target="media/image6.pn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8</TotalTime>
  <ScaleCrop>false</ScaleCrop>
  <LinksUpToDate>false</LinksUpToDate>
  <CharactersWithSpaces>8692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鲁西西</cp:lastModifiedBy>
  <cp:lastPrinted>2023-10-07T01:16:00Z</cp:lastPrinted>
  <dcterms:modified xsi:type="dcterms:W3CDTF">2023-10-18T02:15:08Z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6B70361D626A4593B4A9C4A901EC4F63</vt:lpwstr>
  </property>
</Properties>
</file>