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597"/>
      <w:bookmarkStart w:id="2" w:name="_Toc15377425"/>
      <w:bookmarkStart w:id="3" w:name="_Toc15396475"/>
      <w:bookmarkStart w:id="4" w:name="_Toc26908"/>
      <w:bookmarkStart w:id="5" w:name="_Toc15377193"/>
      <w:bookmarkStart w:id="6" w:name="_Toc15378441"/>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7" w:name="_Toc27659"/>
      <w:bookmarkStart w:id="8" w:name="_Toc15377194"/>
      <w:bookmarkStart w:id="9" w:name="_Toc15378442"/>
      <w:bookmarkStart w:id="10" w:name="_Toc15396598"/>
      <w:bookmarkStart w:id="11" w:name="_Toc15396476"/>
      <w:bookmarkStart w:id="12" w:name="_Toc15377426"/>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招生考试中心</w:t>
      </w:r>
      <w:bookmarkEnd w:id="7"/>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4" w:name="_Toc19660"/>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widowControl/>
        <w:jc w:val="center"/>
        <w:rPr>
          <w:rFonts w:ascii="黑体" w:hAnsi="黑体" w:eastAsia="黑体" w:cstheme="minorBidi"/>
          <w:color w:val="auto"/>
          <w:sz w:val="28"/>
          <w:szCs w:val="28"/>
          <w:highlight w:val="none"/>
        </w:rPr>
      </w:pPr>
    </w:p>
    <w:p>
      <w:pPr>
        <w:pStyle w:val="10"/>
        <w:rPr>
          <w:rFonts w:hint="eastAsia"/>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17</w:t>
      </w:r>
      <w:bookmarkStart w:id="103" w:name="_GoBack"/>
      <w:bookmarkEnd w:id="103"/>
      <w:r>
        <w:rPr>
          <w:rFonts w:hint="eastAsia"/>
          <w:color w:val="auto"/>
          <w:highlight w:val="none"/>
          <w:lang w:val="en-US" w:eastAsia="zh-CN"/>
        </w:rPr>
        <w:t xml:space="preserve"> </w:t>
      </w:r>
      <w:r>
        <w:rPr>
          <w:rFonts w:hint="eastAsia"/>
          <w:color w:val="auto"/>
          <w:highlight w:val="none"/>
        </w:rPr>
        <w:t>日</w:t>
      </w:r>
    </w:p>
    <w:sdt>
      <w:sdtPr>
        <w:rPr>
          <w:rFonts w:ascii="宋体" w:hAnsi="宋体" w:eastAsia="宋体" w:cs="Times New Roman"/>
          <w:kern w:val="2"/>
          <w:sz w:val="32"/>
          <w:szCs w:val="32"/>
          <w:lang w:val="en-US" w:eastAsia="zh-CN" w:bidi="ar-SA"/>
        </w:rPr>
        <w:id w:val="147480080"/>
        <w15:color w:val="DBDBDB"/>
        <w:docPartObj>
          <w:docPartGallery w:val="Table of Contents"/>
          <w:docPartUnique/>
        </w:docPartObj>
      </w:sdtPr>
      <w:sdtEndPr>
        <w:rPr>
          <w:rFonts w:ascii="Times New Roman" w:hAnsi="Times New Roman" w:eastAsia="宋体" w:cs="Times New Roman"/>
          <w:b/>
          <w:color w:val="auto"/>
          <w:kern w:val="2"/>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rPr>
              <w:b/>
            </w:rPr>
          </w:pPr>
          <w:r>
            <w:rPr>
              <w:color w:val="auto"/>
              <w:highlight w:val="none"/>
            </w:rPr>
            <w:fldChar w:fldCharType="begin"/>
          </w:r>
          <w:r>
            <w:rPr>
              <w:color w:val="auto"/>
              <w:highlight w:val="none"/>
            </w:rPr>
            <w:instrText xml:space="preserve">TOC \o "1-2" \h \u </w:instrText>
          </w:r>
          <w:r>
            <w:rPr>
              <w:color w:val="auto"/>
              <w:highlight w:val="none"/>
            </w:rPr>
            <w:fldChar w:fldCharType="separate"/>
          </w:r>
        </w:p>
        <w:p>
          <w:pPr>
            <w:pStyle w:val="31"/>
            <w:tabs>
              <w:tab w:val="right" w:leader="dot" w:pos="8306"/>
            </w:tabs>
            <w:rPr>
              <w:b/>
              <w:sz w:val="28"/>
              <w:szCs w:val="28"/>
            </w:rPr>
          </w:pPr>
          <w:r>
            <w:rPr>
              <w:b/>
              <w:color w:val="auto"/>
              <w:sz w:val="28"/>
              <w:szCs w:val="28"/>
              <w:highlight w:val="none"/>
            </w:rPr>
            <w:fldChar w:fldCharType="begin"/>
          </w:r>
          <w:r>
            <w:rPr>
              <w:b/>
              <w:sz w:val="28"/>
              <w:szCs w:val="28"/>
              <w:highlight w:val="none"/>
            </w:rPr>
            <w:instrText xml:space="preserve"> HYPERLINK \l _Toc14354 </w:instrText>
          </w:r>
          <w:r>
            <w:rPr>
              <w:b/>
              <w:sz w:val="28"/>
              <w:szCs w:val="28"/>
              <w:highlight w:val="none"/>
            </w:rPr>
            <w:fldChar w:fldCharType="separate"/>
          </w:r>
          <w:r>
            <w:rPr>
              <w:rFonts w:hint="eastAsia" w:ascii="黑体" w:hAnsi="黑体" w:eastAsia="黑体"/>
              <w:b/>
              <w:sz w:val="28"/>
              <w:szCs w:val="28"/>
              <w:highlight w:val="none"/>
            </w:rPr>
            <w:t xml:space="preserve">第一部分 </w:t>
          </w:r>
          <w:r>
            <w:rPr>
              <w:rFonts w:hint="eastAsia" w:ascii="黑体" w:hAnsi="黑体" w:eastAsia="黑体"/>
              <w:b/>
              <w:sz w:val="28"/>
              <w:szCs w:val="28"/>
              <w:highlight w:val="none"/>
              <w:lang w:eastAsia="zh-CN"/>
            </w:rPr>
            <w:t>单位</w:t>
          </w:r>
          <w:r>
            <w:rPr>
              <w:rFonts w:hint="eastAsia" w:ascii="黑体" w:hAnsi="黑体" w:eastAsia="黑体"/>
              <w:b/>
              <w:bCs w:val="0"/>
              <w:sz w:val="28"/>
              <w:szCs w:val="28"/>
              <w:highlight w:val="none"/>
            </w:rPr>
            <w:t>概况</w:t>
          </w:r>
          <w:r>
            <w:rPr>
              <w:b/>
              <w:sz w:val="28"/>
              <w:szCs w:val="28"/>
            </w:rPr>
            <w:tab/>
          </w:r>
          <w:r>
            <w:rPr>
              <w:b/>
              <w:sz w:val="28"/>
              <w:szCs w:val="28"/>
            </w:rPr>
            <w:fldChar w:fldCharType="begin"/>
          </w:r>
          <w:r>
            <w:rPr>
              <w:b/>
              <w:sz w:val="28"/>
              <w:szCs w:val="28"/>
            </w:rPr>
            <w:instrText xml:space="preserve"> PAGEREF _Toc14354 </w:instrText>
          </w:r>
          <w:r>
            <w:rPr>
              <w:b/>
              <w:sz w:val="28"/>
              <w:szCs w:val="28"/>
            </w:rPr>
            <w:fldChar w:fldCharType="separate"/>
          </w:r>
          <w:r>
            <w:rPr>
              <w:b/>
              <w:sz w:val="28"/>
              <w:szCs w:val="28"/>
            </w:rPr>
            <w:t>4</w:t>
          </w:r>
          <w:r>
            <w:rPr>
              <w:b/>
              <w:sz w:val="28"/>
              <w:szCs w:val="28"/>
            </w:rPr>
            <w:fldChar w:fldCharType="end"/>
          </w:r>
          <w:r>
            <w:rPr>
              <w:b/>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_Toc12051 </w:instrText>
          </w:r>
          <w:r>
            <w:rPr>
              <w:sz w:val="28"/>
              <w:szCs w:val="28"/>
              <w:highlight w:val="none"/>
            </w:rPr>
            <w:fldChar w:fldCharType="separate"/>
          </w:r>
          <w:r>
            <w:rPr>
              <w:rFonts w:hint="eastAsia" w:ascii="黑体" w:hAnsi="黑体" w:eastAsia="黑体"/>
              <w:bCs w:val="0"/>
              <w:sz w:val="28"/>
              <w:szCs w:val="28"/>
              <w:lang w:eastAsia="zh-CN"/>
            </w:rPr>
            <w:t xml:space="preserve">一、 </w:t>
          </w:r>
          <w:r>
            <w:rPr>
              <w:rFonts w:hint="eastAsia" w:ascii="黑体" w:hAnsi="黑体" w:eastAsia="黑体"/>
              <w:bCs w:val="0"/>
              <w:sz w:val="28"/>
              <w:szCs w:val="28"/>
              <w:highlight w:val="none"/>
              <w:lang w:eastAsia="zh-CN"/>
            </w:rPr>
            <w:t>主要职责</w:t>
          </w:r>
          <w:r>
            <w:rPr>
              <w:sz w:val="28"/>
              <w:szCs w:val="28"/>
            </w:rPr>
            <w:tab/>
          </w:r>
          <w:r>
            <w:rPr>
              <w:sz w:val="28"/>
              <w:szCs w:val="28"/>
            </w:rPr>
            <w:fldChar w:fldCharType="begin"/>
          </w:r>
          <w:r>
            <w:rPr>
              <w:sz w:val="28"/>
              <w:szCs w:val="28"/>
            </w:rPr>
            <w:instrText xml:space="preserve"> PAGEREF _Toc12051 </w:instrText>
          </w:r>
          <w:r>
            <w:rPr>
              <w:sz w:val="28"/>
              <w:szCs w:val="28"/>
            </w:rPr>
            <w:fldChar w:fldCharType="separate"/>
          </w:r>
          <w:r>
            <w:rPr>
              <w:sz w:val="28"/>
              <w:szCs w:val="28"/>
            </w:rPr>
            <w:t>4</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_Toc15173 </w:instrText>
          </w:r>
          <w:r>
            <w:rPr>
              <w:sz w:val="28"/>
              <w:szCs w:val="28"/>
              <w:highlight w:val="none"/>
            </w:rPr>
            <w:fldChar w:fldCharType="separate"/>
          </w:r>
          <w:r>
            <w:rPr>
              <w:rFonts w:hint="eastAsia" w:ascii="黑体" w:hAnsi="黑体" w:eastAsia="黑体"/>
              <w:sz w:val="28"/>
              <w:szCs w:val="28"/>
              <w:highlight w:val="none"/>
              <w:lang w:val="en-US" w:eastAsia="zh-CN"/>
            </w:rPr>
            <w:t>二、机构设置</w:t>
          </w:r>
          <w:r>
            <w:rPr>
              <w:sz w:val="28"/>
              <w:szCs w:val="28"/>
            </w:rPr>
            <w:tab/>
          </w:r>
          <w:r>
            <w:rPr>
              <w:sz w:val="28"/>
              <w:szCs w:val="28"/>
            </w:rPr>
            <w:fldChar w:fldCharType="begin"/>
          </w:r>
          <w:r>
            <w:rPr>
              <w:sz w:val="28"/>
              <w:szCs w:val="28"/>
            </w:rPr>
            <w:instrText xml:space="preserve"> PAGEREF _Toc15173 </w:instrText>
          </w:r>
          <w:r>
            <w:rPr>
              <w:sz w:val="28"/>
              <w:szCs w:val="28"/>
            </w:rPr>
            <w:fldChar w:fldCharType="separate"/>
          </w:r>
          <w:r>
            <w:rPr>
              <w:sz w:val="28"/>
              <w:szCs w:val="28"/>
            </w:rPr>
            <w:t>4</w:t>
          </w:r>
          <w:r>
            <w:rPr>
              <w:sz w:val="28"/>
              <w:szCs w:val="28"/>
            </w:rPr>
            <w:fldChar w:fldCharType="end"/>
          </w:r>
          <w:r>
            <w:rPr>
              <w:color w:val="auto"/>
              <w:sz w:val="28"/>
              <w:szCs w:val="28"/>
              <w:highlight w:val="none"/>
            </w:rPr>
            <w:fldChar w:fldCharType="end"/>
          </w:r>
        </w:p>
        <w:p>
          <w:pPr>
            <w:pStyle w:val="31"/>
            <w:tabs>
              <w:tab w:val="right" w:leader="dot" w:pos="8306"/>
            </w:tabs>
            <w:rPr>
              <w:b/>
              <w:sz w:val="28"/>
              <w:szCs w:val="28"/>
            </w:rPr>
          </w:pPr>
          <w:r>
            <w:rPr>
              <w:b/>
              <w:color w:val="auto"/>
              <w:sz w:val="28"/>
              <w:szCs w:val="28"/>
              <w:highlight w:val="none"/>
            </w:rPr>
            <w:fldChar w:fldCharType="begin"/>
          </w:r>
          <w:r>
            <w:rPr>
              <w:b/>
              <w:sz w:val="28"/>
              <w:szCs w:val="28"/>
              <w:highlight w:val="none"/>
            </w:rPr>
            <w:instrText xml:space="preserve"> HYPERLINK \l _Toc12284 </w:instrText>
          </w:r>
          <w:r>
            <w:rPr>
              <w:b/>
              <w:sz w:val="28"/>
              <w:szCs w:val="28"/>
              <w:highlight w:val="none"/>
            </w:rPr>
            <w:fldChar w:fldCharType="separate"/>
          </w:r>
          <w:r>
            <w:rPr>
              <w:rFonts w:hint="eastAsia" w:ascii="黑体" w:hAnsi="黑体" w:eastAsia="黑体"/>
              <w:b/>
              <w:bCs/>
              <w:sz w:val="28"/>
              <w:szCs w:val="28"/>
              <w:highlight w:val="none"/>
            </w:rPr>
            <w:t xml:space="preserve">第二部分 </w:t>
          </w:r>
          <w:r>
            <w:rPr>
              <w:rFonts w:hint="eastAsia" w:ascii="黑体" w:hAnsi="黑体" w:eastAsia="黑体"/>
              <w:b/>
              <w:bCs/>
              <w:sz w:val="28"/>
              <w:szCs w:val="28"/>
              <w:highlight w:val="none"/>
              <w:lang w:val="en-US" w:eastAsia="zh-CN"/>
            </w:rPr>
            <w:t>2022年度</w:t>
          </w:r>
          <w:r>
            <w:rPr>
              <w:rFonts w:hint="eastAsia" w:ascii="黑体" w:hAnsi="黑体" w:eastAsia="黑体"/>
              <w:b/>
              <w:bCs/>
              <w:sz w:val="28"/>
              <w:szCs w:val="28"/>
              <w:highlight w:val="none"/>
              <w:lang w:eastAsia="zh-CN"/>
            </w:rPr>
            <w:t>单位</w:t>
          </w:r>
          <w:r>
            <w:rPr>
              <w:rFonts w:hint="eastAsia" w:ascii="黑体" w:hAnsi="黑体" w:eastAsia="黑体"/>
              <w:b/>
              <w:bCs/>
              <w:sz w:val="28"/>
              <w:szCs w:val="28"/>
              <w:highlight w:val="none"/>
            </w:rPr>
            <w:t>决算情况说明</w:t>
          </w:r>
          <w:r>
            <w:rPr>
              <w:b/>
              <w:sz w:val="28"/>
              <w:szCs w:val="28"/>
            </w:rPr>
            <w:tab/>
          </w:r>
          <w:r>
            <w:rPr>
              <w:b/>
              <w:sz w:val="28"/>
              <w:szCs w:val="28"/>
            </w:rPr>
            <w:fldChar w:fldCharType="begin"/>
          </w:r>
          <w:r>
            <w:rPr>
              <w:b/>
              <w:sz w:val="28"/>
              <w:szCs w:val="28"/>
            </w:rPr>
            <w:instrText xml:space="preserve"> PAGEREF _Toc12284 </w:instrText>
          </w:r>
          <w:r>
            <w:rPr>
              <w:b/>
              <w:sz w:val="28"/>
              <w:szCs w:val="28"/>
            </w:rPr>
            <w:fldChar w:fldCharType="separate"/>
          </w:r>
          <w:r>
            <w:rPr>
              <w:b/>
              <w:sz w:val="28"/>
              <w:szCs w:val="28"/>
            </w:rPr>
            <w:t>5</w:t>
          </w:r>
          <w:r>
            <w:rPr>
              <w:b/>
              <w:sz w:val="28"/>
              <w:szCs w:val="28"/>
            </w:rPr>
            <w:fldChar w:fldCharType="end"/>
          </w:r>
          <w:r>
            <w:rPr>
              <w:b/>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_Toc32546 </w:instrText>
          </w:r>
          <w:r>
            <w:rPr>
              <w:sz w:val="28"/>
              <w:szCs w:val="28"/>
              <w:highlight w:val="none"/>
            </w:rPr>
            <w:fldChar w:fldCharType="separate"/>
          </w:r>
          <w:r>
            <w:rPr>
              <w:rFonts w:hint="default" w:ascii="黑体" w:hAnsi="黑体" w:eastAsia="黑体"/>
              <w:sz w:val="28"/>
              <w:szCs w:val="28"/>
            </w:rPr>
            <w:t xml:space="preserve">一、 </w:t>
          </w:r>
          <w:r>
            <w:rPr>
              <w:rFonts w:hint="eastAsia" w:ascii="黑体" w:hAnsi="黑体" w:eastAsia="黑体"/>
              <w:sz w:val="28"/>
              <w:szCs w:val="28"/>
              <w:highlight w:val="none"/>
            </w:rPr>
            <w:t>收入支出决算总体情况说明</w:t>
          </w:r>
          <w:r>
            <w:rPr>
              <w:sz w:val="28"/>
              <w:szCs w:val="28"/>
            </w:rPr>
            <w:tab/>
          </w:r>
          <w:r>
            <w:rPr>
              <w:sz w:val="28"/>
              <w:szCs w:val="28"/>
            </w:rPr>
            <w:fldChar w:fldCharType="begin"/>
          </w:r>
          <w:r>
            <w:rPr>
              <w:sz w:val="28"/>
              <w:szCs w:val="28"/>
            </w:rPr>
            <w:instrText xml:space="preserve"> PAGEREF _Toc32546 </w:instrText>
          </w:r>
          <w:r>
            <w:rPr>
              <w:sz w:val="28"/>
              <w:szCs w:val="28"/>
            </w:rPr>
            <w:fldChar w:fldCharType="separate"/>
          </w:r>
          <w:r>
            <w:rPr>
              <w:sz w:val="28"/>
              <w:szCs w:val="28"/>
            </w:rPr>
            <w:t>5</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_Toc24128 </w:instrText>
          </w:r>
          <w:r>
            <w:rPr>
              <w:sz w:val="28"/>
              <w:szCs w:val="28"/>
              <w:highlight w:val="none"/>
            </w:rPr>
            <w:fldChar w:fldCharType="separate"/>
          </w:r>
          <w:r>
            <w:rPr>
              <w:rFonts w:hint="default" w:ascii="黑体" w:hAnsi="黑体" w:eastAsia="黑体"/>
              <w:sz w:val="28"/>
              <w:szCs w:val="28"/>
            </w:rPr>
            <w:t xml:space="preserve">二、 </w:t>
          </w:r>
          <w:r>
            <w:rPr>
              <w:rFonts w:hint="eastAsia" w:ascii="黑体" w:hAnsi="黑体" w:eastAsia="黑体"/>
              <w:sz w:val="28"/>
              <w:szCs w:val="28"/>
              <w:highlight w:val="none"/>
            </w:rPr>
            <w:t>收入决算情况说明</w:t>
          </w:r>
          <w:r>
            <w:rPr>
              <w:sz w:val="28"/>
              <w:szCs w:val="28"/>
            </w:rPr>
            <w:tab/>
          </w:r>
          <w:r>
            <w:rPr>
              <w:sz w:val="28"/>
              <w:szCs w:val="28"/>
            </w:rPr>
            <w:fldChar w:fldCharType="begin"/>
          </w:r>
          <w:r>
            <w:rPr>
              <w:sz w:val="28"/>
              <w:szCs w:val="28"/>
            </w:rPr>
            <w:instrText xml:space="preserve"> PAGEREF _Toc24128 </w:instrText>
          </w:r>
          <w:r>
            <w:rPr>
              <w:sz w:val="28"/>
              <w:szCs w:val="28"/>
            </w:rPr>
            <w:fldChar w:fldCharType="separate"/>
          </w:r>
          <w:r>
            <w:rPr>
              <w:sz w:val="28"/>
              <w:szCs w:val="28"/>
            </w:rPr>
            <w:t>5</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_Toc16372 </w:instrText>
          </w:r>
          <w:r>
            <w:rPr>
              <w:sz w:val="28"/>
              <w:szCs w:val="28"/>
              <w:highlight w:val="none"/>
            </w:rPr>
            <w:fldChar w:fldCharType="separate"/>
          </w:r>
          <w:r>
            <w:rPr>
              <w:rFonts w:hint="default" w:ascii="黑体" w:hAnsi="黑体" w:eastAsia="黑体"/>
              <w:sz w:val="28"/>
              <w:szCs w:val="28"/>
            </w:rPr>
            <w:t xml:space="preserve">三、 </w:t>
          </w:r>
          <w:r>
            <w:rPr>
              <w:rFonts w:hint="eastAsia" w:ascii="黑体" w:hAnsi="黑体" w:eastAsia="黑体"/>
              <w:sz w:val="28"/>
              <w:szCs w:val="28"/>
              <w:highlight w:val="none"/>
            </w:rPr>
            <w:t>支出决算情况说明</w:t>
          </w:r>
          <w:r>
            <w:rPr>
              <w:sz w:val="28"/>
              <w:szCs w:val="28"/>
            </w:rPr>
            <w:tab/>
          </w:r>
          <w:r>
            <w:rPr>
              <w:sz w:val="28"/>
              <w:szCs w:val="28"/>
            </w:rPr>
            <w:fldChar w:fldCharType="begin"/>
          </w:r>
          <w:r>
            <w:rPr>
              <w:sz w:val="28"/>
              <w:szCs w:val="28"/>
            </w:rPr>
            <w:instrText xml:space="preserve"> PAGEREF _Toc16372 </w:instrText>
          </w:r>
          <w:r>
            <w:rPr>
              <w:sz w:val="28"/>
              <w:szCs w:val="28"/>
            </w:rPr>
            <w:fldChar w:fldCharType="separate"/>
          </w:r>
          <w:r>
            <w:rPr>
              <w:sz w:val="28"/>
              <w:szCs w:val="28"/>
            </w:rPr>
            <w:t>6</w:t>
          </w:r>
          <w:r>
            <w:rPr>
              <w:sz w:val="28"/>
              <w:szCs w:val="28"/>
            </w:rPr>
            <w:fldChar w:fldCharType="end"/>
          </w:r>
          <w:r>
            <w:rPr>
              <w:color w:val="auto"/>
              <w:sz w:val="28"/>
              <w:szCs w:val="28"/>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480" w:lineRule="auto"/>
            <w:textAlignment w:val="auto"/>
            <w:rPr>
              <w:sz w:val="28"/>
              <w:szCs w:val="28"/>
            </w:rPr>
          </w:pPr>
          <w:r>
            <w:rPr>
              <w:color w:val="auto"/>
              <w:sz w:val="28"/>
              <w:szCs w:val="28"/>
              <w:highlight w:val="none"/>
            </w:rPr>
            <w:fldChar w:fldCharType="begin"/>
          </w:r>
          <w:r>
            <w:rPr>
              <w:sz w:val="28"/>
              <w:szCs w:val="28"/>
              <w:highlight w:val="none"/>
            </w:rPr>
            <w:instrText xml:space="preserve"> HYPERLINK \l _Toc14695 </w:instrText>
          </w:r>
          <w:r>
            <w:rPr>
              <w:sz w:val="28"/>
              <w:szCs w:val="28"/>
              <w:highlight w:val="none"/>
            </w:rPr>
            <w:fldChar w:fldCharType="separate"/>
          </w:r>
          <w:r>
            <w:rPr>
              <w:rFonts w:hint="eastAsia" w:ascii="黑体" w:hAnsi="黑体" w:eastAsia="黑体"/>
              <w:sz w:val="28"/>
              <w:szCs w:val="28"/>
              <w:highlight w:val="none"/>
            </w:rPr>
            <w:t>四、财政拨款收入支出决算总体情况说明</w:t>
          </w:r>
          <w:r>
            <w:rPr>
              <w:sz w:val="28"/>
              <w:szCs w:val="28"/>
            </w:rPr>
            <w:tab/>
          </w:r>
          <w:r>
            <w:rPr>
              <w:sz w:val="28"/>
              <w:szCs w:val="28"/>
            </w:rPr>
            <w:fldChar w:fldCharType="begin"/>
          </w:r>
          <w:r>
            <w:rPr>
              <w:sz w:val="28"/>
              <w:szCs w:val="28"/>
            </w:rPr>
            <w:instrText xml:space="preserve"> PAGEREF _Toc14695 </w:instrText>
          </w:r>
          <w:r>
            <w:rPr>
              <w:sz w:val="28"/>
              <w:szCs w:val="28"/>
            </w:rPr>
            <w:fldChar w:fldCharType="separate"/>
          </w:r>
          <w:r>
            <w:rPr>
              <w:sz w:val="28"/>
              <w:szCs w:val="28"/>
            </w:rPr>
            <w:t>7</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_Toc3370 </w:instrText>
          </w:r>
          <w:r>
            <w:rPr>
              <w:sz w:val="28"/>
              <w:szCs w:val="28"/>
              <w:highlight w:val="none"/>
            </w:rPr>
            <w:fldChar w:fldCharType="separate"/>
          </w:r>
          <w:r>
            <w:rPr>
              <w:rFonts w:hint="eastAsia" w:ascii="黑体" w:hAnsi="黑体" w:eastAsia="黑体"/>
              <w:sz w:val="28"/>
              <w:szCs w:val="28"/>
              <w:highlight w:val="none"/>
            </w:rPr>
            <w:t>五、一般公共预算财政拨款支出决算情况说明</w:t>
          </w:r>
          <w:r>
            <w:rPr>
              <w:sz w:val="28"/>
              <w:szCs w:val="28"/>
            </w:rPr>
            <w:tab/>
          </w:r>
          <w:r>
            <w:rPr>
              <w:sz w:val="28"/>
              <w:szCs w:val="28"/>
            </w:rPr>
            <w:fldChar w:fldCharType="begin"/>
          </w:r>
          <w:r>
            <w:rPr>
              <w:sz w:val="28"/>
              <w:szCs w:val="28"/>
            </w:rPr>
            <w:instrText xml:space="preserve"> PAGEREF _Toc3370 </w:instrText>
          </w:r>
          <w:r>
            <w:rPr>
              <w:sz w:val="28"/>
              <w:szCs w:val="28"/>
            </w:rPr>
            <w:fldChar w:fldCharType="separate"/>
          </w:r>
          <w:r>
            <w:rPr>
              <w:sz w:val="28"/>
              <w:szCs w:val="28"/>
            </w:rPr>
            <w:t>7</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_Toc3120 </w:instrText>
          </w:r>
          <w:r>
            <w:rPr>
              <w:sz w:val="28"/>
              <w:szCs w:val="28"/>
              <w:highlight w:val="none"/>
            </w:rPr>
            <w:fldChar w:fldCharType="separate"/>
          </w:r>
          <w:r>
            <w:rPr>
              <w:rFonts w:hint="eastAsia" w:ascii="黑体" w:eastAsia="黑体"/>
              <w:sz w:val="28"/>
              <w:szCs w:val="28"/>
              <w:highlight w:val="none"/>
            </w:rPr>
            <w:t>六、</w:t>
          </w:r>
          <w:r>
            <w:rPr>
              <w:rFonts w:hint="eastAsia" w:ascii="黑体" w:hAnsi="黑体" w:eastAsia="黑体"/>
              <w:sz w:val="28"/>
              <w:szCs w:val="28"/>
              <w:highlight w:val="none"/>
            </w:rPr>
            <w:t>一般公共预算财政拨款基本支出决算情况说明</w:t>
          </w:r>
          <w:r>
            <w:rPr>
              <w:sz w:val="28"/>
              <w:szCs w:val="28"/>
            </w:rPr>
            <w:tab/>
          </w:r>
          <w:r>
            <w:rPr>
              <w:sz w:val="28"/>
              <w:szCs w:val="28"/>
            </w:rPr>
            <w:fldChar w:fldCharType="begin"/>
          </w:r>
          <w:r>
            <w:rPr>
              <w:sz w:val="28"/>
              <w:szCs w:val="28"/>
            </w:rPr>
            <w:instrText xml:space="preserve"> PAGEREF _Toc3120 </w:instrText>
          </w:r>
          <w:r>
            <w:rPr>
              <w:sz w:val="28"/>
              <w:szCs w:val="28"/>
            </w:rPr>
            <w:fldChar w:fldCharType="separate"/>
          </w:r>
          <w:r>
            <w:rPr>
              <w:sz w:val="28"/>
              <w:szCs w:val="28"/>
            </w:rPr>
            <w:t>10</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_Toc1886 </w:instrText>
          </w:r>
          <w:r>
            <w:rPr>
              <w:sz w:val="28"/>
              <w:szCs w:val="28"/>
              <w:highlight w:val="none"/>
            </w:rPr>
            <w:fldChar w:fldCharType="separate"/>
          </w:r>
          <w:r>
            <w:rPr>
              <w:rFonts w:hint="eastAsia" w:ascii="黑体" w:eastAsia="黑体"/>
              <w:sz w:val="28"/>
              <w:szCs w:val="28"/>
              <w:highlight w:val="none"/>
            </w:rPr>
            <w:t>七、</w:t>
          </w:r>
          <w:r>
            <w:rPr>
              <w:rFonts w:hint="eastAsia" w:ascii="黑体" w:hAnsi="黑体" w:eastAsia="黑体"/>
              <w:sz w:val="28"/>
              <w:szCs w:val="28"/>
              <w:highlight w:val="none"/>
            </w:rPr>
            <w:t>财政拨款“三公”经费支出决算情况说明</w:t>
          </w:r>
          <w:r>
            <w:rPr>
              <w:sz w:val="28"/>
              <w:szCs w:val="28"/>
            </w:rPr>
            <w:tab/>
          </w:r>
          <w:r>
            <w:rPr>
              <w:sz w:val="28"/>
              <w:szCs w:val="28"/>
            </w:rPr>
            <w:fldChar w:fldCharType="begin"/>
          </w:r>
          <w:r>
            <w:rPr>
              <w:sz w:val="28"/>
              <w:szCs w:val="28"/>
            </w:rPr>
            <w:instrText xml:space="preserve"> PAGEREF _Toc1886 </w:instrText>
          </w:r>
          <w:r>
            <w:rPr>
              <w:sz w:val="28"/>
              <w:szCs w:val="28"/>
            </w:rPr>
            <w:fldChar w:fldCharType="separate"/>
          </w:r>
          <w:r>
            <w:rPr>
              <w:sz w:val="28"/>
              <w:szCs w:val="28"/>
            </w:rPr>
            <w:t>10</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_Toc14212 </w:instrText>
          </w:r>
          <w:r>
            <w:rPr>
              <w:sz w:val="28"/>
              <w:szCs w:val="28"/>
              <w:highlight w:val="none"/>
            </w:rPr>
            <w:fldChar w:fldCharType="separate"/>
          </w:r>
          <w:r>
            <w:rPr>
              <w:rFonts w:hint="eastAsia" w:ascii="黑体" w:eastAsia="黑体"/>
              <w:sz w:val="28"/>
              <w:szCs w:val="28"/>
              <w:highlight w:val="none"/>
            </w:rPr>
            <w:t>八、</w:t>
          </w:r>
          <w:r>
            <w:rPr>
              <w:rFonts w:hint="eastAsia" w:ascii="黑体" w:hAnsi="黑体" w:eastAsia="黑体"/>
              <w:sz w:val="28"/>
              <w:szCs w:val="28"/>
              <w:highlight w:val="none"/>
            </w:rPr>
            <w:t>政府性基金预算支出决算情况说明</w:t>
          </w:r>
          <w:r>
            <w:rPr>
              <w:sz w:val="28"/>
              <w:szCs w:val="28"/>
            </w:rPr>
            <w:tab/>
          </w:r>
          <w:r>
            <w:rPr>
              <w:sz w:val="28"/>
              <w:szCs w:val="28"/>
            </w:rPr>
            <w:fldChar w:fldCharType="begin"/>
          </w:r>
          <w:r>
            <w:rPr>
              <w:sz w:val="28"/>
              <w:szCs w:val="28"/>
            </w:rPr>
            <w:instrText xml:space="preserve"> PAGEREF _Toc14212 </w:instrText>
          </w:r>
          <w:r>
            <w:rPr>
              <w:sz w:val="28"/>
              <w:szCs w:val="28"/>
            </w:rPr>
            <w:fldChar w:fldCharType="separate"/>
          </w:r>
          <w:r>
            <w:rPr>
              <w:sz w:val="28"/>
              <w:szCs w:val="28"/>
            </w:rPr>
            <w:t>12</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_Toc25264 </w:instrText>
          </w:r>
          <w:r>
            <w:rPr>
              <w:sz w:val="28"/>
              <w:szCs w:val="28"/>
              <w:highlight w:val="none"/>
            </w:rPr>
            <w:fldChar w:fldCharType="separate"/>
          </w:r>
          <w:r>
            <w:rPr>
              <w:rFonts w:hint="eastAsia" w:ascii="黑体" w:hAnsi="黑体" w:eastAsia="黑体"/>
              <w:sz w:val="28"/>
              <w:szCs w:val="28"/>
            </w:rPr>
            <w:t xml:space="preserve">九、 </w:t>
          </w:r>
          <w:r>
            <w:rPr>
              <w:rFonts w:hint="eastAsia" w:ascii="黑体" w:hAnsi="黑体" w:eastAsia="黑体"/>
              <w:sz w:val="28"/>
              <w:szCs w:val="28"/>
              <w:highlight w:val="none"/>
            </w:rPr>
            <w:t>国有资本经营预算支出决算情况说明</w:t>
          </w:r>
          <w:r>
            <w:rPr>
              <w:sz w:val="28"/>
              <w:szCs w:val="28"/>
            </w:rPr>
            <w:tab/>
          </w:r>
          <w:r>
            <w:rPr>
              <w:sz w:val="28"/>
              <w:szCs w:val="28"/>
            </w:rPr>
            <w:fldChar w:fldCharType="begin"/>
          </w:r>
          <w:r>
            <w:rPr>
              <w:sz w:val="28"/>
              <w:szCs w:val="28"/>
            </w:rPr>
            <w:instrText xml:space="preserve"> PAGEREF _Toc25264 </w:instrText>
          </w:r>
          <w:r>
            <w:rPr>
              <w:sz w:val="28"/>
              <w:szCs w:val="28"/>
            </w:rPr>
            <w:fldChar w:fldCharType="separate"/>
          </w:r>
          <w:r>
            <w:rPr>
              <w:sz w:val="28"/>
              <w:szCs w:val="28"/>
            </w:rPr>
            <w:t>12</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_Toc3138 </w:instrText>
          </w:r>
          <w:r>
            <w:rPr>
              <w:sz w:val="28"/>
              <w:szCs w:val="28"/>
              <w:highlight w:val="none"/>
            </w:rPr>
            <w:fldChar w:fldCharType="separate"/>
          </w:r>
          <w:r>
            <w:rPr>
              <w:rFonts w:hint="eastAsia" w:ascii="黑体" w:hAnsi="黑体" w:eastAsia="黑体"/>
              <w:sz w:val="28"/>
              <w:szCs w:val="28"/>
            </w:rPr>
            <w:t xml:space="preserve">十、 </w:t>
          </w:r>
          <w:r>
            <w:rPr>
              <w:rFonts w:hint="eastAsia" w:ascii="黑体" w:hAnsi="黑体" w:eastAsia="黑体"/>
              <w:sz w:val="28"/>
              <w:szCs w:val="28"/>
              <w:highlight w:val="none"/>
            </w:rPr>
            <w:t>其他重要事项的情况说明</w:t>
          </w:r>
          <w:r>
            <w:rPr>
              <w:sz w:val="28"/>
              <w:szCs w:val="28"/>
            </w:rPr>
            <w:tab/>
          </w:r>
          <w:r>
            <w:rPr>
              <w:sz w:val="28"/>
              <w:szCs w:val="28"/>
            </w:rPr>
            <w:fldChar w:fldCharType="begin"/>
          </w:r>
          <w:r>
            <w:rPr>
              <w:sz w:val="28"/>
              <w:szCs w:val="28"/>
            </w:rPr>
            <w:instrText xml:space="preserve"> PAGEREF _Toc3138 </w:instrText>
          </w:r>
          <w:r>
            <w:rPr>
              <w:sz w:val="28"/>
              <w:szCs w:val="28"/>
            </w:rPr>
            <w:fldChar w:fldCharType="separate"/>
          </w:r>
          <w:r>
            <w:rPr>
              <w:sz w:val="28"/>
              <w:szCs w:val="28"/>
            </w:rPr>
            <w:t>13</w:t>
          </w:r>
          <w:r>
            <w:rPr>
              <w:sz w:val="28"/>
              <w:szCs w:val="28"/>
            </w:rPr>
            <w:fldChar w:fldCharType="end"/>
          </w:r>
          <w:r>
            <w:rPr>
              <w:color w:val="auto"/>
              <w:sz w:val="28"/>
              <w:szCs w:val="28"/>
              <w:highlight w:val="none"/>
            </w:rPr>
            <w:fldChar w:fldCharType="end"/>
          </w:r>
        </w:p>
        <w:p>
          <w:pPr>
            <w:pStyle w:val="31"/>
            <w:tabs>
              <w:tab w:val="right" w:leader="dot" w:pos="8306"/>
            </w:tabs>
            <w:rPr>
              <w:b/>
              <w:sz w:val="28"/>
              <w:szCs w:val="28"/>
            </w:rPr>
          </w:pPr>
          <w:r>
            <w:rPr>
              <w:b/>
              <w:color w:val="auto"/>
              <w:sz w:val="28"/>
              <w:szCs w:val="28"/>
              <w:highlight w:val="none"/>
            </w:rPr>
            <w:fldChar w:fldCharType="begin"/>
          </w:r>
          <w:r>
            <w:rPr>
              <w:b/>
              <w:sz w:val="28"/>
              <w:szCs w:val="28"/>
              <w:highlight w:val="none"/>
            </w:rPr>
            <w:instrText xml:space="preserve"> HYPERLINK \l _Toc13440 </w:instrText>
          </w:r>
          <w:r>
            <w:rPr>
              <w:b/>
              <w:sz w:val="28"/>
              <w:szCs w:val="28"/>
              <w:highlight w:val="none"/>
            </w:rPr>
            <w:fldChar w:fldCharType="separate"/>
          </w:r>
          <w:r>
            <w:rPr>
              <w:rFonts w:hint="eastAsia" w:ascii="黑体" w:hAnsi="黑体" w:eastAsia="黑体" w:cs="黑体"/>
              <w:b/>
              <w:sz w:val="28"/>
              <w:szCs w:val="28"/>
            </w:rPr>
            <w:t xml:space="preserve">第三部分 </w:t>
          </w:r>
          <w:r>
            <w:rPr>
              <w:rFonts w:hint="eastAsia" w:ascii="黑体" w:hAnsi="黑体" w:eastAsia="黑体"/>
              <w:b/>
              <w:sz w:val="28"/>
              <w:szCs w:val="28"/>
              <w:highlight w:val="none"/>
            </w:rPr>
            <w:t>名词解释</w:t>
          </w:r>
          <w:r>
            <w:rPr>
              <w:b/>
              <w:sz w:val="28"/>
              <w:szCs w:val="28"/>
            </w:rPr>
            <w:tab/>
          </w:r>
          <w:r>
            <w:rPr>
              <w:b/>
              <w:sz w:val="28"/>
              <w:szCs w:val="28"/>
            </w:rPr>
            <w:fldChar w:fldCharType="begin"/>
          </w:r>
          <w:r>
            <w:rPr>
              <w:b/>
              <w:sz w:val="28"/>
              <w:szCs w:val="28"/>
            </w:rPr>
            <w:instrText xml:space="preserve"> PAGEREF _Toc13440 </w:instrText>
          </w:r>
          <w:r>
            <w:rPr>
              <w:b/>
              <w:sz w:val="28"/>
              <w:szCs w:val="28"/>
            </w:rPr>
            <w:fldChar w:fldCharType="separate"/>
          </w:r>
          <w:r>
            <w:rPr>
              <w:b/>
              <w:sz w:val="28"/>
              <w:szCs w:val="28"/>
            </w:rPr>
            <w:t>14</w:t>
          </w:r>
          <w:r>
            <w:rPr>
              <w:b/>
              <w:sz w:val="28"/>
              <w:szCs w:val="28"/>
            </w:rPr>
            <w:fldChar w:fldCharType="end"/>
          </w:r>
          <w:r>
            <w:rPr>
              <w:b/>
              <w:color w:val="auto"/>
              <w:sz w:val="28"/>
              <w:szCs w:val="28"/>
              <w:highlight w:val="none"/>
            </w:rPr>
            <w:fldChar w:fldCharType="end"/>
          </w:r>
        </w:p>
        <w:p>
          <w:pPr>
            <w:pStyle w:val="31"/>
            <w:tabs>
              <w:tab w:val="right" w:leader="dot" w:pos="8306"/>
            </w:tabs>
            <w:rPr>
              <w:b/>
              <w:sz w:val="28"/>
              <w:szCs w:val="28"/>
            </w:rPr>
          </w:pPr>
          <w:r>
            <w:rPr>
              <w:b/>
              <w:color w:val="auto"/>
              <w:sz w:val="28"/>
              <w:szCs w:val="28"/>
              <w:highlight w:val="none"/>
            </w:rPr>
            <w:fldChar w:fldCharType="begin"/>
          </w:r>
          <w:r>
            <w:rPr>
              <w:b/>
              <w:sz w:val="28"/>
              <w:szCs w:val="28"/>
              <w:highlight w:val="none"/>
            </w:rPr>
            <w:instrText xml:space="preserve"> HYPERLINK \l _Toc6743 </w:instrText>
          </w:r>
          <w:r>
            <w:rPr>
              <w:b/>
              <w:sz w:val="28"/>
              <w:szCs w:val="28"/>
              <w:highlight w:val="none"/>
            </w:rPr>
            <w:fldChar w:fldCharType="separate"/>
          </w:r>
          <w:r>
            <w:rPr>
              <w:rFonts w:hint="eastAsia" w:ascii="黑体" w:hAnsi="黑体" w:eastAsia="黑体"/>
              <w:b/>
              <w:sz w:val="28"/>
              <w:szCs w:val="28"/>
              <w:highlight w:val="none"/>
            </w:rPr>
            <w:t>第四部分 附件</w:t>
          </w:r>
          <w:r>
            <w:rPr>
              <w:b/>
              <w:sz w:val="28"/>
              <w:szCs w:val="28"/>
            </w:rPr>
            <w:tab/>
          </w:r>
          <w:r>
            <w:rPr>
              <w:b/>
              <w:sz w:val="28"/>
              <w:szCs w:val="28"/>
            </w:rPr>
            <w:fldChar w:fldCharType="begin"/>
          </w:r>
          <w:r>
            <w:rPr>
              <w:b/>
              <w:sz w:val="28"/>
              <w:szCs w:val="28"/>
            </w:rPr>
            <w:instrText xml:space="preserve"> PAGEREF _Toc6743 </w:instrText>
          </w:r>
          <w:r>
            <w:rPr>
              <w:b/>
              <w:sz w:val="28"/>
              <w:szCs w:val="28"/>
            </w:rPr>
            <w:fldChar w:fldCharType="separate"/>
          </w:r>
          <w:r>
            <w:rPr>
              <w:b/>
              <w:sz w:val="28"/>
              <w:szCs w:val="28"/>
            </w:rPr>
            <w:t>16</w:t>
          </w:r>
          <w:r>
            <w:rPr>
              <w:b/>
              <w:sz w:val="28"/>
              <w:szCs w:val="28"/>
            </w:rPr>
            <w:fldChar w:fldCharType="end"/>
          </w:r>
          <w:r>
            <w:rPr>
              <w:b/>
              <w:color w:val="auto"/>
              <w:sz w:val="28"/>
              <w:szCs w:val="28"/>
              <w:highlight w:val="none"/>
            </w:rPr>
            <w:fldChar w:fldCharType="end"/>
          </w:r>
        </w:p>
        <w:p>
          <w:pPr>
            <w:pStyle w:val="31"/>
            <w:tabs>
              <w:tab w:val="right" w:leader="dot" w:pos="8306"/>
            </w:tabs>
            <w:rPr>
              <w:b/>
              <w:sz w:val="28"/>
              <w:szCs w:val="28"/>
            </w:rPr>
          </w:pPr>
          <w:r>
            <w:rPr>
              <w:b/>
              <w:color w:val="auto"/>
              <w:sz w:val="28"/>
              <w:szCs w:val="28"/>
              <w:highlight w:val="none"/>
            </w:rPr>
            <w:fldChar w:fldCharType="begin"/>
          </w:r>
          <w:r>
            <w:rPr>
              <w:b/>
              <w:sz w:val="28"/>
              <w:szCs w:val="28"/>
              <w:highlight w:val="none"/>
            </w:rPr>
            <w:instrText xml:space="preserve"> HYPERLINK \l _Toc9419 </w:instrText>
          </w:r>
          <w:r>
            <w:rPr>
              <w:b/>
              <w:sz w:val="28"/>
              <w:szCs w:val="28"/>
              <w:highlight w:val="none"/>
            </w:rPr>
            <w:fldChar w:fldCharType="separate"/>
          </w:r>
          <w:r>
            <w:rPr>
              <w:rFonts w:hint="eastAsia" w:ascii="宋体" w:hAnsi="宋体" w:eastAsia="宋体" w:cs="宋体"/>
              <w:b/>
              <w:kern w:val="0"/>
              <w:sz w:val="28"/>
              <w:szCs w:val="28"/>
              <w:highlight w:val="none"/>
              <w:lang w:val="en-US" w:eastAsia="zh-CN" w:bidi="ar-SA"/>
            </w:rPr>
            <w:t>部门预算项目支出绩效自评表（2022年度）</w:t>
          </w:r>
          <w:r>
            <w:rPr>
              <w:b/>
              <w:sz w:val="28"/>
              <w:szCs w:val="28"/>
            </w:rPr>
            <w:tab/>
          </w:r>
          <w:r>
            <w:rPr>
              <w:b/>
              <w:sz w:val="28"/>
              <w:szCs w:val="28"/>
            </w:rPr>
            <w:fldChar w:fldCharType="begin"/>
          </w:r>
          <w:r>
            <w:rPr>
              <w:b/>
              <w:sz w:val="28"/>
              <w:szCs w:val="28"/>
            </w:rPr>
            <w:instrText xml:space="preserve"> PAGEREF _Toc9419 </w:instrText>
          </w:r>
          <w:r>
            <w:rPr>
              <w:b/>
              <w:sz w:val="28"/>
              <w:szCs w:val="28"/>
            </w:rPr>
            <w:fldChar w:fldCharType="separate"/>
          </w:r>
          <w:r>
            <w:rPr>
              <w:b/>
              <w:sz w:val="28"/>
              <w:szCs w:val="28"/>
            </w:rPr>
            <w:t>16</w:t>
          </w:r>
          <w:r>
            <w:rPr>
              <w:b/>
              <w:sz w:val="28"/>
              <w:szCs w:val="28"/>
            </w:rPr>
            <w:fldChar w:fldCharType="end"/>
          </w:r>
          <w:r>
            <w:rPr>
              <w:b/>
              <w:color w:val="auto"/>
              <w:sz w:val="28"/>
              <w:szCs w:val="28"/>
              <w:highlight w:val="none"/>
            </w:rPr>
            <w:fldChar w:fldCharType="end"/>
          </w:r>
        </w:p>
        <w:p>
          <w:pPr>
            <w:pStyle w:val="31"/>
            <w:tabs>
              <w:tab w:val="right" w:leader="dot" w:pos="8306"/>
            </w:tabs>
            <w:rPr>
              <w:b/>
              <w:sz w:val="28"/>
              <w:szCs w:val="28"/>
            </w:rPr>
          </w:pPr>
          <w:r>
            <w:rPr>
              <w:b/>
              <w:color w:val="auto"/>
              <w:sz w:val="28"/>
              <w:szCs w:val="28"/>
              <w:highlight w:val="none"/>
            </w:rPr>
            <w:fldChar w:fldCharType="begin"/>
          </w:r>
          <w:r>
            <w:rPr>
              <w:b/>
              <w:sz w:val="28"/>
              <w:szCs w:val="28"/>
              <w:highlight w:val="none"/>
            </w:rPr>
            <w:instrText xml:space="preserve"> HYPERLINK \l _Toc2676 </w:instrText>
          </w:r>
          <w:r>
            <w:rPr>
              <w:b/>
              <w:sz w:val="28"/>
              <w:szCs w:val="28"/>
              <w:highlight w:val="none"/>
            </w:rPr>
            <w:fldChar w:fldCharType="separate"/>
          </w:r>
          <w:r>
            <w:rPr>
              <w:rFonts w:hint="eastAsia" w:ascii="黑体" w:hAnsi="黑体" w:eastAsia="黑体"/>
              <w:b/>
              <w:sz w:val="28"/>
              <w:szCs w:val="28"/>
              <w:highlight w:val="none"/>
            </w:rPr>
            <w:t>第五部分 附表</w:t>
          </w:r>
          <w:r>
            <w:rPr>
              <w:b/>
              <w:sz w:val="28"/>
              <w:szCs w:val="28"/>
            </w:rPr>
            <w:tab/>
          </w:r>
          <w:r>
            <w:rPr>
              <w:b/>
              <w:sz w:val="28"/>
              <w:szCs w:val="28"/>
            </w:rPr>
            <w:fldChar w:fldCharType="begin"/>
          </w:r>
          <w:r>
            <w:rPr>
              <w:b/>
              <w:sz w:val="28"/>
              <w:szCs w:val="28"/>
            </w:rPr>
            <w:instrText xml:space="preserve"> PAGEREF _Toc2676 </w:instrText>
          </w:r>
          <w:r>
            <w:rPr>
              <w:b/>
              <w:sz w:val="28"/>
              <w:szCs w:val="28"/>
            </w:rPr>
            <w:fldChar w:fldCharType="separate"/>
          </w:r>
          <w:r>
            <w:rPr>
              <w:b/>
              <w:sz w:val="28"/>
              <w:szCs w:val="28"/>
            </w:rPr>
            <w:t>30</w:t>
          </w:r>
          <w:r>
            <w:rPr>
              <w:b/>
              <w:sz w:val="28"/>
              <w:szCs w:val="28"/>
            </w:rPr>
            <w:fldChar w:fldCharType="end"/>
          </w:r>
          <w:r>
            <w:rPr>
              <w:b/>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_Toc24478 </w:instrText>
          </w:r>
          <w:r>
            <w:rPr>
              <w:sz w:val="28"/>
              <w:szCs w:val="28"/>
              <w:highlight w:val="none"/>
            </w:rPr>
            <w:fldChar w:fldCharType="separate"/>
          </w:r>
          <w:r>
            <w:rPr>
              <w:rFonts w:hint="eastAsia" w:ascii="仿宋" w:hAnsi="仿宋" w:eastAsia="仿宋"/>
              <w:sz w:val="28"/>
              <w:szCs w:val="28"/>
              <w:highlight w:val="none"/>
            </w:rPr>
            <w:t>一、收</w:t>
          </w:r>
          <w:r>
            <w:rPr>
              <w:rFonts w:hint="eastAsia" w:ascii="仿宋" w:hAnsi="仿宋" w:eastAsia="仿宋"/>
              <w:bCs w:val="0"/>
              <w:sz w:val="28"/>
              <w:szCs w:val="28"/>
              <w:highlight w:val="none"/>
            </w:rPr>
            <w:t>入支出决算总表</w:t>
          </w:r>
          <w:r>
            <w:rPr>
              <w:sz w:val="28"/>
              <w:szCs w:val="28"/>
            </w:rPr>
            <w:tab/>
          </w:r>
          <w:r>
            <w:rPr>
              <w:sz w:val="28"/>
              <w:szCs w:val="28"/>
            </w:rPr>
            <w:fldChar w:fldCharType="begin"/>
          </w:r>
          <w:r>
            <w:rPr>
              <w:sz w:val="28"/>
              <w:szCs w:val="28"/>
            </w:rPr>
            <w:instrText xml:space="preserve"> PAGEREF _Toc24478 </w:instrText>
          </w:r>
          <w:r>
            <w:rPr>
              <w:sz w:val="28"/>
              <w:szCs w:val="28"/>
            </w:rPr>
            <w:fldChar w:fldCharType="separate"/>
          </w:r>
          <w:r>
            <w:rPr>
              <w:sz w:val="28"/>
              <w:szCs w:val="28"/>
            </w:rPr>
            <w:t>30</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_Toc20000 </w:instrText>
          </w:r>
          <w:r>
            <w:rPr>
              <w:sz w:val="28"/>
              <w:szCs w:val="28"/>
              <w:highlight w:val="none"/>
            </w:rPr>
            <w:fldChar w:fldCharType="separate"/>
          </w:r>
          <w:r>
            <w:rPr>
              <w:rFonts w:hint="eastAsia" w:ascii="仿宋" w:hAnsi="仿宋" w:eastAsia="仿宋"/>
              <w:sz w:val="28"/>
              <w:szCs w:val="28"/>
              <w:highlight w:val="none"/>
            </w:rPr>
            <w:t>二、收</w:t>
          </w:r>
          <w:r>
            <w:rPr>
              <w:rFonts w:hint="eastAsia" w:ascii="仿宋" w:hAnsi="仿宋" w:eastAsia="仿宋"/>
              <w:bCs w:val="0"/>
              <w:sz w:val="28"/>
              <w:szCs w:val="28"/>
              <w:highlight w:val="none"/>
            </w:rPr>
            <w:t>入决算表</w:t>
          </w:r>
          <w:r>
            <w:rPr>
              <w:sz w:val="28"/>
              <w:szCs w:val="28"/>
            </w:rPr>
            <w:tab/>
          </w:r>
          <w:r>
            <w:rPr>
              <w:sz w:val="28"/>
              <w:szCs w:val="28"/>
            </w:rPr>
            <w:fldChar w:fldCharType="begin"/>
          </w:r>
          <w:r>
            <w:rPr>
              <w:sz w:val="28"/>
              <w:szCs w:val="28"/>
            </w:rPr>
            <w:instrText xml:space="preserve"> PAGEREF _Toc20000 </w:instrText>
          </w:r>
          <w:r>
            <w:rPr>
              <w:sz w:val="28"/>
              <w:szCs w:val="28"/>
            </w:rPr>
            <w:fldChar w:fldCharType="separate"/>
          </w:r>
          <w:r>
            <w:rPr>
              <w:sz w:val="28"/>
              <w:szCs w:val="28"/>
            </w:rPr>
            <w:t>30</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_Toc30537 </w:instrText>
          </w:r>
          <w:r>
            <w:rPr>
              <w:sz w:val="28"/>
              <w:szCs w:val="28"/>
              <w:highlight w:val="none"/>
            </w:rPr>
            <w:fldChar w:fldCharType="separate"/>
          </w:r>
          <w:r>
            <w:rPr>
              <w:rFonts w:hint="eastAsia" w:ascii="仿宋" w:hAnsi="仿宋" w:eastAsia="仿宋"/>
              <w:bCs w:val="0"/>
              <w:sz w:val="28"/>
              <w:szCs w:val="28"/>
              <w:highlight w:val="none"/>
            </w:rPr>
            <w:t>三、</w:t>
          </w:r>
          <w:r>
            <w:rPr>
              <w:rFonts w:hint="eastAsia" w:ascii="仿宋" w:hAnsi="仿宋" w:eastAsia="仿宋"/>
              <w:sz w:val="28"/>
              <w:szCs w:val="28"/>
              <w:highlight w:val="none"/>
            </w:rPr>
            <w:t>支</w:t>
          </w:r>
          <w:r>
            <w:rPr>
              <w:rFonts w:hint="eastAsia" w:ascii="仿宋" w:hAnsi="仿宋" w:eastAsia="仿宋"/>
              <w:bCs w:val="0"/>
              <w:sz w:val="28"/>
              <w:szCs w:val="28"/>
              <w:highlight w:val="none"/>
            </w:rPr>
            <w:t>出决算表</w:t>
          </w:r>
          <w:r>
            <w:rPr>
              <w:sz w:val="28"/>
              <w:szCs w:val="28"/>
            </w:rPr>
            <w:tab/>
          </w:r>
          <w:r>
            <w:rPr>
              <w:sz w:val="28"/>
              <w:szCs w:val="28"/>
            </w:rPr>
            <w:fldChar w:fldCharType="begin"/>
          </w:r>
          <w:r>
            <w:rPr>
              <w:sz w:val="28"/>
              <w:szCs w:val="28"/>
            </w:rPr>
            <w:instrText xml:space="preserve"> PAGEREF _Toc30537 </w:instrText>
          </w:r>
          <w:r>
            <w:rPr>
              <w:sz w:val="28"/>
              <w:szCs w:val="28"/>
            </w:rPr>
            <w:fldChar w:fldCharType="separate"/>
          </w:r>
          <w:r>
            <w:rPr>
              <w:sz w:val="28"/>
              <w:szCs w:val="28"/>
            </w:rPr>
            <w:t>30</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_Toc8623 </w:instrText>
          </w:r>
          <w:r>
            <w:rPr>
              <w:sz w:val="28"/>
              <w:szCs w:val="28"/>
              <w:highlight w:val="none"/>
            </w:rPr>
            <w:fldChar w:fldCharType="separate"/>
          </w:r>
          <w:r>
            <w:rPr>
              <w:rFonts w:hint="eastAsia" w:ascii="仿宋" w:hAnsi="仿宋" w:eastAsia="仿宋"/>
              <w:bCs w:val="0"/>
              <w:sz w:val="28"/>
              <w:szCs w:val="28"/>
              <w:highlight w:val="none"/>
            </w:rPr>
            <w:t>四、</w:t>
          </w:r>
          <w:r>
            <w:rPr>
              <w:rFonts w:hint="eastAsia" w:ascii="仿宋" w:hAnsi="仿宋" w:eastAsia="仿宋"/>
              <w:sz w:val="28"/>
              <w:szCs w:val="28"/>
              <w:highlight w:val="none"/>
            </w:rPr>
            <w:t>财</w:t>
          </w:r>
          <w:r>
            <w:rPr>
              <w:rFonts w:hint="eastAsia" w:ascii="仿宋" w:hAnsi="仿宋" w:eastAsia="仿宋"/>
              <w:bCs w:val="0"/>
              <w:sz w:val="28"/>
              <w:szCs w:val="28"/>
              <w:highlight w:val="none"/>
            </w:rPr>
            <w:t>政拨款收入支出决算总表</w:t>
          </w:r>
          <w:r>
            <w:rPr>
              <w:sz w:val="28"/>
              <w:szCs w:val="28"/>
            </w:rPr>
            <w:tab/>
          </w:r>
          <w:r>
            <w:rPr>
              <w:sz w:val="28"/>
              <w:szCs w:val="28"/>
            </w:rPr>
            <w:fldChar w:fldCharType="begin"/>
          </w:r>
          <w:r>
            <w:rPr>
              <w:sz w:val="28"/>
              <w:szCs w:val="28"/>
            </w:rPr>
            <w:instrText xml:space="preserve"> PAGEREF _Toc8623 </w:instrText>
          </w:r>
          <w:r>
            <w:rPr>
              <w:sz w:val="28"/>
              <w:szCs w:val="28"/>
            </w:rPr>
            <w:fldChar w:fldCharType="separate"/>
          </w:r>
          <w:r>
            <w:rPr>
              <w:sz w:val="28"/>
              <w:szCs w:val="28"/>
            </w:rPr>
            <w:t>30</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_Toc25871 </w:instrText>
          </w:r>
          <w:r>
            <w:rPr>
              <w:sz w:val="28"/>
              <w:szCs w:val="28"/>
              <w:highlight w:val="none"/>
            </w:rPr>
            <w:fldChar w:fldCharType="separate"/>
          </w:r>
          <w:r>
            <w:rPr>
              <w:rFonts w:hint="eastAsia" w:ascii="仿宋" w:hAnsi="仿宋" w:eastAsia="仿宋"/>
              <w:bCs w:val="0"/>
              <w:sz w:val="28"/>
              <w:szCs w:val="28"/>
              <w:highlight w:val="none"/>
            </w:rPr>
            <w:t>五、</w:t>
          </w:r>
          <w:r>
            <w:rPr>
              <w:rFonts w:hint="eastAsia" w:ascii="仿宋" w:hAnsi="仿宋" w:eastAsia="仿宋"/>
              <w:sz w:val="28"/>
              <w:szCs w:val="28"/>
              <w:highlight w:val="none"/>
            </w:rPr>
            <w:t>财</w:t>
          </w:r>
          <w:r>
            <w:rPr>
              <w:rFonts w:hint="eastAsia" w:ascii="仿宋" w:hAnsi="仿宋" w:eastAsia="仿宋"/>
              <w:bCs w:val="0"/>
              <w:sz w:val="28"/>
              <w:szCs w:val="28"/>
              <w:highlight w:val="none"/>
            </w:rPr>
            <w:t>政拨款支出决算明细表</w:t>
          </w:r>
          <w:r>
            <w:rPr>
              <w:sz w:val="28"/>
              <w:szCs w:val="28"/>
            </w:rPr>
            <w:tab/>
          </w:r>
          <w:r>
            <w:rPr>
              <w:sz w:val="28"/>
              <w:szCs w:val="28"/>
            </w:rPr>
            <w:fldChar w:fldCharType="begin"/>
          </w:r>
          <w:r>
            <w:rPr>
              <w:sz w:val="28"/>
              <w:szCs w:val="28"/>
            </w:rPr>
            <w:instrText xml:space="preserve"> PAGEREF _Toc25871 </w:instrText>
          </w:r>
          <w:r>
            <w:rPr>
              <w:sz w:val="28"/>
              <w:szCs w:val="28"/>
            </w:rPr>
            <w:fldChar w:fldCharType="separate"/>
          </w:r>
          <w:r>
            <w:rPr>
              <w:sz w:val="28"/>
              <w:szCs w:val="28"/>
            </w:rPr>
            <w:t>30</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_Toc30376 </w:instrText>
          </w:r>
          <w:r>
            <w:rPr>
              <w:sz w:val="28"/>
              <w:szCs w:val="28"/>
              <w:highlight w:val="none"/>
            </w:rPr>
            <w:fldChar w:fldCharType="separate"/>
          </w:r>
          <w:r>
            <w:rPr>
              <w:rFonts w:hint="eastAsia" w:ascii="仿宋" w:hAnsi="仿宋" w:eastAsia="仿宋"/>
              <w:bCs w:val="0"/>
              <w:sz w:val="28"/>
              <w:szCs w:val="28"/>
              <w:highlight w:val="none"/>
            </w:rPr>
            <w:t>六、</w:t>
          </w:r>
          <w:r>
            <w:rPr>
              <w:rFonts w:hint="eastAsia" w:ascii="仿宋" w:hAnsi="仿宋" w:eastAsia="仿宋"/>
              <w:sz w:val="28"/>
              <w:szCs w:val="28"/>
              <w:highlight w:val="none"/>
            </w:rPr>
            <w:t>一</w:t>
          </w:r>
          <w:r>
            <w:rPr>
              <w:rFonts w:hint="eastAsia" w:ascii="仿宋" w:hAnsi="仿宋" w:eastAsia="仿宋"/>
              <w:bCs w:val="0"/>
              <w:sz w:val="28"/>
              <w:szCs w:val="28"/>
              <w:highlight w:val="none"/>
            </w:rPr>
            <w:t>般公共预算财政拨款支出决算表</w:t>
          </w:r>
          <w:r>
            <w:rPr>
              <w:sz w:val="28"/>
              <w:szCs w:val="28"/>
            </w:rPr>
            <w:tab/>
          </w:r>
          <w:r>
            <w:rPr>
              <w:sz w:val="28"/>
              <w:szCs w:val="28"/>
            </w:rPr>
            <w:fldChar w:fldCharType="begin"/>
          </w:r>
          <w:r>
            <w:rPr>
              <w:sz w:val="28"/>
              <w:szCs w:val="28"/>
            </w:rPr>
            <w:instrText xml:space="preserve"> PAGEREF _Toc30376 </w:instrText>
          </w:r>
          <w:r>
            <w:rPr>
              <w:sz w:val="28"/>
              <w:szCs w:val="28"/>
            </w:rPr>
            <w:fldChar w:fldCharType="separate"/>
          </w:r>
          <w:r>
            <w:rPr>
              <w:sz w:val="28"/>
              <w:szCs w:val="28"/>
            </w:rPr>
            <w:t>30</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_Toc1121 </w:instrText>
          </w:r>
          <w:r>
            <w:rPr>
              <w:sz w:val="28"/>
              <w:szCs w:val="28"/>
              <w:highlight w:val="none"/>
            </w:rPr>
            <w:fldChar w:fldCharType="separate"/>
          </w:r>
          <w:r>
            <w:rPr>
              <w:rFonts w:hint="eastAsia" w:ascii="仿宋" w:hAnsi="仿宋" w:eastAsia="仿宋"/>
              <w:bCs w:val="0"/>
              <w:sz w:val="28"/>
              <w:szCs w:val="28"/>
              <w:highlight w:val="none"/>
            </w:rPr>
            <w:t>七、</w:t>
          </w:r>
          <w:r>
            <w:rPr>
              <w:rFonts w:hint="eastAsia" w:ascii="仿宋" w:hAnsi="仿宋" w:eastAsia="仿宋"/>
              <w:sz w:val="28"/>
              <w:szCs w:val="28"/>
              <w:highlight w:val="none"/>
            </w:rPr>
            <w:t>一</w:t>
          </w:r>
          <w:r>
            <w:rPr>
              <w:rFonts w:hint="eastAsia" w:ascii="仿宋" w:hAnsi="仿宋" w:eastAsia="仿宋"/>
              <w:bCs w:val="0"/>
              <w:sz w:val="28"/>
              <w:szCs w:val="28"/>
              <w:highlight w:val="none"/>
            </w:rPr>
            <w:t>般公共预算财政拨款支出决算明细表</w:t>
          </w:r>
          <w:r>
            <w:rPr>
              <w:sz w:val="28"/>
              <w:szCs w:val="28"/>
            </w:rPr>
            <w:tab/>
          </w:r>
          <w:r>
            <w:rPr>
              <w:sz w:val="28"/>
              <w:szCs w:val="28"/>
            </w:rPr>
            <w:fldChar w:fldCharType="begin"/>
          </w:r>
          <w:r>
            <w:rPr>
              <w:sz w:val="28"/>
              <w:szCs w:val="28"/>
            </w:rPr>
            <w:instrText xml:space="preserve"> PAGEREF _Toc1121 </w:instrText>
          </w:r>
          <w:r>
            <w:rPr>
              <w:sz w:val="28"/>
              <w:szCs w:val="28"/>
            </w:rPr>
            <w:fldChar w:fldCharType="separate"/>
          </w:r>
          <w:r>
            <w:rPr>
              <w:sz w:val="28"/>
              <w:szCs w:val="28"/>
            </w:rPr>
            <w:t>30</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_Toc21147 </w:instrText>
          </w:r>
          <w:r>
            <w:rPr>
              <w:sz w:val="28"/>
              <w:szCs w:val="28"/>
              <w:highlight w:val="none"/>
            </w:rPr>
            <w:fldChar w:fldCharType="separate"/>
          </w:r>
          <w:r>
            <w:rPr>
              <w:rFonts w:hint="eastAsia" w:ascii="仿宋" w:hAnsi="仿宋" w:eastAsia="仿宋"/>
              <w:bCs w:val="0"/>
              <w:sz w:val="28"/>
              <w:szCs w:val="28"/>
              <w:highlight w:val="none"/>
            </w:rPr>
            <w:t>八、</w:t>
          </w:r>
          <w:r>
            <w:rPr>
              <w:rFonts w:hint="eastAsia" w:ascii="仿宋" w:hAnsi="仿宋" w:eastAsia="仿宋"/>
              <w:sz w:val="28"/>
              <w:szCs w:val="28"/>
              <w:highlight w:val="none"/>
            </w:rPr>
            <w:t>一</w:t>
          </w:r>
          <w:r>
            <w:rPr>
              <w:rFonts w:hint="eastAsia" w:ascii="仿宋" w:hAnsi="仿宋" w:eastAsia="仿宋"/>
              <w:bCs w:val="0"/>
              <w:sz w:val="28"/>
              <w:szCs w:val="28"/>
              <w:highlight w:val="none"/>
            </w:rPr>
            <w:t>般公共预算财政拨款基本支出决算表</w:t>
          </w:r>
          <w:r>
            <w:rPr>
              <w:sz w:val="28"/>
              <w:szCs w:val="28"/>
            </w:rPr>
            <w:tab/>
          </w:r>
          <w:r>
            <w:rPr>
              <w:sz w:val="28"/>
              <w:szCs w:val="28"/>
            </w:rPr>
            <w:fldChar w:fldCharType="begin"/>
          </w:r>
          <w:r>
            <w:rPr>
              <w:sz w:val="28"/>
              <w:szCs w:val="28"/>
            </w:rPr>
            <w:instrText xml:space="preserve"> PAGEREF _Toc21147 </w:instrText>
          </w:r>
          <w:r>
            <w:rPr>
              <w:sz w:val="28"/>
              <w:szCs w:val="28"/>
            </w:rPr>
            <w:fldChar w:fldCharType="separate"/>
          </w:r>
          <w:r>
            <w:rPr>
              <w:sz w:val="28"/>
              <w:szCs w:val="28"/>
            </w:rPr>
            <w:t>30</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_Toc1256 </w:instrText>
          </w:r>
          <w:r>
            <w:rPr>
              <w:sz w:val="28"/>
              <w:szCs w:val="28"/>
              <w:highlight w:val="none"/>
            </w:rPr>
            <w:fldChar w:fldCharType="separate"/>
          </w:r>
          <w:r>
            <w:rPr>
              <w:rFonts w:hint="eastAsia" w:ascii="仿宋" w:hAnsi="仿宋" w:eastAsia="仿宋"/>
              <w:bCs w:val="0"/>
              <w:sz w:val="28"/>
              <w:szCs w:val="28"/>
              <w:highlight w:val="none"/>
            </w:rPr>
            <w:t>九、</w:t>
          </w:r>
          <w:r>
            <w:rPr>
              <w:rFonts w:hint="eastAsia" w:ascii="仿宋" w:hAnsi="仿宋" w:eastAsia="仿宋"/>
              <w:sz w:val="28"/>
              <w:szCs w:val="28"/>
              <w:highlight w:val="none"/>
            </w:rPr>
            <w:t>一</w:t>
          </w:r>
          <w:r>
            <w:rPr>
              <w:rFonts w:hint="eastAsia" w:ascii="仿宋" w:hAnsi="仿宋" w:eastAsia="仿宋"/>
              <w:bCs w:val="0"/>
              <w:sz w:val="28"/>
              <w:szCs w:val="28"/>
              <w:highlight w:val="none"/>
            </w:rPr>
            <w:t>般公共预算财政拨款项目支出决算表</w:t>
          </w:r>
          <w:r>
            <w:rPr>
              <w:sz w:val="28"/>
              <w:szCs w:val="28"/>
            </w:rPr>
            <w:tab/>
          </w:r>
          <w:r>
            <w:rPr>
              <w:sz w:val="28"/>
              <w:szCs w:val="28"/>
            </w:rPr>
            <w:fldChar w:fldCharType="begin"/>
          </w:r>
          <w:r>
            <w:rPr>
              <w:sz w:val="28"/>
              <w:szCs w:val="28"/>
            </w:rPr>
            <w:instrText xml:space="preserve"> PAGEREF _Toc1256 </w:instrText>
          </w:r>
          <w:r>
            <w:rPr>
              <w:sz w:val="28"/>
              <w:szCs w:val="28"/>
            </w:rPr>
            <w:fldChar w:fldCharType="separate"/>
          </w:r>
          <w:r>
            <w:rPr>
              <w:sz w:val="28"/>
              <w:szCs w:val="28"/>
            </w:rPr>
            <w:t>30</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_Toc19840 </w:instrText>
          </w:r>
          <w:r>
            <w:rPr>
              <w:sz w:val="28"/>
              <w:szCs w:val="28"/>
              <w:highlight w:val="none"/>
            </w:rPr>
            <w:fldChar w:fldCharType="separate"/>
          </w:r>
          <w:r>
            <w:rPr>
              <w:rFonts w:hint="eastAsia" w:ascii="仿宋" w:hAnsi="仿宋" w:eastAsia="仿宋"/>
              <w:bCs w:val="0"/>
              <w:sz w:val="28"/>
              <w:szCs w:val="28"/>
              <w:highlight w:val="none"/>
            </w:rPr>
            <w:t>十、</w:t>
          </w:r>
          <w:r>
            <w:rPr>
              <w:rFonts w:hint="eastAsia" w:ascii="仿宋" w:hAnsi="仿宋" w:eastAsia="仿宋"/>
              <w:sz w:val="28"/>
              <w:szCs w:val="28"/>
              <w:highlight w:val="none"/>
            </w:rPr>
            <w:t>政</w:t>
          </w:r>
          <w:r>
            <w:rPr>
              <w:rFonts w:hint="eastAsia" w:ascii="仿宋" w:hAnsi="仿宋" w:eastAsia="仿宋"/>
              <w:bCs w:val="0"/>
              <w:sz w:val="28"/>
              <w:szCs w:val="28"/>
              <w:highlight w:val="none"/>
            </w:rPr>
            <w:t>府性基金预算财政拨款收入支出决算表</w:t>
          </w:r>
          <w:r>
            <w:rPr>
              <w:sz w:val="28"/>
              <w:szCs w:val="28"/>
            </w:rPr>
            <w:tab/>
          </w:r>
          <w:r>
            <w:rPr>
              <w:sz w:val="28"/>
              <w:szCs w:val="28"/>
            </w:rPr>
            <w:fldChar w:fldCharType="begin"/>
          </w:r>
          <w:r>
            <w:rPr>
              <w:sz w:val="28"/>
              <w:szCs w:val="28"/>
            </w:rPr>
            <w:instrText xml:space="preserve"> PAGEREF _Toc19840 </w:instrText>
          </w:r>
          <w:r>
            <w:rPr>
              <w:sz w:val="28"/>
              <w:szCs w:val="28"/>
            </w:rPr>
            <w:fldChar w:fldCharType="separate"/>
          </w:r>
          <w:r>
            <w:rPr>
              <w:sz w:val="28"/>
              <w:szCs w:val="28"/>
            </w:rPr>
            <w:t>30</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_Toc29162 </w:instrText>
          </w:r>
          <w:r>
            <w:rPr>
              <w:sz w:val="28"/>
              <w:szCs w:val="28"/>
              <w:highlight w:val="none"/>
            </w:rPr>
            <w:fldChar w:fldCharType="separate"/>
          </w:r>
          <w:r>
            <w:rPr>
              <w:rFonts w:hint="eastAsia" w:ascii="仿宋" w:hAnsi="仿宋" w:eastAsia="仿宋"/>
              <w:bCs w:val="0"/>
              <w:sz w:val="28"/>
              <w:szCs w:val="28"/>
              <w:highlight w:val="none"/>
            </w:rPr>
            <w:t>十一、</w:t>
          </w:r>
          <w:r>
            <w:rPr>
              <w:rFonts w:hint="eastAsia" w:ascii="仿宋" w:hAnsi="仿宋" w:eastAsia="仿宋"/>
              <w:sz w:val="28"/>
              <w:szCs w:val="28"/>
              <w:highlight w:val="none"/>
            </w:rPr>
            <w:t>国</w:t>
          </w:r>
          <w:r>
            <w:rPr>
              <w:rFonts w:hint="eastAsia" w:ascii="仿宋" w:hAnsi="仿宋" w:eastAsia="仿宋"/>
              <w:bCs w:val="0"/>
              <w:sz w:val="28"/>
              <w:szCs w:val="28"/>
              <w:highlight w:val="none"/>
            </w:rPr>
            <w:t>有资本经营预算</w:t>
          </w:r>
          <w:r>
            <w:rPr>
              <w:rFonts w:hint="eastAsia" w:ascii="仿宋" w:hAnsi="仿宋" w:eastAsia="仿宋"/>
              <w:bCs w:val="0"/>
              <w:sz w:val="28"/>
              <w:szCs w:val="28"/>
              <w:highlight w:val="none"/>
              <w:lang w:eastAsia="zh-CN"/>
            </w:rPr>
            <w:t>财政拨款收入</w:t>
          </w:r>
          <w:r>
            <w:rPr>
              <w:rFonts w:hint="eastAsia" w:ascii="仿宋" w:hAnsi="仿宋" w:eastAsia="仿宋"/>
              <w:bCs w:val="0"/>
              <w:sz w:val="28"/>
              <w:szCs w:val="28"/>
              <w:highlight w:val="none"/>
            </w:rPr>
            <w:t>支出决算表</w:t>
          </w:r>
          <w:r>
            <w:rPr>
              <w:sz w:val="28"/>
              <w:szCs w:val="28"/>
            </w:rPr>
            <w:tab/>
          </w:r>
          <w:r>
            <w:rPr>
              <w:sz w:val="28"/>
              <w:szCs w:val="28"/>
            </w:rPr>
            <w:fldChar w:fldCharType="begin"/>
          </w:r>
          <w:r>
            <w:rPr>
              <w:sz w:val="28"/>
              <w:szCs w:val="28"/>
            </w:rPr>
            <w:instrText xml:space="preserve"> PAGEREF _Toc29162 </w:instrText>
          </w:r>
          <w:r>
            <w:rPr>
              <w:sz w:val="28"/>
              <w:szCs w:val="28"/>
            </w:rPr>
            <w:fldChar w:fldCharType="separate"/>
          </w:r>
          <w:r>
            <w:rPr>
              <w:sz w:val="28"/>
              <w:szCs w:val="28"/>
            </w:rPr>
            <w:t>30</w:t>
          </w:r>
          <w:r>
            <w:rPr>
              <w:sz w:val="28"/>
              <w:szCs w:val="28"/>
            </w:rPr>
            <w:fldChar w:fldCharType="end"/>
          </w:r>
          <w:r>
            <w:rPr>
              <w:color w:val="auto"/>
              <w:sz w:val="28"/>
              <w:szCs w:val="28"/>
              <w:highlight w:val="none"/>
            </w:rPr>
            <w:fldChar w:fldCharType="end"/>
          </w:r>
        </w:p>
        <w:p>
          <w:pPr>
            <w:pStyle w:val="32"/>
            <w:tabs>
              <w:tab w:val="right" w:leader="dot" w:pos="8306"/>
            </w:tabs>
            <w:rPr>
              <w:sz w:val="28"/>
              <w:szCs w:val="28"/>
            </w:rPr>
          </w:pPr>
          <w:r>
            <w:rPr>
              <w:color w:val="auto"/>
              <w:sz w:val="28"/>
              <w:szCs w:val="28"/>
              <w:highlight w:val="none"/>
            </w:rPr>
            <w:fldChar w:fldCharType="begin"/>
          </w:r>
          <w:r>
            <w:rPr>
              <w:sz w:val="28"/>
              <w:szCs w:val="28"/>
              <w:highlight w:val="none"/>
            </w:rPr>
            <w:instrText xml:space="preserve"> HYPERLINK \l _Toc29704 </w:instrText>
          </w:r>
          <w:r>
            <w:rPr>
              <w:sz w:val="28"/>
              <w:szCs w:val="28"/>
              <w:highlight w:val="none"/>
            </w:rPr>
            <w:fldChar w:fldCharType="separate"/>
          </w:r>
          <w:r>
            <w:rPr>
              <w:rFonts w:hint="eastAsia" w:ascii="仿宋" w:hAnsi="仿宋" w:eastAsia="仿宋"/>
              <w:bCs w:val="0"/>
              <w:sz w:val="28"/>
              <w:szCs w:val="28"/>
              <w:highlight w:val="none"/>
            </w:rPr>
            <w:t>十二、</w:t>
          </w:r>
          <w:r>
            <w:rPr>
              <w:rFonts w:hint="eastAsia" w:ascii="仿宋" w:hAnsi="仿宋" w:eastAsia="仿宋"/>
              <w:bCs w:val="0"/>
              <w:sz w:val="28"/>
              <w:szCs w:val="28"/>
              <w:highlight w:val="none"/>
              <w:lang w:eastAsia="zh-CN"/>
            </w:rPr>
            <w:t>国有资本经营预算财政拨款支出决算表</w:t>
          </w:r>
          <w:r>
            <w:rPr>
              <w:sz w:val="28"/>
              <w:szCs w:val="28"/>
            </w:rPr>
            <w:tab/>
          </w:r>
          <w:r>
            <w:rPr>
              <w:sz w:val="28"/>
              <w:szCs w:val="28"/>
            </w:rPr>
            <w:fldChar w:fldCharType="begin"/>
          </w:r>
          <w:r>
            <w:rPr>
              <w:sz w:val="28"/>
              <w:szCs w:val="28"/>
            </w:rPr>
            <w:instrText xml:space="preserve"> PAGEREF _Toc29704 </w:instrText>
          </w:r>
          <w:r>
            <w:rPr>
              <w:sz w:val="28"/>
              <w:szCs w:val="28"/>
            </w:rPr>
            <w:fldChar w:fldCharType="separate"/>
          </w:r>
          <w:r>
            <w:rPr>
              <w:sz w:val="28"/>
              <w:szCs w:val="28"/>
            </w:rPr>
            <w:t>30</w:t>
          </w:r>
          <w:r>
            <w:rPr>
              <w:sz w:val="28"/>
              <w:szCs w:val="28"/>
            </w:rPr>
            <w:fldChar w:fldCharType="end"/>
          </w:r>
          <w:r>
            <w:rPr>
              <w:color w:val="auto"/>
              <w:sz w:val="28"/>
              <w:szCs w:val="28"/>
              <w:highlight w:val="none"/>
            </w:rPr>
            <w:fldChar w:fldCharType="end"/>
          </w:r>
        </w:p>
        <w:p>
          <w:pPr>
            <w:pStyle w:val="32"/>
            <w:tabs>
              <w:tab w:val="right" w:leader="dot" w:pos="8306"/>
            </w:tabs>
          </w:pPr>
          <w:r>
            <w:rPr>
              <w:color w:val="auto"/>
              <w:sz w:val="28"/>
              <w:szCs w:val="28"/>
              <w:highlight w:val="none"/>
            </w:rPr>
            <w:fldChar w:fldCharType="begin"/>
          </w:r>
          <w:r>
            <w:rPr>
              <w:sz w:val="28"/>
              <w:szCs w:val="28"/>
              <w:highlight w:val="none"/>
            </w:rPr>
            <w:instrText xml:space="preserve"> HYPERLINK \l _Toc8654 </w:instrText>
          </w:r>
          <w:r>
            <w:rPr>
              <w:sz w:val="28"/>
              <w:szCs w:val="28"/>
              <w:highlight w:val="none"/>
            </w:rPr>
            <w:fldChar w:fldCharType="separate"/>
          </w:r>
          <w:r>
            <w:rPr>
              <w:rFonts w:hint="eastAsia" w:ascii="仿宋" w:hAnsi="仿宋" w:eastAsia="仿宋"/>
              <w:bCs w:val="0"/>
              <w:sz w:val="28"/>
              <w:szCs w:val="28"/>
              <w:highlight w:val="none"/>
            </w:rPr>
            <w:t>十三、</w:t>
          </w:r>
          <w:r>
            <w:rPr>
              <w:rFonts w:hint="eastAsia" w:ascii="仿宋" w:hAnsi="仿宋" w:eastAsia="仿宋"/>
              <w:bCs w:val="0"/>
              <w:sz w:val="28"/>
              <w:szCs w:val="28"/>
              <w:highlight w:val="none"/>
              <w:lang w:eastAsia="zh-CN"/>
            </w:rPr>
            <w:t>财政拨款“三公”经费支出决算表</w:t>
          </w:r>
          <w:r>
            <w:rPr>
              <w:sz w:val="28"/>
              <w:szCs w:val="28"/>
            </w:rPr>
            <w:tab/>
          </w:r>
          <w:r>
            <w:rPr>
              <w:sz w:val="28"/>
              <w:szCs w:val="28"/>
            </w:rPr>
            <w:fldChar w:fldCharType="begin"/>
          </w:r>
          <w:r>
            <w:rPr>
              <w:sz w:val="28"/>
              <w:szCs w:val="28"/>
            </w:rPr>
            <w:instrText xml:space="preserve"> PAGEREF _Toc8654 </w:instrText>
          </w:r>
          <w:r>
            <w:rPr>
              <w:sz w:val="28"/>
              <w:szCs w:val="28"/>
            </w:rPr>
            <w:fldChar w:fldCharType="separate"/>
          </w:r>
          <w:r>
            <w:rPr>
              <w:sz w:val="28"/>
              <w:szCs w:val="28"/>
            </w:rPr>
            <w:t>30</w:t>
          </w:r>
          <w:r>
            <w:rPr>
              <w:sz w:val="28"/>
              <w:szCs w:val="28"/>
            </w:rPr>
            <w:fldChar w:fldCharType="end"/>
          </w:r>
          <w:r>
            <w:rPr>
              <w:color w:val="auto"/>
              <w:sz w:val="28"/>
              <w:szCs w:val="28"/>
              <w:highlight w:val="none"/>
            </w:rPr>
            <w:fldChar w:fldCharType="end"/>
          </w:r>
        </w:p>
        <w:p>
          <w:pPr>
            <w:rPr>
              <w:color w:val="auto"/>
              <w:highlight w:val="none"/>
            </w:rPr>
          </w:pPr>
          <w:r>
            <w:rPr>
              <w:b/>
              <w:color w:val="auto"/>
              <w:highlight w:val="none"/>
            </w:rPr>
            <w:fldChar w:fldCharType="end"/>
          </w:r>
        </w:p>
      </w:sdtContent>
    </w:sdt>
    <w:p>
      <w:pPr>
        <w:widowControl/>
        <w:spacing w:line="440" w:lineRule="exact"/>
        <w:jc w:val="left"/>
        <w:rPr>
          <w:rFonts w:ascii="仿宋" w:hAnsi="仿宋" w:eastAsia="仿宋"/>
          <w:bCs/>
          <w:color w:val="auto"/>
          <w:kern w:val="44"/>
          <w:sz w:val="24"/>
          <w:highlight w:val="none"/>
        </w:rPr>
      </w:pPr>
      <w:bookmarkStart w:id="15" w:name="_Toc15396599"/>
      <w:bookmarkStart w:id="16" w:name="_Toc15377196"/>
      <w:r>
        <w:rPr>
          <w:rFonts w:ascii="仿宋" w:hAnsi="仿宋" w:eastAsia="仿宋"/>
          <w:b/>
          <w:color w:val="auto"/>
          <w:sz w:val="24"/>
          <w:highlight w:val="none"/>
        </w:rPr>
        <w:br w:type="page"/>
      </w:r>
    </w:p>
    <w:p>
      <w:pPr>
        <w:pStyle w:val="3"/>
        <w:jc w:val="center"/>
        <w:rPr>
          <w:rStyle w:val="25"/>
          <w:rFonts w:ascii="黑体" w:hAnsi="黑体" w:eastAsia="黑体"/>
          <w:b/>
          <w:bCs w:val="0"/>
          <w:color w:val="auto"/>
          <w:highlight w:val="none"/>
        </w:rPr>
      </w:pPr>
      <w:bookmarkStart w:id="17" w:name="_Toc14354"/>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5"/>
          <w:rFonts w:hint="eastAsia" w:ascii="黑体" w:hAnsi="黑体" w:eastAsia="黑体"/>
          <w:b w:val="0"/>
          <w:bCs w:val="0"/>
          <w:color w:val="auto"/>
          <w:highlight w:val="none"/>
        </w:rPr>
        <w:t>概况</w:t>
      </w:r>
      <w:bookmarkEnd w:id="15"/>
      <w:bookmarkEnd w:id="16"/>
      <w:bookmarkEnd w:id="17"/>
    </w:p>
    <w:p>
      <w:pPr>
        <w:widowControl/>
        <w:jc w:val="left"/>
        <w:rPr>
          <w:rFonts w:ascii="黑体" w:eastAsia="黑体"/>
          <w:color w:val="auto"/>
          <w:sz w:val="32"/>
          <w:szCs w:val="32"/>
          <w:highlight w:val="none"/>
        </w:rPr>
      </w:pPr>
    </w:p>
    <w:p>
      <w:pPr>
        <w:pStyle w:val="4"/>
        <w:numPr>
          <w:ilvl w:val="0"/>
          <w:numId w:val="1"/>
        </w:numPr>
        <w:rPr>
          <w:rStyle w:val="26"/>
          <w:rFonts w:hint="eastAsia" w:ascii="黑体" w:hAnsi="黑体" w:eastAsia="黑体"/>
          <w:b w:val="0"/>
          <w:bCs w:val="0"/>
          <w:color w:val="auto"/>
          <w:highlight w:val="none"/>
          <w:lang w:eastAsia="zh-CN"/>
        </w:rPr>
      </w:pPr>
      <w:bookmarkStart w:id="18" w:name="_Toc12051"/>
      <w:bookmarkStart w:id="19" w:name="_Toc15396600"/>
      <w:bookmarkStart w:id="20" w:name="_Toc15377197"/>
      <w:r>
        <w:rPr>
          <w:rStyle w:val="26"/>
          <w:rFonts w:hint="eastAsia" w:ascii="黑体" w:hAnsi="黑体" w:eastAsia="黑体"/>
          <w:b w:val="0"/>
          <w:bCs w:val="0"/>
          <w:color w:val="auto"/>
          <w:highlight w:val="none"/>
          <w:lang w:eastAsia="zh-CN"/>
        </w:rPr>
        <w:t>主要职责</w:t>
      </w:r>
      <w:bookmarkEnd w:id="18"/>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rPr>
          <w:rFonts w:hint="eastAsia"/>
          <w:lang w:eastAsia="zh-CN"/>
        </w:rPr>
      </w:pPr>
      <w:r>
        <w:rPr>
          <w:rFonts w:hint="eastAsia" w:ascii="仿宋_GB2312" w:hAnsi="仿宋_GB2312" w:eastAsia="仿宋_GB2312" w:cs="仿宋_GB2312"/>
          <w:color w:val="auto"/>
          <w:kern w:val="2"/>
          <w:sz w:val="32"/>
          <w:szCs w:val="32"/>
          <w:highlight w:val="none"/>
          <w:lang w:val="en-US" w:eastAsia="zh-CN" w:bidi="ar-SA"/>
        </w:rPr>
        <w:t>广元市招生考试中心主要负责全市普通高校招生考试、成人高校招生考试、自学考试、研究生考试、非学历证书考试的报名、体检、考务、考籍管理，全市各类招生考试数据统计与信息发布；受市教育局委托承办全市教育系统其它考试的考务工作。</w:t>
      </w:r>
    </w:p>
    <w:p>
      <w:pPr>
        <w:pStyle w:val="4"/>
        <w:numPr>
          <w:ilvl w:val="0"/>
          <w:numId w:val="0"/>
        </w:numPr>
        <w:rPr>
          <w:rFonts w:hint="eastAsia" w:ascii="黑体" w:hAnsi="黑体" w:eastAsia="黑体"/>
          <w:b w:val="0"/>
          <w:color w:val="auto"/>
          <w:highlight w:val="none"/>
          <w:lang w:val="en-US" w:eastAsia="zh-CN"/>
        </w:rPr>
      </w:pPr>
      <w:bookmarkStart w:id="21" w:name="_Toc15173"/>
      <w:r>
        <w:rPr>
          <w:rFonts w:hint="eastAsia" w:ascii="黑体" w:hAnsi="黑体" w:eastAsia="黑体"/>
          <w:b w:val="0"/>
          <w:color w:val="auto"/>
          <w:highlight w:val="none"/>
          <w:lang w:val="en-US" w:eastAsia="zh-CN"/>
        </w:rPr>
        <w:t>二、机构设置</w:t>
      </w:r>
      <w:bookmarkEnd w:id="21"/>
    </w:p>
    <w:bookmarkEnd w:id="19"/>
    <w:bookmarkEnd w:id="20"/>
    <w:p>
      <w:pPr>
        <w:widowControl/>
        <w:ind w:firstLine="640" w:firstLineChars="200"/>
        <w:jc w:val="left"/>
        <w:rPr>
          <w:rFonts w:ascii="仿宋" w:hAnsi="仿宋" w:eastAsia="仿宋"/>
          <w:color w:val="auto"/>
          <w:kern w:val="0"/>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广元市招生考试中心属于广元市教育局下属的二级预算单位，下设独立编制机构0个，其中行政机构0个，参照公务员法管理的事业机构0个，其他事业机构0个。</w:t>
      </w:r>
      <w:r>
        <w:rPr>
          <w:rFonts w:ascii="仿宋" w:hAnsi="仿宋" w:eastAsia="仿宋"/>
          <w:color w:val="auto"/>
          <w:sz w:val="32"/>
          <w:szCs w:val="32"/>
          <w:highlight w:val="none"/>
        </w:rPr>
        <w:br w:type="page"/>
      </w:r>
    </w:p>
    <w:p>
      <w:pPr>
        <w:pStyle w:val="3"/>
        <w:ind w:right="440"/>
        <w:jc w:val="center"/>
        <w:rPr>
          <w:rStyle w:val="25"/>
          <w:rFonts w:ascii="黑体" w:hAnsi="黑体" w:eastAsia="黑体"/>
          <w:b w:val="0"/>
          <w:bCs/>
          <w:color w:val="auto"/>
          <w:highlight w:val="none"/>
        </w:rPr>
      </w:pPr>
      <w:bookmarkStart w:id="22" w:name="_Toc12284"/>
      <w:bookmarkStart w:id="23" w:name="_Toc15377204"/>
      <w:bookmarkStart w:id="24"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5"/>
          <w:rFonts w:hint="eastAsia" w:ascii="黑体" w:hAnsi="黑体" w:eastAsia="黑体"/>
          <w:b w:val="0"/>
          <w:bCs/>
          <w:color w:val="auto"/>
          <w:highlight w:val="none"/>
          <w:lang w:eastAsia="zh-CN"/>
        </w:rPr>
        <w:t>单位</w:t>
      </w:r>
      <w:r>
        <w:rPr>
          <w:rStyle w:val="25"/>
          <w:rFonts w:hint="eastAsia" w:ascii="黑体" w:hAnsi="黑体" w:eastAsia="黑体"/>
          <w:b w:val="0"/>
          <w:bCs/>
          <w:color w:val="auto"/>
          <w:highlight w:val="none"/>
        </w:rPr>
        <w:t>决算情况说明</w:t>
      </w:r>
      <w:bookmarkEnd w:id="22"/>
      <w:bookmarkEnd w:id="23"/>
      <w:bookmarkEnd w:id="24"/>
    </w:p>
    <w:p>
      <w:pPr>
        <w:rPr>
          <w:color w:val="auto"/>
          <w:highlight w:val="none"/>
        </w:rPr>
      </w:pPr>
    </w:p>
    <w:p>
      <w:pPr>
        <w:pStyle w:val="24"/>
        <w:numPr>
          <w:ilvl w:val="0"/>
          <w:numId w:val="2"/>
        </w:numPr>
        <w:spacing w:line="600" w:lineRule="exact"/>
        <w:ind w:firstLineChars="0"/>
        <w:outlineLvl w:val="1"/>
        <w:rPr>
          <w:rStyle w:val="26"/>
          <w:rFonts w:ascii="黑体" w:hAnsi="黑体" w:eastAsia="黑体"/>
          <w:b w:val="0"/>
          <w:color w:val="auto"/>
          <w:highlight w:val="none"/>
        </w:rPr>
      </w:pPr>
      <w:bookmarkStart w:id="25" w:name="_Toc32546"/>
      <w:bookmarkStart w:id="26" w:name="_Toc15396603"/>
      <w:bookmarkStart w:id="27" w:name="_Toc15377205"/>
      <w:r>
        <w:rPr>
          <w:rFonts w:hint="eastAsia" w:ascii="黑体" w:hAnsi="黑体" w:eastAsia="黑体"/>
          <w:color w:val="auto"/>
          <w:sz w:val="32"/>
          <w:szCs w:val="32"/>
          <w:highlight w:val="none"/>
        </w:rPr>
        <w:t>收</w:t>
      </w:r>
      <w:r>
        <w:rPr>
          <w:rStyle w:val="26"/>
          <w:rFonts w:hint="eastAsia" w:ascii="黑体" w:hAnsi="黑体" w:eastAsia="黑体"/>
          <w:b w:val="0"/>
          <w:color w:val="auto"/>
          <w:highlight w:val="none"/>
        </w:rPr>
        <w:t>入支出决算总体情况说明</w:t>
      </w:r>
      <w:bookmarkEnd w:id="25"/>
      <w:bookmarkEnd w:id="26"/>
      <w:bookmarkEnd w:id="27"/>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461.21</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45.4</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10.92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2022年本</w:t>
      </w:r>
      <w:r>
        <w:rPr>
          <w:rFonts w:hint="eastAsia" w:ascii="仿宋" w:hAnsi="仿宋" w:eastAsia="仿宋"/>
          <w:color w:val="auto"/>
          <w:sz w:val="32"/>
          <w:szCs w:val="32"/>
          <w:highlight w:val="none"/>
          <w:lang w:eastAsia="zh-CN"/>
        </w:rPr>
        <w:t>单位调入</w:t>
      </w:r>
      <w:r>
        <w:rPr>
          <w:rFonts w:hint="eastAsia" w:ascii="仿宋" w:hAnsi="仿宋" w:eastAsia="仿宋"/>
          <w:color w:val="auto"/>
          <w:sz w:val="32"/>
          <w:szCs w:val="32"/>
          <w:highlight w:val="none"/>
          <w:lang w:val="en-US" w:eastAsia="zh-CN"/>
        </w:rPr>
        <w:t>2人</w:t>
      </w:r>
      <w:r>
        <w:rPr>
          <w:rFonts w:hint="eastAsia" w:ascii="仿宋" w:hAnsi="仿宋" w:eastAsia="仿宋"/>
          <w:color w:val="auto"/>
          <w:sz w:val="32"/>
          <w:szCs w:val="32"/>
          <w:highlight w:val="none"/>
          <w:lang w:eastAsia="zh-CN"/>
        </w:rPr>
        <w:t>。</w:t>
      </w:r>
    </w:p>
    <w:p>
      <w:pPr>
        <w:pStyle w:val="2"/>
        <w:rPr>
          <w:rFonts w:hint="eastAsia" w:ascii="仿宋" w:hAnsi="仿宋" w:eastAsia="仿宋"/>
          <w:color w:val="auto"/>
          <w:sz w:val="32"/>
          <w:szCs w:val="32"/>
          <w:highlight w:val="none"/>
          <w:lang w:eastAsia="zh-CN"/>
        </w:rPr>
      </w:pPr>
      <w:r>
        <w:drawing>
          <wp:inline distT="0" distB="0" distL="114300" distR="114300">
            <wp:extent cx="5217160" cy="3481705"/>
            <wp:effectExtent l="4445" t="4445" r="17145" b="1905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Style w:val="24"/>
        <w:numPr>
          <w:ilvl w:val="0"/>
          <w:numId w:val="2"/>
        </w:numPr>
        <w:spacing w:line="600" w:lineRule="exact"/>
        <w:ind w:firstLineChars="0"/>
        <w:outlineLvl w:val="1"/>
        <w:rPr>
          <w:rStyle w:val="26"/>
          <w:rFonts w:ascii="黑体" w:hAnsi="黑体" w:eastAsia="黑体"/>
          <w:b w:val="0"/>
          <w:color w:val="auto"/>
          <w:highlight w:val="none"/>
        </w:rPr>
      </w:pPr>
      <w:bookmarkStart w:id="28" w:name="_Toc15396604"/>
      <w:bookmarkStart w:id="29" w:name="_Toc15377206"/>
      <w:bookmarkStart w:id="30" w:name="_Toc24128"/>
      <w:r>
        <w:rPr>
          <w:rFonts w:hint="eastAsia" w:ascii="黑体" w:hAnsi="黑体" w:eastAsia="黑体"/>
          <w:color w:val="auto"/>
          <w:sz w:val="32"/>
          <w:szCs w:val="32"/>
          <w:highlight w:val="none"/>
        </w:rPr>
        <w:t>收</w:t>
      </w:r>
      <w:r>
        <w:rPr>
          <w:rStyle w:val="26"/>
          <w:rFonts w:hint="eastAsia" w:ascii="黑体" w:hAnsi="黑体" w:eastAsia="黑体"/>
          <w:b w:val="0"/>
          <w:color w:val="auto"/>
          <w:highlight w:val="none"/>
        </w:rPr>
        <w:t>入决算情况说明</w:t>
      </w:r>
      <w:bookmarkEnd w:id="28"/>
      <w:bookmarkEnd w:id="29"/>
      <w:bookmarkEnd w:id="30"/>
    </w:p>
    <w:p>
      <w:pPr>
        <w:spacing w:line="600" w:lineRule="exact"/>
        <w:ind w:firstLine="640" w:firstLineChars="200"/>
        <w:outlineLvl w:val="1"/>
        <w:rPr>
          <w:rFonts w:ascii="仿宋" w:hAnsi="仿宋" w:eastAsia="仿宋"/>
          <w:color w:val="auto"/>
          <w:sz w:val="32"/>
          <w:szCs w:val="32"/>
          <w:highlight w:val="none"/>
        </w:rPr>
      </w:pPr>
      <w:bookmarkStart w:id="31" w:name="_Toc7651"/>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461.05</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263.48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57</w:t>
      </w:r>
      <w:r>
        <w:rPr>
          <w:rFonts w:ascii="仿宋" w:hAnsi="仿宋" w:eastAsia="仿宋"/>
          <w:color w:val="auto"/>
          <w:sz w:val="32"/>
          <w:szCs w:val="32"/>
          <w:highlight w:val="none"/>
        </w:rPr>
        <w:t>%</w:t>
      </w:r>
      <w:r>
        <w:rPr>
          <w:rFonts w:hint="eastAsia" w:ascii="仿宋" w:hAnsi="仿宋" w:eastAsia="仿宋"/>
          <w:color w:val="auto"/>
          <w:sz w:val="32"/>
          <w:szCs w:val="32"/>
          <w:highlight w:val="none"/>
        </w:rPr>
        <w:t>；事业收入</w:t>
      </w:r>
      <w:r>
        <w:rPr>
          <w:rFonts w:hint="eastAsia" w:ascii="仿宋" w:hAnsi="仿宋" w:eastAsia="仿宋"/>
          <w:color w:val="auto"/>
          <w:sz w:val="32"/>
          <w:szCs w:val="32"/>
          <w:highlight w:val="none"/>
          <w:lang w:val="en-US" w:eastAsia="zh-CN"/>
        </w:rPr>
        <w:t>197.57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1"/>
    </w:p>
    <w:p>
      <w:pPr>
        <w:spacing w:line="600" w:lineRule="exact"/>
        <w:ind w:firstLine="640" w:firstLineChars="200"/>
        <w:rPr>
          <w:rFonts w:hint="eastAsia" w:ascii="仿宋" w:hAnsi="仿宋" w:eastAsia="仿宋"/>
          <w:color w:val="auto"/>
          <w:sz w:val="32"/>
          <w:szCs w:val="32"/>
          <w:highlight w:val="none"/>
        </w:rPr>
      </w:pPr>
    </w:p>
    <w:p>
      <w:pPr>
        <w:spacing w:line="600" w:lineRule="exact"/>
        <w:rPr>
          <w:rFonts w:hint="eastAsia" w:ascii="仿宋" w:hAnsi="仿宋" w:eastAsia="仿宋"/>
          <w:color w:val="auto"/>
          <w:sz w:val="32"/>
          <w:szCs w:val="32"/>
          <w:highlight w:val="none"/>
        </w:rPr>
      </w:pPr>
    </w:p>
    <w:p>
      <w:pPr>
        <w:pStyle w:val="2"/>
        <w:rPr>
          <w:rFonts w:hint="eastAsia"/>
        </w:rPr>
      </w:pPr>
      <w:r>
        <w:drawing>
          <wp:inline distT="0" distB="0" distL="114300" distR="114300">
            <wp:extent cx="5269230" cy="3305175"/>
            <wp:effectExtent l="4445" t="4445" r="22225" b="5080"/>
            <wp:docPr id="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（图2：收入决算结构图）（饼状图）</w:t>
      </w:r>
    </w:p>
    <w:p>
      <w:pPr>
        <w:pStyle w:val="24"/>
        <w:numPr>
          <w:ilvl w:val="0"/>
          <w:numId w:val="2"/>
        </w:numPr>
        <w:spacing w:line="600" w:lineRule="exact"/>
        <w:ind w:firstLineChars="0"/>
        <w:outlineLvl w:val="1"/>
        <w:rPr>
          <w:rStyle w:val="26"/>
          <w:rFonts w:ascii="黑体" w:hAnsi="黑体" w:eastAsia="黑体"/>
          <w:b w:val="0"/>
          <w:color w:val="auto"/>
          <w:highlight w:val="none"/>
        </w:rPr>
      </w:pPr>
      <w:bookmarkStart w:id="32" w:name="_Toc15377207"/>
      <w:bookmarkStart w:id="33" w:name="_Toc15396605"/>
      <w:bookmarkStart w:id="34" w:name="_Toc16372"/>
      <w:r>
        <w:rPr>
          <w:rFonts w:hint="eastAsia" w:ascii="黑体" w:hAnsi="黑体" w:eastAsia="黑体"/>
          <w:color w:val="auto"/>
          <w:sz w:val="32"/>
          <w:szCs w:val="32"/>
          <w:highlight w:val="none"/>
        </w:rPr>
        <w:t>支</w:t>
      </w:r>
      <w:r>
        <w:rPr>
          <w:rStyle w:val="26"/>
          <w:rFonts w:hint="eastAsia" w:ascii="黑体" w:hAnsi="黑体" w:eastAsia="黑体"/>
          <w:b w:val="0"/>
          <w:color w:val="auto"/>
          <w:highlight w:val="none"/>
        </w:rPr>
        <w:t>出决算情况说明</w:t>
      </w:r>
      <w:bookmarkEnd w:id="32"/>
      <w:bookmarkEnd w:id="33"/>
      <w:bookmarkEnd w:id="34"/>
    </w:p>
    <w:p>
      <w:pPr>
        <w:spacing w:line="600" w:lineRule="exact"/>
        <w:ind w:firstLine="640" w:firstLineChars="200"/>
        <w:outlineLvl w:val="1"/>
      </w:pPr>
      <w:bookmarkStart w:id="35" w:name="_Toc3848"/>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450.41</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257.81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57</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192.6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5"/>
    </w:p>
    <w:p>
      <w:pPr>
        <w:pStyle w:val="2"/>
      </w:pPr>
      <w:r>
        <w:drawing>
          <wp:inline distT="0" distB="0" distL="114300" distR="114300">
            <wp:extent cx="5239385" cy="3290570"/>
            <wp:effectExtent l="4445" t="4445" r="13970" b="19685"/>
            <wp:docPr id="9"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（图3：支出决算结构图）（饼状图）</w:t>
      </w:r>
    </w:p>
    <w:p>
      <w:pPr>
        <w:spacing w:line="600" w:lineRule="exact"/>
        <w:ind w:firstLine="640" w:firstLineChars="200"/>
        <w:outlineLvl w:val="1"/>
        <w:rPr>
          <w:rStyle w:val="26"/>
          <w:rFonts w:ascii="黑体" w:hAnsi="黑体" w:eastAsia="黑体"/>
          <w:b w:val="0"/>
          <w:color w:val="auto"/>
          <w:highlight w:val="none"/>
        </w:rPr>
      </w:pPr>
      <w:bookmarkStart w:id="36" w:name="_Toc14695"/>
      <w:bookmarkStart w:id="37" w:name="_Toc15396606"/>
      <w:bookmarkStart w:id="38" w:name="_Toc15377208"/>
      <w:r>
        <w:rPr>
          <w:rFonts w:hint="eastAsia" w:ascii="黑体" w:hAnsi="黑体" w:eastAsia="黑体"/>
          <w:color w:val="auto"/>
          <w:sz w:val="32"/>
          <w:szCs w:val="32"/>
          <w:highlight w:val="none"/>
        </w:rPr>
        <w:t>四、财</w:t>
      </w:r>
      <w:r>
        <w:rPr>
          <w:rStyle w:val="26"/>
          <w:rFonts w:hint="eastAsia" w:ascii="黑体" w:hAnsi="黑体" w:eastAsia="黑体"/>
          <w:b w:val="0"/>
          <w:color w:val="auto"/>
          <w:highlight w:val="none"/>
        </w:rPr>
        <w:t>政拨款收入支出决算总体情况说明</w:t>
      </w:r>
      <w:bookmarkEnd w:id="36"/>
      <w:bookmarkEnd w:id="37"/>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263.64</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76.34</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2022年本单位调入2人，另外补发了工资调标、2020年和2021年绩效奖。</w:t>
      </w:r>
    </w:p>
    <w:p>
      <w:pPr>
        <w:pStyle w:val="2"/>
      </w:pPr>
      <w:r>
        <w:drawing>
          <wp:inline distT="0" distB="0" distL="114300" distR="114300">
            <wp:extent cx="5250180" cy="3444875"/>
            <wp:effectExtent l="4445" t="4445" r="22225" b="17780"/>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spacing w:line="600" w:lineRule="exact"/>
        <w:ind w:firstLine="640" w:firstLineChars="200"/>
        <w:outlineLvl w:val="1"/>
        <w:rPr>
          <w:rStyle w:val="26"/>
          <w:rFonts w:ascii="黑体" w:hAnsi="黑体" w:eastAsia="黑体"/>
          <w:b w:val="0"/>
          <w:color w:val="auto"/>
          <w:highlight w:val="none"/>
        </w:rPr>
      </w:pPr>
      <w:bookmarkStart w:id="39" w:name="_Toc3370"/>
      <w:bookmarkStart w:id="40" w:name="_Toc15377209"/>
      <w:bookmarkStart w:id="41"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6"/>
          <w:rFonts w:hint="eastAsia" w:ascii="黑体" w:hAnsi="黑体" w:eastAsia="黑体"/>
          <w:b w:val="0"/>
          <w:color w:val="auto"/>
          <w:highlight w:val="none"/>
        </w:rPr>
        <w:t>般公共预算财政拨款支出决算情况说明</w:t>
      </w:r>
      <w:bookmarkEnd w:id="39"/>
      <w:bookmarkEnd w:id="40"/>
      <w:bookmarkEnd w:id="41"/>
    </w:p>
    <w:p>
      <w:pPr>
        <w:spacing w:line="600" w:lineRule="exact"/>
        <w:ind w:firstLine="640" w:firstLineChars="200"/>
        <w:outlineLvl w:val="2"/>
        <w:rPr>
          <w:rFonts w:ascii="仿宋" w:hAnsi="仿宋" w:eastAsia="仿宋"/>
          <w:b/>
          <w:color w:val="auto"/>
          <w:sz w:val="32"/>
          <w:szCs w:val="32"/>
          <w:highlight w:val="none"/>
        </w:rPr>
      </w:pPr>
      <w:bookmarkStart w:id="42" w:name="_Toc15377210"/>
      <w:r>
        <w:rPr>
          <w:rFonts w:hint="eastAsia" w:ascii="仿宋" w:hAnsi="仿宋" w:eastAsia="仿宋"/>
          <w:b/>
          <w:color w:val="auto"/>
          <w:sz w:val="32"/>
          <w:szCs w:val="32"/>
          <w:highlight w:val="none"/>
        </w:rPr>
        <w:t>（一）一般公共预算财政拨款支出决算总体情况</w:t>
      </w:r>
      <w:bookmarkEnd w:id="42"/>
    </w:p>
    <w:p>
      <w:pPr>
        <w:spacing w:line="600" w:lineRule="exact"/>
        <w:ind w:firstLine="640" w:firstLineChars="200"/>
        <w:rPr>
          <w:rFonts w:hint="eastAsia"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252.84</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56</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65.7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2022年本单位调入2人，另外补发了工资调标、2020年和2021年绩效奖。</w:t>
      </w:r>
    </w:p>
    <w:p>
      <w:pPr>
        <w:pStyle w:val="2"/>
        <w:rPr>
          <w:rFonts w:hint="eastAsia" w:ascii="仿宋" w:hAnsi="仿宋" w:eastAsia="仿宋"/>
          <w:color w:val="auto"/>
          <w:sz w:val="32"/>
          <w:szCs w:val="32"/>
          <w:highlight w:val="none"/>
          <w:lang w:val="en-US" w:eastAsia="zh-CN"/>
        </w:rPr>
      </w:pPr>
      <w:r>
        <w:drawing>
          <wp:inline distT="0" distB="0" distL="114300" distR="114300">
            <wp:extent cx="5272405" cy="3975735"/>
            <wp:effectExtent l="4445" t="4445" r="19050" b="20320"/>
            <wp:docPr id="11"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spacing w:line="600" w:lineRule="exact"/>
        <w:ind w:firstLine="640" w:firstLineChars="200"/>
        <w:rPr>
          <w:rFonts w:ascii="仿宋" w:hAnsi="仿宋" w:eastAsia="仿宋"/>
          <w:color w:val="auto"/>
          <w:sz w:val="32"/>
          <w:szCs w:val="32"/>
          <w:highlight w:val="none"/>
        </w:rPr>
      </w:pPr>
    </w:p>
    <w:p>
      <w:pPr>
        <w:spacing w:line="600" w:lineRule="exact"/>
        <w:ind w:firstLine="640" w:firstLineChars="200"/>
        <w:outlineLvl w:val="2"/>
        <w:rPr>
          <w:rFonts w:ascii="仿宋" w:hAnsi="仿宋" w:eastAsia="仿宋"/>
          <w:b/>
          <w:color w:val="auto"/>
          <w:sz w:val="32"/>
          <w:szCs w:val="32"/>
          <w:highlight w:val="none"/>
        </w:rPr>
      </w:pPr>
      <w:bookmarkStart w:id="43" w:name="_Toc15377211"/>
      <w:r>
        <w:rPr>
          <w:rFonts w:hint="eastAsia" w:ascii="仿宋" w:hAnsi="仿宋" w:eastAsia="仿宋"/>
          <w:b/>
          <w:color w:val="auto"/>
          <w:sz w:val="32"/>
          <w:szCs w:val="32"/>
          <w:highlight w:val="none"/>
        </w:rPr>
        <w:t>（二）一般公共预算财政拨款支出决算结构情况</w:t>
      </w:r>
      <w:bookmarkEnd w:id="43"/>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252.84</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w:t>
      </w:r>
      <w:r>
        <w:rPr>
          <w:rFonts w:hint="eastAsia" w:ascii="仿宋" w:hAnsi="仿宋" w:eastAsia="仿宋"/>
          <w:color w:val="auto"/>
          <w:sz w:val="32"/>
          <w:szCs w:val="32"/>
          <w:highlight w:val="none"/>
          <w:lang w:val="en-US" w:eastAsia="zh-CN"/>
        </w:rPr>
        <w:t>158.71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62.77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15.44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6.11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8.03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3.18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20.67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8.17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lang w:eastAsia="zh-CN"/>
        </w:rPr>
        <w:t>其他支出</w:t>
      </w:r>
      <w:r>
        <w:rPr>
          <w:rFonts w:hint="eastAsia" w:ascii="仿宋" w:hAnsi="仿宋" w:eastAsia="仿宋"/>
          <w:color w:val="auto"/>
          <w:sz w:val="32"/>
          <w:szCs w:val="32"/>
          <w:highlight w:val="none"/>
          <w:lang w:val="en-US" w:eastAsia="zh-CN"/>
        </w:rPr>
        <w:t>50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19.77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pPr>
      <w:r>
        <w:drawing>
          <wp:inline distT="0" distB="0" distL="114300" distR="114300">
            <wp:extent cx="4904105" cy="3343275"/>
            <wp:effectExtent l="4445" t="4445" r="6350" b="5080"/>
            <wp:docPr id="119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spacing w:line="600" w:lineRule="exact"/>
        <w:ind w:firstLine="640" w:firstLineChars="200"/>
        <w:rPr>
          <w:rFonts w:ascii="仿宋" w:hAnsi="仿宋" w:eastAsia="仿宋"/>
          <w:color w:val="auto"/>
          <w:sz w:val="32"/>
          <w:szCs w:val="32"/>
          <w:highlight w:val="none"/>
        </w:rPr>
      </w:pPr>
    </w:p>
    <w:p>
      <w:pPr>
        <w:spacing w:line="600" w:lineRule="exact"/>
        <w:ind w:firstLine="640" w:firstLineChars="200"/>
        <w:outlineLvl w:val="2"/>
        <w:rPr>
          <w:rFonts w:ascii="仿宋" w:hAnsi="仿宋" w:eastAsia="仿宋"/>
          <w:b/>
          <w:color w:val="auto"/>
          <w:sz w:val="32"/>
          <w:szCs w:val="32"/>
          <w:highlight w:val="none"/>
        </w:rPr>
      </w:pPr>
      <w:bookmarkStart w:id="44" w:name="_Toc15377212"/>
      <w:r>
        <w:rPr>
          <w:rFonts w:hint="eastAsia" w:ascii="仿宋" w:hAnsi="仿宋" w:eastAsia="仿宋"/>
          <w:b/>
          <w:color w:val="auto"/>
          <w:sz w:val="32"/>
          <w:szCs w:val="32"/>
          <w:highlight w:val="none"/>
        </w:rPr>
        <w:t>（三）一般公共预算财政拨款支出决算具体情况</w:t>
      </w:r>
      <w:bookmarkEnd w:id="44"/>
    </w:p>
    <w:p>
      <w:pPr>
        <w:spacing w:line="600" w:lineRule="exact"/>
        <w:ind w:firstLine="640" w:firstLineChars="200"/>
        <w:outlineLvl w:val="2"/>
        <w:rPr>
          <w:rFonts w:ascii="仿宋" w:hAnsi="仿宋" w:eastAsia="仿宋"/>
          <w:color w:val="auto"/>
          <w:sz w:val="32"/>
          <w:szCs w:val="32"/>
          <w:highlight w:val="none"/>
        </w:rPr>
      </w:pPr>
      <w:bookmarkStart w:id="45" w:name="_Toc15377213"/>
      <w:bookmarkStart w:id="46" w:name="_Toc15377444"/>
      <w:bookmarkStart w:id="47" w:name="_Toc15378460"/>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252.84万元</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95.9</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45"/>
      <w:bookmarkEnd w:id="46"/>
      <w:bookmarkEnd w:id="47"/>
    </w:p>
    <w:p>
      <w:pPr>
        <w:spacing w:line="600" w:lineRule="exact"/>
        <w:ind w:firstLine="640"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1.</w:t>
      </w:r>
      <w:r>
        <w:rPr>
          <w:rStyle w:val="15"/>
          <w:rFonts w:hint="eastAsia" w:ascii="仿宋" w:hAnsi="仿宋" w:eastAsia="仿宋"/>
          <w:bCs/>
          <w:color w:val="auto"/>
          <w:sz w:val="32"/>
          <w:szCs w:val="32"/>
          <w:highlight w:val="none"/>
        </w:rPr>
        <w:t>教育（类）</w:t>
      </w:r>
      <w:r>
        <w:rPr>
          <w:rStyle w:val="15"/>
          <w:rFonts w:hint="eastAsia" w:ascii="仿宋" w:hAnsi="仿宋" w:eastAsia="仿宋"/>
          <w:bCs/>
          <w:color w:val="auto"/>
          <w:sz w:val="32"/>
          <w:szCs w:val="32"/>
          <w:highlight w:val="none"/>
          <w:lang w:eastAsia="zh-CN"/>
        </w:rPr>
        <w:t>教育管理事务</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其他教育管理事务</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158.71</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pPr>
        <w:spacing w:line="600" w:lineRule="exact"/>
        <w:ind w:firstLine="640" w:firstLineChars="200"/>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2</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社会保障和就业（类）</w:t>
      </w:r>
      <w:r>
        <w:rPr>
          <w:rStyle w:val="15"/>
          <w:rFonts w:hint="eastAsia" w:ascii="仿宋" w:hAnsi="仿宋" w:eastAsia="仿宋"/>
          <w:bCs/>
          <w:color w:val="auto"/>
          <w:sz w:val="32"/>
          <w:szCs w:val="32"/>
          <w:highlight w:val="none"/>
          <w:lang w:eastAsia="zh-CN"/>
        </w:rPr>
        <w:t>行政事业单位养老</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事业单位离退休</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0.27</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pPr>
        <w:spacing w:line="600" w:lineRule="exact"/>
        <w:ind w:firstLine="640" w:firstLineChars="200"/>
      </w:pPr>
      <w:r>
        <w:rPr>
          <w:rStyle w:val="15"/>
          <w:rFonts w:hint="eastAsia" w:ascii="仿宋" w:hAnsi="仿宋" w:eastAsia="仿宋"/>
          <w:bCs/>
          <w:color w:val="auto"/>
          <w:sz w:val="32"/>
          <w:szCs w:val="32"/>
          <w:highlight w:val="none"/>
          <w:lang w:val="en-US" w:eastAsia="zh-CN"/>
        </w:rPr>
        <w:t>3</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社会保障和就业（类）</w:t>
      </w:r>
      <w:r>
        <w:rPr>
          <w:rStyle w:val="15"/>
          <w:rFonts w:hint="eastAsia" w:ascii="仿宋" w:hAnsi="仿宋" w:eastAsia="仿宋"/>
          <w:bCs/>
          <w:color w:val="auto"/>
          <w:sz w:val="32"/>
          <w:szCs w:val="32"/>
          <w:highlight w:val="none"/>
          <w:lang w:eastAsia="zh-CN"/>
        </w:rPr>
        <w:t>行政事业单位养老</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机关事业单位基本养老保险缴费</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15.17</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75.77</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w:t>
      </w:r>
      <w:r>
        <w:rPr>
          <w:rStyle w:val="15"/>
          <w:rFonts w:hint="eastAsia" w:ascii="仿宋" w:hAnsi="仿宋" w:eastAsia="仿宋"/>
          <w:b w:val="0"/>
          <w:bCs/>
          <w:color w:val="auto"/>
          <w:sz w:val="32"/>
          <w:szCs w:val="32"/>
          <w:highlight w:val="none"/>
          <w:lang w:eastAsia="zh-CN"/>
        </w:rPr>
        <w:t>小于</w:t>
      </w:r>
      <w:r>
        <w:rPr>
          <w:rStyle w:val="15"/>
          <w:rFonts w:hint="eastAsia" w:ascii="仿宋" w:hAnsi="仿宋" w:eastAsia="仿宋"/>
          <w:b w:val="0"/>
          <w:bCs/>
          <w:color w:val="auto"/>
          <w:sz w:val="32"/>
          <w:szCs w:val="32"/>
          <w:highlight w:val="none"/>
        </w:rPr>
        <w:t>预算数</w:t>
      </w:r>
      <w:r>
        <w:rPr>
          <w:rStyle w:val="15"/>
          <w:rFonts w:hint="eastAsia" w:ascii="仿宋" w:hAnsi="仿宋" w:eastAsia="仿宋"/>
          <w:b w:val="0"/>
          <w:bCs/>
          <w:color w:val="auto"/>
          <w:sz w:val="32"/>
          <w:szCs w:val="32"/>
          <w:highlight w:val="none"/>
          <w:lang w:eastAsia="zh-CN"/>
        </w:rPr>
        <w:t>的主要原因是</w:t>
      </w:r>
      <w:r>
        <w:rPr>
          <w:rStyle w:val="15"/>
          <w:rFonts w:hint="eastAsia" w:ascii="仿宋" w:hAnsi="仿宋" w:eastAsia="仿宋"/>
          <w:b w:val="0"/>
          <w:bCs/>
          <w:color w:val="auto"/>
          <w:sz w:val="32"/>
          <w:szCs w:val="32"/>
          <w:highlight w:val="none"/>
          <w:lang w:val="en-US" w:eastAsia="zh-CN"/>
        </w:rPr>
        <w:t>需补缴的2022年养老保险和职业年金未支出</w:t>
      </w:r>
      <w:r>
        <w:rPr>
          <w:rStyle w:val="15"/>
          <w:rFonts w:hint="eastAsia" w:ascii="仿宋" w:hAnsi="仿宋" w:eastAsia="仿宋"/>
          <w:b w:val="0"/>
          <w:bCs/>
          <w:color w:val="auto"/>
          <w:sz w:val="32"/>
          <w:szCs w:val="32"/>
          <w:highlight w:val="none"/>
        </w:rPr>
        <w:t>。</w:t>
      </w:r>
    </w:p>
    <w:p>
      <w:pPr>
        <w:spacing w:line="600" w:lineRule="exact"/>
        <w:ind w:firstLine="640" w:firstLineChars="200"/>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4</w:t>
      </w:r>
      <w:r>
        <w:rPr>
          <w:rStyle w:val="15"/>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行政事业单位医疗</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事业单位医疗</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8.03</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pPr>
        <w:numPr>
          <w:ilvl w:val="0"/>
          <w:numId w:val="0"/>
        </w:numPr>
        <w:spacing w:line="600" w:lineRule="exact"/>
        <w:ind w:firstLine="640" w:firstLineChars="200"/>
        <w:rPr>
          <w:rFonts w:ascii="仿宋" w:hAnsi="仿宋" w:eastAsia="仿宋"/>
          <w:b/>
          <w:color w:val="auto"/>
          <w:sz w:val="32"/>
          <w:szCs w:val="32"/>
          <w:highlight w:val="none"/>
        </w:rPr>
      </w:pPr>
      <w:r>
        <w:rPr>
          <w:rFonts w:hint="eastAsia" w:ascii="仿宋" w:hAnsi="仿宋" w:eastAsia="仿宋"/>
          <w:b/>
          <w:bCs/>
          <w:color w:val="auto"/>
          <w:sz w:val="32"/>
          <w:szCs w:val="32"/>
          <w:highlight w:val="none"/>
          <w:lang w:val="en-US" w:eastAsia="zh-CN"/>
        </w:rPr>
        <w:t>5.</w:t>
      </w:r>
      <w:r>
        <w:rPr>
          <w:rFonts w:hint="eastAsia" w:ascii="仿宋" w:hAnsi="仿宋" w:eastAsia="仿宋"/>
          <w:b/>
          <w:bCs/>
          <w:color w:val="auto"/>
          <w:sz w:val="32"/>
          <w:szCs w:val="32"/>
          <w:highlight w:val="none"/>
        </w:rPr>
        <w:t>住房保障支出</w:t>
      </w:r>
      <w:r>
        <w:rPr>
          <w:rStyle w:val="15"/>
          <w:rFonts w:hint="eastAsia" w:ascii="仿宋" w:hAnsi="仿宋" w:eastAsia="仿宋"/>
          <w:bCs/>
          <w:color w:val="auto"/>
          <w:sz w:val="32"/>
          <w:szCs w:val="32"/>
          <w:highlight w:val="none"/>
        </w:rPr>
        <w:t>（类）住房改革支出（款） 住房公积金（项）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20.67</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77.68</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w:t>
      </w:r>
      <w:r>
        <w:rPr>
          <w:rStyle w:val="15"/>
          <w:rFonts w:hint="eastAsia" w:ascii="仿宋" w:hAnsi="仿宋" w:eastAsia="仿宋"/>
          <w:b w:val="0"/>
          <w:bCs/>
          <w:color w:val="auto"/>
          <w:sz w:val="32"/>
          <w:szCs w:val="32"/>
          <w:highlight w:val="none"/>
          <w:lang w:eastAsia="zh-CN"/>
        </w:rPr>
        <w:t>小于</w:t>
      </w:r>
      <w:r>
        <w:rPr>
          <w:rStyle w:val="15"/>
          <w:rFonts w:hint="eastAsia" w:ascii="仿宋" w:hAnsi="仿宋" w:eastAsia="仿宋"/>
          <w:b w:val="0"/>
          <w:bCs/>
          <w:color w:val="auto"/>
          <w:sz w:val="32"/>
          <w:szCs w:val="32"/>
          <w:highlight w:val="none"/>
        </w:rPr>
        <w:t>预算数</w:t>
      </w:r>
      <w:r>
        <w:rPr>
          <w:rStyle w:val="15"/>
          <w:rFonts w:hint="eastAsia" w:ascii="仿宋" w:hAnsi="仿宋" w:eastAsia="仿宋"/>
          <w:b w:val="0"/>
          <w:bCs/>
          <w:color w:val="auto"/>
          <w:sz w:val="32"/>
          <w:szCs w:val="32"/>
          <w:highlight w:val="none"/>
          <w:lang w:eastAsia="zh-CN"/>
        </w:rPr>
        <w:t>的主要原因是部分基础绩效奖单位部分公积金未支出</w:t>
      </w:r>
      <w:r>
        <w:rPr>
          <w:rStyle w:val="15"/>
          <w:rFonts w:hint="eastAsia" w:ascii="仿宋" w:hAnsi="仿宋" w:eastAsia="仿宋"/>
          <w:b w:val="0"/>
          <w:bCs/>
          <w:color w:val="auto"/>
          <w:sz w:val="32"/>
          <w:szCs w:val="32"/>
          <w:highlight w:val="none"/>
        </w:rPr>
        <w:t>。</w:t>
      </w:r>
    </w:p>
    <w:p>
      <w:pPr>
        <w:numPr>
          <w:ilvl w:val="0"/>
          <w:numId w:val="0"/>
        </w:numPr>
        <w:spacing w:line="600" w:lineRule="exact"/>
        <w:ind w:firstLine="640" w:firstLineChars="200"/>
        <w:rPr>
          <w:rFonts w:ascii="仿宋" w:hAnsi="仿宋" w:eastAsia="仿宋"/>
          <w:b/>
          <w:color w:val="auto"/>
          <w:sz w:val="32"/>
          <w:szCs w:val="32"/>
          <w:highlight w:val="none"/>
        </w:rPr>
      </w:pPr>
      <w:r>
        <w:rPr>
          <w:rFonts w:hint="eastAsia" w:ascii="仿宋" w:hAnsi="仿宋" w:eastAsia="仿宋"/>
          <w:b/>
          <w:bCs/>
          <w:color w:val="auto"/>
          <w:sz w:val="32"/>
          <w:szCs w:val="32"/>
          <w:highlight w:val="none"/>
          <w:lang w:val="en-US" w:eastAsia="zh-CN"/>
        </w:rPr>
        <w:t>6.</w:t>
      </w:r>
      <w:r>
        <w:rPr>
          <w:rFonts w:hint="eastAsia" w:ascii="仿宋" w:hAnsi="仿宋" w:eastAsia="仿宋"/>
          <w:b/>
          <w:bCs/>
          <w:color w:val="auto"/>
          <w:sz w:val="32"/>
          <w:szCs w:val="32"/>
          <w:highlight w:val="none"/>
          <w:lang w:eastAsia="zh-CN"/>
        </w:rPr>
        <w:t>其他支出</w:t>
      </w:r>
      <w:r>
        <w:rPr>
          <w:rStyle w:val="15"/>
          <w:rFonts w:hint="eastAsia" w:ascii="仿宋" w:hAnsi="仿宋" w:eastAsia="仿宋"/>
          <w:bCs/>
          <w:color w:val="auto"/>
          <w:sz w:val="32"/>
          <w:szCs w:val="32"/>
          <w:highlight w:val="none"/>
        </w:rPr>
        <w:t>（类）</w:t>
      </w:r>
      <w:r>
        <w:rPr>
          <w:rFonts w:hint="eastAsia" w:ascii="仿宋" w:hAnsi="仿宋" w:eastAsia="仿宋"/>
          <w:b/>
          <w:bCs/>
          <w:color w:val="auto"/>
          <w:sz w:val="32"/>
          <w:szCs w:val="32"/>
          <w:highlight w:val="none"/>
          <w:lang w:eastAsia="zh-CN"/>
        </w:rPr>
        <w:t>其他支出</w:t>
      </w:r>
      <w:r>
        <w:rPr>
          <w:rStyle w:val="15"/>
          <w:rFonts w:hint="eastAsia" w:ascii="仿宋" w:hAnsi="仿宋" w:eastAsia="仿宋"/>
          <w:bCs/>
          <w:color w:val="auto"/>
          <w:sz w:val="32"/>
          <w:szCs w:val="32"/>
          <w:highlight w:val="none"/>
        </w:rPr>
        <w:t>（款）</w:t>
      </w:r>
      <w:r>
        <w:rPr>
          <w:rFonts w:hint="eastAsia" w:ascii="仿宋" w:hAnsi="仿宋" w:eastAsia="仿宋"/>
          <w:b/>
          <w:bCs/>
          <w:color w:val="auto"/>
          <w:sz w:val="32"/>
          <w:szCs w:val="32"/>
          <w:highlight w:val="none"/>
          <w:lang w:eastAsia="zh-CN"/>
        </w:rPr>
        <w:t>其他支出</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50</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w:t>
      </w:r>
      <w:r>
        <w:rPr>
          <w:rStyle w:val="15"/>
          <w:rFonts w:hint="eastAsia" w:ascii="仿宋" w:hAnsi="仿宋" w:eastAsia="仿宋"/>
          <w:b w:val="0"/>
          <w:bCs/>
          <w:color w:val="auto"/>
          <w:sz w:val="32"/>
          <w:szCs w:val="32"/>
          <w:highlight w:val="none"/>
          <w:lang w:eastAsia="zh-CN"/>
        </w:rPr>
        <w:t>等于</w:t>
      </w:r>
      <w:r>
        <w:rPr>
          <w:rStyle w:val="15"/>
          <w:rFonts w:hint="eastAsia" w:ascii="仿宋" w:hAnsi="仿宋" w:eastAsia="仿宋"/>
          <w:b w:val="0"/>
          <w:bCs/>
          <w:color w:val="auto"/>
          <w:sz w:val="32"/>
          <w:szCs w:val="32"/>
          <w:highlight w:val="none"/>
        </w:rPr>
        <w:t>预算数。</w:t>
      </w:r>
    </w:p>
    <w:p>
      <w:pPr>
        <w:tabs>
          <w:tab w:val="right" w:pos="8306"/>
        </w:tabs>
        <w:spacing w:line="600" w:lineRule="exact"/>
        <w:ind w:firstLine="640"/>
        <w:outlineLvl w:val="1"/>
        <w:rPr>
          <w:rStyle w:val="26"/>
          <w:color w:val="auto"/>
          <w:highlight w:val="none"/>
        </w:rPr>
      </w:pPr>
      <w:bookmarkStart w:id="48" w:name="_Toc15396608"/>
      <w:bookmarkStart w:id="49" w:name="_Toc15377214"/>
      <w:bookmarkStart w:id="50" w:name="_Toc3120"/>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6"/>
          <w:rFonts w:hint="eastAsia" w:ascii="黑体" w:hAnsi="黑体" w:eastAsia="黑体"/>
          <w:b w:val="0"/>
          <w:color w:val="auto"/>
          <w:highlight w:val="none"/>
        </w:rPr>
        <w:t>般公共预算财政拨款基本支出决算情况说明</w:t>
      </w:r>
      <w:bookmarkEnd w:id="48"/>
      <w:bookmarkEnd w:id="49"/>
      <w:bookmarkEnd w:id="50"/>
      <w:r>
        <w:rPr>
          <w:rStyle w:val="26"/>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243.92</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226.67</w:t>
      </w:r>
      <w:r>
        <w:rPr>
          <w:rFonts w:hint="eastAsia" w:ascii="仿宋" w:hAnsi="仿宋" w:eastAsia="仿宋"/>
          <w:color w:val="auto"/>
          <w:sz w:val="32"/>
          <w:szCs w:val="32"/>
          <w:highlight w:val="none"/>
        </w:rPr>
        <w:t>万元，主要包括：基本工资、津贴补贴、奖金、绩效工资、机关事业单位基本养老保险缴费、</w:t>
      </w:r>
      <w:r>
        <w:rPr>
          <w:rFonts w:hint="eastAsia" w:ascii="仿宋" w:hAnsi="仿宋" w:eastAsia="仿宋"/>
          <w:color w:val="auto"/>
          <w:sz w:val="32"/>
          <w:szCs w:val="32"/>
          <w:highlight w:val="none"/>
          <w:lang w:eastAsia="zh-CN"/>
        </w:rPr>
        <w:t>职工基本医疗保险</w:t>
      </w:r>
      <w:r>
        <w:rPr>
          <w:rFonts w:hint="eastAsia" w:ascii="仿宋" w:hAnsi="仿宋" w:eastAsia="仿宋"/>
          <w:color w:val="auto"/>
          <w:sz w:val="32"/>
          <w:szCs w:val="32"/>
          <w:highlight w:val="none"/>
        </w:rPr>
        <w:t>缴费、其他社会保障缴费、住房公积金、其他工资福利支出。</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17.25</w:t>
      </w:r>
      <w:r>
        <w:rPr>
          <w:rFonts w:hint="eastAsia" w:ascii="仿宋" w:hAnsi="仿宋" w:eastAsia="仿宋"/>
          <w:color w:val="auto"/>
          <w:sz w:val="32"/>
          <w:szCs w:val="32"/>
          <w:highlight w:val="none"/>
        </w:rPr>
        <w:t>万元，主要包括：办公费、印刷费、咨询费、差旅费、维修（护）费、会议费、培训费、公务接待费、劳务费、工会经费、福利费、公务用车运行维护费、其他交通费、其他商品和服务支出、办公设备购置。</w:t>
      </w:r>
    </w:p>
    <w:p>
      <w:pPr>
        <w:spacing w:line="600" w:lineRule="exact"/>
        <w:ind w:firstLine="640"/>
        <w:outlineLvl w:val="1"/>
        <w:rPr>
          <w:rStyle w:val="26"/>
          <w:rFonts w:ascii="黑体" w:hAnsi="黑体" w:eastAsia="黑体"/>
          <w:b w:val="0"/>
          <w:color w:val="auto"/>
          <w:highlight w:val="none"/>
        </w:rPr>
      </w:pPr>
      <w:bookmarkStart w:id="51" w:name="_Toc15396609"/>
      <w:bookmarkStart w:id="52" w:name="_Toc15377215"/>
      <w:bookmarkStart w:id="53" w:name="_Toc1886"/>
      <w:r>
        <w:rPr>
          <w:rFonts w:hint="eastAsia" w:ascii="黑体" w:eastAsia="黑体"/>
          <w:color w:val="auto"/>
          <w:sz w:val="32"/>
          <w:szCs w:val="32"/>
          <w:highlight w:val="none"/>
        </w:rPr>
        <w:t>七、</w:t>
      </w:r>
      <w:r>
        <w:rPr>
          <w:rStyle w:val="26"/>
          <w:rFonts w:hint="eastAsia" w:ascii="黑体" w:hAnsi="黑体" w:eastAsia="黑体"/>
          <w:b w:val="0"/>
          <w:color w:val="auto"/>
          <w:highlight w:val="none"/>
        </w:rPr>
        <w:t>财政拨款</w:t>
      </w:r>
      <w:r>
        <w:rPr>
          <w:rStyle w:val="26"/>
          <w:rFonts w:hint="eastAsia" w:ascii="黑体" w:hAnsi="黑体" w:eastAsia="黑体"/>
          <w:color w:val="auto"/>
          <w:highlight w:val="none"/>
        </w:rPr>
        <w:t>“</w:t>
      </w:r>
      <w:r>
        <w:rPr>
          <w:rStyle w:val="26"/>
          <w:rFonts w:hint="eastAsia" w:ascii="黑体" w:hAnsi="黑体" w:eastAsia="黑体"/>
          <w:b w:val="0"/>
          <w:color w:val="auto"/>
          <w:highlight w:val="none"/>
        </w:rPr>
        <w:t>三公”经费支出决算情况说明</w:t>
      </w:r>
      <w:bookmarkEnd w:id="51"/>
      <w:bookmarkEnd w:id="52"/>
      <w:bookmarkEnd w:id="53"/>
    </w:p>
    <w:p>
      <w:pPr>
        <w:spacing w:line="600" w:lineRule="exact"/>
        <w:ind w:firstLine="640"/>
        <w:outlineLvl w:val="2"/>
        <w:rPr>
          <w:rFonts w:ascii="仿宋" w:hAnsi="仿宋" w:eastAsia="仿宋"/>
          <w:b/>
          <w:color w:val="auto"/>
          <w:sz w:val="32"/>
          <w:szCs w:val="32"/>
          <w:highlight w:val="none"/>
        </w:rPr>
      </w:pPr>
      <w:bookmarkStart w:id="54" w:name="_Toc15377216"/>
      <w:r>
        <w:rPr>
          <w:rFonts w:hint="eastAsia" w:ascii="仿宋" w:hAnsi="仿宋" w:eastAsia="仿宋"/>
          <w:b/>
          <w:color w:val="auto"/>
          <w:sz w:val="32"/>
          <w:szCs w:val="32"/>
          <w:highlight w:val="none"/>
        </w:rPr>
        <w:t>（一）“三公”经费财政拨款支出决算总体情况说明</w:t>
      </w:r>
      <w:bookmarkEnd w:id="54"/>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1.46</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86.9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减少0.18万元，下降10.98%。</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厉行节约，严格控制“三公”经费支出</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55" w:name="_Toc15377217"/>
      <w:r>
        <w:rPr>
          <w:rFonts w:hint="eastAsia" w:ascii="仿宋" w:hAnsi="仿宋" w:eastAsia="仿宋"/>
          <w:b/>
          <w:color w:val="auto"/>
          <w:sz w:val="32"/>
          <w:szCs w:val="32"/>
          <w:highlight w:val="none"/>
        </w:rPr>
        <w:t>（二）“三公”经费财政拨款支出决算具体情况说明</w:t>
      </w:r>
      <w:bookmarkEnd w:id="55"/>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1.2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82.19</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0.26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17.81</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pPr>
      <w:r>
        <w:drawing>
          <wp:inline distT="0" distB="0" distL="114300" distR="114300">
            <wp:extent cx="5274310" cy="3449320"/>
            <wp:effectExtent l="5080" t="4445" r="16510" b="13335"/>
            <wp:docPr id="15"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年初未安排预算。</w:t>
      </w:r>
      <w:r>
        <w:rPr>
          <w:rFonts w:hint="eastAsia" w:ascii="仿宋_GB2312" w:eastAsia="仿宋_GB2312"/>
          <w:color w:val="auto"/>
          <w:sz w:val="32"/>
          <w:szCs w:val="32"/>
          <w:highlight w:val="none"/>
          <w:lang w:val="en-US" w:eastAsia="zh-CN"/>
        </w:rPr>
        <w:t>因公出国</w:t>
      </w:r>
      <w:r>
        <w:rPr>
          <w:rFonts w:hint="eastAsia" w:ascii="仿宋_GB2312" w:eastAsia="仿宋_GB2312"/>
          <w:color w:val="auto"/>
          <w:sz w:val="32"/>
          <w:szCs w:val="32"/>
          <w:highlight w:val="none"/>
          <w:lang w:eastAsia="zh-CN"/>
        </w:rPr>
        <w:t>（境）</w:t>
      </w:r>
      <w:r>
        <w:rPr>
          <w:rFonts w:hint="eastAsia" w:ascii="仿宋_GB2312" w:eastAsia="仿宋_GB2312"/>
          <w:color w:val="auto"/>
          <w:sz w:val="32"/>
          <w:szCs w:val="32"/>
          <w:highlight w:val="none"/>
          <w:lang w:val="en-US" w:eastAsia="zh-CN"/>
        </w:rPr>
        <w:t>支出决算较2021年无变化。</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w:t>
      </w:r>
      <w:r>
        <w:rPr>
          <w:rFonts w:hint="eastAsia" w:ascii="仿宋_GB2312" w:eastAsia="仿宋_GB2312"/>
          <w:color w:val="auto"/>
          <w:sz w:val="32"/>
          <w:szCs w:val="32"/>
          <w:highlight w:val="none"/>
          <w:lang w:eastAsia="zh-CN"/>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持平</w:t>
      </w:r>
      <w:r>
        <w:rPr>
          <w:rFonts w:hint="eastAsia" w:ascii="仿宋_GB2312" w:eastAsia="仿宋_GB2312"/>
          <w:color w:val="auto"/>
          <w:sz w:val="32"/>
          <w:szCs w:val="32"/>
          <w:highlight w:val="none"/>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辆，其中：越野车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全年考试运送试卷</w:t>
      </w:r>
      <w:r>
        <w:rPr>
          <w:rFonts w:hint="eastAsia" w:ascii="仿宋_GB2312" w:eastAsia="仿宋_GB2312"/>
          <w:color w:val="auto"/>
          <w:sz w:val="32"/>
          <w:szCs w:val="32"/>
          <w:highlight w:val="none"/>
        </w:rPr>
        <w:t>等所需的公务用车燃料费、维修费、过路过桥费、保险费等支出。</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0.26</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54.17</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0.18</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40.9</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厉行节约，严格控制“三公”经费支出</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_GB2312" w:eastAsia="仿宋_GB2312"/>
          <w:color w:val="auto"/>
          <w:sz w:val="32"/>
          <w:szCs w:val="32"/>
          <w:highlight w:val="none"/>
          <w:lang w:val="en-US" w:eastAsia="zh-CN"/>
        </w:rPr>
        <w:t>0.26</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省考试院来我市进行考前检查及督考等公务接待餐费</w:t>
      </w:r>
      <w:r>
        <w:rPr>
          <w:rFonts w:hint="eastAsia" w:ascii="仿宋_GB2312" w:eastAsia="仿宋_GB2312"/>
          <w:color w:val="auto"/>
          <w:sz w:val="32"/>
          <w:szCs w:val="32"/>
          <w:highlight w:val="none"/>
        </w:rPr>
        <w:t>。国内公务接待</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0.26</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eastAsia="zh-CN"/>
        </w:rPr>
        <w:t>研招考试省考试院来我市巡考，接待支出</w:t>
      </w:r>
      <w:r>
        <w:rPr>
          <w:rFonts w:hint="eastAsia" w:ascii="仿宋_GB2312" w:eastAsia="仿宋_GB2312"/>
          <w:color w:val="auto"/>
          <w:sz w:val="32"/>
          <w:szCs w:val="32"/>
          <w:highlight w:val="none"/>
          <w:lang w:val="en-US" w:eastAsia="zh-CN"/>
        </w:rPr>
        <w:t>670元；2022年高考省考试院巡考接待支出763元；高考备考及高考综合改革基础保障条件专项督查接待支出1140元</w:t>
      </w:r>
      <w:r>
        <w:rPr>
          <w:rFonts w:hint="eastAsia" w:ascii="仿宋_GB2312" w:eastAsia="仿宋_GB2312"/>
          <w:color w:val="auto"/>
          <w:sz w:val="32"/>
          <w:szCs w:val="32"/>
          <w:highlight w:val="none"/>
        </w:rPr>
        <w:t>。</w:t>
      </w:r>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本年度我单位无外事接待支出。</w:t>
      </w:r>
    </w:p>
    <w:p>
      <w:pPr>
        <w:pStyle w:val="2"/>
        <w:rPr>
          <w:rFonts w:hint="eastAsia"/>
        </w:rPr>
      </w:pPr>
    </w:p>
    <w:p>
      <w:pPr>
        <w:spacing w:line="600" w:lineRule="exact"/>
        <w:ind w:firstLine="640"/>
        <w:outlineLvl w:val="1"/>
        <w:rPr>
          <w:rStyle w:val="26"/>
          <w:rFonts w:ascii="黑体" w:hAnsi="黑体" w:eastAsia="黑体"/>
          <w:color w:val="auto"/>
          <w:highlight w:val="none"/>
        </w:rPr>
      </w:pPr>
      <w:bookmarkStart w:id="56" w:name="_Toc14212"/>
      <w:bookmarkStart w:id="57" w:name="_Toc15396610"/>
      <w:bookmarkStart w:id="58" w:name="_Toc15377218"/>
      <w:r>
        <w:rPr>
          <w:rFonts w:hint="eastAsia" w:ascii="黑体" w:eastAsia="黑体"/>
          <w:color w:val="auto"/>
          <w:sz w:val="32"/>
          <w:szCs w:val="32"/>
          <w:highlight w:val="none"/>
        </w:rPr>
        <w:t>八、</w:t>
      </w:r>
      <w:r>
        <w:rPr>
          <w:rStyle w:val="26"/>
          <w:rFonts w:hint="eastAsia" w:ascii="黑体" w:hAnsi="黑体" w:eastAsia="黑体"/>
          <w:b w:val="0"/>
          <w:color w:val="auto"/>
          <w:highlight w:val="none"/>
        </w:rPr>
        <w:t>政府性基金预算支出决算情况说明</w:t>
      </w:r>
      <w:bookmarkEnd w:id="56"/>
      <w:bookmarkEnd w:id="57"/>
      <w:bookmarkEnd w:id="58"/>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p>
    <w:p>
      <w:pPr>
        <w:numPr>
          <w:ilvl w:val="0"/>
          <w:numId w:val="3"/>
        </w:numPr>
        <w:spacing w:line="600" w:lineRule="exact"/>
        <w:ind w:firstLine="640"/>
        <w:outlineLvl w:val="1"/>
        <w:rPr>
          <w:rStyle w:val="26"/>
          <w:rFonts w:ascii="黑体" w:hAnsi="黑体" w:eastAsia="黑体"/>
          <w:b w:val="0"/>
          <w:color w:val="auto"/>
          <w:highlight w:val="none"/>
        </w:rPr>
      </w:pPr>
      <w:bookmarkStart w:id="59" w:name="_Toc15396611"/>
      <w:bookmarkStart w:id="60" w:name="_Toc25264"/>
      <w:bookmarkStart w:id="61" w:name="_Toc15377219"/>
      <w:r>
        <w:rPr>
          <w:rStyle w:val="26"/>
          <w:rFonts w:hint="eastAsia" w:ascii="黑体" w:hAnsi="黑体" w:eastAsia="黑体"/>
          <w:b w:val="0"/>
          <w:color w:val="auto"/>
          <w:highlight w:val="none"/>
        </w:rPr>
        <w:t>国有资本经营预算支出决算情况说明</w:t>
      </w:r>
      <w:bookmarkEnd w:id="59"/>
      <w:bookmarkEnd w:id="60"/>
      <w:bookmarkEnd w:id="61"/>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580" w:lineRule="exact"/>
        <w:jc w:val="center"/>
        <w:rPr>
          <w:rFonts w:ascii="方正小标宋简体" w:hAnsi="方正小标宋简体" w:eastAsia="方正小标宋简体" w:cs="方正小标宋简体"/>
          <w:color w:val="auto"/>
          <w:sz w:val="44"/>
          <w:szCs w:val="44"/>
          <w:highlight w:val="none"/>
        </w:rPr>
      </w:pPr>
    </w:p>
    <w:p>
      <w:pPr>
        <w:numPr>
          <w:ilvl w:val="0"/>
          <w:numId w:val="3"/>
        </w:numPr>
        <w:spacing w:line="600" w:lineRule="exact"/>
        <w:ind w:firstLine="640"/>
        <w:outlineLvl w:val="1"/>
        <w:rPr>
          <w:rStyle w:val="26"/>
          <w:rFonts w:hint="eastAsia" w:ascii="黑体" w:hAnsi="黑体" w:eastAsia="黑体"/>
          <w:b w:val="0"/>
          <w:color w:val="auto"/>
          <w:highlight w:val="none"/>
        </w:rPr>
      </w:pPr>
      <w:bookmarkStart w:id="62" w:name="_Toc15396612"/>
      <w:bookmarkStart w:id="63" w:name="_Toc3138"/>
      <w:bookmarkStart w:id="64" w:name="_Toc15377221"/>
      <w:r>
        <w:rPr>
          <w:rStyle w:val="26"/>
          <w:rFonts w:hint="eastAsia" w:ascii="黑体" w:hAnsi="黑体" w:eastAsia="黑体"/>
          <w:b w:val="0"/>
          <w:color w:val="auto"/>
          <w:highlight w:val="none"/>
        </w:rPr>
        <w:t>其他重要事项的情况说明</w:t>
      </w:r>
      <w:bookmarkEnd w:id="62"/>
      <w:bookmarkEnd w:id="63"/>
      <w:bookmarkEnd w:id="64"/>
    </w:p>
    <w:p>
      <w:pPr>
        <w:spacing w:line="600" w:lineRule="exact"/>
        <w:ind w:firstLine="640" w:firstLineChars="200"/>
        <w:outlineLvl w:val="2"/>
        <w:rPr>
          <w:rFonts w:ascii="仿宋" w:hAnsi="仿宋" w:eastAsia="仿宋"/>
          <w:color w:val="auto"/>
          <w:sz w:val="32"/>
          <w:szCs w:val="32"/>
          <w:highlight w:val="none"/>
        </w:rPr>
      </w:pPr>
      <w:bookmarkStart w:id="65" w:name="_Toc15377222"/>
      <w:r>
        <w:rPr>
          <w:rFonts w:hint="eastAsia" w:ascii="仿宋" w:hAnsi="仿宋" w:eastAsia="仿宋"/>
          <w:b/>
          <w:color w:val="auto"/>
          <w:sz w:val="32"/>
          <w:szCs w:val="32"/>
          <w:highlight w:val="none"/>
        </w:rPr>
        <w:t>（一）机关运行经费支出情况</w:t>
      </w:r>
      <w:bookmarkEnd w:id="65"/>
    </w:p>
    <w:p>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bookmarkStart w:id="66" w:name="_Toc15377223"/>
      <w:r>
        <w:rPr>
          <w:rFonts w:hint="eastAsia" w:ascii="仿宋_GB2312" w:hAnsi="Times New Roman" w:eastAsia="仿宋_GB2312" w:cs="Times New Roman"/>
          <w:color w:val="auto"/>
          <w:sz w:val="32"/>
          <w:szCs w:val="32"/>
          <w:highlight w:val="none"/>
          <w:lang w:val="en-US" w:eastAsia="zh-CN"/>
        </w:rPr>
        <w:t>202</w:t>
      </w:r>
      <w:r>
        <w:rPr>
          <w:rFonts w:hint="eastAsia" w:ascii="仿宋_GB2312"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lang w:val="en-US" w:eastAsia="zh-CN"/>
        </w:rPr>
        <w:t>年</w:t>
      </w:r>
      <w:r>
        <w:rPr>
          <w:rFonts w:hint="eastAsia" w:ascii="仿宋_GB2312" w:hAnsi="Times New Roman" w:eastAsia="仿宋_GB2312" w:cs="Times New Roman"/>
          <w:color w:val="auto"/>
          <w:sz w:val="32"/>
          <w:szCs w:val="32"/>
          <w:highlight w:val="none"/>
        </w:rPr>
        <w:t>未发生机关运行经费支出</w:t>
      </w:r>
      <w:r>
        <w:rPr>
          <w:rFonts w:hint="eastAsia" w:ascii="仿宋_GB2312" w:hAnsi="Times New Roman"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val="en-US" w:eastAsia="zh-CN"/>
        </w:rPr>
        <w:t>与202</w:t>
      </w:r>
      <w:r>
        <w:rPr>
          <w:rFonts w:hint="eastAsia" w:ascii="仿宋_GB2312" w:eastAsia="仿宋_GB2312" w:cs="Times New Roman"/>
          <w:color w:val="auto"/>
          <w:sz w:val="32"/>
          <w:szCs w:val="32"/>
          <w:highlight w:val="none"/>
          <w:lang w:val="en-US" w:eastAsia="zh-CN"/>
        </w:rPr>
        <w:t>1</w:t>
      </w:r>
      <w:r>
        <w:rPr>
          <w:rFonts w:hint="eastAsia" w:ascii="仿宋_GB2312" w:hAnsi="Times New Roman" w:eastAsia="仿宋_GB2312" w:cs="Times New Roman"/>
          <w:color w:val="auto"/>
          <w:sz w:val="32"/>
          <w:szCs w:val="32"/>
          <w:highlight w:val="none"/>
          <w:lang w:val="en-US" w:eastAsia="zh-CN"/>
        </w:rPr>
        <w:t>年决算数持平。</w:t>
      </w:r>
    </w:p>
    <w:p>
      <w:pPr>
        <w:autoSpaceDE w:val="0"/>
        <w:autoSpaceDN w:val="0"/>
        <w:adjustRightInd w:val="0"/>
        <w:spacing w:line="600" w:lineRule="exact"/>
        <w:ind w:firstLine="640"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6"/>
    </w:p>
    <w:p>
      <w:pPr>
        <w:spacing w:line="600" w:lineRule="exact"/>
        <w:ind w:firstLine="640" w:firstLineChars="200"/>
        <w:rPr>
          <w:rFonts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广元市招生考试中心</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0" w:firstLineChars="200"/>
        <w:jc w:val="left"/>
        <w:outlineLvl w:val="2"/>
        <w:rPr>
          <w:rFonts w:ascii="仿宋" w:hAnsi="仿宋" w:eastAsia="仿宋"/>
          <w:b/>
          <w:color w:val="auto"/>
          <w:sz w:val="32"/>
          <w:szCs w:val="32"/>
          <w:highlight w:val="none"/>
        </w:rPr>
      </w:pPr>
      <w:bookmarkStart w:id="67" w:name="_Toc15377224"/>
      <w:r>
        <w:rPr>
          <w:rFonts w:hint="eastAsia" w:ascii="仿宋" w:hAnsi="仿宋" w:eastAsia="仿宋"/>
          <w:b/>
          <w:color w:val="auto"/>
          <w:sz w:val="32"/>
          <w:szCs w:val="32"/>
          <w:highlight w:val="none"/>
        </w:rPr>
        <w:t>（三）国有资产占有使用情况</w:t>
      </w:r>
      <w:bookmarkEnd w:id="67"/>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广元市招生考试中心</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辆，其中：其他用车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其他用车主要是用于全市各项考试运送试卷往返成都等</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0"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eastAsia="zh-CN"/>
        </w:rPr>
        <w:t>考试工作经费、中考制卷费及中考招生考试工作经费、乡村振兴工作经费、云服务器、保密室电梯安装及工资性支出</w:t>
      </w:r>
      <w:r>
        <w:rPr>
          <w:rFonts w:hint="eastAsia" w:ascii="仿宋_GB2312" w:hAnsi="仿宋_GB2312" w:eastAsia="仿宋_GB2312" w:cs="仿宋_GB2312"/>
          <w:color w:val="auto"/>
          <w:sz w:val="32"/>
          <w:szCs w:val="32"/>
          <w:highlight w:val="none"/>
        </w:rPr>
        <w:t>等</w:t>
      </w:r>
      <w:r>
        <w:rPr>
          <w:rFonts w:hint="eastAsia" w:hAnsi="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25"/>
          <w:rFonts w:ascii="黑体" w:hAnsi="黑体" w:eastAsia="黑体"/>
          <w:b w:val="0"/>
          <w:color w:val="auto"/>
          <w:highlight w:val="none"/>
        </w:rPr>
      </w:pPr>
      <w:bookmarkStart w:id="68" w:name="_Toc15377225"/>
      <w:bookmarkStart w:id="69" w:name="_Toc13440"/>
      <w:bookmarkStart w:id="70" w:name="_Toc15396613"/>
      <w:r>
        <w:rPr>
          <w:rFonts w:hint="eastAsia" w:ascii="黑体" w:hAnsi="黑体" w:eastAsia="黑体"/>
          <w:color w:val="auto"/>
          <w:sz w:val="44"/>
          <w:szCs w:val="44"/>
          <w:highlight w:val="none"/>
        </w:rPr>
        <w:t>名</w:t>
      </w:r>
      <w:r>
        <w:rPr>
          <w:rStyle w:val="25"/>
          <w:rFonts w:hint="eastAsia" w:ascii="黑体" w:hAnsi="黑体" w:eastAsia="黑体"/>
          <w:b w:val="0"/>
          <w:color w:val="auto"/>
          <w:highlight w:val="none"/>
        </w:rPr>
        <w:t>词解释</w:t>
      </w:r>
      <w:bookmarkEnd w:id="68"/>
      <w:bookmarkEnd w:id="69"/>
      <w:bookmarkEnd w:id="70"/>
    </w:p>
    <w:p>
      <w:pPr>
        <w:spacing w:line="600" w:lineRule="exact"/>
        <w:jc w:val="left"/>
        <w:rPr>
          <w:rFonts w:ascii="宋体"/>
          <w:b/>
          <w:color w:val="auto"/>
          <w:sz w:val="44"/>
          <w:szCs w:val="44"/>
          <w:highlight w:val="none"/>
        </w:rPr>
      </w:pPr>
    </w:p>
    <w:p>
      <w:pPr>
        <w:pStyle w:val="23"/>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3"/>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pPr>
        <w:pStyle w:val="23"/>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3"/>
        <w:spacing w:line="60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年末结转和结余：指单位按有关规定结转到下年或以后年度继续使用的资金。</w:t>
      </w:r>
    </w:p>
    <w:p>
      <w:pPr>
        <w:keepNext w:val="0"/>
        <w:keepLines w:val="0"/>
        <w:widowControl w:val="0"/>
        <w:suppressLineNumbers w:val="0"/>
        <w:autoSpaceDE w:val="0"/>
        <w:autoSpaceDN w:val="0"/>
        <w:adjustRightInd w:val="0"/>
        <w:spacing w:before="0" w:beforeAutospacing="0" w:after="0" w:afterAutospacing="0"/>
        <w:ind w:left="0" w:right="0" w:firstLine="640" w:firstLineChars="200"/>
        <w:jc w:val="left"/>
        <w:rPr>
          <w:highlight w:val="none"/>
        </w:rPr>
      </w:pPr>
      <w:r>
        <w:rPr>
          <w:rFonts w:hint="eastAsia" w:ascii="仿宋_GB2312" w:eastAsia="仿宋_GB2312"/>
          <w:color w:val="auto"/>
          <w:sz w:val="32"/>
          <w:szCs w:val="32"/>
          <w:highlight w:val="none"/>
          <w:lang w:val="en-US" w:eastAsia="zh-CN"/>
        </w:rPr>
        <w:t>5.教育支出（类）教育管理事务(款)其他教育管理事务支出（项）：指</w:t>
      </w:r>
      <w:r>
        <w:rPr>
          <w:rFonts w:hint="default" w:ascii="仿宋_GB2312" w:hAnsi="Times New Roman" w:eastAsia="仿宋_GB2312" w:cs="仿宋_GB2312"/>
          <w:kern w:val="0"/>
          <w:sz w:val="32"/>
          <w:szCs w:val="32"/>
          <w:highlight w:val="none"/>
          <w:lang w:val="en-US" w:eastAsia="zh-CN" w:bidi="ar"/>
        </w:rPr>
        <w:t>其他用于管理事务方面的支出。</w:t>
      </w:r>
    </w:p>
    <w:p>
      <w:pPr>
        <w:pStyle w:val="23"/>
        <w:spacing w:line="600" w:lineRule="exact"/>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6.社会保障和就业（类）行政事业单位养老支出（款）事业单位离退休（项）: 指用于事业单位离退休方面的支出。</w:t>
      </w:r>
    </w:p>
    <w:p>
      <w:pPr>
        <w:pStyle w:val="23"/>
        <w:spacing w:line="600" w:lineRule="exact"/>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7.社会保障和就业（类）行政事业单位养老支出（款）机关事业单位基本养老保险缴费支出（项）: 指用于实施养老保险制度由单位缴纳的基本养老保险费支出。</w:t>
      </w:r>
    </w:p>
    <w:p>
      <w:pPr>
        <w:pStyle w:val="23"/>
        <w:spacing w:line="60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卫生健康支出（类）行政事业单位医疗（款）事业单位医疗（项）：指用于事业单位由单位缴纳的基本医疗保险缴费。</w:t>
      </w:r>
    </w:p>
    <w:p>
      <w:pPr>
        <w:pStyle w:val="23"/>
        <w:spacing w:line="60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.住房保障支出（类）住房改革支出（款）住房公积金（项）：指本单位用于按规定的工资基数以及规定比例为职工缴纳的住房公积金。</w:t>
      </w:r>
    </w:p>
    <w:p>
      <w:pPr>
        <w:pStyle w:val="23"/>
        <w:spacing w:line="600" w:lineRule="exact"/>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lang w:eastAsia="zh-CN"/>
        </w:rPr>
        <w:t>其他</w:t>
      </w:r>
      <w:r>
        <w:rPr>
          <w:rFonts w:hint="eastAsia" w:ascii="仿宋_GB2312" w:eastAsia="仿宋_GB2312"/>
          <w:color w:val="auto"/>
          <w:sz w:val="32"/>
          <w:szCs w:val="32"/>
          <w:highlight w:val="none"/>
        </w:rPr>
        <w:t>支出（类）</w:t>
      </w:r>
      <w:r>
        <w:rPr>
          <w:rFonts w:hint="eastAsia" w:ascii="仿宋_GB2312" w:eastAsia="仿宋_GB2312"/>
          <w:color w:val="auto"/>
          <w:sz w:val="32"/>
          <w:szCs w:val="32"/>
          <w:highlight w:val="none"/>
          <w:lang w:eastAsia="zh-CN"/>
        </w:rPr>
        <w:t>其他</w:t>
      </w:r>
      <w:r>
        <w:rPr>
          <w:rFonts w:hint="eastAsia" w:ascii="仿宋_GB2312" w:eastAsia="仿宋_GB2312"/>
          <w:color w:val="auto"/>
          <w:sz w:val="32"/>
          <w:szCs w:val="32"/>
          <w:highlight w:val="none"/>
        </w:rPr>
        <w:t>支出（款）</w:t>
      </w:r>
      <w:r>
        <w:rPr>
          <w:rFonts w:hint="eastAsia" w:ascii="仿宋_GB2312" w:eastAsia="仿宋_GB2312"/>
          <w:color w:val="auto"/>
          <w:sz w:val="32"/>
          <w:szCs w:val="32"/>
          <w:highlight w:val="none"/>
          <w:lang w:eastAsia="zh-CN"/>
        </w:rPr>
        <w:t>其他</w:t>
      </w:r>
      <w:r>
        <w:rPr>
          <w:rFonts w:hint="eastAsia" w:ascii="仿宋_GB2312" w:eastAsia="仿宋_GB2312"/>
          <w:color w:val="auto"/>
          <w:sz w:val="32"/>
          <w:szCs w:val="32"/>
          <w:highlight w:val="none"/>
        </w:rPr>
        <w:t>支出（项）：指</w:t>
      </w:r>
      <w:r>
        <w:rPr>
          <w:rFonts w:hint="eastAsia" w:ascii="仿宋_GB2312" w:eastAsia="仿宋_GB2312"/>
          <w:color w:val="auto"/>
          <w:sz w:val="32"/>
          <w:szCs w:val="32"/>
          <w:highlight w:val="none"/>
          <w:lang w:eastAsia="zh-CN"/>
        </w:rPr>
        <w:t>上述项目以外其他不能划分到具体功能科目中的支出项目。</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spacing w:line="600" w:lineRule="exact"/>
        <w:ind w:firstLine="640"/>
        <w:rPr>
          <w:rFonts w:ascii="仿宋" w:hAnsi="仿宋" w:eastAsia="仿宋"/>
          <w:b/>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3"/>
        <w:spacing w:line="560" w:lineRule="exact"/>
        <w:ind w:firstLine="640" w:firstLineChars="200"/>
        <w:rPr>
          <w:rFonts w:ascii="仿宋_GB2312" w:eastAsia="仿宋_GB2312" w:cs="黑体"/>
          <w:color w:val="auto"/>
          <w:sz w:val="32"/>
          <w:szCs w:val="32"/>
          <w:highlight w:val="none"/>
        </w:rPr>
      </w:pPr>
    </w:p>
    <w:p>
      <w:pPr>
        <w:spacing w:line="600" w:lineRule="exact"/>
        <w:jc w:val="center"/>
        <w:outlineLvl w:val="0"/>
        <w:rPr>
          <w:rStyle w:val="25"/>
          <w:rFonts w:ascii="黑体" w:hAnsi="黑体" w:eastAsia="黑体"/>
          <w:b w:val="0"/>
          <w:color w:val="auto"/>
          <w:highlight w:val="none"/>
        </w:rPr>
      </w:pPr>
      <w:bookmarkStart w:id="71" w:name="_Toc15377226"/>
      <w:r>
        <w:rPr>
          <w:rFonts w:ascii="宋体"/>
          <w:b/>
          <w:color w:val="auto"/>
          <w:sz w:val="44"/>
          <w:szCs w:val="44"/>
          <w:highlight w:val="none"/>
        </w:rPr>
        <w:br w:type="page"/>
      </w:r>
      <w:bookmarkStart w:id="72" w:name="_Toc6743"/>
      <w:bookmarkStart w:id="73" w:name="_Toc15396614"/>
      <w:r>
        <w:rPr>
          <w:rFonts w:hint="eastAsia" w:ascii="黑体" w:hAnsi="黑体" w:eastAsia="黑体"/>
          <w:color w:val="auto"/>
          <w:sz w:val="44"/>
          <w:szCs w:val="44"/>
          <w:highlight w:val="none"/>
        </w:rPr>
        <w:t>第</w:t>
      </w:r>
      <w:r>
        <w:rPr>
          <w:rStyle w:val="25"/>
          <w:rFonts w:hint="eastAsia" w:ascii="黑体" w:hAnsi="黑体" w:eastAsia="黑体"/>
          <w:b w:val="0"/>
          <w:color w:val="auto"/>
          <w:highlight w:val="none"/>
        </w:rPr>
        <w:t>四部分 附件</w:t>
      </w:r>
      <w:bookmarkEnd w:id="72"/>
      <w:bookmarkEnd w:id="73"/>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spacing w:line="600" w:lineRule="exact"/>
        <w:jc w:val="center"/>
        <w:outlineLvl w:val="0"/>
        <w:rPr>
          <w:rFonts w:hint="eastAsia" w:ascii="宋体" w:hAnsi="宋体" w:eastAsia="宋体" w:cs="宋体"/>
          <w:color w:val="auto"/>
          <w:kern w:val="0"/>
          <w:sz w:val="32"/>
          <w:szCs w:val="32"/>
          <w:highlight w:val="none"/>
          <w:lang w:val="en-US" w:eastAsia="zh-CN" w:bidi="ar-SA"/>
        </w:rPr>
      </w:pPr>
      <w:bookmarkStart w:id="74" w:name="_Toc9419"/>
      <w:bookmarkStart w:id="75" w:name="_Toc15396618"/>
      <w:r>
        <w:rPr>
          <w:rFonts w:hint="eastAsia" w:ascii="宋体" w:hAnsi="宋体" w:eastAsia="宋体" w:cs="宋体"/>
          <w:color w:val="auto"/>
          <w:kern w:val="0"/>
          <w:sz w:val="32"/>
          <w:szCs w:val="32"/>
          <w:highlight w:val="none"/>
          <w:lang w:val="en-US" w:eastAsia="zh-CN" w:bidi="ar-SA"/>
        </w:rPr>
        <w:t>部门预算项目支出绩效自评表（2022年度）</w:t>
      </w:r>
      <w:bookmarkEnd w:id="74"/>
    </w:p>
    <w:tbl>
      <w:tblPr>
        <w:tblStyle w:val="13"/>
        <w:tblpPr w:leftFromText="180" w:rightFromText="180" w:vertAnchor="text" w:horzAnchor="page" w:tblpXSpec="center" w:tblpY="674"/>
        <w:tblOverlap w:val="never"/>
        <w:tblW w:w="115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3"/>
        <w:gridCol w:w="1478"/>
        <w:gridCol w:w="1387"/>
        <w:gridCol w:w="1729"/>
        <w:gridCol w:w="509"/>
        <w:gridCol w:w="845"/>
        <w:gridCol w:w="756"/>
        <w:gridCol w:w="962"/>
        <w:gridCol w:w="576"/>
        <w:gridCol w:w="576"/>
        <w:gridCol w:w="20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11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广元市招生考试中心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及时足额发放工资，预算编制科学合理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逐月按时发放工资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61.70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61.70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61.70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61.70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61.70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61.70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工资性支出项目预算编制合理，能够保证逐月按时发放工资，项目自评得分100分。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项目负责人：刘丹</w:t>
            </w:r>
          </w:p>
        </w:tc>
        <w:tc>
          <w:tcPr>
            <w:tcW w:w="55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广元市招生考试中心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按时足额发放退休人员基础绩效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逐月按时发放工资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预算编制科学合理，能够逐月按时发放工资，项目自评得分100分。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项目负责人：刘丹</w:t>
            </w:r>
          </w:p>
        </w:tc>
        <w:tc>
          <w:tcPr>
            <w:tcW w:w="55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51080021T000000061119-考试工作经费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广元市招生考试中心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完成全年各项考试任务（普高、高职单招、成人高考、硕士研究生考试、自学考试、非学历教育考试、高中阶段学校考试）</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保质保量完成全年各项考试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按照全年考试工作安排，保质保量完成全年各项考试。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366.02</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153.38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41.90%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366.02</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153.38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41.90%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全年各项考试</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18项</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试卷保密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小时</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24小时</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标准化考点设置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8个</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按时完成各项考试</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持续推进平安健康考试</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学历和非学历考试</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良好</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99%以上</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考试相关支出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153.88万元</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2022年共组织实施考试18箱，全年考试试卷领返及保密室值守保密工作无任何纰漏，标准化考点使用正常，全年考试考生满意度达到了99%以上。自评得分97分。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绩效管理工作与预算编制工作衔接不到位，绩效目标设定需进一步细化，绩效评价结果运用有待加强。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1、进一步提高绩效目标设定的准确性、合理性。2、加强绩效监控，提高资金使用效能。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项目负责人：唐玉平</w:t>
            </w:r>
          </w:p>
        </w:tc>
        <w:tc>
          <w:tcPr>
            <w:tcW w:w="55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51080021T000000061381-中考制卷费及中考招生考试工作经费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广元市招生考试中心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保质保量完成中考制卷、阅卷、组考工作</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完成2022年中考制卷、组考、阅卷、录取等工作。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完成2022年中考制卷、组考、阅卷、录取等工作。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51.10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51.10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47.51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92.97%</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40.41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91.84%</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考生数量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47100人</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试卷数量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万份</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20.1万份</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试卷质量达标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万份</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20.1万份</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中考制卷、组考、阅卷、录取等</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51.1万元</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满足符合条件考生进入高级中学就读</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99%以上</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考生满意度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99.5%以上</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2022年中考按计划实施完成，达到预期目标，自评得分100分。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绩效管理工作与预算编制工作衔接不到位，绩效目标设定需进一步细化，绩效评价结果运用有待加强。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1、进一步提高绩效目标设定的准确性、合理性。2、加强绩效监控，提高资金使用效能。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项目负责人：李映梅</w:t>
            </w:r>
          </w:p>
        </w:tc>
        <w:tc>
          <w:tcPr>
            <w:tcW w:w="55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广元市招生考试中心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严格执行预算，保障单位日常运转。其他公用经费项目自评得分100分。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项目负责人：刘丹</w:t>
            </w:r>
          </w:p>
        </w:tc>
        <w:tc>
          <w:tcPr>
            <w:tcW w:w="55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广元市招生考试中心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预算编制科学合理，严格执行相关政策，保障工资及时发放、足额发放。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预算编制科学合理，严格执行相关政策，保障工资及时发放、足额发放。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87.44</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153.21</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153.21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87.44</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153.21</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153.21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预算编制科学合理，严格执行相关政策，保障工资及时发放、足额发放。项目自评得分100分。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项目负责人：刘丹</w:t>
            </w:r>
          </w:p>
        </w:tc>
        <w:tc>
          <w:tcPr>
            <w:tcW w:w="55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51080022T000004924027-乡村振兴工作经费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广元市招生考试中心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帮助木门镇石川村发展集体经济</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2022年完成对旺苍县木门镇石川村的乡村振兴帮扶工作。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一是驻村工作队员每季度入户对村民家庭情况进行了解，二是持续开展“以购代扶”，三是随困难群众进行帮扶，提升群众幸福指数。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座</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单位主要负责人每年调研</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让困难群众感受党的温暖</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户</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驻村工作队员年度考核</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良好</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驻村队员入户对村民家庭情况进行了解</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驻村工作队员生活补助及工作经费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18200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90%以上</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项目按预期目标完成，预算执行率100%，自评得分100分。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工作经费欠缺，帮扶措施还需进一步强化。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进一步提高绩效目标的准确性、合理性。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项目负责人：唐玉平</w:t>
            </w:r>
          </w:p>
        </w:tc>
        <w:tc>
          <w:tcPr>
            <w:tcW w:w="55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51080022T000004937358-云服务器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广元市招生考试中心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用于4万余人的高考中考报名数据存储、备份。</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用于4万余人的高考中考报名数据存储、备份。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用于4万余人的高考中考报名数据存储、备份。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云服务器购买服务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数据安全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数据存储空间及安全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预计在年内完成</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每年费用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11.33万元</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未通过验收，实际未支付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数据存储安全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高中低</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用于4万余人的高考中考报名数据存储、备份，持续使用中，由于暂未通过验收导致款项尚未支付。自评得分95分。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项目负责人：唐玉平</w:t>
            </w:r>
          </w:p>
        </w:tc>
        <w:tc>
          <w:tcPr>
            <w:tcW w:w="55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51080022T000004937364-保密室电梯安装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广元市招生考试中心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保密室加装货运平台</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2022年11月22日，项目建设完成，平台进行试运行。</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2022年12月27日，项目进行竣工验收，专家组一致意见，项目工程质量评定合格。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安装电梯数量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座（处）</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2022年6月底前完成</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安装电梯及配套土建工程</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15万元</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效果指标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试卷搬运安全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节省人工搬运支出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节省人工搬运</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货运平台已安装完成，项目自评得分100分。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绩效管理工作与预算编制工作衔接不到位，绩效目标设定需进一步细化，绩效评价结果运用有待加强。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1、进一步提高绩效目标设定的准确性、合理性。2、加强绩效监控，提高资金使用效能。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项目负责人：唐玉平</w:t>
            </w:r>
          </w:p>
        </w:tc>
        <w:tc>
          <w:tcPr>
            <w:tcW w:w="55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51080022T000005660842-考试中心公用经费财返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广元市招生考试中心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按资金科目支出</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按资金科目支出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按资金科目支出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0.16</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0.16</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0.16</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0.16</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按资金科目支出，自评得分100分。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项目负责人：刘丹</w:t>
            </w:r>
          </w:p>
        </w:tc>
        <w:tc>
          <w:tcPr>
            <w:tcW w:w="55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51080022T000006729638-教育收费-办公楼屋顶渗漏维修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广元市招生考试中心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办公楼屋顶渗漏维修</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办公楼屋顶加盖彩钢雨棚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办公楼屋顶渗漏维修，加盖彩钢雨棚。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29.08%</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29.08%</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办公楼屋顶</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座（处）</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2022年10月底前完成</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屋顶渗漏维修加盖彩钢雨棚</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3.78</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效果指标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确保屋顶不漏雨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确保办公楼长期使用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办公楼屋顶渗漏维修，加盖彩钢雨棚。项目自评得分100分。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项目负责人：唐玉平</w:t>
            </w:r>
          </w:p>
        </w:tc>
        <w:tc>
          <w:tcPr>
            <w:tcW w:w="55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广元市招生考试中心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14.08</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13.91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98.86%</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14.08</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13.91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98.86%</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提高预算编制质量，严格执行预算，保障单位日常运转。自评得分100分。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项目负责人：刘丹</w:t>
            </w:r>
          </w:p>
        </w:tc>
        <w:tc>
          <w:tcPr>
            <w:tcW w:w="55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广元市招生考试中心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基础绩效奖按时发放</w:t>
            </w:r>
          </w:p>
        </w:tc>
        <w:tc>
          <w:tcPr>
            <w:tcW w:w="41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基础绩效奖按时发放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基础绩效奖按时发放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10.34</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10.34</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及时发放、足额发放。项目自评得分100分。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项目负责人：刘丹</w:t>
            </w:r>
          </w:p>
        </w:tc>
        <w:tc>
          <w:tcPr>
            <w:tcW w:w="55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财务负责人：宋锋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1558"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1、报表说明:该报表查询项目信息、绩效目标信息、预算及执行情况，用于预算单位查询导出开展项目自评。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1558"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1558"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适用地区：全省范围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1558"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适用用户：部门用户、单位用户</w:t>
            </w:r>
          </w:p>
        </w:tc>
      </w:tr>
    </w:tbl>
    <w:p>
      <w:pPr>
        <w:spacing w:line="600" w:lineRule="exact"/>
        <w:jc w:val="left"/>
        <w:outlineLvl w:val="9"/>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bookmarkStart w:id="76" w:name="_Toc2676"/>
      <w:r>
        <w:rPr>
          <w:rFonts w:hint="eastAsia" w:ascii="黑体" w:hAnsi="黑体" w:eastAsia="黑体"/>
          <w:color w:val="auto"/>
          <w:sz w:val="44"/>
          <w:szCs w:val="44"/>
          <w:highlight w:val="none"/>
        </w:rPr>
        <w:t>第</w:t>
      </w:r>
      <w:r>
        <w:rPr>
          <w:rStyle w:val="25"/>
          <w:rFonts w:hint="eastAsia" w:ascii="黑体" w:hAnsi="黑体" w:eastAsia="黑体"/>
          <w:b w:val="0"/>
          <w:color w:val="auto"/>
          <w:highlight w:val="none"/>
        </w:rPr>
        <w:t>五部分 附表</w:t>
      </w:r>
      <w:bookmarkEnd w:id="71"/>
      <w:bookmarkEnd w:id="75"/>
      <w:bookmarkEnd w:id="76"/>
      <w:bookmarkStart w:id="77" w:name="_Toc15396619"/>
    </w:p>
    <w:p>
      <w:pPr>
        <w:pStyle w:val="4"/>
        <w:rPr>
          <w:rFonts w:ascii="仿宋" w:hAnsi="仿宋" w:eastAsia="仿宋"/>
          <w:color w:val="auto"/>
          <w:highlight w:val="none"/>
        </w:rPr>
      </w:pPr>
      <w:bookmarkStart w:id="78" w:name="_Toc24478"/>
      <w:r>
        <w:rPr>
          <w:rFonts w:hint="eastAsia" w:ascii="仿宋" w:hAnsi="仿宋" w:eastAsia="仿宋"/>
          <w:b w:val="0"/>
          <w:color w:val="auto"/>
          <w:highlight w:val="none"/>
        </w:rPr>
        <w:t>一、收</w:t>
      </w:r>
      <w:r>
        <w:rPr>
          <w:rStyle w:val="26"/>
          <w:rFonts w:hint="eastAsia" w:ascii="仿宋" w:hAnsi="仿宋" w:eastAsia="仿宋"/>
          <w:b w:val="0"/>
          <w:bCs w:val="0"/>
          <w:color w:val="auto"/>
          <w:highlight w:val="none"/>
        </w:rPr>
        <w:t>入支出决算总表</w:t>
      </w:r>
      <w:bookmarkEnd w:id="77"/>
      <w:bookmarkEnd w:id="78"/>
    </w:p>
    <w:p>
      <w:pPr>
        <w:pStyle w:val="4"/>
        <w:rPr>
          <w:rFonts w:ascii="仿宋" w:hAnsi="仿宋" w:eastAsia="仿宋"/>
          <w:color w:val="auto"/>
          <w:highlight w:val="none"/>
        </w:rPr>
      </w:pPr>
      <w:bookmarkStart w:id="79" w:name="_Toc15396620"/>
      <w:bookmarkStart w:id="80" w:name="_Toc20000"/>
      <w:r>
        <w:rPr>
          <w:rFonts w:hint="eastAsia" w:ascii="仿宋" w:hAnsi="仿宋" w:eastAsia="仿宋"/>
          <w:b w:val="0"/>
          <w:color w:val="auto"/>
          <w:highlight w:val="none"/>
        </w:rPr>
        <w:t>二、收</w:t>
      </w:r>
      <w:r>
        <w:rPr>
          <w:rStyle w:val="26"/>
          <w:rFonts w:hint="eastAsia" w:ascii="仿宋" w:hAnsi="仿宋" w:eastAsia="仿宋"/>
          <w:b w:val="0"/>
          <w:bCs w:val="0"/>
          <w:color w:val="auto"/>
          <w:highlight w:val="none"/>
        </w:rPr>
        <w:t>入决算表</w:t>
      </w:r>
      <w:bookmarkEnd w:id="79"/>
      <w:bookmarkEnd w:id="80"/>
    </w:p>
    <w:p>
      <w:pPr>
        <w:pStyle w:val="4"/>
        <w:rPr>
          <w:rFonts w:ascii="仿宋" w:hAnsi="仿宋" w:eastAsia="仿宋"/>
          <w:color w:val="auto"/>
          <w:highlight w:val="none"/>
        </w:rPr>
      </w:pPr>
      <w:bookmarkStart w:id="81" w:name="_Toc15396621"/>
      <w:bookmarkStart w:id="82" w:name="_Toc30537"/>
      <w:r>
        <w:rPr>
          <w:rStyle w:val="26"/>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6"/>
          <w:rFonts w:hint="eastAsia" w:ascii="仿宋" w:hAnsi="仿宋" w:eastAsia="仿宋"/>
          <w:b w:val="0"/>
          <w:bCs w:val="0"/>
          <w:color w:val="auto"/>
          <w:highlight w:val="none"/>
        </w:rPr>
        <w:t>出决算表</w:t>
      </w:r>
      <w:bookmarkEnd w:id="81"/>
      <w:bookmarkEnd w:id="82"/>
    </w:p>
    <w:p>
      <w:pPr>
        <w:pStyle w:val="4"/>
        <w:rPr>
          <w:rFonts w:ascii="仿宋" w:hAnsi="仿宋" w:eastAsia="仿宋"/>
          <w:b w:val="0"/>
          <w:color w:val="auto"/>
          <w:highlight w:val="none"/>
        </w:rPr>
      </w:pPr>
      <w:bookmarkStart w:id="83" w:name="_Toc8623"/>
      <w:bookmarkStart w:id="84" w:name="_Toc15396622"/>
      <w:r>
        <w:rPr>
          <w:rStyle w:val="26"/>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6"/>
          <w:rFonts w:hint="eastAsia" w:ascii="仿宋" w:hAnsi="仿宋" w:eastAsia="仿宋"/>
          <w:b w:val="0"/>
          <w:bCs w:val="0"/>
          <w:color w:val="auto"/>
          <w:highlight w:val="none"/>
        </w:rPr>
        <w:t>政拨款收入支出决算总表</w:t>
      </w:r>
      <w:bookmarkEnd w:id="83"/>
      <w:bookmarkEnd w:id="84"/>
    </w:p>
    <w:p>
      <w:pPr>
        <w:pStyle w:val="4"/>
        <w:rPr>
          <w:rStyle w:val="26"/>
          <w:rFonts w:ascii="仿宋" w:hAnsi="仿宋" w:eastAsia="仿宋"/>
          <w:b w:val="0"/>
          <w:bCs w:val="0"/>
          <w:color w:val="auto"/>
          <w:highlight w:val="none"/>
        </w:rPr>
      </w:pPr>
      <w:bookmarkStart w:id="85" w:name="_Toc25871"/>
      <w:bookmarkStart w:id="86" w:name="_Toc15396623"/>
      <w:r>
        <w:rPr>
          <w:rStyle w:val="26"/>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6"/>
          <w:rFonts w:hint="eastAsia" w:ascii="仿宋" w:hAnsi="仿宋" w:eastAsia="仿宋"/>
          <w:b w:val="0"/>
          <w:bCs w:val="0"/>
          <w:color w:val="auto"/>
          <w:highlight w:val="none"/>
        </w:rPr>
        <w:t>政拨款支出决算明细表</w:t>
      </w:r>
      <w:bookmarkEnd w:id="85"/>
      <w:bookmarkEnd w:id="86"/>
      <w:bookmarkStart w:id="87" w:name="_Toc15396624"/>
    </w:p>
    <w:p>
      <w:pPr>
        <w:pStyle w:val="4"/>
        <w:rPr>
          <w:rFonts w:ascii="仿宋" w:hAnsi="仿宋" w:eastAsia="仿宋"/>
          <w:color w:val="auto"/>
          <w:highlight w:val="none"/>
        </w:rPr>
      </w:pPr>
      <w:bookmarkStart w:id="88" w:name="_Toc30376"/>
      <w:r>
        <w:rPr>
          <w:rStyle w:val="26"/>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般公共预算财政拨款支出决算表</w:t>
      </w:r>
      <w:bookmarkEnd w:id="87"/>
      <w:bookmarkEnd w:id="88"/>
    </w:p>
    <w:p>
      <w:pPr>
        <w:pStyle w:val="4"/>
        <w:rPr>
          <w:rFonts w:ascii="仿宋" w:hAnsi="仿宋" w:eastAsia="仿宋"/>
          <w:color w:val="auto"/>
          <w:highlight w:val="none"/>
        </w:rPr>
      </w:pPr>
      <w:bookmarkStart w:id="89" w:name="_Toc1121"/>
      <w:bookmarkStart w:id="90" w:name="_Toc15396625"/>
      <w:r>
        <w:rPr>
          <w:rStyle w:val="26"/>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般公共预算财政拨款支出决算明细表</w:t>
      </w:r>
      <w:bookmarkEnd w:id="89"/>
      <w:bookmarkEnd w:id="90"/>
    </w:p>
    <w:p>
      <w:pPr>
        <w:pStyle w:val="4"/>
        <w:rPr>
          <w:rFonts w:ascii="仿宋" w:hAnsi="仿宋" w:eastAsia="仿宋"/>
          <w:color w:val="auto"/>
          <w:highlight w:val="none"/>
        </w:rPr>
      </w:pPr>
      <w:bookmarkStart w:id="91" w:name="_Toc15396626"/>
      <w:bookmarkStart w:id="92" w:name="_Toc21147"/>
      <w:r>
        <w:rPr>
          <w:rStyle w:val="26"/>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般公共预算财政拨款基本支出决算表</w:t>
      </w:r>
      <w:bookmarkEnd w:id="91"/>
      <w:bookmarkEnd w:id="92"/>
    </w:p>
    <w:p>
      <w:pPr>
        <w:pStyle w:val="4"/>
        <w:rPr>
          <w:rFonts w:ascii="仿宋" w:hAnsi="仿宋" w:eastAsia="仿宋"/>
          <w:color w:val="auto"/>
          <w:highlight w:val="none"/>
        </w:rPr>
      </w:pPr>
      <w:bookmarkStart w:id="93" w:name="_Toc15396627"/>
      <w:bookmarkStart w:id="94" w:name="_Toc1256"/>
      <w:r>
        <w:rPr>
          <w:rStyle w:val="26"/>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般公共预算财政拨款项目支出决算表</w:t>
      </w:r>
      <w:bookmarkEnd w:id="93"/>
      <w:bookmarkEnd w:id="94"/>
    </w:p>
    <w:p>
      <w:pPr>
        <w:pStyle w:val="4"/>
        <w:rPr>
          <w:rFonts w:ascii="仿宋" w:hAnsi="仿宋" w:eastAsia="仿宋"/>
          <w:color w:val="auto"/>
          <w:highlight w:val="none"/>
        </w:rPr>
      </w:pPr>
      <w:bookmarkStart w:id="95" w:name="_Toc15396628"/>
      <w:bookmarkStart w:id="96" w:name="_Toc19840"/>
      <w:r>
        <w:rPr>
          <w:rStyle w:val="26"/>
          <w:rFonts w:hint="eastAsia" w:ascii="仿宋" w:hAnsi="仿宋" w:eastAsia="仿宋"/>
          <w:b w:val="0"/>
          <w:bCs w:val="0"/>
          <w:color w:val="auto"/>
          <w:highlight w:val="none"/>
        </w:rPr>
        <w:t>十、</w:t>
      </w:r>
      <w:bookmarkEnd w:id="95"/>
      <w:r>
        <w:rPr>
          <w:rFonts w:hint="eastAsia" w:ascii="仿宋" w:hAnsi="仿宋" w:eastAsia="仿宋"/>
          <w:b w:val="0"/>
          <w:color w:val="auto"/>
          <w:highlight w:val="none"/>
        </w:rPr>
        <w:t>政</w:t>
      </w:r>
      <w:r>
        <w:rPr>
          <w:rStyle w:val="26"/>
          <w:rFonts w:hint="eastAsia" w:ascii="仿宋" w:hAnsi="仿宋" w:eastAsia="仿宋"/>
          <w:b w:val="0"/>
          <w:bCs w:val="0"/>
          <w:color w:val="auto"/>
          <w:highlight w:val="none"/>
        </w:rPr>
        <w:t>府性基金预算财政拨款收入支出决算表</w:t>
      </w:r>
      <w:bookmarkEnd w:id="96"/>
    </w:p>
    <w:p>
      <w:pPr>
        <w:pStyle w:val="4"/>
        <w:rPr>
          <w:rFonts w:ascii="仿宋" w:hAnsi="仿宋" w:eastAsia="仿宋"/>
          <w:color w:val="auto"/>
          <w:highlight w:val="none"/>
        </w:rPr>
      </w:pPr>
      <w:bookmarkStart w:id="97" w:name="_Toc15396629"/>
      <w:bookmarkStart w:id="98" w:name="_Toc29162"/>
      <w:r>
        <w:rPr>
          <w:rStyle w:val="26"/>
          <w:rFonts w:hint="eastAsia" w:ascii="仿宋" w:hAnsi="仿宋" w:eastAsia="仿宋"/>
          <w:b w:val="0"/>
          <w:bCs w:val="0"/>
          <w:color w:val="auto"/>
          <w:highlight w:val="none"/>
        </w:rPr>
        <w:t>十一、</w:t>
      </w:r>
      <w:bookmarkEnd w:id="97"/>
      <w:r>
        <w:rPr>
          <w:rFonts w:hint="eastAsia" w:ascii="仿宋" w:hAnsi="仿宋" w:eastAsia="仿宋"/>
          <w:b w:val="0"/>
          <w:color w:val="auto"/>
          <w:highlight w:val="none"/>
        </w:rPr>
        <w:t>国</w:t>
      </w:r>
      <w:r>
        <w:rPr>
          <w:rStyle w:val="26"/>
          <w:rFonts w:hint="eastAsia" w:ascii="仿宋" w:hAnsi="仿宋" w:eastAsia="仿宋"/>
          <w:b w:val="0"/>
          <w:bCs w:val="0"/>
          <w:color w:val="auto"/>
          <w:highlight w:val="none"/>
        </w:rPr>
        <w:t>有资本经营预算</w:t>
      </w:r>
      <w:r>
        <w:rPr>
          <w:rStyle w:val="26"/>
          <w:rFonts w:hint="eastAsia" w:ascii="仿宋" w:hAnsi="仿宋" w:eastAsia="仿宋"/>
          <w:b w:val="0"/>
          <w:bCs w:val="0"/>
          <w:color w:val="auto"/>
          <w:highlight w:val="none"/>
          <w:lang w:eastAsia="zh-CN"/>
        </w:rPr>
        <w:t>财政拨款收入</w:t>
      </w:r>
      <w:r>
        <w:rPr>
          <w:rStyle w:val="26"/>
          <w:rFonts w:hint="eastAsia" w:ascii="仿宋" w:hAnsi="仿宋" w:eastAsia="仿宋"/>
          <w:b w:val="0"/>
          <w:bCs w:val="0"/>
          <w:color w:val="auto"/>
          <w:highlight w:val="none"/>
        </w:rPr>
        <w:t>支出决算表</w:t>
      </w:r>
      <w:bookmarkEnd w:id="98"/>
    </w:p>
    <w:p>
      <w:pPr>
        <w:pStyle w:val="4"/>
        <w:rPr>
          <w:rFonts w:ascii="仿宋" w:hAnsi="仿宋" w:eastAsia="仿宋"/>
          <w:color w:val="auto"/>
          <w:highlight w:val="none"/>
        </w:rPr>
      </w:pPr>
      <w:bookmarkStart w:id="99" w:name="_Toc15396630"/>
      <w:bookmarkStart w:id="100" w:name="_Toc29704"/>
      <w:r>
        <w:rPr>
          <w:rStyle w:val="26"/>
          <w:rFonts w:hint="eastAsia" w:ascii="仿宋" w:hAnsi="仿宋" w:eastAsia="仿宋"/>
          <w:b w:val="0"/>
          <w:bCs w:val="0"/>
          <w:color w:val="auto"/>
          <w:highlight w:val="none"/>
        </w:rPr>
        <w:t>十二、</w:t>
      </w:r>
      <w:bookmarkEnd w:id="99"/>
      <w:r>
        <w:rPr>
          <w:rStyle w:val="26"/>
          <w:rFonts w:hint="eastAsia" w:ascii="仿宋" w:hAnsi="仿宋" w:eastAsia="仿宋"/>
          <w:b w:val="0"/>
          <w:bCs w:val="0"/>
          <w:color w:val="auto"/>
          <w:highlight w:val="none"/>
          <w:lang w:eastAsia="zh-CN"/>
        </w:rPr>
        <w:t>国有资本经营预算财政拨款支出决算表</w:t>
      </w:r>
      <w:bookmarkEnd w:id="100"/>
    </w:p>
    <w:p>
      <w:pPr>
        <w:pStyle w:val="4"/>
        <w:rPr>
          <w:rFonts w:hint="eastAsia" w:eastAsia="仿宋"/>
          <w:color w:val="auto"/>
          <w:highlight w:val="none"/>
          <w:lang w:eastAsia="zh-CN"/>
        </w:rPr>
      </w:pPr>
      <w:bookmarkStart w:id="101" w:name="_Toc15396631"/>
      <w:bookmarkStart w:id="102" w:name="_Toc8654"/>
      <w:r>
        <w:rPr>
          <w:rStyle w:val="26"/>
          <w:rFonts w:hint="eastAsia" w:ascii="仿宋" w:hAnsi="仿宋" w:eastAsia="仿宋"/>
          <w:b w:val="0"/>
          <w:bCs w:val="0"/>
          <w:color w:val="auto"/>
          <w:highlight w:val="none"/>
        </w:rPr>
        <w:t>十三、</w:t>
      </w:r>
      <w:bookmarkEnd w:id="101"/>
      <w:r>
        <w:rPr>
          <w:rStyle w:val="26"/>
          <w:rFonts w:hint="eastAsia" w:ascii="仿宋" w:hAnsi="仿宋" w:eastAsia="仿宋"/>
          <w:b w:val="0"/>
          <w:bCs w:val="0"/>
          <w:color w:val="auto"/>
          <w:highlight w:val="none"/>
          <w:lang w:eastAsia="zh-CN"/>
        </w:rPr>
        <w:t>财政拨款“三公”经费支出决算表</w:t>
      </w:r>
      <w:bookmarkEnd w:id="102"/>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8</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zMTU5NmIzMTdiYjAyM2ZjZDg3NzBhMmYyNDA5MD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416C"/>
    <w:rsid w:val="006A3141"/>
    <w:rsid w:val="006A5E34"/>
    <w:rsid w:val="006B2422"/>
    <w:rsid w:val="006B2B9A"/>
    <w:rsid w:val="006C1937"/>
    <w:rsid w:val="006F020C"/>
    <w:rsid w:val="007127B7"/>
    <w:rsid w:val="0071798E"/>
    <w:rsid w:val="007416B6"/>
    <w:rsid w:val="00746F48"/>
    <w:rsid w:val="0075404D"/>
    <w:rsid w:val="0076182A"/>
    <w:rsid w:val="00762B57"/>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581F"/>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601FA2"/>
    <w:rsid w:val="02B34880"/>
    <w:rsid w:val="037466D6"/>
    <w:rsid w:val="03F47612"/>
    <w:rsid w:val="04202A2B"/>
    <w:rsid w:val="048018C5"/>
    <w:rsid w:val="04E237A0"/>
    <w:rsid w:val="05173BCE"/>
    <w:rsid w:val="053A62B5"/>
    <w:rsid w:val="059C4381"/>
    <w:rsid w:val="059D1B6B"/>
    <w:rsid w:val="061E0862"/>
    <w:rsid w:val="06466F21"/>
    <w:rsid w:val="08574277"/>
    <w:rsid w:val="087543E6"/>
    <w:rsid w:val="09D07131"/>
    <w:rsid w:val="0A2032A3"/>
    <w:rsid w:val="0A3B602A"/>
    <w:rsid w:val="0A3C09E7"/>
    <w:rsid w:val="0A6B162D"/>
    <w:rsid w:val="0A995AA3"/>
    <w:rsid w:val="0B8A37D8"/>
    <w:rsid w:val="0B972142"/>
    <w:rsid w:val="0BEC2A24"/>
    <w:rsid w:val="0C0D0211"/>
    <w:rsid w:val="0CFC4099"/>
    <w:rsid w:val="0DBC4134"/>
    <w:rsid w:val="0ED144C9"/>
    <w:rsid w:val="0F071859"/>
    <w:rsid w:val="0F846F9A"/>
    <w:rsid w:val="0FC25F74"/>
    <w:rsid w:val="0FE929C2"/>
    <w:rsid w:val="10BB0921"/>
    <w:rsid w:val="10C055FF"/>
    <w:rsid w:val="110D27C4"/>
    <w:rsid w:val="118107EC"/>
    <w:rsid w:val="11DD6519"/>
    <w:rsid w:val="12737F72"/>
    <w:rsid w:val="12CF602F"/>
    <w:rsid w:val="12FA1064"/>
    <w:rsid w:val="133952E7"/>
    <w:rsid w:val="133C7BF1"/>
    <w:rsid w:val="146C7E38"/>
    <w:rsid w:val="14724151"/>
    <w:rsid w:val="14A958D6"/>
    <w:rsid w:val="15AA362E"/>
    <w:rsid w:val="16B247E7"/>
    <w:rsid w:val="16BB723D"/>
    <w:rsid w:val="17B600D7"/>
    <w:rsid w:val="18015F3F"/>
    <w:rsid w:val="190F3C15"/>
    <w:rsid w:val="19C04642"/>
    <w:rsid w:val="19C830BD"/>
    <w:rsid w:val="1BE8440E"/>
    <w:rsid w:val="1D155CEE"/>
    <w:rsid w:val="1D482567"/>
    <w:rsid w:val="1D852172"/>
    <w:rsid w:val="1DE35364"/>
    <w:rsid w:val="201C240B"/>
    <w:rsid w:val="20C52A70"/>
    <w:rsid w:val="20E23BE8"/>
    <w:rsid w:val="20F57F95"/>
    <w:rsid w:val="21106119"/>
    <w:rsid w:val="2316094A"/>
    <w:rsid w:val="232C02CB"/>
    <w:rsid w:val="232D3F47"/>
    <w:rsid w:val="240371BF"/>
    <w:rsid w:val="243A03CF"/>
    <w:rsid w:val="24831B68"/>
    <w:rsid w:val="249D2A4F"/>
    <w:rsid w:val="25711CC6"/>
    <w:rsid w:val="2581184A"/>
    <w:rsid w:val="25C741E6"/>
    <w:rsid w:val="26C974DF"/>
    <w:rsid w:val="27842671"/>
    <w:rsid w:val="27A346A4"/>
    <w:rsid w:val="289A1584"/>
    <w:rsid w:val="293919E6"/>
    <w:rsid w:val="29552E8A"/>
    <w:rsid w:val="29BA0A5C"/>
    <w:rsid w:val="29FD04D3"/>
    <w:rsid w:val="2ABE7A3E"/>
    <w:rsid w:val="2B934481"/>
    <w:rsid w:val="2C9D5CB6"/>
    <w:rsid w:val="2CA234A8"/>
    <w:rsid w:val="2D162B47"/>
    <w:rsid w:val="2EB25893"/>
    <w:rsid w:val="2EBC7EA6"/>
    <w:rsid w:val="2EFA178C"/>
    <w:rsid w:val="2F391FF4"/>
    <w:rsid w:val="30B46D73"/>
    <w:rsid w:val="31984AF4"/>
    <w:rsid w:val="319F7F4E"/>
    <w:rsid w:val="32141805"/>
    <w:rsid w:val="32AF4251"/>
    <w:rsid w:val="333A57FF"/>
    <w:rsid w:val="337F32D4"/>
    <w:rsid w:val="35D34B6A"/>
    <w:rsid w:val="363E0A24"/>
    <w:rsid w:val="36B84F28"/>
    <w:rsid w:val="376C4679"/>
    <w:rsid w:val="381766C7"/>
    <w:rsid w:val="383D272C"/>
    <w:rsid w:val="392477EF"/>
    <w:rsid w:val="39AE70AB"/>
    <w:rsid w:val="39CD580D"/>
    <w:rsid w:val="3B6D6265"/>
    <w:rsid w:val="3BBA5403"/>
    <w:rsid w:val="3C0C0783"/>
    <w:rsid w:val="3C0C6D00"/>
    <w:rsid w:val="3C9374E9"/>
    <w:rsid w:val="3CC07FDC"/>
    <w:rsid w:val="3D0B2C70"/>
    <w:rsid w:val="3D942EEF"/>
    <w:rsid w:val="3EF05E1E"/>
    <w:rsid w:val="3F7B4ADE"/>
    <w:rsid w:val="3F9F3A96"/>
    <w:rsid w:val="3FC07862"/>
    <w:rsid w:val="41085755"/>
    <w:rsid w:val="41E556C0"/>
    <w:rsid w:val="42190FA4"/>
    <w:rsid w:val="43E60F46"/>
    <w:rsid w:val="442063E9"/>
    <w:rsid w:val="45140D41"/>
    <w:rsid w:val="45D33070"/>
    <w:rsid w:val="468C486B"/>
    <w:rsid w:val="47C6724A"/>
    <w:rsid w:val="47E13E28"/>
    <w:rsid w:val="48A577B1"/>
    <w:rsid w:val="48B06522"/>
    <w:rsid w:val="48BF60AB"/>
    <w:rsid w:val="493C27E9"/>
    <w:rsid w:val="496F39ED"/>
    <w:rsid w:val="497A35C1"/>
    <w:rsid w:val="49AA7D4D"/>
    <w:rsid w:val="49FF41D3"/>
    <w:rsid w:val="4A625B73"/>
    <w:rsid w:val="4B3F3446"/>
    <w:rsid w:val="4BA82342"/>
    <w:rsid w:val="4BE068DB"/>
    <w:rsid w:val="4BF6002B"/>
    <w:rsid w:val="4C6D0600"/>
    <w:rsid w:val="4CF27CE8"/>
    <w:rsid w:val="4D265D4B"/>
    <w:rsid w:val="4DA565E2"/>
    <w:rsid w:val="4DC0002E"/>
    <w:rsid w:val="4DC96E0B"/>
    <w:rsid w:val="4DD233D6"/>
    <w:rsid w:val="4E152DEB"/>
    <w:rsid w:val="4ECE2238"/>
    <w:rsid w:val="4EE2424E"/>
    <w:rsid w:val="508E5271"/>
    <w:rsid w:val="50DF174E"/>
    <w:rsid w:val="50F15723"/>
    <w:rsid w:val="50F27700"/>
    <w:rsid w:val="51607ABD"/>
    <w:rsid w:val="51856A27"/>
    <w:rsid w:val="51AC1604"/>
    <w:rsid w:val="51DB4B86"/>
    <w:rsid w:val="52297FE7"/>
    <w:rsid w:val="526D4887"/>
    <w:rsid w:val="52A34DBD"/>
    <w:rsid w:val="5377455D"/>
    <w:rsid w:val="539C03CA"/>
    <w:rsid w:val="540062AF"/>
    <w:rsid w:val="55333C3E"/>
    <w:rsid w:val="5688256E"/>
    <w:rsid w:val="56A26237"/>
    <w:rsid w:val="584B534E"/>
    <w:rsid w:val="5909025B"/>
    <w:rsid w:val="5AEF065A"/>
    <w:rsid w:val="5AFE03F8"/>
    <w:rsid w:val="5B660897"/>
    <w:rsid w:val="5CD96586"/>
    <w:rsid w:val="5CE90109"/>
    <w:rsid w:val="5D764869"/>
    <w:rsid w:val="5DA819EF"/>
    <w:rsid w:val="5E0B076F"/>
    <w:rsid w:val="5EC941F0"/>
    <w:rsid w:val="5F09729D"/>
    <w:rsid w:val="5F0E0653"/>
    <w:rsid w:val="603A5864"/>
    <w:rsid w:val="608D557F"/>
    <w:rsid w:val="60A9634E"/>
    <w:rsid w:val="60C26AB7"/>
    <w:rsid w:val="60D5135F"/>
    <w:rsid w:val="616A5EEF"/>
    <w:rsid w:val="61B9619D"/>
    <w:rsid w:val="62671114"/>
    <w:rsid w:val="627146EA"/>
    <w:rsid w:val="628C7310"/>
    <w:rsid w:val="631C5599"/>
    <w:rsid w:val="63733BBB"/>
    <w:rsid w:val="64B247D2"/>
    <w:rsid w:val="64CA39A1"/>
    <w:rsid w:val="67FF291D"/>
    <w:rsid w:val="69630ADE"/>
    <w:rsid w:val="6A47796A"/>
    <w:rsid w:val="6AE5145E"/>
    <w:rsid w:val="6BBA63E3"/>
    <w:rsid w:val="6C4A05C8"/>
    <w:rsid w:val="6D3B1A89"/>
    <w:rsid w:val="6DD42C7A"/>
    <w:rsid w:val="6E215F86"/>
    <w:rsid w:val="6F830E9A"/>
    <w:rsid w:val="700E0844"/>
    <w:rsid w:val="710B3DDB"/>
    <w:rsid w:val="71264AC9"/>
    <w:rsid w:val="719C7100"/>
    <w:rsid w:val="71BA65D4"/>
    <w:rsid w:val="71BF4EC2"/>
    <w:rsid w:val="72734D90"/>
    <w:rsid w:val="728B5E60"/>
    <w:rsid w:val="7412278C"/>
    <w:rsid w:val="766B1FE6"/>
    <w:rsid w:val="7674468C"/>
    <w:rsid w:val="77F00E8E"/>
    <w:rsid w:val="787D4B19"/>
    <w:rsid w:val="78823DAF"/>
    <w:rsid w:val="78896EF4"/>
    <w:rsid w:val="7904082E"/>
    <w:rsid w:val="791D1487"/>
    <w:rsid w:val="7920729A"/>
    <w:rsid w:val="798017DD"/>
    <w:rsid w:val="798F3136"/>
    <w:rsid w:val="79E7B28D"/>
    <w:rsid w:val="7B002F11"/>
    <w:rsid w:val="7BA31537"/>
    <w:rsid w:val="7BC33679"/>
    <w:rsid w:val="7C5646E3"/>
    <w:rsid w:val="7C9E6FD5"/>
    <w:rsid w:val="7D866757"/>
    <w:rsid w:val="7E10539B"/>
    <w:rsid w:val="7E460704"/>
    <w:rsid w:val="7E567A99"/>
    <w:rsid w:val="7E6A61D3"/>
    <w:rsid w:val="7F9F20EE"/>
    <w:rsid w:val="7FCE730D"/>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0"/>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0"/>
    <w:rPr>
      <w:sz w:val="24"/>
    </w:r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semiHidden/>
    <w:qFormat/>
    <w:uiPriority w:val="99"/>
    <w:rPr>
      <w:rFonts w:ascii="Times New Roman" w:hAnsi="Times New Roman"/>
      <w:sz w:val="18"/>
      <w:szCs w:val="18"/>
    </w:rPr>
  </w:style>
  <w:style w:type="character" w:customStyle="1" w:styleId="18">
    <w:name w:val="页眉 Char"/>
    <w:link w:val="9"/>
    <w:semiHidden/>
    <w:qFormat/>
    <w:locked/>
    <w:uiPriority w:val="99"/>
    <w:rPr>
      <w:sz w:val="18"/>
    </w:rPr>
  </w:style>
  <w:style w:type="character" w:customStyle="1" w:styleId="19">
    <w:name w:val="Footer Char"/>
    <w:basedOn w:val="14"/>
    <w:semiHidden/>
    <w:qFormat/>
    <w:uiPriority w:val="99"/>
    <w:rPr>
      <w:rFonts w:ascii="Times New Roman" w:hAnsi="Times New Roman"/>
      <w:sz w:val="18"/>
      <w:szCs w:val="18"/>
    </w:rPr>
  </w:style>
  <w:style w:type="character" w:customStyle="1" w:styleId="20">
    <w:name w:val="页脚 Char"/>
    <w:link w:val="8"/>
    <w:qFormat/>
    <w:locked/>
    <w:uiPriority w:val="99"/>
    <w:rPr>
      <w:sz w:val="18"/>
    </w:rPr>
  </w:style>
  <w:style w:type="character" w:customStyle="1" w:styleId="21">
    <w:name w:val="Body Text Char"/>
    <w:basedOn w:val="14"/>
    <w:semiHidden/>
    <w:qFormat/>
    <w:uiPriority w:val="99"/>
    <w:rPr>
      <w:rFonts w:ascii="Times New Roman" w:hAnsi="Times New Roman"/>
      <w:szCs w:val="24"/>
    </w:rPr>
  </w:style>
  <w:style w:type="character" w:customStyle="1" w:styleId="22">
    <w:name w:val="正文文本 Char"/>
    <w:link w:val="2"/>
    <w:qFormat/>
    <w:locked/>
    <w:uiPriority w:val="99"/>
    <w:rPr>
      <w:rFonts w:ascii="仿宋_GB2312" w:hAnsi="Times New Roman" w:eastAsia="仿宋_GB2312"/>
      <w:sz w:val="24"/>
    </w:rPr>
  </w:style>
  <w:style w:type="paragraph" w:customStyle="1" w:styleId="2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标题 1 Char"/>
    <w:basedOn w:val="14"/>
    <w:link w:val="3"/>
    <w:qFormat/>
    <w:uiPriority w:val="9"/>
    <w:rPr>
      <w:rFonts w:ascii="Times New Roman" w:hAnsi="Times New Roman"/>
      <w:b/>
      <w:bCs/>
      <w:kern w:val="44"/>
      <w:sz w:val="44"/>
      <w:szCs w:val="44"/>
    </w:rPr>
  </w:style>
  <w:style w:type="character" w:customStyle="1" w:styleId="26">
    <w:name w:val="标题 2 Char"/>
    <w:basedOn w:val="14"/>
    <w:link w:val="4"/>
    <w:qFormat/>
    <w:uiPriority w:val="9"/>
    <w:rPr>
      <w:rFonts w:asciiTheme="majorHAnsi" w:hAnsiTheme="majorHAnsi" w:eastAsiaTheme="majorEastAsia" w:cstheme="majorBidi"/>
      <w:b/>
      <w:bCs/>
      <w:kern w:val="2"/>
      <w:sz w:val="32"/>
      <w:szCs w:val="32"/>
    </w:r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4"/>
    <w:link w:val="7"/>
    <w:semiHidden/>
    <w:qFormat/>
    <w:uiPriority w:val="99"/>
    <w:rPr>
      <w:rFonts w:ascii="Times New Roman" w:hAnsi="Times New Roman"/>
      <w:kern w:val="2"/>
      <w:sz w:val="18"/>
      <w:szCs w:val="18"/>
    </w:rPr>
  </w:style>
  <w:style w:type="character" w:customStyle="1" w:styleId="29">
    <w:name w:val="标题 3 Char"/>
    <w:basedOn w:val="14"/>
    <w:link w:val="5"/>
    <w:qFormat/>
    <w:uiPriority w:val="9"/>
    <w:rPr>
      <w:rFonts w:ascii="Times New Roman" w:hAnsi="Times New Roman"/>
      <w:b/>
      <w:bCs/>
      <w:kern w:val="2"/>
      <w:sz w:val="32"/>
      <w:szCs w:val="32"/>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uiPriority w:val="0"/>
    <w:pPr>
      <w:ind w:leftChars="0"/>
    </w:pPr>
    <w:rPr>
      <w:rFonts w:ascii="Calibri" w:hAnsi="Calibri" w:eastAsia="宋体" w:cs="Times New Roman"/>
      <w:sz w:val="20"/>
      <w:szCs w:val="20"/>
    </w:rPr>
  </w:style>
  <w:style w:type="paragraph" w:customStyle="1" w:styleId="32">
    <w:name w:val="WPSOffice手动目录 2"/>
    <w:uiPriority w:val="0"/>
    <w:pPr>
      <w:ind w:leftChars="200"/>
    </w:pPr>
    <w:rPr>
      <w:rFonts w:ascii="Calibri" w:hAnsi="Calibri" w:eastAsia="宋体" w:cs="Times New Roman"/>
      <w:sz w:val="20"/>
      <w:szCs w:val="20"/>
    </w:rPr>
  </w:style>
  <w:style w:type="character" w:customStyle="1" w:styleId="33">
    <w:name w:val="10"/>
    <w:basedOn w:val="14"/>
    <w:uiPriority w:val="0"/>
    <w:rPr>
      <w:rFonts w:hint="default" w:ascii="Times New Roman" w:hAnsi="Times New Roman" w:cs="Times New Roman"/>
      <w:sz w:val="24"/>
      <w:szCs w:val="24"/>
    </w:rPr>
  </w:style>
  <w:style w:type="character" w:customStyle="1" w:styleId="34">
    <w:name w:val="15"/>
    <w:basedOn w:val="14"/>
    <w:uiPriority w:val="0"/>
    <w:rPr>
      <w:rFonts w:hint="default" w:ascii="Times New Roman" w:hAnsi="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istrator\&#26700;&#38754;\&#30011;&#22270;.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Documents%20and%20Settings\Administrator\&#26700;&#38754;\&#30011;&#22270;.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Documents%20and%20Settings\Administrator\&#26700;&#38754;\&#30011;&#22270;.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Administrator\&#26700;&#38754;\&#30011;&#22270;.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Administrator\&#26700;&#38754;\&#30011;&#22270;.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Administrator\&#26700;&#38754;\&#30011;&#22270;.xls"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Documents%20and%20Settings\Administrator\&#26700;&#38754;\&#30011;&#2227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tx1"/>
                </a:solidFill>
                <a:latin typeface="+mn-lt"/>
                <a:ea typeface="+mn-ea"/>
                <a:cs typeface="+mn-cs"/>
              </a:defRPr>
            </a:pPr>
            <a:r>
              <a:t>收、支决算总计变动情况表</a:t>
            </a:r>
          </a:p>
        </c:rich>
      </c:tx>
      <c:layout/>
      <c:overlay val="0"/>
    </c:title>
    <c:autoTitleDeleted val="0"/>
    <c:plotArea>
      <c:layout/>
      <c:barChart>
        <c:barDir val="col"/>
        <c:grouping val="clustered"/>
        <c:varyColors val="0"/>
        <c:ser>
          <c:idx val="0"/>
          <c:order val="0"/>
          <c:spPr>
            <a:solidFill>
              <a:srgbClr val="FF0000"/>
            </a:solidFill>
          </c:spPr>
          <c:invertIfNegative val="0"/>
          <c:dPt>
            <c:idx val="0"/>
            <c:invertIfNegative val="0"/>
            <c:bubble3D val="0"/>
            <c:spPr>
              <a:solidFill>
                <a:srgbClr val="92D050"/>
              </a:solidFill>
            </c:spPr>
          </c:dPt>
          <c:dPt>
            <c:idx val="1"/>
            <c:invertIfNegative val="0"/>
            <c:bubble3D val="0"/>
            <c:spPr>
              <a:solidFill>
                <a:srgbClr val="00B0F0"/>
              </a:solidFill>
            </c:spPr>
          </c:dPt>
          <c:dLbls>
            <c:dLbl>
              <c:idx val="2"/>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zh-CN"/>
                      <a:t>45.4</a:t>
                    </a:r>
                    <a:r>
                      <a:rPr altLang="en-US"/>
                      <a:t>万元</a:t>
                    </a:r>
                    <a:endParaRPr altLang="en-US"/>
                  </a:p>
                </c:rich>
              </c:tx>
              <c:dLblPos val="outEnd"/>
              <c:showLegendKey val="0"/>
              <c:showVal val="1"/>
              <c:showCatName val="0"/>
              <c:showSerName val="0"/>
              <c:showPercent val="0"/>
              <c:showBubbleSize val="0"/>
              <c:extLst>
                <c:ext xmlns:c15="http://schemas.microsoft.com/office/drawing/2012/chart" uri="{CE6537A1-D6FC-4f65-9D91-7224C49458BB}"/>
              </c:extLst>
            </c:dLbl>
            <c:numFmt formatCode="000.00&quot;万&quot;&quot;元&quot;"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[画图.xls]Sheet1!$I$24:$I$26</c:f>
              <c:strCache>
                <c:ptCount val="3"/>
                <c:pt idx="0">
                  <c:v>2022年度</c:v>
                </c:pt>
                <c:pt idx="1">
                  <c:v>2021年度</c:v>
                </c:pt>
                <c:pt idx="2">
                  <c:v>2022年相比2021年增加</c:v>
                </c:pt>
              </c:strCache>
            </c:strRef>
          </c:cat>
          <c:val>
            <c:numRef>
              <c:f>[画图.xls]Sheet1!$J$24:$J$26</c:f>
              <c:numCache>
                <c:formatCode>General</c:formatCode>
                <c:ptCount val="3"/>
                <c:pt idx="0">
                  <c:v>461.21</c:v>
                </c:pt>
                <c:pt idx="1">
                  <c:v>415.81</c:v>
                </c:pt>
                <c:pt idx="2">
                  <c:v>45.4</c:v>
                </c:pt>
              </c:numCache>
            </c:numRef>
          </c:val>
        </c:ser>
        <c:dLbls>
          <c:showLegendKey val="0"/>
          <c:showVal val="1"/>
          <c:showCatName val="0"/>
          <c:showSerName val="0"/>
          <c:showPercent val="0"/>
          <c:showBubbleSize val="0"/>
        </c:dLbls>
        <c:gapWidth val="150"/>
        <c:axId val="99361536"/>
        <c:axId val="99363072"/>
      </c:barChart>
      <c:catAx>
        <c:axId val="9936153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99363072"/>
        <c:crosses val="autoZero"/>
        <c:auto val="1"/>
        <c:lblAlgn val="ctr"/>
        <c:lblOffset val="100"/>
        <c:noMultiLvlLbl val="0"/>
      </c:catAx>
      <c:valAx>
        <c:axId val="99363072"/>
        <c:scaling>
          <c:orientation val="minMax"/>
          <c:min val="0"/>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99361536"/>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2200" b="1"/>
              <a:t>收入决算结构图</a:t>
            </a:r>
            <a:endParaRPr sz="2200" b="1"/>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[画图.xls]Sheet1!$B$28:$B$29</c:f>
              <c:strCache>
                <c:ptCount val="2"/>
                <c:pt idx="0">
                  <c:v>一般公共预算财政拨款收入 263.48万元</c:v>
                </c:pt>
                <c:pt idx="1">
                  <c:v>事业收入197.57万元</c:v>
                </c:pt>
              </c:strCache>
            </c:strRef>
          </c:cat>
          <c:val>
            <c:numRef>
              <c:f>[画图.xls]Sheet1!$C$28:$C$29</c:f>
              <c:numCache>
                <c:formatCode>General</c:formatCode>
                <c:ptCount val="2"/>
                <c:pt idx="0">
                  <c:v>263.48</c:v>
                </c:pt>
                <c:pt idx="1">
                  <c:v>197.57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1000" b="0" i="0" u="none" strike="noStrike" kern="1200" cap="none" spc="0" normalizeH="0" baseline="0">
                <a:solidFill>
                  <a:schemeClr val="tx1">
                    <a:lumMod val="65000"/>
                    <a:lumOff val="35000"/>
                  </a:schemeClr>
                </a:solidFill>
                <a:uFill>
                  <a:solidFill>
                    <a:schemeClr val="tx1">
                      <a:lumMod val="65000"/>
                      <a:lumOff val="35000"/>
                    </a:schemeClr>
                  </a:solidFill>
                </a:u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cap="none" spc="0" normalizeH="0" baseline="0">
                <a:solidFill>
                  <a:schemeClr val="tx1">
                    <a:lumMod val="65000"/>
                    <a:lumOff val="35000"/>
                  </a:schemeClr>
                </a:solidFill>
                <a:uFill>
                  <a:solidFill>
                    <a:schemeClr val="tx1">
                      <a:lumMod val="65000"/>
                      <a:lumOff val="35000"/>
                    </a:schemeClr>
                  </a:solidFill>
                </a:u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cap="none" spc="0" normalizeH="0" baseline="0">
              <a:solidFill>
                <a:schemeClr val="tx1">
                  <a:lumMod val="65000"/>
                  <a:lumOff val="35000"/>
                </a:schemeClr>
              </a:solidFill>
              <a:uFill>
                <a:solidFill>
                  <a:schemeClr val="tx1">
                    <a:lumMod val="65000"/>
                    <a:lumOff val="35000"/>
                  </a:schemeClr>
                </a:solidFill>
              </a:u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800"/>
              <a:t>支出决算结构图</a:t>
            </a:r>
            <a:endParaRPr sz="1800"/>
          </a:p>
        </c:rich>
      </c:tx>
      <c:layout>
        <c:manualLayout>
          <c:xMode val="edge"/>
          <c:yMode val="edge"/>
          <c:x val="0.341245229007634"/>
          <c:y val="0.02031340684852"/>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[画图.xls]Sheet1!$B$53:$B$54</c:f>
              <c:strCache>
                <c:ptCount val="2"/>
                <c:pt idx="0">
                  <c:v>基本支出 257.81万元</c:v>
                </c:pt>
                <c:pt idx="1">
                  <c:v>项目支出 192.6万元</c:v>
                </c:pt>
              </c:strCache>
            </c:strRef>
          </c:cat>
          <c:val>
            <c:numRef>
              <c:f>[画图.xls]Sheet1!$C$53:$C$54</c:f>
              <c:numCache>
                <c:formatCode>General</c:formatCode>
                <c:ptCount val="2"/>
                <c:pt idx="0">
                  <c:v>257.81</c:v>
                </c:pt>
                <c:pt idx="1">
                  <c:v>192.6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tx1"/>
                </a:solidFill>
                <a:latin typeface="+mn-lt"/>
                <a:ea typeface="+mn-ea"/>
                <a:cs typeface="+mn-cs"/>
              </a:defRPr>
            </a:pPr>
            <a:r>
              <a:t>财政拨款收、支决算总计变动情况</a:t>
            </a:r>
          </a:p>
        </c:rich>
      </c:tx>
      <c:layout/>
      <c:overlay val="0"/>
    </c:title>
    <c:autoTitleDeleted val="0"/>
    <c:plotArea>
      <c:layout/>
      <c:barChart>
        <c:barDir val="col"/>
        <c:grouping val="clustered"/>
        <c:varyColors val="0"/>
        <c:ser>
          <c:idx val="0"/>
          <c:order val="0"/>
          <c:spPr>
            <a:solidFill>
              <a:srgbClr val="FF0000"/>
            </a:solidFill>
          </c:spPr>
          <c:invertIfNegative val="0"/>
          <c:dPt>
            <c:idx val="0"/>
            <c:invertIfNegative val="0"/>
            <c:bubble3D val="0"/>
            <c:spPr>
              <a:solidFill>
                <a:srgbClr val="92D050"/>
              </a:solidFill>
            </c:spPr>
          </c:dPt>
          <c:dPt>
            <c:idx val="1"/>
            <c:invertIfNegative val="0"/>
            <c:bubble3D val="0"/>
            <c:spPr>
              <a:solidFill>
                <a:srgbClr val="00B0F0"/>
              </a:solidFill>
            </c:spPr>
          </c:dPt>
          <c:dLbls>
            <c:dLbl>
              <c:idx val="2"/>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zh-CN"/>
                      <a:t>76.34</a:t>
                    </a:r>
                    <a:r>
                      <a:rPr lang="zh-CN" altLang="en-US"/>
                      <a:t>万元</a:t>
                    </a:r>
                    <a:endParaRPr lang="zh-CN" altLang="en-US"/>
                  </a:p>
                </c:rich>
              </c:tx>
              <c:dLblPos val="outEnd"/>
              <c:showLegendKey val="0"/>
              <c:showVal val="1"/>
              <c:showCatName val="0"/>
              <c:showSerName val="0"/>
              <c:showPercent val="0"/>
              <c:showBubbleSize val="0"/>
              <c:extLst>
                <c:ext xmlns:c15="http://schemas.microsoft.com/office/drawing/2012/chart" uri="{CE6537A1-D6FC-4f65-9D91-7224C49458BB}"/>
              </c:extLst>
            </c:dLbl>
            <c:numFmt formatCode="000.00&quot;万&quot;&quot;元&quot;"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[画图.xls]Sheet1!$B$73:$B$75</c:f>
              <c:strCache>
                <c:ptCount val="3"/>
                <c:pt idx="0">
                  <c:v>2022年度</c:v>
                </c:pt>
                <c:pt idx="1">
                  <c:v>2021年度</c:v>
                </c:pt>
                <c:pt idx="2">
                  <c:v>2022年度相比2021年度增加</c:v>
                </c:pt>
              </c:strCache>
            </c:strRef>
          </c:cat>
          <c:val>
            <c:numRef>
              <c:f>[画图.xls]Sheet1!$C$73:$C$75</c:f>
              <c:numCache>
                <c:formatCode>General</c:formatCode>
                <c:ptCount val="3"/>
                <c:pt idx="0">
                  <c:v>263.64</c:v>
                </c:pt>
                <c:pt idx="1">
                  <c:v>187.3</c:v>
                </c:pt>
                <c:pt idx="2">
                  <c:v>76.34</c:v>
                </c:pt>
              </c:numCache>
            </c:numRef>
          </c:val>
        </c:ser>
        <c:dLbls>
          <c:showLegendKey val="0"/>
          <c:showVal val="1"/>
          <c:showCatName val="0"/>
          <c:showSerName val="0"/>
          <c:showPercent val="0"/>
          <c:showBubbleSize val="0"/>
        </c:dLbls>
        <c:gapWidth val="150"/>
        <c:axId val="99361536"/>
        <c:axId val="99363072"/>
      </c:barChart>
      <c:catAx>
        <c:axId val="9936153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99363072"/>
        <c:crosses val="autoZero"/>
        <c:auto val="1"/>
        <c:lblAlgn val="ctr"/>
        <c:lblOffset val="100"/>
        <c:noMultiLvlLbl val="0"/>
      </c:catAx>
      <c:valAx>
        <c:axId val="99363072"/>
        <c:scaling>
          <c:orientation val="minMax"/>
          <c:min val="0"/>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99361536"/>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tx1"/>
                </a:solidFill>
                <a:latin typeface="+mn-lt"/>
                <a:ea typeface="+mn-ea"/>
                <a:cs typeface="+mn-cs"/>
              </a:defRPr>
            </a:pPr>
            <a:r>
              <a:t>一般公共预算财政拨款支出决算</a:t>
            </a:r>
          </a:p>
          <a:p>
            <a:pPr defTabSz="914400">
              <a:defRPr lang="zh-CN" sz="1800" b="1" i="0" u="none" strike="noStrike" kern="1200" baseline="0">
                <a:solidFill>
                  <a:schemeClr val="tx1"/>
                </a:solidFill>
                <a:latin typeface="+mn-lt"/>
                <a:ea typeface="+mn-ea"/>
                <a:cs typeface="+mn-cs"/>
              </a:defRPr>
            </a:pPr>
            <a:r>
              <a:t>变动情况</a:t>
            </a:r>
          </a:p>
        </c:rich>
      </c:tx>
      <c:layout/>
      <c:overlay val="0"/>
    </c:title>
    <c:autoTitleDeleted val="0"/>
    <c:plotArea>
      <c:layout/>
      <c:barChart>
        <c:barDir val="col"/>
        <c:grouping val="stacked"/>
        <c:varyColors val="0"/>
        <c:ser>
          <c:idx val="0"/>
          <c:order val="0"/>
          <c:invertIfNegative val="0"/>
          <c:dPt>
            <c:idx val="0"/>
            <c:invertIfNegative val="0"/>
            <c:bubble3D val="0"/>
            <c:spPr>
              <a:solidFill>
                <a:schemeClr val="accent3"/>
              </a:solidFill>
            </c:spPr>
          </c:dPt>
          <c:dPt>
            <c:idx val="1"/>
            <c:invertIfNegative val="0"/>
            <c:bubble3D val="0"/>
            <c:spPr>
              <a:solidFill>
                <a:schemeClr val="accent1"/>
              </a:solidFill>
            </c:spPr>
          </c:dPt>
          <c:dPt>
            <c:idx val="2"/>
            <c:invertIfNegative val="0"/>
            <c:bubble3D val="0"/>
            <c:spPr>
              <a:solidFill>
                <a:srgbClr val="CE292F"/>
              </a:solidFill>
            </c:spPr>
          </c:dPt>
          <c:dLbls>
            <c:dLbl>
              <c:idx val="0"/>
              <c:layout>
                <c:manualLayout>
                  <c:x val="-0.00180657593640853"/>
                  <c:y val="-0.213224724484907"/>
                </c:manualLayout>
              </c:layout>
              <c:tx>
                <c:rich>
                  <a:bodyPr rot="0" spcFirstLastPara="0" vertOverflow="ellipsis" vert="horz" wrap="square" lIns="38100" tIns="19050" rIns="38100" bIns="19050" anchor="t" anchorCtr="0"/>
                  <a:lstStyle/>
                  <a:p>
                    <a:pPr defTabSz="914400">
                      <a:defRPr lang="zh-CN" sz="1000" b="0" i="0" u="none" strike="noStrike" kern="1200" baseline="0">
                        <a:solidFill>
                          <a:schemeClr val="tx1"/>
                        </a:solidFill>
                        <a:latin typeface="+mn-lt"/>
                        <a:ea typeface="+mn-ea"/>
                        <a:cs typeface="+mn-cs"/>
                      </a:defRPr>
                    </a:pPr>
                    <a:r>
                      <a:t>252.84万元</a:t>
                    </a:r>
                  </a:p>
                </c:rich>
              </c:tx>
              <c:dLblPos val="ct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180657593640853"/>
                  <c:y val="-0.172496406324868"/>
                </c:manualLayout>
              </c:layout>
              <c:tx>
                <c:rich>
                  <a:bodyPr rot="0" spcFirstLastPara="0" vertOverflow="ellipsis" vert="horz" wrap="square" lIns="38100" tIns="19050" rIns="38100" bIns="19050" anchor="t" anchorCtr="0"/>
                  <a:lstStyle/>
                  <a:p>
                    <a:pPr defTabSz="914400">
                      <a:defRPr lang="zh-CN" sz="1000" b="0" i="0" u="none" strike="noStrike" kern="1200" baseline="0">
                        <a:solidFill>
                          <a:schemeClr val="tx1"/>
                        </a:solidFill>
                        <a:latin typeface="+mn-lt"/>
                        <a:ea typeface="+mn-ea"/>
                        <a:cs typeface="+mn-cs"/>
                      </a:defRPr>
                    </a:pPr>
                    <a:r>
                      <a:t>187.14万元</a:t>
                    </a:r>
                  </a:p>
                </c:rich>
              </c:tx>
              <c:dLblPos val="ct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180657593640853"/>
                  <c:y val="-0.0766650694777192"/>
                </c:manualLayout>
              </c:layout>
              <c:tx>
                <c:rich>
                  <a:bodyPr rot="0" spcFirstLastPara="0" vertOverflow="ellipsis" vert="horz" wrap="square" lIns="38100" tIns="19050" rIns="38100" bIns="19050" anchor="t" anchorCtr="0"/>
                  <a:lstStyle/>
                  <a:p>
                    <a:pPr defTabSz="914400">
                      <a:defRPr lang="zh-CN" sz="1000" b="0" i="0" u="none" strike="noStrike" kern="1200" baseline="0">
                        <a:solidFill>
                          <a:schemeClr val="tx1"/>
                        </a:solidFill>
                        <a:latin typeface="+mn-lt"/>
                        <a:ea typeface="+mn-ea"/>
                        <a:cs typeface="+mn-cs"/>
                      </a:defRPr>
                    </a:pPr>
                    <a:r>
                      <a:t>65.7万元</a:t>
                    </a:r>
                  </a:p>
                </c:rich>
              </c:tx>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t" anchorCtr="0"/>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[画图.xls]Sheet1!$B$95:$B$97</c:f>
              <c:strCache>
                <c:ptCount val="3"/>
                <c:pt idx="0">
                  <c:v>2022年度</c:v>
                </c:pt>
                <c:pt idx="1">
                  <c:v>2021年度</c:v>
                </c:pt>
                <c:pt idx="2">
                  <c:v>2022年度相比2021年度增加</c:v>
                </c:pt>
              </c:strCache>
            </c:strRef>
          </c:cat>
          <c:val>
            <c:numRef>
              <c:f>[画图.xls]Sheet1!$C$95:$C$97</c:f>
              <c:numCache>
                <c:formatCode>General</c:formatCode>
                <c:ptCount val="3"/>
                <c:pt idx="0">
                  <c:v>252.84</c:v>
                </c:pt>
                <c:pt idx="1">
                  <c:v>187.14</c:v>
                </c:pt>
                <c:pt idx="2">
                  <c:v>65.7</c:v>
                </c:pt>
              </c:numCache>
            </c:numRef>
          </c:val>
        </c:ser>
        <c:dLbls>
          <c:showLegendKey val="0"/>
          <c:showVal val="1"/>
          <c:showCatName val="0"/>
          <c:showSerName val="0"/>
          <c:showPercent val="0"/>
          <c:showBubbleSize val="0"/>
        </c:dLbls>
        <c:gapWidth val="55"/>
        <c:overlap val="100"/>
        <c:axId val="99461760"/>
        <c:axId val="99471744"/>
      </c:barChart>
      <c:catAx>
        <c:axId val="99461760"/>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99471744"/>
        <c:crosses val="autoZero"/>
        <c:auto val="1"/>
        <c:lblAlgn val="ctr"/>
        <c:lblOffset val="100"/>
        <c:noMultiLvlLbl val="0"/>
      </c:catAx>
      <c:valAx>
        <c:axId val="9947174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99461760"/>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800" b="1">
                <a:solidFill>
                  <a:schemeClr val="tx1">
                    <a:lumMod val="65000"/>
                    <a:lumOff val="35000"/>
                  </a:schemeClr>
                </a:solidFill>
                <a:uFillTx/>
              </a:rPr>
              <a:t>一般公共预算财政拨款支出决算结构</a:t>
            </a:r>
            <a:endParaRPr sz="1800" b="1" i="0" u="none" strike="noStrike" baseline="0">
              <a:solidFill>
                <a:schemeClr val="tx1">
                  <a:lumMod val="65000"/>
                  <a:lumOff val="35000"/>
                </a:schemeClr>
              </a:solidFill>
              <a:uFillTx/>
              <a:latin typeface="宋体" panose="02010600030101010101" charset="-122"/>
              <a:ea typeface="宋体" panose="02010600030101010101" charset="-122"/>
              <a:cs typeface="宋体" panose="02010600030101010101" charset="-122"/>
            </a:endParaRPr>
          </a:p>
        </c:rich>
      </c:tx>
      <c:layout>
        <c:manualLayout>
          <c:xMode val="edge"/>
          <c:yMode val="edge"/>
          <c:x val="0.119707367603263"/>
          <c:y val="0.0199430199430199"/>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Pt>
            <c:idx val="4"/>
            <c:bubble3D val="0"/>
            <c:explosion val="0"/>
            <c:spPr>
              <a:solidFill>
                <a:schemeClr val="accent5"/>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[画图.xls]Sheet1!$B$120:$B$124</c:f>
              <c:strCache>
                <c:ptCount val="5"/>
                <c:pt idx="0">
                  <c:v>教育支出 158.71万元</c:v>
                </c:pt>
                <c:pt idx="1">
                  <c:v>社会保障和就业支出 15.44万元</c:v>
                </c:pt>
                <c:pt idx="2">
                  <c:v>卫生健康支出 8.03万元</c:v>
                </c:pt>
                <c:pt idx="3">
                  <c:v>住房保障支出 20.67万元</c:v>
                </c:pt>
                <c:pt idx="4">
                  <c:v>其他支出 50万元</c:v>
                </c:pt>
              </c:strCache>
            </c:strRef>
          </c:cat>
          <c:val>
            <c:numRef>
              <c:f>[画图.xls]Sheet1!$C$120:$C$124</c:f>
              <c:numCache>
                <c:formatCode>General</c:formatCode>
                <c:ptCount val="5"/>
                <c:pt idx="0">
                  <c:v>158.71</c:v>
                </c:pt>
                <c:pt idx="1">
                  <c:v>15.44</c:v>
                </c:pt>
                <c:pt idx="2">
                  <c:v>8.03</c:v>
                </c:pt>
                <c:pt idx="3">
                  <c:v>20.67</c:v>
                </c:pt>
                <c:pt idx="4">
                  <c:v>50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800" b="1">
                <a:solidFill>
                  <a:schemeClr val="tx1">
                    <a:lumMod val="65000"/>
                    <a:lumOff val="35000"/>
                  </a:schemeClr>
                </a:solidFill>
                <a:uFillTx/>
              </a:rPr>
              <a:t>“三公”经费财政拨款支出结构</a:t>
            </a:r>
            <a:endParaRPr sz="1800" b="1">
              <a:solidFill>
                <a:schemeClr val="tx1">
                  <a:lumMod val="65000"/>
                  <a:lumOff val="35000"/>
                </a:schemeClr>
              </a:solidFill>
              <a:uFillTx/>
            </a:endParaRP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[画图.xls]Sheet1!$B$141:$B$142</c:f>
              <c:strCache>
                <c:ptCount val="2"/>
                <c:pt idx="0">
                  <c:v>公务用车购置及运行维护费 1.2万元</c:v>
                </c:pt>
                <c:pt idx="1">
                  <c:v>公务接待费 0.26万元</c:v>
                </c:pt>
              </c:strCache>
            </c:strRef>
          </c:cat>
          <c:val>
            <c:numRef>
              <c:f>[画图.xls]Sheet1!$C$141:$C$142</c:f>
              <c:numCache>
                <c:formatCode>General</c:formatCode>
                <c:ptCount val="2"/>
                <c:pt idx="0">
                  <c:v>1.2</c:v>
                </c:pt>
                <c:pt idx="1">
                  <c:v>0.26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46</TotalTime>
  <ScaleCrop>false</ScaleCrop>
  <LinksUpToDate>false</LinksUpToDate>
  <CharactersWithSpaces>8692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果丹皮</cp:lastModifiedBy>
  <cp:lastPrinted>2023-07-31T02:35:00Z</cp:lastPrinted>
  <dcterms:modified xsi:type="dcterms:W3CDTF">2023-10-17T08:11:40Z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6B70361D626A4593B4A9C4A901EC4F63</vt:lpwstr>
  </property>
</Properties>
</file>