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colors6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charts/style6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outlineLvl w:val="9"/>
        <w:rPr>
          <w:rFonts w:ascii="方正小标宋简体" w:hAnsi="宋体" w:eastAsia="方正小标宋简体"/>
          <w:color w:val="auto"/>
          <w:sz w:val="21"/>
          <w:szCs w:val="21"/>
          <w:highlight w:val="none"/>
        </w:rPr>
      </w:pPr>
      <w:bookmarkStart w:id="0" w:name="_Toc15306267"/>
    </w:p>
    <w:p>
      <w:pPr>
        <w:spacing w:line="600" w:lineRule="exact"/>
        <w:jc w:val="center"/>
        <w:outlineLvl w:val="9"/>
        <w:rPr>
          <w:rFonts w:ascii="方正小标宋简体" w:hAnsi="宋体" w:eastAsia="方正小标宋简体"/>
          <w:color w:val="auto"/>
          <w:sz w:val="72"/>
          <w:szCs w:val="72"/>
          <w:highlight w:val="none"/>
        </w:rPr>
      </w:pPr>
    </w:p>
    <w:p>
      <w:pPr>
        <w:spacing w:line="600" w:lineRule="exact"/>
        <w:jc w:val="center"/>
        <w:outlineLvl w:val="9"/>
        <w:rPr>
          <w:rFonts w:ascii="方正小标宋简体" w:hAnsi="宋体" w:eastAsia="方正小标宋简体"/>
          <w:color w:val="auto"/>
          <w:sz w:val="72"/>
          <w:szCs w:val="72"/>
          <w:highlight w:val="none"/>
        </w:rPr>
      </w:pPr>
    </w:p>
    <w:p>
      <w:pPr>
        <w:adjustRightInd w:val="0"/>
        <w:snapToGrid w:val="0"/>
        <w:spacing w:line="36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color w:val="auto"/>
          <w:sz w:val="72"/>
          <w:szCs w:val="72"/>
          <w:highlight w:val="none"/>
        </w:rPr>
      </w:pPr>
      <w:bookmarkStart w:id="1" w:name="_Toc15377193"/>
      <w:bookmarkStart w:id="2" w:name="_Toc15377425"/>
      <w:bookmarkStart w:id="3" w:name="_Toc15396597"/>
      <w:bookmarkStart w:id="4" w:name="_Toc15378441"/>
      <w:bookmarkStart w:id="5" w:name="_Toc19634"/>
      <w:bookmarkStart w:id="6" w:name="_Toc15396475"/>
      <w:r>
        <w:rPr>
          <w:rFonts w:hint="eastAsia" w:ascii="方正小标宋简体" w:hAnsi="方正小标宋简体" w:eastAsia="方正小标宋简体" w:cs="方正小标宋简体"/>
          <w:color w:val="auto"/>
          <w:sz w:val="72"/>
          <w:szCs w:val="72"/>
          <w:highlight w:val="none"/>
        </w:rPr>
        <w:t>20</w:t>
      </w:r>
      <w:r>
        <w:rPr>
          <w:rFonts w:hint="eastAsia" w:ascii="方正小标宋简体" w:hAnsi="方正小标宋简体" w:eastAsia="方正小标宋简体" w:cs="方正小标宋简体"/>
          <w:color w:val="auto"/>
          <w:sz w:val="72"/>
          <w:szCs w:val="72"/>
          <w:highlight w:val="none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color w:val="auto"/>
          <w:sz w:val="72"/>
          <w:szCs w:val="72"/>
          <w:highlight w:val="none"/>
        </w:rPr>
        <w:t>年度</w:t>
      </w:r>
      <w:bookmarkEnd w:id="1"/>
      <w:bookmarkEnd w:id="2"/>
      <w:bookmarkEnd w:id="3"/>
      <w:bookmarkEnd w:id="4"/>
      <w:bookmarkEnd w:id="5"/>
      <w:bookmarkEnd w:id="6"/>
    </w:p>
    <w:bookmarkEnd w:id="0"/>
    <w:p>
      <w:pPr>
        <w:adjustRightInd w:val="0"/>
        <w:snapToGrid w:val="0"/>
        <w:spacing w:line="36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color w:val="auto"/>
          <w:sz w:val="72"/>
          <w:szCs w:val="72"/>
          <w:highlight w:val="none"/>
        </w:rPr>
      </w:pPr>
      <w:bookmarkStart w:id="7" w:name="_Toc9587"/>
      <w:r>
        <w:rPr>
          <w:rFonts w:hint="eastAsia" w:ascii="方正小标宋简体" w:hAnsi="方正小标宋简体" w:eastAsia="方正小标宋简体" w:cs="方正小标宋简体"/>
          <w:color w:val="auto"/>
          <w:sz w:val="72"/>
          <w:szCs w:val="72"/>
          <w:highlight w:val="none"/>
          <w:lang w:eastAsia="zh-CN"/>
        </w:rPr>
        <w:t>四川省广元市职业高级中学校</w:t>
      </w:r>
      <w:r>
        <w:rPr>
          <w:rFonts w:hint="eastAsia" w:ascii="方正小标宋简体" w:hAnsi="方正小标宋简体" w:eastAsia="方正小标宋简体" w:cs="方正小标宋简体"/>
          <w:color w:val="auto"/>
          <w:sz w:val="72"/>
          <w:szCs w:val="72"/>
          <w:highlight w:val="none"/>
        </w:rPr>
        <w:t>决算</w:t>
      </w:r>
      <w:bookmarkEnd w:id="7"/>
    </w:p>
    <w:p>
      <w:pPr>
        <w:widowControl/>
        <w:jc w:val="center"/>
        <w:rPr>
          <w:rFonts w:ascii="黑体" w:hAnsi="黑体" w:eastAsia="黑体" w:cstheme="minorBidi"/>
          <w:color w:val="auto"/>
          <w:sz w:val="28"/>
          <w:szCs w:val="28"/>
          <w:highlight w:val="none"/>
        </w:rPr>
      </w:pPr>
      <w:r>
        <w:rPr>
          <w:rFonts w:ascii="方正小标宋简体" w:hAnsi="宋体" w:eastAsia="方正小标宋简体"/>
          <w:color w:val="auto"/>
          <w:sz w:val="36"/>
          <w:szCs w:val="36"/>
          <w:highlight w:val="none"/>
        </w:rPr>
        <w:br w:type="page"/>
      </w:r>
      <w:r>
        <w:rPr>
          <w:rFonts w:hint="eastAsia" w:ascii="黑体" w:hAnsi="黑体" w:eastAsia="黑体"/>
          <w:color w:val="auto"/>
          <w:sz w:val="48"/>
          <w:szCs w:val="48"/>
          <w:highlight w:val="none"/>
        </w:rPr>
        <w:t>目录</w:t>
      </w:r>
    </w:p>
    <w:p>
      <w:pPr>
        <w:pStyle w:val="10"/>
        <w:rPr>
          <w:color w:val="auto"/>
          <w:highlight w:val="none"/>
        </w:rPr>
      </w:pPr>
      <w:bookmarkStart w:id="103" w:name="_GoBack"/>
      <w:r>
        <w:rPr>
          <w:rFonts w:hint="eastAsia"/>
          <w:color w:val="auto"/>
          <w:highlight w:val="none"/>
        </w:rPr>
        <w:t>公开时间：20</w:t>
      </w:r>
      <w:r>
        <w:rPr>
          <w:rFonts w:hint="eastAsia"/>
          <w:color w:val="auto"/>
          <w:highlight w:val="none"/>
          <w:lang w:val="en-US" w:eastAsia="zh-CN"/>
        </w:rPr>
        <w:t>23</w:t>
      </w:r>
      <w:r>
        <w:rPr>
          <w:rFonts w:hint="eastAsia"/>
          <w:color w:val="auto"/>
          <w:highlight w:val="none"/>
        </w:rPr>
        <w:t>年</w:t>
      </w:r>
      <w:r>
        <w:rPr>
          <w:rFonts w:hint="eastAsia"/>
          <w:color w:val="auto"/>
          <w:highlight w:val="none"/>
          <w:lang w:val="en-US" w:eastAsia="zh-CN"/>
        </w:rPr>
        <w:t xml:space="preserve">10 </w:t>
      </w:r>
      <w:r>
        <w:rPr>
          <w:rFonts w:hint="eastAsia"/>
          <w:color w:val="auto"/>
          <w:highlight w:val="none"/>
        </w:rPr>
        <w:t>月</w:t>
      </w:r>
      <w:r>
        <w:rPr>
          <w:rFonts w:hint="eastAsia"/>
          <w:color w:val="auto"/>
          <w:highlight w:val="none"/>
          <w:lang w:val="en-US" w:eastAsia="zh-CN"/>
        </w:rPr>
        <w:t xml:space="preserve"> 16</w:t>
      </w:r>
      <w:r>
        <w:rPr>
          <w:rFonts w:hint="eastAsia"/>
          <w:color w:val="auto"/>
          <w:highlight w:val="none"/>
        </w:rPr>
        <w:t>日</w:t>
      </w:r>
    </w:p>
    <w:bookmarkEnd w:id="103"/>
    <w:sdt>
      <w:sdtPr>
        <w:rPr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  <w:id w:val="147464618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="Times New Roman"/>
          <w:b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b/>
              <w:sz w:val="28"/>
            </w:rPr>
          </w:pPr>
          <w:bookmarkStart w:id="8" w:name="_Toc15377196"/>
          <w:bookmarkStart w:id="9" w:name="_Toc15396599"/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TOC \o "1-2" \h \u </w:instrText>
          </w:r>
          <w:r>
            <w:rPr>
              <w:sz w:val="28"/>
            </w:rPr>
            <w:fldChar w:fldCharType="separate"/>
          </w:r>
        </w:p>
        <w:p>
          <w:pPr>
            <w:pStyle w:val="33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b/>
              <w:sz w:val="28"/>
              <w:szCs w:val="32"/>
            </w:rPr>
          </w:pPr>
          <w:r>
            <w:rPr>
              <w:b/>
              <w:sz w:val="28"/>
              <w:szCs w:val="32"/>
            </w:rPr>
            <w:fldChar w:fldCharType="begin"/>
          </w:r>
          <w:r>
            <w:rPr>
              <w:b/>
              <w:sz w:val="28"/>
              <w:szCs w:val="32"/>
            </w:rPr>
            <w:instrText xml:space="preserve"> HYPERLINK \l _Toc15206 </w:instrText>
          </w:r>
          <w:r>
            <w:rPr>
              <w:b/>
              <w:sz w:val="28"/>
              <w:szCs w:val="32"/>
            </w:rPr>
            <w:fldChar w:fldCharType="separate"/>
          </w:r>
          <w:r>
            <w:rPr>
              <w:rFonts w:hint="eastAsia" w:ascii="黑体" w:hAnsi="黑体" w:eastAsia="黑体"/>
              <w:b/>
              <w:sz w:val="28"/>
              <w:szCs w:val="32"/>
              <w:highlight w:val="none"/>
            </w:rPr>
            <w:t xml:space="preserve">第一部分 </w:t>
          </w:r>
          <w:r>
            <w:rPr>
              <w:rFonts w:hint="eastAsia" w:ascii="黑体" w:hAnsi="黑体" w:eastAsia="黑体"/>
              <w:b/>
              <w:sz w:val="28"/>
              <w:szCs w:val="32"/>
              <w:highlight w:val="none"/>
              <w:lang w:eastAsia="zh-CN"/>
            </w:rPr>
            <w:t>单位</w:t>
          </w:r>
          <w:r>
            <w:rPr>
              <w:rFonts w:hint="eastAsia" w:ascii="黑体" w:hAnsi="黑体" w:eastAsia="黑体"/>
              <w:b/>
              <w:bCs w:val="0"/>
              <w:sz w:val="28"/>
              <w:szCs w:val="32"/>
              <w:highlight w:val="none"/>
            </w:rPr>
            <w:t>概况</w:t>
          </w:r>
          <w:r>
            <w:rPr>
              <w:b/>
              <w:sz w:val="28"/>
              <w:szCs w:val="32"/>
            </w:rPr>
            <w:tab/>
          </w:r>
          <w:r>
            <w:rPr>
              <w:b/>
              <w:sz w:val="28"/>
              <w:szCs w:val="32"/>
            </w:rPr>
            <w:fldChar w:fldCharType="begin"/>
          </w:r>
          <w:r>
            <w:rPr>
              <w:b/>
              <w:sz w:val="28"/>
              <w:szCs w:val="32"/>
            </w:rPr>
            <w:instrText xml:space="preserve"> PAGEREF _Toc15206 \h </w:instrText>
          </w:r>
          <w:r>
            <w:rPr>
              <w:b/>
              <w:sz w:val="28"/>
              <w:szCs w:val="32"/>
            </w:rPr>
            <w:fldChar w:fldCharType="separate"/>
          </w:r>
          <w:r>
            <w:rPr>
              <w:b/>
              <w:sz w:val="28"/>
              <w:szCs w:val="32"/>
            </w:rPr>
            <w:t>1</w:t>
          </w:r>
          <w:r>
            <w:rPr>
              <w:b/>
              <w:sz w:val="28"/>
              <w:szCs w:val="32"/>
            </w:rPr>
            <w:fldChar w:fldCharType="end"/>
          </w:r>
          <w:r>
            <w:rPr>
              <w:b/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rFonts w:eastAsia="仿宋"/>
              <w:sz w:val="28"/>
              <w:szCs w:val="32"/>
            </w:rPr>
          </w:pPr>
          <w:r>
            <w:rPr>
              <w:rFonts w:eastAsia="仿宋"/>
              <w:sz w:val="28"/>
              <w:szCs w:val="32"/>
            </w:rPr>
            <w:fldChar w:fldCharType="begin"/>
          </w:r>
          <w:r>
            <w:rPr>
              <w:rFonts w:eastAsia="仿宋"/>
              <w:sz w:val="28"/>
              <w:szCs w:val="32"/>
            </w:rPr>
            <w:instrText xml:space="preserve"> HYPERLINK \l _Toc1498 </w:instrText>
          </w:r>
          <w:r>
            <w:rPr>
              <w:rFonts w:eastAsia="仿宋"/>
              <w:sz w:val="28"/>
              <w:szCs w:val="32"/>
            </w:rPr>
            <w:fldChar w:fldCharType="separate"/>
          </w:r>
          <w:r>
            <w:rPr>
              <w:rFonts w:hint="eastAsia" w:ascii="黑体" w:hAnsi="黑体" w:eastAsia="仿宋"/>
              <w:sz w:val="28"/>
              <w:szCs w:val="32"/>
              <w:highlight w:val="none"/>
              <w:lang w:val="en-US" w:eastAsia="zh-CN" w:bidi="ar-SA"/>
            </w:rPr>
            <w:t>一、主要职责</w:t>
          </w:r>
          <w:r>
            <w:rPr>
              <w:rFonts w:eastAsia="仿宋"/>
              <w:sz w:val="28"/>
              <w:szCs w:val="32"/>
            </w:rPr>
            <w:tab/>
          </w:r>
          <w:r>
            <w:rPr>
              <w:rFonts w:eastAsia="仿宋"/>
              <w:sz w:val="28"/>
              <w:szCs w:val="32"/>
            </w:rPr>
            <w:fldChar w:fldCharType="begin"/>
          </w:r>
          <w:r>
            <w:rPr>
              <w:rFonts w:eastAsia="仿宋"/>
              <w:sz w:val="28"/>
              <w:szCs w:val="32"/>
            </w:rPr>
            <w:instrText xml:space="preserve"> PAGEREF _Toc1498 \h </w:instrText>
          </w:r>
          <w:r>
            <w:rPr>
              <w:rFonts w:eastAsia="仿宋"/>
              <w:sz w:val="28"/>
              <w:szCs w:val="32"/>
            </w:rPr>
            <w:fldChar w:fldCharType="separate"/>
          </w:r>
          <w:r>
            <w:rPr>
              <w:rFonts w:eastAsia="仿宋"/>
              <w:sz w:val="28"/>
              <w:szCs w:val="32"/>
            </w:rPr>
            <w:t>1</w:t>
          </w:r>
          <w:r>
            <w:rPr>
              <w:rFonts w:eastAsia="仿宋"/>
              <w:sz w:val="28"/>
              <w:szCs w:val="32"/>
            </w:rPr>
            <w:fldChar w:fldCharType="end"/>
          </w:r>
          <w:r>
            <w:rPr>
              <w:rFonts w:eastAsia="仿宋"/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rFonts w:eastAsia="仿宋"/>
              <w:sz w:val="28"/>
              <w:szCs w:val="32"/>
            </w:rPr>
            <w:fldChar w:fldCharType="begin"/>
          </w:r>
          <w:r>
            <w:rPr>
              <w:rFonts w:eastAsia="仿宋"/>
              <w:sz w:val="28"/>
              <w:szCs w:val="32"/>
            </w:rPr>
            <w:instrText xml:space="preserve"> HYPERLINK \l _Toc10677 </w:instrText>
          </w:r>
          <w:r>
            <w:rPr>
              <w:rFonts w:eastAsia="仿宋"/>
              <w:sz w:val="28"/>
              <w:szCs w:val="32"/>
            </w:rPr>
            <w:fldChar w:fldCharType="separate"/>
          </w:r>
          <w:r>
            <w:rPr>
              <w:rFonts w:hint="eastAsia" w:ascii="黑体" w:hAnsi="黑体" w:eastAsia="仿宋"/>
              <w:sz w:val="28"/>
              <w:szCs w:val="32"/>
              <w:highlight w:val="none"/>
              <w:lang w:val="en-US" w:eastAsia="zh-CN" w:bidi="ar-SA"/>
            </w:rPr>
            <w:t>二、机构设置</w:t>
          </w:r>
          <w:r>
            <w:rPr>
              <w:rFonts w:eastAsia="仿宋"/>
              <w:sz w:val="28"/>
              <w:szCs w:val="32"/>
            </w:rPr>
            <w:tab/>
          </w:r>
          <w:r>
            <w:rPr>
              <w:rFonts w:eastAsia="仿宋"/>
              <w:sz w:val="28"/>
              <w:szCs w:val="32"/>
            </w:rPr>
            <w:fldChar w:fldCharType="begin"/>
          </w:r>
          <w:r>
            <w:rPr>
              <w:rFonts w:eastAsia="仿宋"/>
              <w:sz w:val="28"/>
              <w:szCs w:val="32"/>
            </w:rPr>
            <w:instrText xml:space="preserve"> PAGEREF _Toc10677 \h </w:instrText>
          </w:r>
          <w:r>
            <w:rPr>
              <w:rFonts w:eastAsia="仿宋"/>
              <w:sz w:val="28"/>
              <w:szCs w:val="32"/>
            </w:rPr>
            <w:fldChar w:fldCharType="separate"/>
          </w:r>
          <w:r>
            <w:rPr>
              <w:rFonts w:eastAsia="仿宋"/>
              <w:sz w:val="28"/>
              <w:szCs w:val="32"/>
            </w:rPr>
            <w:t>1</w:t>
          </w:r>
          <w:r>
            <w:rPr>
              <w:rFonts w:eastAsia="仿宋"/>
              <w:sz w:val="28"/>
              <w:szCs w:val="32"/>
            </w:rPr>
            <w:fldChar w:fldCharType="end"/>
          </w:r>
          <w:r>
            <w:rPr>
              <w:rFonts w:eastAsia="仿宋"/>
              <w:sz w:val="28"/>
              <w:szCs w:val="32"/>
            </w:rPr>
            <w:fldChar w:fldCharType="end"/>
          </w:r>
        </w:p>
        <w:p>
          <w:pPr>
            <w:pStyle w:val="33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b/>
              <w:sz w:val="28"/>
              <w:szCs w:val="32"/>
            </w:rPr>
          </w:pPr>
          <w:r>
            <w:rPr>
              <w:b/>
              <w:sz w:val="28"/>
              <w:szCs w:val="32"/>
            </w:rPr>
            <w:fldChar w:fldCharType="begin"/>
          </w:r>
          <w:r>
            <w:rPr>
              <w:b/>
              <w:sz w:val="28"/>
              <w:szCs w:val="32"/>
            </w:rPr>
            <w:instrText xml:space="preserve"> HYPERLINK \l _Toc13520 </w:instrText>
          </w:r>
          <w:r>
            <w:rPr>
              <w:b/>
              <w:sz w:val="28"/>
              <w:szCs w:val="32"/>
            </w:rPr>
            <w:fldChar w:fldCharType="separate"/>
          </w:r>
          <w:r>
            <w:rPr>
              <w:rFonts w:hint="eastAsia" w:ascii="黑体" w:hAnsi="黑体" w:eastAsia="黑体"/>
              <w:b/>
              <w:bCs/>
              <w:sz w:val="28"/>
              <w:szCs w:val="32"/>
              <w:highlight w:val="none"/>
            </w:rPr>
            <w:t xml:space="preserve">第二部分 </w:t>
          </w:r>
          <w:r>
            <w:rPr>
              <w:rFonts w:hint="eastAsia" w:ascii="黑体" w:hAnsi="黑体" w:eastAsia="黑体"/>
              <w:b/>
              <w:bCs/>
              <w:sz w:val="28"/>
              <w:szCs w:val="32"/>
              <w:highlight w:val="none"/>
              <w:lang w:val="en-US" w:eastAsia="zh-CN"/>
            </w:rPr>
            <w:t>2022年度</w:t>
          </w:r>
          <w:r>
            <w:rPr>
              <w:rFonts w:hint="eastAsia" w:ascii="黑体" w:hAnsi="黑体" w:eastAsia="黑体"/>
              <w:b/>
              <w:bCs/>
              <w:sz w:val="28"/>
              <w:szCs w:val="32"/>
              <w:highlight w:val="none"/>
              <w:lang w:eastAsia="zh-CN"/>
            </w:rPr>
            <w:t>单位</w:t>
          </w:r>
          <w:r>
            <w:rPr>
              <w:rFonts w:hint="eastAsia" w:ascii="黑体" w:hAnsi="黑体" w:eastAsia="黑体"/>
              <w:b/>
              <w:bCs/>
              <w:sz w:val="28"/>
              <w:szCs w:val="32"/>
              <w:highlight w:val="none"/>
            </w:rPr>
            <w:t>决算情况说明</w:t>
          </w:r>
          <w:r>
            <w:rPr>
              <w:b/>
              <w:sz w:val="28"/>
              <w:szCs w:val="32"/>
            </w:rPr>
            <w:tab/>
          </w:r>
          <w:r>
            <w:rPr>
              <w:b/>
              <w:sz w:val="28"/>
              <w:szCs w:val="32"/>
            </w:rPr>
            <w:fldChar w:fldCharType="begin"/>
          </w:r>
          <w:r>
            <w:rPr>
              <w:b/>
              <w:sz w:val="28"/>
              <w:szCs w:val="32"/>
            </w:rPr>
            <w:instrText xml:space="preserve"> PAGEREF _Toc13520 \h </w:instrText>
          </w:r>
          <w:r>
            <w:rPr>
              <w:b/>
              <w:sz w:val="28"/>
              <w:szCs w:val="32"/>
            </w:rPr>
            <w:fldChar w:fldCharType="separate"/>
          </w:r>
          <w:r>
            <w:rPr>
              <w:b/>
              <w:sz w:val="28"/>
              <w:szCs w:val="32"/>
            </w:rPr>
            <w:t>2</w:t>
          </w:r>
          <w:r>
            <w:rPr>
              <w:b/>
              <w:sz w:val="28"/>
              <w:szCs w:val="32"/>
            </w:rPr>
            <w:fldChar w:fldCharType="end"/>
          </w:r>
          <w:r>
            <w:rPr>
              <w:b/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rFonts w:ascii="Times New Roman" w:hAnsi="Times New Roman" w:eastAsia="仿宋" w:cs="Times New Roman"/>
              <w:sz w:val="28"/>
              <w:szCs w:val="32"/>
            </w:rPr>
          </w:pP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HYPERLINK \l _Toc4797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hint="default" w:ascii="Times New Roman" w:hAnsi="Times New Roman" w:eastAsia="仿宋" w:cs="Times New Roman"/>
              <w:sz w:val="28"/>
              <w:szCs w:val="32"/>
            </w:rPr>
            <w:t xml:space="preserve">一、 </w:t>
          </w:r>
          <w:r>
            <w:rPr>
              <w:rFonts w:hint="eastAsia" w:ascii="Times New Roman" w:hAnsi="Times New Roman" w:eastAsia="仿宋" w:cs="Times New Roman"/>
              <w:sz w:val="28"/>
              <w:szCs w:val="32"/>
            </w:rPr>
            <w:t>收入支出决算总体情况说明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ab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PAGEREF _Toc4797 \h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>2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rFonts w:ascii="Times New Roman" w:hAnsi="Times New Roman" w:eastAsia="仿宋" w:cs="Times New Roman"/>
              <w:sz w:val="28"/>
              <w:szCs w:val="32"/>
            </w:rPr>
          </w:pP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HYPERLINK \l _Toc1447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hint="default" w:ascii="Times New Roman" w:hAnsi="Times New Roman" w:eastAsia="仿宋" w:cs="Times New Roman"/>
              <w:sz w:val="28"/>
              <w:szCs w:val="32"/>
            </w:rPr>
            <w:t xml:space="preserve">二、 </w:t>
          </w:r>
          <w:r>
            <w:rPr>
              <w:rFonts w:hint="eastAsia" w:ascii="Times New Roman" w:hAnsi="Times New Roman" w:eastAsia="仿宋" w:cs="Times New Roman"/>
              <w:sz w:val="28"/>
              <w:szCs w:val="32"/>
            </w:rPr>
            <w:t>收入决算情况说明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ab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PAGEREF _Toc1447 \h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>2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rFonts w:ascii="Times New Roman" w:hAnsi="Times New Roman" w:eastAsia="仿宋" w:cs="Times New Roman"/>
              <w:sz w:val="28"/>
              <w:szCs w:val="32"/>
            </w:rPr>
          </w:pP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HYPERLINK \l _Toc12283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hint="default" w:ascii="Times New Roman" w:hAnsi="Times New Roman" w:eastAsia="仿宋" w:cs="Times New Roman"/>
              <w:sz w:val="28"/>
              <w:szCs w:val="32"/>
            </w:rPr>
            <w:t xml:space="preserve">三、 </w:t>
          </w:r>
          <w:r>
            <w:rPr>
              <w:rFonts w:hint="eastAsia" w:ascii="Times New Roman" w:hAnsi="Times New Roman" w:eastAsia="仿宋" w:cs="Times New Roman"/>
              <w:sz w:val="28"/>
              <w:szCs w:val="32"/>
            </w:rPr>
            <w:t>支出决算情况说明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ab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PAGEREF _Toc12283 \h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>3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rFonts w:ascii="Times New Roman" w:hAnsi="Times New Roman" w:eastAsia="仿宋" w:cs="Times New Roman"/>
              <w:sz w:val="28"/>
              <w:szCs w:val="32"/>
            </w:rPr>
          </w:pP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HYPERLINK \l _Toc25691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sz w:val="28"/>
              <w:szCs w:val="32"/>
            </w:rPr>
            <w:t>四、财政拨款收入支出决算总体情况说明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ab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PAGEREF _Toc25691 \h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>3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rFonts w:ascii="Times New Roman" w:hAnsi="Times New Roman" w:eastAsia="仿宋" w:cs="Times New Roman"/>
              <w:sz w:val="28"/>
              <w:szCs w:val="32"/>
            </w:rPr>
          </w:pP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HYPERLINK \l _Toc14847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sz w:val="28"/>
              <w:szCs w:val="32"/>
            </w:rPr>
            <w:t>五、一般公共预算财政拨款支出决算情况说明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ab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PAGEREF _Toc14847 \h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>3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rFonts w:ascii="Times New Roman" w:hAnsi="Times New Roman" w:eastAsia="仿宋" w:cs="Times New Roman"/>
              <w:sz w:val="28"/>
              <w:szCs w:val="32"/>
            </w:rPr>
          </w:pP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HYPERLINK \l _Toc14583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sz w:val="28"/>
              <w:szCs w:val="32"/>
            </w:rPr>
            <w:t>六、一般公共预算财政拨款基本支出决算情况说明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ab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PAGEREF _Toc14583 \h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>6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rFonts w:ascii="Times New Roman" w:hAnsi="Times New Roman" w:eastAsia="仿宋" w:cs="Times New Roman"/>
              <w:sz w:val="28"/>
              <w:szCs w:val="32"/>
            </w:rPr>
          </w:pP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HYPERLINK \l _Toc6741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sz w:val="28"/>
              <w:szCs w:val="32"/>
            </w:rPr>
            <w:t>七、财政拨款“三公”经费支出决算情况说明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ab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PAGEREF _Toc6741 \h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>6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rFonts w:ascii="Times New Roman" w:hAnsi="Times New Roman" w:eastAsia="仿宋" w:cs="Times New Roman"/>
              <w:sz w:val="28"/>
              <w:szCs w:val="32"/>
            </w:rPr>
          </w:pP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HYPERLINK \l _Toc2538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sz w:val="28"/>
              <w:szCs w:val="32"/>
            </w:rPr>
            <w:t>八、政府性基金预算支出决算情况说明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ab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PAGEREF _Toc2538 \h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>7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rFonts w:ascii="Times New Roman" w:hAnsi="Times New Roman" w:eastAsia="仿宋" w:cs="Times New Roman"/>
              <w:sz w:val="28"/>
              <w:szCs w:val="32"/>
            </w:rPr>
          </w:pP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HYPERLINK \l _Toc1034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sz w:val="28"/>
              <w:szCs w:val="32"/>
            </w:rPr>
            <w:t>九、 国有资本经营预算支出决算情况说明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ab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PAGEREF _Toc1034 \h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>7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HYPERLINK \l _Toc28477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sz w:val="28"/>
              <w:szCs w:val="32"/>
            </w:rPr>
            <w:t>十、 其他重要事项的情况说明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ab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PAGEREF _Toc28477 \h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>7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</w:p>
        <w:p>
          <w:pPr>
            <w:pStyle w:val="33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b/>
              <w:sz w:val="28"/>
              <w:szCs w:val="32"/>
            </w:rPr>
          </w:pPr>
          <w:r>
            <w:rPr>
              <w:b/>
              <w:sz w:val="28"/>
              <w:szCs w:val="32"/>
            </w:rPr>
            <w:fldChar w:fldCharType="begin"/>
          </w:r>
          <w:r>
            <w:rPr>
              <w:b/>
              <w:sz w:val="28"/>
              <w:szCs w:val="32"/>
            </w:rPr>
            <w:instrText xml:space="preserve"> HYPERLINK \l _Toc17501 </w:instrText>
          </w:r>
          <w:r>
            <w:rPr>
              <w:b/>
              <w:sz w:val="28"/>
              <w:szCs w:val="32"/>
            </w:rPr>
            <w:fldChar w:fldCharType="separate"/>
          </w:r>
          <w:r>
            <w:rPr>
              <w:rFonts w:hint="eastAsia" w:ascii="黑体" w:hAnsi="黑体" w:eastAsia="黑体" w:cs="黑体"/>
              <w:b/>
              <w:sz w:val="28"/>
              <w:szCs w:val="32"/>
            </w:rPr>
            <w:t xml:space="preserve">第三部分 </w:t>
          </w:r>
          <w:r>
            <w:rPr>
              <w:rFonts w:hint="eastAsia" w:ascii="黑体" w:hAnsi="黑体" w:eastAsia="黑体"/>
              <w:b/>
              <w:sz w:val="28"/>
              <w:szCs w:val="32"/>
              <w:highlight w:val="none"/>
            </w:rPr>
            <w:t>名词解释</w:t>
          </w:r>
          <w:r>
            <w:rPr>
              <w:b/>
              <w:sz w:val="28"/>
              <w:szCs w:val="32"/>
            </w:rPr>
            <w:tab/>
          </w:r>
          <w:r>
            <w:rPr>
              <w:b/>
              <w:sz w:val="28"/>
              <w:szCs w:val="32"/>
            </w:rPr>
            <w:fldChar w:fldCharType="begin"/>
          </w:r>
          <w:r>
            <w:rPr>
              <w:b/>
              <w:sz w:val="28"/>
              <w:szCs w:val="32"/>
            </w:rPr>
            <w:instrText xml:space="preserve"> PAGEREF _Toc17501 \h </w:instrText>
          </w:r>
          <w:r>
            <w:rPr>
              <w:b/>
              <w:sz w:val="28"/>
              <w:szCs w:val="32"/>
            </w:rPr>
            <w:fldChar w:fldCharType="separate"/>
          </w:r>
          <w:r>
            <w:rPr>
              <w:b/>
              <w:sz w:val="28"/>
              <w:szCs w:val="32"/>
            </w:rPr>
            <w:t>9</w:t>
          </w:r>
          <w:r>
            <w:rPr>
              <w:b/>
              <w:sz w:val="28"/>
              <w:szCs w:val="32"/>
            </w:rPr>
            <w:fldChar w:fldCharType="end"/>
          </w:r>
          <w:r>
            <w:rPr>
              <w:b/>
              <w:sz w:val="28"/>
              <w:szCs w:val="32"/>
            </w:rPr>
            <w:fldChar w:fldCharType="end"/>
          </w:r>
        </w:p>
        <w:p>
          <w:pPr>
            <w:pStyle w:val="33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b/>
              <w:sz w:val="28"/>
              <w:szCs w:val="32"/>
            </w:rPr>
          </w:pPr>
          <w:r>
            <w:rPr>
              <w:b/>
              <w:sz w:val="28"/>
              <w:szCs w:val="32"/>
            </w:rPr>
            <w:fldChar w:fldCharType="begin"/>
          </w:r>
          <w:r>
            <w:rPr>
              <w:b/>
              <w:sz w:val="28"/>
              <w:szCs w:val="32"/>
            </w:rPr>
            <w:instrText xml:space="preserve"> HYPERLINK \l _Toc22144 </w:instrText>
          </w:r>
          <w:r>
            <w:rPr>
              <w:b/>
              <w:sz w:val="28"/>
              <w:szCs w:val="32"/>
            </w:rPr>
            <w:fldChar w:fldCharType="separate"/>
          </w:r>
          <w:r>
            <w:rPr>
              <w:rFonts w:hint="eastAsia" w:ascii="黑体" w:hAnsi="黑体" w:eastAsia="黑体"/>
              <w:b/>
              <w:sz w:val="28"/>
              <w:szCs w:val="32"/>
              <w:highlight w:val="none"/>
            </w:rPr>
            <w:t>第四部分 附件</w:t>
          </w:r>
          <w:r>
            <w:rPr>
              <w:b/>
              <w:sz w:val="28"/>
              <w:szCs w:val="32"/>
            </w:rPr>
            <w:tab/>
          </w:r>
          <w:r>
            <w:rPr>
              <w:b/>
              <w:sz w:val="28"/>
              <w:szCs w:val="32"/>
            </w:rPr>
            <w:fldChar w:fldCharType="begin"/>
          </w:r>
          <w:r>
            <w:rPr>
              <w:b/>
              <w:sz w:val="28"/>
              <w:szCs w:val="32"/>
            </w:rPr>
            <w:instrText xml:space="preserve"> PAGEREF _Toc22144 \h </w:instrText>
          </w:r>
          <w:r>
            <w:rPr>
              <w:b/>
              <w:sz w:val="28"/>
              <w:szCs w:val="32"/>
            </w:rPr>
            <w:fldChar w:fldCharType="separate"/>
          </w:r>
          <w:r>
            <w:rPr>
              <w:b/>
              <w:sz w:val="28"/>
              <w:szCs w:val="32"/>
            </w:rPr>
            <w:t>11</w:t>
          </w:r>
          <w:r>
            <w:rPr>
              <w:b/>
              <w:sz w:val="28"/>
              <w:szCs w:val="32"/>
            </w:rPr>
            <w:fldChar w:fldCharType="end"/>
          </w:r>
          <w:r>
            <w:rPr>
              <w:b/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HYPERLINK \l _Toc10880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hint="eastAsia" w:ascii="Times New Roman" w:hAnsi="Times New Roman" w:eastAsia="仿宋" w:cs="Times New Roman"/>
              <w:sz w:val="28"/>
              <w:szCs w:val="32"/>
              <w:lang w:val="en-US" w:eastAsia="zh-CN"/>
            </w:rPr>
            <w:t>部门预算项目支出绩效自评表（2022年度）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ab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begin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instrText xml:space="preserve"> PAGEREF _Toc10880 \h </w:instrTex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separate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t>11</w:t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  <w:r>
            <w:rPr>
              <w:rFonts w:ascii="Times New Roman" w:hAnsi="Times New Roman" w:eastAsia="仿宋" w:cs="Times New Roman"/>
              <w:sz w:val="28"/>
              <w:szCs w:val="32"/>
            </w:rPr>
            <w:fldChar w:fldCharType="end"/>
          </w:r>
        </w:p>
        <w:p>
          <w:pPr>
            <w:pStyle w:val="33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b/>
              <w:sz w:val="28"/>
              <w:szCs w:val="32"/>
            </w:rPr>
          </w:pPr>
          <w:r>
            <w:rPr>
              <w:b/>
              <w:sz w:val="28"/>
              <w:szCs w:val="32"/>
            </w:rPr>
            <w:fldChar w:fldCharType="begin"/>
          </w:r>
          <w:r>
            <w:rPr>
              <w:b/>
              <w:sz w:val="28"/>
              <w:szCs w:val="32"/>
            </w:rPr>
            <w:instrText xml:space="preserve"> HYPERLINK \l _Toc4731 </w:instrText>
          </w:r>
          <w:r>
            <w:rPr>
              <w:b/>
              <w:sz w:val="28"/>
              <w:szCs w:val="32"/>
            </w:rPr>
            <w:fldChar w:fldCharType="separate"/>
          </w:r>
          <w:r>
            <w:rPr>
              <w:rFonts w:hint="eastAsia" w:ascii="黑体" w:hAnsi="黑体" w:eastAsia="黑体"/>
              <w:b/>
              <w:sz w:val="28"/>
              <w:szCs w:val="32"/>
              <w:highlight w:val="none"/>
            </w:rPr>
            <w:t>第五部分 附表</w:t>
          </w:r>
          <w:r>
            <w:rPr>
              <w:b/>
              <w:sz w:val="28"/>
              <w:szCs w:val="32"/>
            </w:rPr>
            <w:tab/>
          </w:r>
          <w:r>
            <w:rPr>
              <w:b/>
              <w:sz w:val="28"/>
              <w:szCs w:val="32"/>
            </w:rPr>
            <w:fldChar w:fldCharType="begin"/>
          </w:r>
          <w:r>
            <w:rPr>
              <w:b/>
              <w:sz w:val="28"/>
              <w:szCs w:val="32"/>
            </w:rPr>
            <w:instrText xml:space="preserve"> PAGEREF _Toc4731 \h </w:instrText>
          </w:r>
          <w:r>
            <w:rPr>
              <w:b/>
              <w:sz w:val="28"/>
              <w:szCs w:val="32"/>
            </w:rPr>
            <w:fldChar w:fldCharType="separate"/>
          </w:r>
          <w:r>
            <w:rPr>
              <w:b/>
              <w:sz w:val="28"/>
              <w:szCs w:val="32"/>
            </w:rPr>
            <w:t>12</w:t>
          </w:r>
          <w:r>
            <w:rPr>
              <w:b/>
              <w:sz w:val="28"/>
              <w:szCs w:val="32"/>
            </w:rPr>
            <w:fldChar w:fldCharType="end"/>
          </w:r>
          <w:r>
            <w:rPr>
              <w:b/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HYPERLINK \l _Toc25863 </w:instrText>
          </w:r>
          <w:r>
            <w:rPr>
              <w:sz w:val="28"/>
              <w:szCs w:val="32"/>
            </w:rPr>
            <w:fldChar w:fldCharType="separate"/>
          </w:r>
          <w:r>
            <w:rPr>
              <w:rFonts w:hint="eastAsia" w:ascii="仿宋" w:hAnsi="仿宋" w:eastAsia="仿宋"/>
              <w:sz w:val="28"/>
              <w:szCs w:val="32"/>
              <w:highlight w:val="none"/>
            </w:rPr>
            <w:t>一、收</w:t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入支出决算总表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_Toc25863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12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HYPERLINK \l _Toc27286 </w:instrText>
          </w:r>
          <w:r>
            <w:rPr>
              <w:sz w:val="28"/>
              <w:szCs w:val="32"/>
            </w:rPr>
            <w:fldChar w:fldCharType="separate"/>
          </w:r>
          <w:r>
            <w:rPr>
              <w:rFonts w:hint="eastAsia" w:ascii="仿宋" w:hAnsi="仿宋" w:eastAsia="仿宋"/>
              <w:sz w:val="28"/>
              <w:szCs w:val="32"/>
              <w:highlight w:val="none"/>
            </w:rPr>
            <w:t>二、收</w:t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入决算表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_Toc27286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12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HYPERLINK \l _Toc19525 </w:instrText>
          </w:r>
          <w:r>
            <w:rPr>
              <w:sz w:val="28"/>
              <w:szCs w:val="32"/>
            </w:rPr>
            <w:fldChar w:fldCharType="separate"/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三、</w:t>
          </w:r>
          <w:r>
            <w:rPr>
              <w:rFonts w:hint="eastAsia" w:ascii="仿宋" w:hAnsi="仿宋" w:eastAsia="仿宋"/>
              <w:sz w:val="28"/>
              <w:szCs w:val="32"/>
              <w:highlight w:val="none"/>
            </w:rPr>
            <w:t>支</w:t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出决算表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_Toc19525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12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HYPERLINK \l _Toc21078 </w:instrText>
          </w:r>
          <w:r>
            <w:rPr>
              <w:sz w:val="28"/>
              <w:szCs w:val="32"/>
            </w:rPr>
            <w:fldChar w:fldCharType="separate"/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四、</w:t>
          </w:r>
          <w:r>
            <w:rPr>
              <w:rFonts w:hint="eastAsia" w:ascii="仿宋" w:hAnsi="仿宋" w:eastAsia="仿宋"/>
              <w:sz w:val="28"/>
              <w:szCs w:val="32"/>
              <w:highlight w:val="none"/>
            </w:rPr>
            <w:t>财</w:t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政拨款收入支出决算总表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_Toc21078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12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HYPERLINK \l _Toc30773 </w:instrText>
          </w:r>
          <w:r>
            <w:rPr>
              <w:sz w:val="28"/>
              <w:szCs w:val="32"/>
            </w:rPr>
            <w:fldChar w:fldCharType="separate"/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五、</w:t>
          </w:r>
          <w:r>
            <w:rPr>
              <w:rFonts w:hint="eastAsia" w:ascii="仿宋" w:hAnsi="仿宋" w:eastAsia="仿宋"/>
              <w:sz w:val="28"/>
              <w:szCs w:val="32"/>
              <w:highlight w:val="none"/>
            </w:rPr>
            <w:t>财</w:t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政拨款支出决算明细表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_Toc30773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12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HYPERLINK \l _Toc29204 </w:instrText>
          </w:r>
          <w:r>
            <w:rPr>
              <w:sz w:val="28"/>
              <w:szCs w:val="32"/>
            </w:rPr>
            <w:fldChar w:fldCharType="separate"/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六、</w:t>
          </w:r>
          <w:r>
            <w:rPr>
              <w:rFonts w:hint="eastAsia" w:ascii="仿宋" w:hAnsi="仿宋" w:eastAsia="仿宋"/>
              <w:sz w:val="28"/>
              <w:szCs w:val="32"/>
              <w:highlight w:val="none"/>
            </w:rPr>
            <w:t>一</w:t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般公共预算财政拨款支出决算表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_Toc29204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12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HYPERLINK \l _Toc18163 </w:instrText>
          </w:r>
          <w:r>
            <w:rPr>
              <w:sz w:val="28"/>
              <w:szCs w:val="32"/>
            </w:rPr>
            <w:fldChar w:fldCharType="separate"/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七、</w:t>
          </w:r>
          <w:r>
            <w:rPr>
              <w:rFonts w:hint="eastAsia" w:ascii="仿宋" w:hAnsi="仿宋" w:eastAsia="仿宋"/>
              <w:sz w:val="28"/>
              <w:szCs w:val="32"/>
              <w:highlight w:val="none"/>
            </w:rPr>
            <w:t>一</w:t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般公共预算财政拨款支出决算明细表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_Toc18163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12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HYPERLINK \l _Toc12821 </w:instrText>
          </w:r>
          <w:r>
            <w:rPr>
              <w:sz w:val="28"/>
              <w:szCs w:val="32"/>
            </w:rPr>
            <w:fldChar w:fldCharType="separate"/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八、</w:t>
          </w:r>
          <w:r>
            <w:rPr>
              <w:rFonts w:hint="eastAsia" w:ascii="仿宋" w:hAnsi="仿宋" w:eastAsia="仿宋"/>
              <w:sz w:val="28"/>
              <w:szCs w:val="32"/>
              <w:highlight w:val="none"/>
            </w:rPr>
            <w:t>一</w:t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般公共预算财政拨款基本支出决算表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_Toc12821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12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HYPERLINK \l _Toc24541 </w:instrText>
          </w:r>
          <w:r>
            <w:rPr>
              <w:sz w:val="28"/>
              <w:szCs w:val="32"/>
            </w:rPr>
            <w:fldChar w:fldCharType="separate"/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九、</w:t>
          </w:r>
          <w:r>
            <w:rPr>
              <w:rFonts w:hint="eastAsia" w:ascii="仿宋" w:hAnsi="仿宋" w:eastAsia="仿宋"/>
              <w:sz w:val="28"/>
              <w:szCs w:val="32"/>
              <w:highlight w:val="none"/>
            </w:rPr>
            <w:t>一</w:t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般公共预算财政拨款项目支出决算表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_Toc24541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12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HYPERLINK \l _Toc17320 </w:instrText>
          </w:r>
          <w:r>
            <w:rPr>
              <w:sz w:val="28"/>
              <w:szCs w:val="32"/>
            </w:rPr>
            <w:fldChar w:fldCharType="separate"/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十、</w:t>
          </w:r>
          <w:r>
            <w:rPr>
              <w:rFonts w:hint="eastAsia" w:ascii="仿宋" w:hAnsi="仿宋" w:eastAsia="仿宋"/>
              <w:sz w:val="28"/>
              <w:szCs w:val="32"/>
              <w:highlight w:val="none"/>
            </w:rPr>
            <w:t>政</w:t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府性基金预算财政拨款收入支出决算表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_Toc17320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12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HYPERLINK \l _Toc24782 </w:instrText>
          </w:r>
          <w:r>
            <w:rPr>
              <w:sz w:val="28"/>
              <w:szCs w:val="32"/>
            </w:rPr>
            <w:fldChar w:fldCharType="separate"/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十一、</w:t>
          </w:r>
          <w:r>
            <w:rPr>
              <w:rFonts w:hint="eastAsia" w:ascii="仿宋" w:hAnsi="仿宋" w:eastAsia="仿宋"/>
              <w:sz w:val="28"/>
              <w:szCs w:val="32"/>
              <w:highlight w:val="none"/>
            </w:rPr>
            <w:t>国</w:t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有资本经营预算</w:t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  <w:lang w:eastAsia="zh-CN"/>
            </w:rPr>
            <w:t>财政拨款收入</w:t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支出决算表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_Toc24782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12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HYPERLINK \l _Toc16379 </w:instrText>
          </w:r>
          <w:r>
            <w:rPr>
              <w:sz w:val="28"/>
              <w:szCs w:val="32"/>
            </w:rPr>
            <w:fldChar w:fldCharType="separate"/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十二、</w:t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  <w:lang w:eastAsia="zh-CN"/>
            </w:rPr>
            <w:t>国有资本经营预算财政拨款支出决算表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_Toc16379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12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32"/>
            </w:rPr>
            <w:fldChar w:fldCharType="end"/>
          </w:r>
        </w:p>
        <w:p>
          <w:pPr>
            <w:pStyle w:val="3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520" w:lineRule="exact"/>
            <w:textAlignment w:val="auto"/>
            <w:rPr>
              <w:sz w:val="28"/>
              <w:szCs w:val="32"/>
            </w:rPr>
          </w:pP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HYPERLINK \l _Toc3597 </w:instrText>
          </w:r>
          <w:r>
            <w:rPr>
              <w:sz w:val="28"/>
              <w:szCs w:val="32"/>
            </w:rPr>
            <w:fldChar w:fldCharType="separate"/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</w:rPr>
            <w:t>十三、</w:t>
          </w:r>
          <w:r>
            <w:rPr>
              <w:rFonts w:hint="eastAsia" w:ascii="仿宋" w:hAnsi="仿宋" w:eastAsia="仿宋"/>
              <w:bCs w:val="0"/>
              <w:sz w:val="28"/>
              <w:szCs w:val="32"/>
              <w:highlight w:val="none"/>
              <w:lang w:eastAsia="zh-CN"/>
            </w:rPr>
            <w:t>财政拨款“三公”经费支出决算表</w:t>
          </w:r>
          <w:r>
            <w:rPr>
              <w:sz w:val="28"/>
              <w:szCs w:val="32"/>
            </w:rPr>
            <w:tab/>
          </w:r>
          <w:r>
            <w:rPr>
              <w:sz w:val="28"/>
              <w:szCs w:val="32"/>
            </w:rPr>
            <w:fldChar w:fldCharType="begin"/>
          </w:r>
          <w:r>
            <w:rPr>
              <w:sz w:val="28"/>
              <w:szCs w:val="32"/>
            </w:rPr>
            <w:instrText xml:space="preserve"> PAGEREF _Toc3597 \h </w:instrText>
          </w:r>
          <w:r>
            <w:rPr>
              <w:sz w:val="28"/>
              <w:szCs w:val="32"/>
            </w:rPr>
            <w:fldChar w:fldCharType="separate"/>
          </w:r>
          <w:r>
            <w:rPr>
              <w:sz w:val="28"/>
              <w:szCs w:val="32"/>
            </w:rPr>
            <w:t>12</w:t>
          </w:r>
          <w:r>
            <w:rPr>
              <w:sz w:val="28"/>
              <w:szCs w:val="32"/>
            </w:rPr>
            <w:fldChar w:fldCharType="end"/>
          </w:r>
          <w:r>
            <w:rPr>
              <w:sz w:val="28"/>
              <w:szCs w:val="32"/>
            </w:rPr>
            <w:fldChar w:fldCharType="end"/>
          </w:r>
        </w:p>
        <w:p>
          <w:r>
            <w:rPr>
              <w:b/>
              <w:sz w:val="28"/>
            </w:rPr>
            <w:fldChar w:fldCharType="end"/>
          </w:r>
        </w:p>
      </w:sdtContent>
    </w:sdt>
    <w:p>
      <w:pPr>
        <w:pStyle w:val="3"/>
        <w:jc w:val="center"/>
        <w:rPr>
          <w:rFonts w:hint="eastAsia" w:ascii="黑体" w:hAnsi="黑体" w:eastAsia="黑体"/>
          <w:b w:val="0"/>
          <w:color w:val="auto"/>
          <w:highlight w:val="none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titlePg/>
          <w:docGrid w:type="lines" w:linePitch="312" w:charSpace="0"/>
        </w:sectPr>
      </w:pPr>
      <w:bookmarkStart w:id="10" w:name="_Toc15206"/>
    </w:p>
    <w:p>
      <w:pPr>
        <w:pStyle w:val="3"/>
        <w:jc w:val="center"/>
        <w:rPr>
          <w:rFonts w:asci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b w:val="0"/>
          <w:color w:val="auto"/>
          <w:highlight w:val="none"/>
        </w:rPr>
        <w:t xml:space="preserve">第一部分 </w:t>
      </w:r>
      <w:r>
        <w:rPr>
          <w:rFonts w:hint="eastAsia" w:ascii="黑体" w:hAnsi="黑体" w:eastAsia="黑体"/>
          <w:b w:val="0"/>
          <w:color w:val="auto"/>
          <w:highlight w:val="none"/>
          <w:lang w:eastAsia="zh-CN"/>
        </w:rPr>
        <w:t>单位</w:t>
      </w:r>
      <w:r>
        <w:rPr>
          <w:rStyle w:val="17"/>
          <w:rFonts w:hint="eastAsia" w:ascii="黑体" w:hAnsi="黑体" w:eastAsia="黑体"/>
          <w:b w:val="0"/>
          <w:bCs w:val="0"/>
          <w:color w:val="auto"/>
          <w:highlight w:val="none"/>
        </w:rPr>
        <w:t>概况</w:t>
      </w:r>
      <w:bookmarkEnd w:id="8"/>
      <w:bookmarkEnd w:id="9"/>
      <w:bookmarkEnd w:id="1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1"/>
        <w:rPr>
          <w:rStyle w:val="18"/>
          <w:rFonts w:hint="eastAsia" w:ascii="黑体" w:hAnsi="黑体" w:eastAsia="黑体"/>
          <w:b w:val="0"/>
          <w:color w:val="auto"/>
          <w:highlight w:val="none"/>
          <w:lang w:val="en-US" w:eastAsia="zh-CN" w:bidi="ar-SA"/>
        </w:rPr>
      </w:pPr>
      <w:bookmarkStart w:id="11" w:name="_Toc1498"/>
      <w:bookmarkStart w:id="12" w:name="_Toc15396600"/>
      <w:bookmarkStart w:id="13" w:name="_Toc15377197"/>
      <w:r>
        <w:rPr>
          <w:rStyle w:val="18"/>
          <w:rFonts w:hint="eastAsia" w:ascii="黑体" w:hAnsi="黑体" w:eastAsia="黑体"/>
          <w:b w:val="0"/>
          <w:color w:val="auto"/>
          <w:highlight w:val="none"/>
          <w:lang w:val="en-US" w:eastAsia="zh-CN" w:bidi="ar-SA"/>
        </w:rPr>
        <w:t>一、主要职责</w:t>
      </w:r>
      <w:bookmarkEnd w:id="1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14" w:name="_Toc31431"/>
      <w:r>
        <w:rPr>
          <w:rStyle w:val="18"/>
          <w:rFonts w:hint="eastAsia" w:ascii="仿宋" w:hAnsi="仿宋" w:eastAsia="仿宋" w:cs="仿宋"/>
          <w:b w:val="0"/>
          <w:color w:val="auto"/>
          <w:highlight w:val="none"/>
          <w:lang w:val="en-US" w:eastAsia="zh-CN" w:bidi="ar-SA"/>
        </w:rPr>
        <w:t>1.全面贯彻国家职业教育方针，坚持为社会主义现代化建设服务，就业与升学并重，努力培养和造就适应市场需要</w:t>
      </w:r>
      <w:bookmarkEnd w:id="14"/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的有一技之长的专业人才。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Style w:val="18"/>
          <w:rFonts w:hint="eastAsia" w:ascii="仿宋" w:hAnsi="仿宋" w:eastAsia="仿宋" w:cs="仿宋"/>
          <w:b w:val="0"/>
          <w:color w:val="auto"/>
          <w:highlight w:val="none"/>
          <w:lang w:val="en-US" w:eastAsia="zh-CN" w:bidi="ar-SA"/>
        </w:rPr>
      </w:pPr>
      <w:bookmarkStart w:id="15" w:name="_Toc29585"/>
      <w:r>
        <w:rPr>
          <w:rStyle w:val="18"/>
          <w:rFonts w:hint="eastAsia" w:ascii="仿宋" w:hAnsi="仿宋" w:eastAsia="仿宋" w:cs="仿宋"/>
          <w:b w:val="0"/>
          <w:color w:val="auto"/>
          <w:highlight w:val="none"/>
          <w:lang w:val="en-US" w:eastAsia="zh-CN" w:bidi="ar-SA"/>
        </w:rPr>
        <w:t>2.以立德树人为根本任务，加强学生思想道德和职业道德教育，加强新技术教育和技能训练，为学生全面成才、持续发展奠定扎实基础。</w:t>
      </w:r>
    </w:p>
    <w:bookmarkEnd w:id="15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Style w:val="18"/>
          <w:rFonts w:hint="eastAsia" w:ascii="仿宋" w:hAnsi="仿宋" w:eastAsia="仿宋" w:cs="仿宋"/>
          <w:b w:val="0"/>
          <w:color w:val="auto"/>
          <w:highlight w:val="none"/>
          <w:lang w:val="en-US" w:eastAsia="zh-CN" w:bidi="ar-SA"/>
        </w:rPr>
      </w:pPr>
      <w:bookmarkStart w:id="16" w:name="_Toc17712"/>
      <w:r>
        <w:rPr>
          <w:rStyle w:val="18"/>
          <w:rFonts w:hint="eastAsia" w:ascii="仿宋" w:hAnsi="仿宋" w:eastAsia="仿宋" w:cs="仿宋"/>
          <w:b w:val="0"/>
          <w:color w:val="auto"/>
          <w:highlight w:val="none"/>
          <w:lang w:val="en-US" w:eastAsia="zh-CN" w:bidi="ar-SA"/>
        </w:rPr>
        <w:t>3.深化教育教学改革，坚持教学和生产相结合、教学和科学技术的推广服务相结合，重视基础知识和专业知识的理实一体化教学模式建设。</w:t>
      </w:r>
    </w:p>
    <w:bookmarkEnd w:id="16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Style w:val="18"/>
          <w:rFonts w:hint="eastAsia" w:ascii="仿宋" w:hAnsi="仿宋" w:eastAsia="仿宋" w:cs="仿宋"/>
          <w:b w:val="0"/>
          <w:color w:val="auto"/>
          <w:highlight w:val="none"/>
          <w:lang w:val="en-US" w:eastAsia="zh-CN" w:bidi="ar-SA"/>
        </w:rPr>
      </w:pPr>
      <w:bookmarkStart w:id="17" w:name="_Toc5195"/>
      <w:r>
        <w:rPr>
          <w:rStyle w:val="18"/>
          <w:rFonts w:hint="eastAsia" w:ascii="仿宋" w:hAnsi="仿宋" w:eastAsia="仿宋" w:cs="仿宋"/>
          <w:b w:val="0"/>
          <w:color w:val="auto"/>
          <w:highlight w:val="none"/>
          <w:lang w:val="en-US" w:eastAsia="zh-CN" w:bidi="ar-SA"/>
        </w:rPr>
        <w:t>4.培育特色专业和重点专业，及时调整专业设置，形成适应区域经济发展的专业特色和优势。</w:t>
      </w:r>
    </w:p>
    <w:bookmarkEnd w:id="17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Style w:val="18"/>
          <w:rFonts w:hint="eastAsia" w:ascii="仿宋" w:hAnsi="仿宋" w:eastAsia="仿宋" w:cs="仿宋"/>
          <w:b w:val="0"/>
          <w:color w:val="auto"/>
          <w:highlight w:val="none"/>
          <w:lang w:val="en-US" w:eastAsia="zh-CN" w:bidi="ar-SA"/>
        </w:rPr>
      </w:pPr>
      <w:bookmarkStart w:id="18" w:name="_Toc13122"/>
      <w:r>
        <w:rPr>
          <w:rStyle w:val="18"/>
          <w:rFonts w:hint="eastAsia" w:ascii="仿宋" w:hAnsi="仿宋" w:eastAsia="仿宋" w:cs="仿宋"/>
          <w:b w:val="0"/>
          <w:color w:val="auto"/>
          <w:highlight w:val="none"/>
          <w:lang w:val="en-US" w:eastAsia="zh-CN" w:bidi="ar-SA"/>
        </w:rPr>
        <w:t>5.加强校企合作，发挥校企联合办学的整体优势。主动适应企业用人需求，努力提高人才培养质量，使毕业生素质与企业的需求相适应。鼓励教师到企业实践锻炼，聘任优秀技术人才到学校兼课，不断提高“双师型”教师队伍建设。</w:t>
      </w:r>
    </w:p>
    <w:bookmarkEnd w:id="18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Style w:val="18"/>
          <w:rFonts w:hint="eastAsia" w:ascii="仿宋" w:hAnsi="仿宋" w:eastAsia="仿宋" w:cs="仿宋"/>
          <w:b w:val="0"/>
          <w:color w:val="auto"/>
          <w:highlight w:val="none"/>
          <w:lang w:val="en-US" w:eastAsia="zh-CN" w:bidi="ar-SA"/>
        </w:rPr>
      </w:pPr>
      <w:bookmarkStart w:id="19" w:name="_Toc26872"/>
      <w:r>
        <w:rPr>
          <w:rStyle w:val="18"/>
          <w:rFonts w:hint="eastAsia" w:ascii="仿宋" w:hAnsi="仿宋" w:eastAsia="仿宋" w:cs="仿宋"/>
          <w:b w:val="0"/>
          <w:color w:val="auto"/>
          <w:highlight w:val="none"/>
          <w:lang w:val="en-US" w:eastAsia="zh-CN" w:bidi="ar-SA"/>
        </w:rPr>
        <w:t>6.充分利用职业教育资源，坚持学历教育与职业培训并重，实行灵活的办学模式。多层次、多形式地开展文化、科技、公民道德和职业技术等方面的教育培训，努力为创建学习型社会发挥积极作用。</w:t>
      </w:r>
    </w:p>
    <w:bookmarkEnd w:id="19"/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1"/>
        <w:rPr>
          <w:rStyle w:val="18"/>
          <w:rFonts w:hint="eastAsia" w:ascii="黑体" w:hAnsi="黑体" w:eastAsia="黑体"/>
          <w:b w:val="0"/>
          <w:color w:val="auto"/>
          <w:highlight w:val="none"/>
          <w:lang w:val="en-US" w:eastAsia="zh-CN" w:bidi="ar-SA"/>
        </w:rPr>
      </w:pPr>
      <w:bookmarkStart w:id="20" w:name="_Toc10677"/>
      <w:r>
        <w:rPr>
          <w:rStyle w:val="18"/>
          <w:rFonts w:hint="eastAsia" w:ascii="黑体" w:hAnsi="黑体" w:eastAsia="黑体"/>
          <w:b w:val="0"/>
          <w:color w:val="auto"/>
          <w:highlight w:val="none"/>
          <w:lang w:val="en-US" w:eastAsia="zh-CN" w:bidi="ar-SA"/>
        </w:rPr>
        <w:t>二、机构设置</w:t>
      </w:r>
      <w:bookmarkEnd w:id="2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四川省广元市职业高级中学校直属广元市教育局，为二级预算单位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Hans"/>
        </w:rPr>
        <w:t>。</w:t>
      </w:r>
    </w:p>
    <w:bookmarkEnd w:id="12"/>
    <w:bookmarkEnd w:id="13"/>
    <w:p>
      <w:pPr>
        <w:widowControl/>
        <w:jc w:val="left"/>
        <w:rPr>
          <w:rFonts w:ascii="仿宋" w:hAnsi="仿宋" w:eastAsia="仿宋"/>
          <w:color w:val="auto"/>
          <w:kern w:val="0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br w:type="page"/>
      </w:r>
    </w:p>
    <w:p>
      <w:pPr>
        <w:pStyle w:val="3"/>
        <w:ind w:right="440"/>
        <w:jc w:val="center"/>
        <w:rPr>
          <w:rStyle w:val="17"/>
          <w:rFonts w:ascii="黑体" w:hAnsi="黑体" w:eastAsia="黑体"/>
          <w:b w:val="0"/>
          <w:bCs/>
          <w:color w:val="auto"/>
          <w:highlight w:val="none"/>
        </w:rPr>
      </w:pPr>
      <w:bookmarkStart w:id="21" w:name="_Toc13520"/>
      <w:bookmarkStart w:id="22" w:name="_Toc15396602"/>
      <w:bookmarkStart w:id="23" w:name="_Toc15377204"/>
      <w:r>
        <w:rPr>
          <w:rFonts w:hint="eastAsia" w:ascii="黑体" w:hAnsi="黑体" w:eastAsia="黑体"/>
          <w:b w:val="0"/>
          <w:bCs/>
          <w:color w:val="auto"/>
          <w:highlight w:val="none"/>
        </w:rPr>
        <w:t xml:space="preserve">第二部分 </w:t>
      </w:r>
      <w:r>
        <w:rPr>
          <w:rFonts w:hint="eastAsia" w:ascii="黑体" w:hAnsi="黑体" w:eastAsia="黑体"/>
          <w:b w:val="0"/>
          <w:bCs/>
          <w:color w:val="auto"/>
          <w:highlight w:val="none"/>
          <w:lang w:val="en-US" w:eastAsia="zh-CN"/>
        </w:rPr>
        <w:t>2022年度</w:t>
      </w:r>
      <w:r>
        <w:rPr>
          <w:rStyle w:val="17"/>
          <w:rFonts w:hint="eastAsia" w:ascii="黑体" w:hAnsi="黑体" w:eastAsia="黑体"/>
          <w:b w:val="0"/>
          <w:bCs/>
          <w:color w:val="auto"/>
          <w:highlight w:val="none"/>
          <w:lang w:eastAsia="zh-CN"/>
        </w:rPr>
        <w:t>单位</w:t>
      </w:r>
      <w:r>
        <w:rPr>
          <w:rStyle w:val="17"/>
          <w:rFonts w:hint="eastAsia" w:ascii="黑体" w:hAnsi="黑体" w:eastAsia="黑体"/>
          <w:b w:val="0"/>
          <w:bCs/>
          <w:color w:val="auto"/>
          <w:highlight w:val="none"/>
        </w:rPr>
        <w:t>决算情况说明</w:t>
      </w:r>
      <w:bookmarkEnd w:id="21"/>
      <w:bookmarkEnd w:id="22"/>
      <w:bookmarkEnd w:id="23"/>
    </w:p>
    <w:p>
      <w:pPr>
        <w:rPr>
          <w:color w:val="auto"/>
          <w:highlight w:val="none"/>
        </w:rPr>
      </w:pPr>
    </w:p>
    <w:p>
      <w:pPr>
        <w:pStyle w:val="29"/>
        <w:numPr>
          <w:ilvl w:val="0"/>
          <w:numId w:val="1"/>
        </w:numPr>
        <w:spacing w:line="600" w:lineRule="exact"/>
        <w:ind w:firstLineChars="0"/>
        <w:outlineLvl w:val="1"/>
        <w:rPr>
          <w:rStyle w:val="18"/>
          <w:rFonts w:ascii="黑体" w:hAnsi="黑体" w:eastAsia="黑体"/>
          <w:b w:val="0"/>
          <w:color w:val="auto"/>
          <w:highlight w:val="none"/>
        </w:rPr>
      </w:pPr>
      <w:bookmarkStart w:id="24" w:name="_Toc15396603"/>
      <w:bookmarkStart w:id="25" w:name="_Toc4797"/>
      <w:bookmarkStart w:id="26" w:name="_Toc15377205"/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收</w:t>
      </w:r>
      <w:r>
        <w:rPr>
          <w:rStyle w:val="18"/>
          <w:rFonts w:hint="eastAsia" w:ascii="黑体" w:hAnsi="黑体" w:eastAsia="黑体"/>
          <w:b w:val="0"/>
          <w:color w:val="auto"/>
          <w:highlight w:val="none"/>
        </w:rPr>
        <w:t>入支出决算总体情况说明</w:t>
      </w:r>
      <w:bookmarkEnd w:id="24"/>
      <w:bookmarkEnd w:id="25"/>
      <w:bookmarkEnd w:id="26"/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年度收、支总计6,554.46万元。与20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年相比，收、支总计减少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249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万元，下降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3.66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。主要变动原因是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项目支出减少。</w:t>
      </w:r>
    </w:p>
    <w:p>
      <w:pPr>
        <w:pStyle w:val="2"/>
        <w:jc w:val="center"/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3437890" cy="1897380"/>
            <wp:effectExtent l="4445" t="4445" r="5715" b="22225"/>
            <wp:docPr id="4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spacing w:line="600" w:lineRule="exact"/>
        <w:ind w:firstLine="640" w:firstLineChars="200"/>
        <w:jc w:val="center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图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：收、支决算总计变动情况图（柱状图）</w:t>
      </w:r>
    </w:p>
    <w:p>
      <w:pPr>
        <w:pStyle w:val="29"/>
        <w:numPr>
          <w:ilvl w:val="0"/>
          <w:numId w:val="1"/>
        </w:numPr>
        <w:spacing w:line="600" w:lineRule="exact"/>
        <w:ind w:firstLineChars="0"/>
        <w:outlineLvl w:val="1"/>
        <w:rPr>
          <w:rStyle w:val="18"/>
          <w:rFonts w:ascii="黑体" w:hAnsi="黑体" w:eastAsia="黑体"/>
          <w:b w:val="0"/>
          <w:color w:val="auto"/>
          <w:highlight w:val="none"/>
        </w:rPr>
      </w:pPr>
      <w:bookmarkStart w:id="27" w:name="_Toc1447"/>
      <w:bookmarkStart w:id="28" w:name="_Toc15377206"/>
      <w:bookmarkStart w:id="29" w:name="_Toc15396604"/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收</w:t>
      </w:r>
      <w:r>
        <w:rPr>
          <w:rStyle w:val="18"/>
          <w:rFonts w:hint="eastAsia" w:ascii="黑体" w:hAnsi="黑体" w:eastAsia="黑体"/>
          <w:b w:val="0"/>
          <w:color w:val="auto"/>
          <w:highlight w:val="none"/>
        </w:rPr>
        <w:t>入决算情况说明</w:t>
      </w:r>
      <w:bookmarkEnd w:id="27"/>
      <w:bookmarkEnd w:id="28"/>
      <w:bookmarkEnd w:id="29"/>
    </w:p>
    <w:p>
      <w:pPr>
        <w:spacing w:line="600" w:lineRule="exact"/>
        <w:ind w:firstLine="640" w:firstLineChars="200"/>
        <w:outlineLvl w:val="1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bookmarkStart w:id="30" w:name="_Toc10119"/>
      <w:r>
        <w:rPr>
          <w:rFonts w:ascii="仿宋" w:hAnsi="仿宋" w:eastAsia="仿宋"/>
          <w:color w:val="auto"/>
          <w:sz w:val="32"/>
          <w:szCs w:val="32"/>
          <w:highlight w:val="none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年本年收入合计5,229.59万元，其中：一般公共预算财政拨款收入4,511.83万元，占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86.28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；事业收入717.76万元，占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13.72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。</w:t>
      </w:r>
      <w:bookmarkEnd w:id="30"/>
    </w:p>
    <w:p>
      <w:pPr>
        <w:pStyle w:val="2"/>
        <w:jc w:val="center"/>
      </w:pPr>
      <w:r>
        <w:drawing>
          <wp:inline distT="0" distB="0" distL="114300" distR="114300">
            <wp:extent cx="2921000" cy="1830705"/>
            <wp:effectExtent l="4445" t="4445" r="8255" b="12700"/>
            <wp:docPr id="3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>
      <w:pPr>
        <w:pStyle w:val="2"/>
        <w:jc w:val="center"/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图2：收入决算结构图（饼状图）</w:t>
      </w:r>
    </w:p>
    <w:p>
      <w:pPr>
        <w:pStyle w:val="29"/>
        <w:numPr>
          <w:ilvl w:val="0"/>
          <w:numId w:val="1"/>
        </w:numPr>
        <w:spacing w:line="600" w:lineRule="exact"/>
        <w:ind w:firstLineChars="0"/>
        <w:outlineLvl w:val="1"/>
        <w:rPr>
          <w:rStyle w:val="18"/>
          <w:rFonts w:ascii="黑体" w:hAnsi="黑体" w:eastAsia="黑体"/>
          <w:b w:val="0"/>
          <w:color w:val="auto"/>
          <w:highlight w:val="none"/>
        </w:rPr>
      </w:pPr>
      <w:bookmarkStart w:id="31" w:name="_Toc15396605"/>
      <w:bookmarkStart w:id="32" w:name="_Toc12283"/>
      <w:bookmarkStart w:id="33" w:name="_Toc15377207"/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支</w:t>
      </w:r>
      <w:r>
        <w:rPr>
          <w:rStyle w:val="18"/>
          <w:rFonts w:hint="eastAsia" w:ascii="黑体" w:hAnsi="黑体" w:eastAsia="黑体"/>
          <w:b w:val="0"/>
          <w:color w:val="auto"/>
          <w:highlight w:val="none"/>
        </w:rPr>
        <w:t>出决算情况说明</w:t>
      </w:r>
      <w:bookmarkEnd w:id="31"/>
      <w:bookmarkEnd w:id="32"/>
      <w:bookmarkEnd w:id="33"/>
    </w:p>
    <w:p>
      <w:pPr>
        <w:spacing w:line="600" w:lineRule="exact"/>
        <w:ind w:firstLine="640" w:firstLineChars="200"/>
        <w:outlineLvl w:val="1"/>
        <w:rPr>
          <w:rFonts w:ascii="仿宋" w:hAnsi="仿宋" w:eastAsia="仿宋"/>
          <w:color w:val="auto"/>
          <w:sz w:val="32"/>
          <w:szCs w:val="32"/>
          <w:highlight w:val="none"/>
          <w:shd w:val="pct10" w:color="auto" w:fill="FFFFFF"/>
        </w:rPr>
      </w:pPr>
      <w:bookmarkStart w:id="34" w:name="_Toc29332"/>
      <w:r>
        <w:rPr>
          <w:rFonts w:ascii="仿宋" w:hAnsi="仿宋" w:eastAsia="仿宋"/>
          <w:color w:val="auto"/>
          <w:sz w:val="32"/>
          <w:szCs w:val="32"/>
          <w:highlight w:val="none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年本年支出合计6,063.59万元，其中：基本支出2,767.24万元，占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45.64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；项目支出3,296.36万元，占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54.36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</w:t>
      </w:r>
      <w:bookmarkEnd w:id="34"/>
    </w:p>
    <w:p>
      <w:pPr>
        <w:pStyle w:val="2"/>
        <w:jc w:val="center"/>
      </w:pPr>
      <w:r>
        <w:drawing>
          <wp:inline distT="0" distB="0" distL="114300" distR="114300">
            <wp:extent cx="2902585" cy="1828800"/>
            <wp:effectExtent l="4445" t="4445" r="7620" b="14605"/>
            <wp:docPr id="1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>
      <w:pPr>
        <w:pStyle w:val="2"/>
        <w:jc w:val="center"/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图3：支出决算结构图（饼状图）</w:t>
      </w:r>
    </w:p>
    <w:p>
      <w:pPr>
        <w:spacing w:line="600" w:lineRule="exact"/>
        <w:ind w:firstLine="640" w:firstLineChars="200"/>
        <w:outlineLvl w:val="1"/>
        <w:rPr>
          <w:rStyle w:val="18"/>
          <w:rFonts w:ascii="黑体" w:hAnsi="黑体" w:eastAsia="黑体"/>
          <w:b w:val="0"/>
          <w:color w:val="auto"/>
          <w:highlight w:val="none"/>
        </w:rPr>
      </w:pPr>
      <w:bookmarkStart w:id="35" w:name="_Toc25691"/>
      <w:bookmarkStart w:id="36" w:name="_Toc15377208"/>
      <w:bookmarkStart w:id="37" w:name="_Toc15396606"/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四、财</w:t>
      </w:r>
      <w:r>
        <w:rPr>
          <w:rStyle w:val="18"/>
          <w:rFonts w:hint="eastAsia" w:ascii="黑体" w:hAnsi="黑体" w:eastAsia="黑体"/>
          <w:b w:val="0"/>
          <w:color w:val="auto"/>
          <w:highlight w:val="none"/>
        </w:rPr>
        <w:t>政拨款收入支出决算总体情况说明</w:t>
      </w:r>
      <w:bookmarkEnd w:id="35"/>
      <w:bookmarkEnd w:id="36"/>
      <w:bookmarkEnd w:id="37"/>
    </w:p>
    <w:p>
      <w:pPr>
        <w:spacing w:line="600" w:lineRule="exact"/>
        <w:ind w:firstLine="640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年财政拨款收、支总计5,836.70万元。与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年相比，财政拨款收、支总计各减少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426.03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万元，下降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6.8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。主要变动原因是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项目支出减少。</w:t>
      </w:r>
    </w:p>
    <w:p>
      <w:pPr>
        <w:pStyle w:val="2"/>
        <w:jc w:val="center"/>
      </w:pPr>
      <w:r>
        <w:drawing>
          <wp:inline distT="0" distB="0" distL="114300" distR="114300">
            <wp:extent cx="3549650" cy="1752600"/>
            <wp:effectExtent l="4445" t="4445" r="8255" b="14605"/>
            <wp:docPr id="5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>
      <w:pPr>
        <w:spacing w:line="600" w:lineRule="exact"/>
        <w:ind w:firstLine="640" w:firstLineChars="200"/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图4：财政拨款收、支决算总计变动情况（柱状图）</w:t>
      </w:r>
    </w:p>
    <w:p>
      <w:pPr>
        <w:spacing w:line="600" w:lineRule="exact"/>
        <w:ind w:firstLine="640" w:firstLineChars="200"/>
        <w:outlineLvl w:val="1"/>
        <w:rPr>
          <w:rStyle w:val="18"/>
          <w:rFonts w:ascii="黑体" w:hAnsi="黑体" w:eastAsia="黑体"/>
          <w:b w:val="0"/>
          <w:color w:val="auto"/>
          <w:highlight w:val="none"/>
        </w:rPr>
      </w:pPr>
      <w:bookmarkStart w:id="38" w:name="_Toc15396607"/>
      <w:bookmarkStart w:id="39" w:name="_Toc14847"/>
      <w:bookmarkStart w:id="40" w:name="_Toc15377209"/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五、</w:t>
      </w:r>
      <w:r>
        <w:rPr>
          <w:rFonts w:hint="eastAsia" w:ascii="黑体" w:hAnsi="黑体" w:eastAsia="黑体"/>
          <w:b/>
          <w:color w:val="auto"/>
          <w:sz w:val="32"/>
          <w:szCs w:val="32"/>
          <w:highlight w:val="none"/>
        </w:rPr>
        <w:t>一</w:t>
      </w:r>
      <w:r>
        <w:rPr>
          <w:rStyle w:val="18"/>
          <w:rFonts w:hint="eastAsia" w:ascii="黑体" w:hAnsi="黑体" w:eastAsia="黑体"/>
          <w:b w:val="0"/>
          <w:color w:val="auto"/>
          <w:highlight w:val="none"/>
        </w:rPr>
        <w:t>般公共预算财政拨款支出决算情况说明</w:t>
      </w:r>
      <w:bookmarkEnd w:id="38"/>
      <w:bookmarkEnd w:id="39"/>
      <w:bookmarkEnd w:id="40"/>
    </w:p>
    <w:p>
      <w:pPr>
        <w:spacing w:line="600" w:lineRule="exact"/>
        <w:ind w:firstLine="643" w:firstLineChars="200"/>
        <w:outlineLvl w:val="2"/>
        <w:rPr>
          <w:rFonts w:ascii="仿宋" w:hAnsi="仿宋" w:eastAsia="仿宋"/>
          <w:b/>
          <w:color w:val="auto"/>
          <w:sz w:val="32"/>
          <w:szCs w:val="32"/>
          <w:highlight w:val="none"/>
        </w:rPr>
      </w:pPr>
      <w:bookmarkStart w:id="41" w:name="_Toc15377210"/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（一）一般公共预算财政拨款支出决算总体情况</w:t>
      </w:r>
      <w:bookmarkEnd w:id="41"/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年一般公共预算财政拨款支出5,345.83万元，占本年支出合计的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88.16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。与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年相比，一般公共预算财政拨款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支出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增加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751.8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万元，增长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16.36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。主要变动原因是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人员经费增加。</w:t>
      </w:r>
    </w:p>
    <w:p>
      <w:pPr>
        <w:spacing w:line="600" w:lineRule="exact"/>
        <w:ind w:firstLine="420" w:firstLineChars="200"/>
        <w:outlineLvl w:val="9"/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</w:pPr>
      <w:bookmarkStart w:id="42" w:name="_Toc15377211"/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204470</wp:posOffset>
            </wp:positionV>
            <wp:extent cx="3255010" cy="2333625"/>
            <wp:effectExtent l="5080" t="4445" r="16510" b="5080"/>
            <wp:wrapSquare wrapText="bothSides"/>
            <wp:docPr id="6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>
      <w:pPr>
        <w:spacing w:line="600" w:lineRule="exact"/>
        <w:ind w:firstLine="643" w:firstLineChars="200"/>
        <w:outlineLvl w:val="9"/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</w:pPr>
    </w:p>
    <w:p>
      <w:pPr>
        <w:spacing w:line="600" w:lineRule="exact"/>
        <w:ind w:firstLine="643" w:firstLineChars="200"/>
        <w:outlineLvl w:val="9"/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</w:pPr>
    </w:p>
    <w:p>
      <w:pPr>
        <w:spacing w:line="600" w:lineRule="exact"/>
        <w:ind w:firstLine="643" w:firstLineChars="200"/>
        <w:outlineLvl w:val="9"/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</w:pPr>
    </w:p>
    <w:p>
      <w:pPr>
        <w:spacing w:line="600" w:lineRule="exact"/>
        <w:ind w:firstLine="643" w:firstLineChars="200"/>
        <w:outlineLvl w:val="9"/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</w:pPr>
    </w:p>
    <w:p>
      <w:pPr>
        <w:pStyle w:val="2"/>
        <w:rPr>
          <w:rFonts w:hint="eastAsia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600" w:lineRule="exact"/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图5：一般公共预算财政拨款支出决算变动情况（柱状图）</w:t>
      </w:r>
    </w:p>
    <w:p>
      <w:pPr>
        <w:spacing w:line="600" w:lineRule="exact"/>
        <w:ind w:firstLine="643" w:firstLineChars="200"/>
        <w:outlineLvl w:val="2"/>
        <w:rPr>
          <w:rFonts w:ascii="仿宋" w:hAnsi="仿宋" w:eastAsia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（二）一般公共预算财政拨款支出决算结构情况</w:t>
      </w:r>
      <w:bookmarkEnd w:id="42"/>
    </w:p>
    <w:p>
      <w:pPr>
        <w:spacing w:line="600" w:lineRule="exact"/>
        <w:ind w:firstLine="64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年一般公共预算财政拨款支出5,345.83万元，主要用于以下方面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: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教育支出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4,460.08万元，占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83.43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；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社会保障和就业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</w:rPr>
        <w:t>支出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237.25万元，占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4.44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；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</w:rPr>
        <w:t>卫生健康支出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108.06万元，占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2.02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；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</w:rPr>
        <w:t>住房保障支出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233.88万元，占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4.37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；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其他支出306.57万元，占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5.74%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</w:t>
      </w:r>
    </w:p>
    <w:p>
      <w:pPr>
        <w:spacing w:line="600" w:lineRule="exact"/>
        <w:jc w:val="center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793750</wp:posOffset>
            </wp:positionH>
            <wp:positionV relativeFrom="paragraph">
              <wp:posOffset>133350</wp:posOffset>
            </wp:positionV>
            <wp:extent cx="3739515" cy="2077085"/>
            <wp:effectExtent l="5080" t="4445" r="8255" b="13970"/>
            <wp:wrapTopAndBottom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图6：一般公共预算财政拨款支出决算结构（饼状图）</w:t>
      </w:r>
    </w:p>
    <w:p>
      <w:pPr>
        <w:spacing w:line="600" w:lineRule="exact"/>
        <w:ind w:firstLine="643" w:firstLineChars="200"/>
        <w:outlineLvl w:val="2"/>
        <w:rPr>
          <w:rFonts w:ascii="仿宋" w:hAnsi="仿宋" w:eastAsia="仿宋"/>
          <w:b/>
          <w:color w:val="auto"/>
          <w:sz w:val="32"/>
          <w:szCs w:val="32"/>
          <w:highlight w:val="none"/>
        </w:rPr>
      </w:pPr>
      <w:bookmarkStart w:id="43" w:name="_Toc15377212"/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（三）一般公共预算财政拨款支出决算具体情况</w:t>
      </w:r>
      <w:bookmarkEnd w:id="43"/>
    </w:p>
    <w:p>
      <w:pPr>
        <w:spacing w:line="600" w:lineRule="exact"/>
        <w:ind w:firstLine="643" w:firstLineChars="200"/>
        <w:outlineLvl w:val="1"/>
        <w:rPr>
          <w:rFonts w:ascii="仿宋" w:hAnsi="仿宋" w:eastAsia="仿宋"/>
          <w:color w:val="auto"/>
          <w:sz w:val="32"/>
          <w:szCs w:val="32"/>
          <w:highlight w:val="none"/>
        </w:rPr>
      </w:pPr>
      <w:bookmarkStart w:id="44" w:name="_Toc15378460"/>
      <w:bookmarkStart w:id="45" w:name="_Toc15377213"/>
      <w:bookmarkStart w:id="46" w:name="_Toc28950"/>
      <w:bookmarkStart w:id="47" w:name="_Toc15377444"/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20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eastAsia="zh-CN"/>
        </w:rPr>
        <w:t>一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般公共预算支出决算数为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5,345.83，</w:t>
      </w:r>
      <w:r>
        <w:rPr>
          <w:rStyle w:val="15"/>
          <w:rFonts w:hint="eastAsia" w:ascii="仿宋" w:hAnsi="仿宋" w:eastAsia="仿宋"/>
          <w:bCs/>
          <w:color w:val="auto"/>
          <w:sz w:val="32"/>
          <w:szCs w:val="32"/>
          <w:highlight w:val="none"/>
        </w:rPr>
        <w:t>完成预算</w:t>
      </w:r>
      <w:r>
        <w:rPr>
          <w:rStyle w:val="15"/>
          <w:rFonts w:hint="eastAsia" w:ascii="仿宋" w:hAnsi="仿宋" w:eastAsia="仿宋"/>
          <w:bCs/>
          <w:color w:val="auto"/>
          <w:sz w:val="32"/>
          <w:szCs w:val="32"/>
          <w:highlight w:val="none"/>
          <w:lang w:val="en-US" w:eastAsia="zh-CN"/>
        </w:rPr>
        <w:t>91.59</w:t>
      </w:r>
      <w:r>
        <w:rPr>
          <w:rStyle w:val="15"/>
          <w:rFonts w:ascii="仿宋" w:hAnsi="仿宋" w:eastAsia="仿宋"/>
          <w:bCs/>
          <w:color w:val="auto"/>
          <w:sz w:val="32"/>
          <w:szCs w:val="32"/>
          <w:highlight w:val="none"/>
        </w:rPr>
        <w:t>%</w:t>
      </w:r>
      <w:r>
        <w:rPr>
          <w:rStyle w:val="15"/>
          <w:rFonts w:hint="eastAsia" w:ascii="仿宋" w:hAnsi="仿宋" w:eastAsia="仿宋"/>
          <w:bCs/>
          <w:color w:val="auto"/>
          <w:sz w:val="32"/>
          <w:szCs w:val="32"/>
          <w:highlight w:val="none"/>
        </w:rPr>
        <w:t>。其中：</w:t>
      </w:r>
      <w:bookmarkEnd w:id="44"/>
      <w:bookmarkEnd w:id="45"/>
      <w:bookmarkEnd w:id="46"/>
      <w:bookmarkEnd w:id="47"/>
    </w:p>
    <w:p>
      <w:pPr>
        <w:spacing w:line="600" w:lineRule="exact"/>
        <w:ind w:firstLine="643" w:firstLineChars="200"/>
        <w:rPr>
          <w:rFonts w:ascii="仿宋" w:hAnsi="仿宋" w:eastAsia="仿宋"/>
          <w:b/>
          <w:color w:val="auto"/>
          <w:sz w:val="32"/>
          <w:szCs w:val="32"/>
          <w:highlight w:val="none"/>
        </w:rPr>
      </w:pPr>
      <w:r>
        <w:rPr>
          <w:rStyle w:val="15"/>
          <w:rFonts w:ascii="仿宋" w:hAnsi="仿宋" w:eastAsia="仿宋"/>
          <w:bCs/>
          <w:color w:val="auto"/>
          <w:sz w:val="32"/>
          <w:szCs w:val="32"/>
          <w:highlight w:val="none"/>
        </w:rPr>
        <w:t>1.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教育（类）职业教育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lang w:eastAsia="zh-Hans"/>
        </w:rPr>
        <w:t>（款）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中等职业教育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lang w:eastAsia="zh-Hans"/>
        </w:rPr>
        <w:t>（项）</w:t>
      </w:r>
      <w:r>
        <w:rPr>
          <w:rStyle w:val="15"/>
          <w:rFonts w:ascii="仿宋" w:hAnsi="仿宋" w:eastAsia="仿宋"/>
          <w:bCs/>
          <w:color w:val="auto"/>
          <w:sz w:val="32"/>
          <w:szCs w:val="32"/>
          <w:highlight w:val="none"/>
        </w:rPr>
        <w:t>:</w:t>
      </w:r>
      <w:r>
        <w:rPr>
          <w:rStyle w:val="15"/>
          <w:rFonts w:ascii="仿宋" w:hAnsi="仿宋" w:eastAsia="仿宋"/>
          <w:b w:val="0"/>
          <w:bCs/>
          <w:color w:val="auto"/>
          <w:sz w:val="32"/>
          <w:szCs w:val="32"/>
          <w:highlight w:val="none"/>
        </w:rPr>
        <w:t xml:space="preserve"> 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</w:rPr>
        <w:t>支出决算为4,460.0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</w:rPr>
        <w:t>万元，完成预算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  <w:lang w:val="en-US" w:eastAsia="zh-CN"/>
        </w:rPr>
        <w:t>91.34</w:t>
      </w:r>
      <w:r>
        <w:rPr>
          <w:rStyle w:val="15"/>
          <w:rFonts w:ascii="仿宋" w:hAnsi="仿宋" w:eastAsia="仿宋"/>
          <w:b w:val="0"/>
          <w:bCs/>
          <w:color w:val="auto"/>
          <w:sz w:val="32"/>
          <w:szCs w:val="32"/>
          <w:highlight w:val="none"/>
        </w:rPr>
        <w:t>%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</w:rPr>
        <w:t>，决算数小于预算数的主要原因是</w:t>
      </w:r>
      <w:r>
        <w:rPr>
          <w:rStyle w:val="15"/>
          <w:rFonts w:hint="eastAsia" w:ascii="仿宋" w:hAnsi="仿宋" w:eastAsia="仿宋"/>
          <w:b w:val="0"/>
          <w:bCs/>
          <w:sz w:val="32"/>
          <w:szCs w:val="32"/>
        </w:rPr>
        <w:t>项目</w:t>
      </w:r>
      <w:r>
        <w:rPr>
          <w:rStyle w:val="15"/>
          <w:rFonts w:hint="eastAsia" w:ascii="仿宋" w:hAnsi="仿宋" w:eastAsia="仿宋"/>
          <w:b w:val="0"/>
          <w:bCs/>
          <w:sz w:val="32"/>
          <w:szCs w:val="32"/>
          <w:lang w:eastAsia="zh-CN"/>
        </w:rPr>
        <w:t>经费下达时间晚，</w:t>
      </w:r>
      <w:r>
        <w:rPr>
          <w:rStyle w:val="15"/>
          <w:rFonts w:hint="eastAsia" w:ascii="仿宋" w:hAnsi="仿宋" w:eastAsia="仿宋"/>
          <w:b w:val="0"/>
          <w:bCs/>
          <w:sz w:val="32"/>
          <w:szCs w:val="32"/>
        </w:rPr>
        <w:t>未全部使用。</w:t>
      </w:r>
    </w:p>
    <w:p>
      <w:pPr>
        <w:spacing w:line="600" w:lineRule="exact"/>
        <w:ind w:firstLine="643" w:firstLineChars="200"/>
        <w:rPr>
          <w:rStyle w:val="15"/>
          <w:rFonts w:ascii="仿宋" w:hAnsi="仿宋" w:eastAsia="仿宋" w:cstheme="minorBidi"/>
          <w:b w:val="0"/>
          <w:bCs/>
          <w:sz w:val="32"/>
          <w:szCs w:val="32"/>
        </w:rPr>
      </w:pPr>
      <w:r>
        <w:rPr>
          <w:rStyle w:val="15"/>
          <w:rFonts w:ascii="仿宋" w:hAnsi="仿宋" w:eastAsia="仿宋"/>
          <w:bCs/>
          <w:color w:val="auto"/>
          <w:sz w:val="32"/>
          <w:szCs w:val="32"/>
          <w:highlight w:val="none"/>
        </w:rPr>
        <w:t>2.</w:t>
      </w:r>
      <w:r>
        <w:rPr>
          <w:rStyle w:val="15"/>
          <w:rFonts w:hint="eastAsia" w:ascii="仿宋" w:hAnsi="仿宋" w:eastAsia="仿宋"/>
          <w:bCs/>
          <w:color w:val="auto"/>
          <w:sz w:val="32"/>
          <w:szCs w:val="32"/>
          <w:highlight w:val="none"/>
        </w:rPr>
        <w:t>社会保障和就业（类）行政事业单位养老支出（款</w:t>
      </w:r>
      <w:r>
        <w:rPr>
          <w:rStyle w:val="15"/>
          <w:rFonts w:hint="eastAsia" w:ascii="仿宋" w:hAnsi="仿宋" w:eastAsia="仿宋"/>
          <w:bCs/>
          <w:color w:val="auto"/>
          <w:sz w:val="32"/>
          <w:szCs w:val="32"/>
          <w:highlight w:val="none"/>
          <w:lang w:val="en-US" w:eastAsia="zh-CN"/>
        </w:rPr>
        <w:t>)</w:t>
      </w:r>
      <w:r>
        <w:rPr>
          <w:rStyle w:val="15"/>
          <w:rFonts w:hint="eastAsia" w:ascii="仿宋" w:hAnsi="仿宋" w:eastAsia="仿宋"/>
          <w:bCs/>
          <w:color w:val="auto"/>
          <w:sz w:val="32"/>
          <w:szCs w:val="32"/>
          <w:highlight w:val="none"/>
        </w:rPr>
        <w:t>机关事业单位基本养老保险缴费支出（项）</w:t>
      </w:r>
      <w:r>
        <w:rPr>
          <w:rStyle w:val="15"/>
          <w:rFonts w:ascii="仿宋" w:hAnsi="仿宋" w:eastAsia="仿宋"/>
          <w:bCs/>
          <w:color w:val="auto"/>
          <w:sz w:val="32"/>
          <w:szCs w:val="32"/>
          <w:highlight w:val="none"/>
        </w:rPr>
        <w:t>:</w:t>
      </w:r>
      <w:r>
        <w:rPr>
          <w:rStyle w:val="15"/>
          <w:rFonts w:ascii="仿宋" w:hAnsi="仿宋" w:eastAsia="仿宋"/>
          <w:b w:val="0"/>
          <w:bCs/>
          <w:color w:val="auto"/>
          <w:sz w:val="32"/>
          <w:szCs w:val="32"/>
          <w:highlight w:val="none"/>
        </w:rPr>
        <w:t xml:space="preserve"> 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</w:rPr>
        <w:t>支出决算为206.43万元，完成预算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Style w:val="15"/>
          <w:rFonts w:ascii="仿宋" w:hAnsi="仿宋" w:eastAsia="仿宋"/>
          <w:b w:val="0"/>
          <w:bCs/>
          <w:color w:val="auto"/>
          <w:sz w:val="32"/>
          <w:szCs w:val="32"/>
          <w:highlight w:val="none"/>
        </w:rPr>
        <w:t>%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</w:rPr>
        <w:t>，</w:t>
      </w:r>
      <w:r>
        <w:rPr>
          <w:rStyle w:val="15"/>
          <w:rFonts w:hint="eastAsia" w:ascii="仿宋" w:hAnsi="仿宋" w:eastAsia="仿宋"/>
          <w:b w:val="0"/>
          <w:bCs/>
          <w:sz w:val="32"/>
          <w:szCs w:val="32"/>
        </w:rPr>
        <w:t>决算数</w:t>
      </w:r>
      <w:r>
        <w:rPr>
          <w:rStyle w:val="15"/>
          <w:rFonts w:hint="eastAsia" w:ascii="仿宋" w:hAnsi="仿宋" w:eastAsia="仿宋" w:cstheme="minorBidi"/>
          <w:b w:val="0"/>
          <w:bCs/>
          <w:sz w:val="32"/>
          <w:szCs w:val="32"/>
        </w:rPr>
        <w:t>与预算数持平。</w:t>
      </w:r>
    </w:p>
    <w:p>
      <w:pPr>
        <w:spacing w:line="600" w:lineRule="exact"/>
        <w:ind w:firstLine="643" w:firstLineChars="200"/>
        <w:rPr>
          <w:rStyle w:val="15"/>
          <w:rFonts w:ascii="仿宋" w:hAnsi="仿宋" w:eastAsia="仿宋" w:cstheme="minorBidi"/>
          <w:b w:val="0"/>
          <w:bCs/>
          <w:sz w:val="32"/>
          <w:szCs w:val="32"/>
        </w:rPr>
      </w:pPr>
      <w:r>
        <w:rPr>
          <w:rStyle w:val="15"/>
          <w:rFonts w:hint="eastAsia" w:ascii="仿宋" w:hAnsi="仿宋" w:eastAsia="仿宋"/>
          <w:bCs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Style w:val="15"/>
          <w:rFonts w:hint="eastAsia" w:ascii="仿宋" w:hAnsi="仿宋" w:eastAsia="仿宋"/>
          <w:bCs/>
          <w:color w:val="auto"/>
          <w:sz w:val="32"/>
          <w:szCs w:val="32"/>
          <w:highlight w:val="none"/>
        </w:rPr>
        <w:t>社会保障和就业（类）行政事业单位养老支出（款</w:t>
      </w:r>
      <w:r>
        <w:rPr>
          <w:rStyle w:val="15"/>
          <w:rFonts w:hint="eastAsia" w:ascii="仿宋" w:hAnsi="仿宋" w:eastAsia="仿宋"/>
          <w:bCs/>
          <w:color w:val="auto"/>
          <w:sz w:val="32"/>
          <w:szCs w:val="32"/>
          <w:highlight w:val="none"/>
          <w:lang w:val="en-US" w:eastAsia="zh-CN"/>
        </w:rPr>
        <w:t>)</w:t>
      </w:r>
      <w:r>
        <w:rPr>
          <w:rStyle w:val="15"/>
          <w:rFonts w:hint="eastAsia" w:ascii="仿宋" w:hAnsi="仿宋" w:eastAsia="仿宋"/>
          <w:bCs/>
          <w:color w:val="auto"/>
          <w:sz w:val="32"/>
          <w:szCs w:val="32"/>
          <w:highlight w:val="none"/>
        </w:rPr>
        <w:t xml:space="preserve">  机关事业单位职业年金缴费支出（项）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</w:rPr>
        <w:t>支出决算为30.82万元，完成预算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Style w:val="15"/>
          <w:rFonts w:ascii="仿宋" w:hAnsi="仿宋" w:eastAsia="仿宋"/>
          <w:b w:val="0"/>
          <w:bCs/>
          <w:color w:val="auto"/>
          <w:sz w:val="32"/>
          <w:szCs w:val="32"/>
          <w:highlight w:val="none"/>
        </w:rPr>
        <w:t>%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</w:rPr>
        <w:t>，</w:t>
      </w:r>
      <w:r>
        <w:rPr>
          <w:rStyle w:val="15"/>
          <w:rFonts w:hint="eastAsia" w:ascii="仿宋" w:hAnsi="仿宋" w:eastAsia="仿宋"/>
          <w:b w:val="0"/>
          <w:bCs/>
          <w:sz w:val="32"/>
          <w:szCs w:val="32"/>
        </w:rPr>
        <w:t>决算数</w:t>
      </w:r>
      <w:r>
        <w:rPr>
          <w:rStyle w:val="15"/>
          <w:rFonts w:hint="eastAsia" w:ascii="仿宋" w:hAnsi="仿宋" w:eastAsia="仿宋" w:cstheme="minorBidi"/>
          <w:b w:val="0"/>
          <w:bCs/>
          <w:sz w:val="32"/>
          <w:szCs w:val="32"/>
        </w:rPr>
        <w:t>与预算数持平。</w:t>
      </w:r>
    </w:p>
    <w:p>
      <w:pPr>
        <w:spacing w:line="600" w:lineRule="exact"/>
        <w:ind w:firstLine="643" w:firstLineChars="200"/>
        <w:rPr>
          <w:rStyle w:val="15"/>
          <w:rFonts w:ascii="仿宋" w:hAnsi="仿宋" w:eastAsia="仿宋" w:cstheme="minorBidi"/>
          <w:b w:val="0"/>
          <w:bCs/>
          <w:sz w:val="32"/>
          <w:szCs w:val="32"/>
        </w:rPr>
      </w:pPr>
      <w:r>
        <w:rPr>
          <w:rStyle w:val="15"/>
          <w:rFonts w:hint="eastAsia" w:ascii="仿宋" w:hAnsi="仿宋" w:eastAsia="仿宋"/>
          <w:bCs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Style w:val="15"/>
          <w:rFonts w:ascii="仿宋" w:hAnsi="仿宋" w:eastAsia="仿宋"/>
          <w:bCs/>
          <w:color w:val="auto"/>
          <w:sz w:val="32"/>
          <w:szCs w:val="32"/>
          <w:highlight w:val="none"/>
        </w:rPr>
        <w:t>.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卫生健康（类）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lang w:eastAsia="zh-Hans"/>
        </w:rPr>
        <w:t>行政事业单位医疗（款）事业单位医疗（项）</w:t>
      </w:r>
      <w:r>
        <w:rPr>
          <w:rStyle w:val="15"/>
          <w:rFonts w:ascii="仿宋" w:hAnsi="仿宋" w:eastAsia="仿宋"/>
          <w:bCs/>
          <w:color w:val="auto"/>
          <w:sz w:val="32"/>
          <w:szCs w:val="32"/>
          <w:highlight w:val="none"/>
        </w:rPr>
        <w:t>: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</w:rPr>
        <w:t>支出决算为108.06万元，完成预算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Style w:val="15"/>
          <w:rFonts w:ascii="仿宋" w:hAnsi="仿宋" w:eastAsia="仿宋"/>
          <w:b w:val="0"/>
          <w:bCs/>
          <w:color w:val="auto"/>
          <w:sz w:val="32"/>
          <w:szCs w:val="32"/>
          <w:highlight w:val="none"/>
        </w:rPr>
        <w:t>%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</w:rPr>
        <w:t>，</w:t>
      </w:r>
      <w:r>
        <w:rPr>
          <w:rStyle w:val="15"/>
          <w:rFonts w:hint="eastAsia" w:ascii="仿宋" w:hAnsi="仿宋" w:eastAsia="仿宋"/>
          <w:b w:val="0"/>
          <w:bCs/>
          <w:sz w:val="32"/>
          <w:szCs w:val="32"/>
        </w:rPr>
        <w:t>决算数</w:t>
      </w:r>
      <w:r>
        <w:rPr>
          <w:rStyle w:val="15"/>
          <w:rFonts w:hint="eastAsia" w:ascii="仿宋" w:hAnsi="仿宋" w:eastAsia="仿宋" w:cstheme="minorBidi"/>
          <w:b w:val="0"/>
          <w:bCs/>
          <w:sz w:val="32"/>
          <w:szCs w:val="32"/>
        </w:rPr>
        <w:t>与预算数持平。</w:t>
      </w:r>
    </w:p>
    <w:p>
      <w:pPr>
        <w:spacing w:line="600" w:lineRule="exact"/>
        <w:ind w:firstLine="643" w:firstLineChars="200"/>
        <w:rPr>
          <w:rStyle w:val="15"/>
          <w:rFonts w:hint="eastAsia" w:ascii="仿宋" w:hAnsi="仿宋" w:eastAsia="仿宋" w:cstheme="minorBidi"/>
          <w:b w:val="0"/>
          <w:bCs/>
          <w:sz w:val="32"/>
          <w:szCs w:val="32"/>
        </w:rPr>
      </w:pPr>
      <w:r>
        <w:rPr>
          <w:rStyle w:val="15"/>
          <w:rFonts w:ascii="仿宋" w:hAnsi="仿宋" w:eastAsia="仿宋"/>
          <w:bCs/>
          <w:sz w:val="32"/>
          <w:szCs w:val="32"/>
        </w:rPr>
        <w:t>5.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住房保障支出（类）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lang w:eastAsia="zh-Hans"/>
        </w:rPr>
        <w:t>住房改革支出（款）住房公积金（项）</w:t>
      </w:r>
      <w:r>
        <w:rPr>
          <w:rStyle w:val="15"/>
          <w:rFonts w:ascii="仿宋" w:hAnsi="仿宋" w:eastAsia="仿宋"/>
          <w:bCs/>
          <w:sz w:val="32"/>
          <w:szCs w:val="32"/>
        </w:rPr>
        <w:t>:</w:t>
      </w:r>
      <w:r>
        <w:rPr>
          <w:rStyle w:val="15"/>
          <w:rFonts w:ascii="仿宋" w:hAnsi="仿宋" w:eastAsia="仿宋"/>
          <w:b w:val="0"/>
          <w:bCs/>
          <w:sz w:val="32"/>
          <w:szCs w:val="32"/>
        </w:rPr>
        <w:t xml:space="preserve"> </w:t>
      </w:r>
      <w:r>
        <w:rPr>
          <w:rStyle w:val="15"/>
          <w:rFonts w:hint="eastAsia" w:ascii="仿宋" w:hAnsi="仿宋" w:eastAsia="仿宋"/>
          <w:b w:val="0"/>
          <w:bCs/>
          <w:sz w:val="32"/>
          <w:szCs w:val="32"/>
        </w:rPr>
        <w:t>支出决算为233.88万元，完成预算100</w:t>
      </w:r>
      <w:r>
        <w:rPr>
          <w:rStyle w:val="15"/>
          <w:rFonts w:ascii="仿宋" w:hAnsi="仿宋" w:eastAsia="仿宋"/>
          <w:b w:val="0"/>
          <w:bCs/>
          <w:sz w:val="32"/>
          <w:szCs w:val="32"/>
        </w:rPr>
        <w:t>%</w:t>
      </w:r>
      <w:r>
        <w:rPr>
          <w:rStyle w:val="15"/>
          <w:rFonts w:hint="eastAsia" w:ascii="仿宋" w:hAnsi="仿宋" w:eastAsia="仿宋"/>
          <w:b w:val="0"/>
          <w:bCs/>
          <w:sz w:val="32"/>
          <w:szCs w:val="32"/>
        </w:rPr>
        <w:t>，决算数</w:t>
      </w:r>
      <w:r>
        <w:rPr>
          <w:rStyle w:val="15"/>
          <w:rFonts w:hint="eastAsia" w:ascii="仿宋" w:hAnsi="仿宋" w:eastAsia="仿宋" w:cstheme="minorBidi"/>
          <w:b w:val="0"/>
          <w:bCs/>
          <w:sz w:val="32"/>
          <w:szCs w:val="32"/>
        </w:rPr>
        <w:t>与预算数持平。</w:t>
      </w:r>
    </w:p>
    <w:p>
      <w:pPr>
        <w:spacing w:line="600" w:lineRule="exact"/>
        <w:ind w:firstLine="643" w:firstLineChars="200"/>
        <w:rPr>
          <w:rFonts w:ascii="仿宋" w:hAnsi="仿宋" w:eastAsia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6.其他支出(类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）</w:t>
      </w:r>
      <w:r>
        <w:rPr>
          <w:rFonts w:hint="eastAsia" w:ascii="仿宋" w:hAnsi="仿宋" w:eastAsia="仿宋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其他支出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lang w:eastAsia="zh-Hans"/>
        </w:rPr>
        <w:t>（款）</w:t>
      </w:r>
      <w:r>
        <w:rPr>
          <w:rFonts w:hint="eastAsia" w:ascii="仿宋" w:hAnsi="仿宋" w:eastAsia="仿宋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其他支出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lang w:eastAsia="zh-Hans"/>
        </w:rPr>
        <w:t>（项）</w:t>
      </w:r>
      <w:r>
        <w:rPr>
          <w:rStyle w:val="15"/>
          <w:rFonts w:ascii="仿宋" w:hAnsi="仿宋" w:eastAsia="仿宋"/>
          <w:bCs/>
          <w:color w:val="auto"/>
          <w:sz w:val="32"/>
          <w:szCs w:val="32"/>
          <w:highlight w:val="none"/>
        </w:rPr>
        <w:t>: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</w:rPr>
        <w:t>支出决算为306.57万元，完成预算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Style w:val="15"/>
          <w:rFonts w:ascii="仿宋" w:hAnsi="仿宋" w:eastAsia="仿宋"/>
          <w:b w:val="0"/>
          <w:bCs/>
          <w:color w:val="auto"/>
          <w:sz w:val="32"/>
          <w:szCs w:val="32"/>
          <w:highlight w:val="none"/>
        </w:rPr>
        <w:t>%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</w:rPr>
        <w:t>，</w:t>
      </w:r>
      <w:r>
        <w:rPr>
          <w:rStyle w:val="15"/>
          <w:rFonts w:hint="eastAsia" w:ascii="仿宋" w:hAnsi="仿宋" w:eastAsia="仿宋"/>
          <w:b w:val="0"/>
          <w:bCs/>
          <w:sz w:val="32"/>
          <w:szCs w:val="32"/>
        </w:rPr>
        <w:t>决算数</w:t>
      </w:r>
      <w:r>
        <w:rPr>
          <w:rStyle w:val="15"/>
          <w:rFonts w:hint="eastAsia" w:ascii="仿宋" w:hAnsi="仿宋" w:eastAsia="仿宋" w:cstheme="minorBidi"/>
          <w:b w:val="0"/>
          <w:bCs/>
          <w:sz w:val="32"/>
          <w:szCs w:val="32"/>
        </w:rPr>
        <w:t>与预算数持平。</w:t>
      </w:r>
    </w:p>
    <w:p>
      <w:pPr>
        <w:tabs>
          <w:tab w:val="right" w:pos="8306"/>
        </w:tabs>
        <w:spacing w:line="600" w:lineRule="exact"/>
        <w:ind w:firstLine="640"/>
        <w:outlineLvl w:val="1"/>
        <w:rPr>
          <w:rStyle w:val="18"/>
          <w:color w:val="auto"/>
          <w:highlight w:val="none"/>
        </w:rPr>
      </w:pPr>
      <w:bookmarkStart w:id="48" w:name="_Toc14583"/>
      <w:bookmarkStart w:id="49" w:name="_Toc15377214"/>
      <w:bookmarkStart w:id="50" w:name="_Toc15396608"/>
      <w:r>
        <w:rPr>
          <w:rFonts w:hint="eastAsia" w:ascii="黑体" w:eastAsia="黑体"/>
          <w:color w:val="auto"/>
          <w:sz w:val="32"/>
          <w:szCs w:val="32"/>
          <w:highlight w:val="none"/>
        </w:rPr>
        <w:t>六</w:t>
      </w:r>
      <w:r>
        <w:rPr>
          <w:rFonts w:hint="eastAsia" w:ascii="黑体" w:eastAsia="黑体"/>
          <w:b/>
          <w:color w:val="auto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b/>
          <w:color w:val="auto"/>
          <w:sz w:val="32"/>
          <w:szCs w:val="32"/>
          <w:highlight w:val="none"/>
        </w:rPr>
        <w:t>一</w:t>
      </w:r>
      <w:r>
        <w:rPr>
          <w:rStyle w:val="18"/>
          <w:rFonts w:hint="eastAsia" w:ascii="黑体" w:hAnsi="黑体" w:eastAsia="黑体"/>
          <w:b w:val="0"/>
          <w:color w:val="auto"/>
          <w:highlight w:val="none"/>
        </w:rPr>
        <w:t>般公共预算财政拨款基本支出决算情况说明</w:t>
      </w:r>
      <w:bookmarkEnd w:id="48"/>
      <w:bookmarkEnd w:id="49"/>
      <w:bookmarkEnd w:id="50"/>
      <w:r>
        <w:rPr>
          <w:rStyle w:val="18"/>
          <w:rFonts w:ascii="黑体" w:hAnsi="黑体" w:eastAsia="黑体"/>
          <w:b w:val="0"/>
          <w:color w:val="auto"/>
          <w:highlight w:val="none"/>
        </w:rPr>
        <w:tab/>
      </w:r>
    </w:p>
    <w:p>
      <w:pPr>
        <w:spacing w:line="600" w:lineRule="exact"/>
        <w:ind w:firstLine="645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年一般公共预算财政拨款基本支出2,767.24万元，其中：</w:t>
      </w:r>
    </w:p>
    <w:p>
      <w:pPr>
        <w:spacing w:line="600" w:lineRule="exact"/>
        <w:ind w:firstLine="645"/>
        <w:rPr>
          <w:rFonts w:ascii="仿宋" w:hAnsi="仿宋" w:eastAsia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人员经费2,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696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.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6万元，主要包括：基本工资、津贴补贴、奖金、绩效工资、机关事业单位基本养老保险缴费、职业年金缴费、职工基本医疗保险缴费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其他社会保障缴费、住房公积金、生活补助、奖励金。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br w:type="textWrapping"/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　　公用经费71.08万元，主要包括：办公费、印刷费、工会经费、福利费、其他商品和服务支出。</w:t>
      </w:r>
    </w:p>
    <w:p>
      <w:pPr>
        <w:spacing w:line="600" w:lineRule="exact"/>
        <w:ind w:firstLine="640"/>
        <w:outlineLvl w:val="1"/>
        <w:rPr>
          <w:rStyle w:val="18"/>
          <w:rFonts w:ascii="黑体" w:hAnsi="黑体" w:eastAsia="黑体"/>
          <w:b w:val="0"/>
          <w:color w:val="auto"/>
          <w:highlight w:val="none"/>
        </w:rPr>
      </w:pPr>
      <w:bookmarkStart w:id="51" w:name="_Toc15377215"/>
      <w:bookmarkStart w:id="52" w:name="_Toc6741"/>
      <w:bookmarkStart w:id="53" w:name="_Toc15396609"/>
      <w:r>
        <w:rPr>
          <w:rFonts w:hint="eastAsia" w:ascii="黑体" w:eastAsia="黑体"/>
          <w:color w:val="auto"/>
          <w:sz w:val="32"/>
          <w:szCs w:val="32"/>
          <w:highlight w:val="none"/>
        </w:rPr>
        <w:t>七、</w:t>
      </w:r>
      <w:r>
        <w:rPr>
          <w:rStyle w:val="18"/>
          <w:rFonts w:hint="eastAsia" w:ascii="黑体" w:hAnsi="黑体" w:eastAsia="黑体"/>
          <w:b w:val="0"/>
          <w:color w:val="auto"/>
          <w:highlight w:val="none"/>
        </w:rPr>
        <w:t>财政拨款</w:t>
      </w:r>
      <w:r>
        <w:rPr>
          <w:rStyle w:val="18"/>
          <w:rFonts w:hint="eastAsia" w:ascii="黑体" w:hAnsi="黑体" w:eastAsia="黑体"/>
          <w:color w:val="auto"/>
          <w:highlight w:val="none"/>
        </w:rPr>
        <w:t>“</w:t>
      </w:r>
      <w:r>
        <w:rPr>
          <w:rStyle w:val="18"/>
          <w:rFonts w:hint="eastAsia" w:ascii="黑体" w:hAnsi="黑体" w:eastAsia="黑体"/>
          <w:b w:val="0"/>
          <w:color w:val="auto"/>
          <w:highlight w:val="none"/>
        </w:rPr>
        <w:t>三公”经费支出决算情况说明</w:t>
      </w:r>
      <w:bookmarkEnd w:id="51"/>
      <w:bookmarkEnd w:id="52"/>
      <w:bookmarkEnd w:id="53"/>
    </w:p>
    <w:p>
      <w:pPr>
        <w:spacing w:line="600" w:lineRule="exact"/>
        <w:ind w:firstLine="640"/>
        <w:outlineLvl w:val="2"/>
        <w:rPr>
          <w:rFonts w:ascii="仿宋" w:hAnsi="仿宋" w:eastAsia="仿宋"/>
          <w:b/>
          <w:color w:val="auto"/>
          <w:sz w:val="32"/>
          <w:szCs w:val="32"/>
          <w:highlight w:val="none"/>
        </w:rPr>
      </w:pPr>
      <w:bookmarkStart w:id="54" w:name="_Toc15377216"/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（一）“三公”经费财政拨款支出决算总体情况说明</w:t>
      </w:r>
      <w:bookmarkEnd w:id="54"/>
    </w:p>
    <w:p>
      <w:pPr>
        <w:spacing w:line="600" w:lineRule="exact"/>
        <w:ind w:firstLine="64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</w:rPr>
        <w:t>“三公”经费财政拨款支出决算为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万元，年初</w:t>
      </w:r>
      <w:r>
        <w:rPr>
          <w:rFonts w:hint="eastAsia" w:ascii="仿宋" w:hAnsi="仿宋" w:eastAsia="仿宋"/>
          <w:color w:val="000000"/>
          <w:sz w:val="32"/>
          <w:szCs w:val="32"/>
        </w:rPr>
        <w:t>未在财政拨款支出中安排该项预算。</w:t>
      </w:r>
    </w:p>
    <w:p>
      <w:pPr>
        <w:spacing w:line="600" w:lineRule="exact"/>
        <w:ind w:firstLine="640"/>
        <w:outlineLvl w:val="2"/>
        <w:rPr>
          <w:rFonts w:ascii="仿宋" w:hAnsi="仿宋" w:eastAsia="仿宋"/>
          <w:b/>
          <w:color w:val="auto"/>
          <w:sz w:val="32"/>
          <w:szCs w:val="32"/>
          <w:highlight w:val="none"/>
        </w:rPr>
      </w:pPr>
      <w:bookmarkStart w:id="55" w:name="_Toc15377217"/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（二）“三公”经费财政拨款支出决算具体情况说明</w:t>
      </w:r>
      <w:bookmarkEnd w:id="55"/>
    </w:p>
    <w:p>
      <w:pPr>
        <w:spacing w:line="600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</w:rPr>
        <w:t>“三公”经费财政拨款支出决算中，因公出国（境）费支出决算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0%</w:t>
      </w:r>
      <w:r>
        <w:rPr>
          <w:rFonts w:hint="eastAsia" w:ascii="仿宋" w:hAnsi="仿宋" w:eastAsia="仿宋"/>
          <w:sz w:val="32"/>
          <w:szCs w:val="32"/>
        </w:rPr>
        <w:t>；公务用车购置及运行维护费支出决算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0%</w:t>
      </w:r>
      <w:r>
        <w:rPr>
          <w:rFonts w:hint="eastAsia" w:ascii="仿宋" w:hAnsi="仿宋" w:eastAsia="仿宋"/>
          <w:sz w:val="32"/>
          <w:szCs w:val="32"/>
        </w:rPr>
        <w:t>；公务接待费支出决算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0%</w:t>
      </w:r>
      <w:r>
        <w:rPr>
          <w:rFonts w:hint="eastAsia" w:ascii="仿宋" w:hAnsi="仿宋" w:eastAsia="仿宋"/>
          <w:sz w:val="32"/>
          <w:szCs w:val="32"/>
        </w:rPr>
        <w:t>。具体情况如下：</w:t>
      </w:r>
    </w:p>
    <w:p>
      <w:pPr>
        <w:numPr>
          <w:ilvl w:val="0"/>
          <w:numId w:val="0"/>
        </w:numPr>
        <w:spacing w:line="600" w:lineRule="exact"/>
        <w:ind w:firstLine="643" w:firstLineChars="200"/>
      </w:pPr>
      <w:r>
        <w:rPr>
          <w:rFonts w:ascii="仿宋_GB2312" w:eastAsia="仿宋_GB2312"/>
          <w:b/>
          <w:color w:val="auto"/>
          <w:sz w:val="32"/>
          <w:szCs w:val="32"/>
          <w:highlight w:val="none"/>
        </w:rPr>
        <w:t>1.</w:t>
      </w:r>
      <w:r>
        <w:rPr>
          <w:rFonts w:hint="eastAsia" w:ascii="仿宋_GB2312" w:eastAsia="仿宋_GB2312"/>
          <w:b/>
          <w:color w:val="auto"/>
          <w:sz w:val="32"/>
          <w:szCs w:val="32"/>
          <w:highlight w:val="none"/>
        </w:rPr>
        <w:t>因公出国（境）经费支出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万元，年初未安排预算。因公出国（境）支出决算较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年无变化。</w:t>
      </w:r>
    </w:p>
    <w:p>
      <w:pPr>
        <w:spacing w:line="600" w:lineRule="exact"/>
        <w:ind w:firstLine="640"/>
        <w:rPr>
          <w:rFonts w:hint="eastAsia" w:ascii="仿宋_GB2312" w:eastAsia="仿宋_GB2312"/>
          <w:b/>
          <w:color w:val="auto"/>
          <w:sz w:val="32"/>
          <w:szCs w:val="32"/>
          <w:highlight w:val="none"/>
          <w:lang w:eastAsia="zh-CN"/>
        </w:rPr>
      </w:pPr>
      <w:r>
        <w:rPr>
          <w:rFonts w:ascii="仿宋_GB2312" w:eastAsia="仿宋_GB2312"/>
          <w:b/>
          <w:color w:val="auto"/>
          <w:sz w:val="32"/>
          <w:szCs w:val="32"/>
          <w:highlight w:val="none"/>
        </w:rPr>
        <w:t>2.</w:t>
      </w:r>
      <w:r>
        <w:rPr>
          <w:rFonts w:hint="eastAsia" w:ascii="仿宋_GB2312" w:eastAsia="仿宋_GB2312"/>
          <w:b/>
          <w:color w:val="auto"/>
          <w:sz w:val="32"/>
          <w:szCs w:val="32"/>
          <w:highlight w:val="none"/>
        </w:rPr>
        <w:t>公务用车购置及运行维护费支出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万元, 年初未安排预算。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公务用车购置及运行维护费支出决算</w:t>
      </w:r>
      <w:r>
        <w:rPr>
          <w:rFonts w:hint="eastAsia" w:ascii="仿宋_GB2312" w:eastAsia="仿宋_GB2312"/>
          <w:sz w:val="32"/>
          <w:szCs w:val="32"/>
        </w:rPr>
        <w:t>较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20年无变化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。</w:t>
      </w:r>
    </w:p>
    <w:p>
      <w:pPr>
        <w:spacing w:line="600" w:lineRule="exact"/>
        <w:ind w:firstLine="640" w:firstLineChars="200"/>
        <w:rPr>
          <w:rFonts w:ascii="仿宋_GB2312" w:eastAsia="仿宋_GB2312"/>
          <w:b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其中：</w:t>
      </w:r>
      <w:r>
        <w:rPr>
          <w:rFonts w:hint="eastAsia" w:ascii="仿宋_GB2312" w:eastAsia="仿宋_GB2312"/>
          <w:b/>
          <w:color w:val="auto"/>
          <w:sz w:val="32"/>
          <w:szCs w:val="32"/>
          <w:highlight w:val="none"/>
        </w:rPr>
        <w:t>公务用车购置支出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万元。全年按规定更新购置公务用车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辆，截至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20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12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月底，单位共有公务用车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辆，其中：轿车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辆、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其他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辆。</w:t>
      </w:r>
    </w:p>
    <w:p>
      <w:pPr>
        <w:spacing w:line="600" w:lineRule="exact"/>
        <w:ind w:firstLine="640"/>
      </w:pPr>
      <w:r>
        <w:rPr>
          <w:rFonts w:hint="eastAsia" w:ascii="仿宋_GB2312" w:eastAsia="仿宋_GB2312"/>
          <w:b/>
          <w:color w:val="auto"/>
          <w:sz w:val="32"/>
          <w:szCs w:val="32"/>
          <w:highlight w:val="none"/>
        </w:rPr>
        <w:t>公务用车运行维护费支出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万元。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</w:rPr>
        <w:t>年初未安排预算，较202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Style w:val="15"/>
          <w:rFonts w:hint="eastAsia" w:ascii="仿宋" w:hAnsi="仿宋" w:eastAsia="仿宋"/>
          <w:b w:val="0"/>
          <w:bCs/>
          <w:color w:val="auto"/>
          <w:sz w:val="32"/>
          <w:szCs w:val="32"/>
          <w:highlight w:val="none"/>
        </w:rPr>
        <w:t>年无变化。</w:t>
      </w:r>
    </w:p>
    <w:p>
      <w:pPr>
        <w:spacing w:line="600" w:lineRule="exact"/>
        <w:ind w:firstLine="64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ascii="仿宋_GB2312" w:eastAsia="仿宋_GB2312"/>
          <w:b/>
          <w:color w:val="auto"/>
          <w:sz w:val="32"/>
          <w:szCs w:val="32"/>
          <w:highlight w:val="none"/>
        </w:rPr>
        <w:t>3.</w:t>
      </w:r>
      <w:r>
        <w:rPr>
          <w:rFonts w:hint="eastAsia" w:ascii="仿宋_GB2312" w:eastAsia="仿宋_GB2312"/>
          <w:b/>
          <w:color w:val="auto"/>
          <w:sz w:val="32"/>
          <w:szCs w:val="32"/>
          <w:highlight w:val="none"/>
        </w:rPr>
        <w:t>公务接待费支出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万元，年初未安排预算。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公务接待费支出决算</w:t>
      </w:r>
      <w:r>
        <w:rPr>
          <w:rFonts w:hint="eastAsia" w:ascii="仿宋_GB2312" w:eastAsia="仿宋_GB2312"/>
          <w:sz w:val="32"/>
          <w:szCs w:val="32"/>
        </w:rPr>
        <w:t>较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年无变化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。其中：</w:t>
      </w:r>
    </w:p>
    <w:p>
      <w:pPr>
        <w:spacing w:line="600" w:lineRule="exact"/>
        <w:ind w:firstLine="640"/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国内公务接待支出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外事接待支出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万元。</w:t>
      </w:r>
    </w:p>
    <w:p>
      <w:pPr>
        <w:spacing w:line="600" w:lineRule="exact"/>
        <w:ind w:firstLine="640"/>
        <w:outlineLvl w:val="1"/>
        <w:rPr>
          <w:rStyle w:val="18"/>
          <w:rFonts w:ascii="黑体" w:hAnsi="黑体" w:eastAsia="黑体"/>
          <w:color w:val="auto"/>
          <w:highlight w:val="none"/>
        </w:rPr>
      </w:pPr>
      <w:bookmarkStart w:id="56" w:name="_Toc15377218"/>
      <w:bookmarkStart w:id="57" w:name="_Toc2538"/>
      <w:bookmarkStart w:id="58" w:name="_Toc15396610"/>
      <w:r>
        <w:rPr>
          <w:rFonts w:hint="eastAsia" w:ascii="黑体" w:eastAsia="黑体"/>
          <w:color w:val="auto"/>
          <w:sz w:val="32"/>
          <w:szCs w:val="32"/>
          <w:highlight w:val="none"/>
        </w:rPr>
        <w:t>八、</w:t>
      </w:r>
      <w:r>
        <w:rPr>
          <w:rStyle w:val="18"/>
          <w:rFonts w:hint="eastAsia" w:ascii="黑体" w:hAnsi="黑体" w:eastAsia="黑体"/>
          <w:b w:val="0"/>
          <w:color w:val="auto"/>
          <w:highlight w:val="none"/>
        </w:rPr>
        <w:t>政府性基金预算支出决算情况说明</w:t>
      </w:r>
      <w:bookmarkEnd w:id="56"/>
      <w:bookmarkEnd w:id="57"/>
      <w:bookmarkEnd w:id="58"/>
    </w:p>
    <w:p>
      <w:pPr>
        <w:spacing w:line="60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ascii="仿宋_GB2312" w:eastAsia="仿宋_GB2312"/>
          <w:color w:val="auto"/>
          <w:sz w:val="32"/>
          <w:szCs w:val="32"/>
          <w:highlight w:val="none"/>
        </w:rPr>
        <w:t>20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年政府性基金预算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财政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拨款支出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万元。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较202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年无变化</w:t>
      </w:r>
      <w:r>
        <w:rPr>
          <w:rFonts w:hint="eastAsia" w:ascii="仿宋" w:hAnsi="仿宋" w:eastAsia="仿宋"/>
          <w:color w:val="000000"/>
          <w:sz w:val="32"/>
          <w:szCs w:val="32"/>
        </w:rPr>
        <w:t>，未在政府性基金预算拨款安排“三公经费”支出。</w:t>
      </w:r>
    </w:p>
    <w:p>
      <w:pPr>
        <w:numPr>
          <w:ilvl w:val="0"/>
          <w:numId w:val="2"/>
        </w:numPr>
        <w:spacing w:line="600" w:lineRule="exact"/>
        <w:ind w:firstLine="640"/>
        <w:outlineLvl w:val="1"/>
        <w:rPr>
          <w:rStyle w:val="18"/>
          <w:rFonts w:ascii="黑体" w:hAnsi="黑体" w:eastAsia="黑体"/>
          <w:b w:val="0"/>
          <w:color w:val="auto"/>
          <w:highlight w:val="none"/>
        </w:rPr>
      </w:pPr>
      <w:bookmarkStart w:id="59" w:name="_Toc15396611"/>
      <w:bookmarkStart w:id="60" w:name="_Toc15377219"/>
      <w:bookmarkStart w:id="61" w:name="_Toc1034"/>
      <w:r>
        <w:rPr>
          <w:rStyle w:val="18"/>
          <w:rFonts w:hint="eastAsia" w:ascii="黑体" w:hAnsi="黑体" w:eastAsia="黑体"/>
          <w:b w:val="0"/>
          <w:color w:val="auto"/>
          <w:highlight w:val="none"/>
        </w:rPr>
        <w:t>国有资本经营预算支出决算情况说明</w:t>
      </w:r>
      <w:bookmarkEnd w:id="59"/>
      <w:bookmarkEnd w:id="60"/>
      <w:bookmarkEnd w:id="61"/>
    </w:p>
    <w:p>
      <w:pPr>
        <w:spacing w:line="600" w:lineRule="exact"/>
        <w:ind w:firstLine="640"/>
        <w:rPr>
          <w:rFonts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</w:pPr>
      <w:r>
        <w:rPr>
          <w:rFonts w:ascii="仿宋_GB2312" w:eastAsia="仿宋_GB2312"/>
          <w:color w:val="auto"/>
          <w:sz w:val="32"/>
          <w:szCs w:val="32"/>
          <w:highlight w:val="none"/>
        </w:rPr>
        <w:t>20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年国有资本经营预算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财政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拨款支出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万元。</w:t>
      </w:r>
    </w:p>
    <w:p>
      <w:pPr>
        <w:numPr>
          <w:ilvl w:val="0"/>
          <w:numId w:val="2"/>
        </w:numPr>
        <w:spacing w:line="600" w:lineRule="exact"/>
        <w:ind w:firstLine="640"/>
        <w:outlineLvl w:val="1"/>
        <w:rPr>
          <w:rStyle w:val="18"/>
          <w:rFonts w:hint="eastAsia" w:ascii="黑体" w:hAnsi="黑体" w:eastAsia="黑体"/>
          <w:b w:val="0"/>
          <w:color w:val="auto"/>
          <w:highlight w:val="none"/>
        </w:rPr>
      </w:pPr>
      <w:bookmarkStart w:id="62" w:name="_Toc15377221"/>
      <w:bookmarkStart w:id="63" w:name="_Toc28477"/>
      <w:bookmarkStart w:id="64" w:name="_Toc15396612"/>
      <w:r>
        <w:rPr>
          <w:rStyle w:val="18"/>
          <w:rFonts w:hint="eastAsia" w:ascii="黑体" w:hAnsi="黑体" w:eastAsia="黑体"/>
          <w:b w:val="0"/>
          <w:color w:val="auto"/>
          <w:highlight w:val="none"/>
        </w:rPr>
        <w:t>其他重要事项的情况说明</w:t>
      </w:r>
      <w:bookmarkEnd w:id="62"/>
      <w:bookmarkEnd w:id="63"/>
      <w:bookmarkEnd w:id="64"/>
    </w:p>
    <w:p>
      <w:pPr>
        <w:spacing w:line="600" w:lineRule="exact"/>
        <w:ind w:firstLine="643" w:firstLineChars="200"/>
        <w:outlineLvl w:val="2"/>
        <w:rPr>
          <w:rFonts w:ascii="仿宋" w:hAnsi="仿宋" w:eastAsia="仿宋"/>
          <w:color w:val="auto"/>
          <w:sz w:val="32"/>
          <w:szCs w:val="32"/>
          <w:highlight w:val="none"/>
        </w:rPr>
      </w:pPr>
      <w:bookmarkStart w:id="65" w:name="_Toc15377222"/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（一）机关运行经费支出情况</w:t>
      </w:r>
      <w:bookmarkEnd w:id="65"/>
    </w:p>
    <w:p>
      <w:pPr>
        <w:spacing w:line="600" w:lineRule="exact"/>
        <w:ind w:firstLine="640" w:firstLineChars="200"/>
        <w:rPr>
          <w:rFonts w:hint="eastAsia" w:ascii="仿宋" w:hAnsi="仿宋" w:eastAsia="仿宋_GB2312"/>
          <w:b/>
          <w:color w:val="auto"/>
          <w:sz w:val="32"/>
          <w:szCs w:val="32"/>
          <w:highlight w:val="none"/>
          <w:lang w:val="en-US" w:eastAsia="zh-CN"/>
        </w:rPr>
      </w:pPr>
      <w:bookmarkStart w:id="66" w:name="_Toc15377223"/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2022年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未发生机关运行经费支出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与2021年决算数持平。</w:t>
      </w:r>
    </w:p>
    <w:p>
      <w:pPr>
        <w:autoSpaceDE w:val="0"/>
        <w:autoSpaceDN w:val="0"/>
        <w:adjustRightInd w:val="0"/>
        <w:spacing w:line="600" w:lineRule="exact"/>
        <w:ind w:firstLine="643" w:firstLineChars="200"/>
        <w:jc w:val="left"/>
        <w:outlineLvl w:val="2"/>
        <w:rPr>
          <w:rFonts w:ascii="仿宋" w:hAnsi="仿宋" w:eastAsia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（二）政府采购支出情况</w:t>
      </w:r>
      <w:bookmarkEnd w:id="66"/>
    </w:p>
    <w:p>
      <w:pPr>
        <w:spacing w:line="60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ascii="仿宋_GB2312" w:eastAsia="仿宋_GB2312"/>
          <w:color w:val="auto"/>
          <w:sz w:val="32"/>
          <w:szCs w:val="32"/>
          <w:highlight w:val="none"/>
        </w:rPr>
        <w:t>20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学校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政府采购支出总额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万元。</w:t>
      </w:r>
    </w:p>
    <w:p>
      <w:pPr>
        <w:autoSpaceDE w:val="0"/>
        <w:autoSpaceDN w:val="0"/>
        <w:adjustRightInd w:val="0"/>
        <w:spacing w:line="600" w:lineRule="exact"/>
        <w:ind w:firstLine="643" w:firstLineChars="200"/>
        <w:jc w:val="left"/>
        <w:outlineLvl w:val="2"/>
        <w:rPr>
          <w:rFonts w:ascii="仿宋" w:hAnsi="仿宋" w:eastAsia="仿宋"/>
          <w:b/>
          <w:color w:val="auto"/>
          <w:sz w:val="32"/>
          <w:szCs w:val="32"/>
          <w:highlight w:val="none"/>
        </w:rPr>
      </w:pPr>
      <w:bookmarkStart w:id="67" w:name="_Toc15377224"/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（三）国有资产占有使用情况</w:t>
      </w:r>
      <w:bookmarkEnd w:id="67"/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截至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20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12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月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31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日，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学校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共有车辆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辆，其中：</w:t>
      </w:r>
      <w:r>
        <w:rPr>
          <w:rFonts w:hint="eastAsia" w:ascii="仿宋_GB2312" w:eastAsia="仿宋_GB2312"/>
          <w:sz w:val="32"/>
          <w:szCs w:val="32"/>
        </w:rPr>
        <w:t>其他用车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辆，</w:t>
      </w:r>
      <w:r>
        <w:rPr>
          <w:rFonts w:hint="eastAsia" w:ascii="仿宋" w:hAnsi="仿宋" w:eastAsia="仿宋"/>
          <w:color w:val="000000"/>
          <w:sz w:val="32"/>
          <w:szCs w:val="32"/>
        </w:rPr>
        <w:t>其他用车主要是用于日常开展工作。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单价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100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万元以上专用设备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台（套）。</w:t>
      </w:r>
    </w:p>
    <w:p>
      <w:pPr>
        <w:autoSpaceDE w:val="0"/>
        <w:autoSpaceDN w:val="0"/>
        <w:adjustRightInd w:val="0"/>
        <w:spacing w:line="600" w:lineRule="exact"/>
        <w:ind w:firstLine="643" w:firstLineChars="200"/>
        <w:jc w:val="left"/>
        <w:outlineLvl w:val="2"/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（四）预算绩效管理情况</w:t>
      </w:r>
    </w:p>
    <w:p>
      <w:pPr>
        <w:pStyle w:val="2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根据预算绩效管理要求，本单位在202</w:t>
      </w:r>
      <w:r>
        <w:rPr>
          <w:rFonts w:hint="eastAsia" w:hAnsi="仿宋_GB2312" w:cs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年度预算编制阶段，组织对学生公寓维修与实训室建设项目等</w:t>
      </w:r>
      <w:r>
        <w:rPr>
          <w:rFonts w:hint="eastAsia" w:hAnsi="仿宋_GB2312" w:cs="仿宋_GB2312"/>
          <w:color w:val="auto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个项目开展了预算事前绩效评估，对</w:t>
      </w:r>
      <w:r>
        <w:rPr>
          <w:rFonts w:hint="eastAsia" w:hAnsi="仿宋_GB2312" w:cs="仿宋_GB2312"/>
          <w:color w:val="auto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个项目编制了绩效目标，预算执行过程中，选取</w:t>
      </w:r>
      <w:r>
        <w:rPr>
          <w:rFonts w:hint="eastAsia" w:hAnsi="仿宋_GB2312" w:cs="仿宋_GB2312"/>
          <w:color w:val="auto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个项目开展绩效监控，组织对</w:t>
      </w:r>
      <w:r>
        <w:rPr>
          <w:rFonts w:hint="eastAsia" w:hAnsi="仿宋_GB2312" w:cs="仿宋_GB2312"/>
          <w:color w:val="auto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个项目开展绩效自评，绩效自评表详见</w:t>
      </w:r>
      <w:r>
        <w:rPr>
          <w:rFonts w:hint="eastAsia" w:hAnsi="仿宋_GB2312" w:cs="仿宋_GB2312"/>
          <w:color w:val="auto"/>
          <w:sz w:val="32"/>
          <w:szCs w:val="32"/>
          <w:highlight w:val="none"/>
          <w:lang w:eastAsia="zh-CN"/>
        </w:rPr>
        <w:t>第四部分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附件。</w:t>
      </w:r>
    </w:p>
    <w:p>
      <w:pPr>
        <w:widowControl/>
        <w:jc w:val="left"/>
        <w:rPr>
          <w:rFonts w:ascii="仿宋_GB2312" w:eastAsia="仿宋_GB2312"/>
          <w:b/>
          <w:color w:val="auto"/>
          <w:sz w:val="32"/>
          <w:szCs w:val="32"/>
          <w:highlight w:val="none"/>
        </w:rPr>
      </w:pPr>
      <w:r>
        <w:rPr>
          <w:rFonts w:ascii="仿宋_GB2312" w:eastAsia="仿宋_GB2312"/>
          <w:b/>
          <w:color w:val="auto"/>
          <w:sz w:val="32"/>
          <w:szCs w:val="32"/>
          <w:highlight w:val="none"/>
        </w:rPr>
        <w:br w:type="page"/>
      </w:r>
    </w:p>
    <w:p>
      <w:pPr>
        <w:numPr>
          <w:ilvl w:val="0"/>
          <w:numId w:val="3"/>
        </w:numPr>
        <w:spacing w:line="600" w:lineRule="exact"/>
        <w:ind w:firstLine="660" w:firstLineChars="150"/>
        <w:jc w:val="center"/>
        <w:outlineLvl w:val="0"/>
        <w:rPr>
          <w:rStyle w:val="17"/>
          <w:rFonts w:ascii="黑体" w:hAnsi="黑体" w:eastAsia="黑体"/>
          <w:b w:val="0"/>
          <w:color w:val="auto"/>
          <w:highlight w:val="none"/>
        </w:rPr>
      </w:pPr>
      <w:bookmarkStart w:id="68" w:name="_Toc15377225"/>
      <w:bookmarkStart w:id="69" w:name="_Toc15396613"/>
      <w:bookmarkStart w:id="70" w:name="_Toc17501"/>
      <w:r>
        <w:rPr>
          <w:rFonts w:hint="eastAsia" w:ascii="黑体" w:hAnsi="黑体" w:eastAsia="黑体"/>
          <w:color w:val="auto"/>
          <w:sz w:val="44"/>
          <w:szCs w:val="44"/>
          <w:highlight w:val="none"/>
        </w:rPr>
        <w:t>名</w:t>
      </w:r>
      <w:r>
        <w:rPr>
          <w:rStyle w:val="17"/>
          <w:rFonts w:hint="eastAsia" w:ascii="黑体" w:hAnsi="黑体" w:eastAsia="黑体"/>
          <w:b w:val="0"/>
          <w:color w:val="auto"/>
          <w:highlight w:val="none"/>
        </w:rPr>
        <w:t>词解释</w:t>
      </w:r>
      <w:bookmarkEnd w:id="68"/>
      <w:bookmarkEnd w:id="69"/>
      <w:bookmarkEnd w:id="70"/>
    </w:p>
    <w:p>
      <w:pPr>
        <w:spacing w:line="600" w:lineRule="exact"/>
        <w:jc w:val="left"/>
        <w:rPr>
          <w:rFonts w:ascii="宋体"/>
          <w:b/>
          <w:color w:val="auto"/>
          <w:sz w:val="44"/>
          <w:szCs w:val="44"/>
          <w:highlight w:val="none"/>
        </w:rPr>
      </w:pPr>
    </w:p>
    <w:p>
      <w:pPr>
        <w:pStyle w:val="28"/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  <w:highlight w:val="none"/>
        </w:rPr>
        <w:t>1.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财政拨款收入：</w:t>
      </w:r>
      <w:r>
        <w:rPr>
          <w:rFonts w:hint="eastAsia" w:ascii="仿宋_GB2312" w:eastAsia="仿宋_GB2312"/>
          <w:color w:val="auto"/>
          <w:sz w:val="32"/>
          <w:szCs w:val="32"/>
        </w:rPr>
        <w:t>指学校从同级财政部门取得的财政预算资金。</w:t>
      </w:r>
    </w:p>
    <w:p>
      <w:pPr>
        <w:pStyle w:val="28"/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ascii="仿宋_GB2312" w:eastAsia="仿宋_GB2312"/>
          <w:color w:val="auto"/>
          <w:sz w:val="32"/>
          <w:szCs w:val="32"/>
          <w:highlight w:val="none"/>
        </w:rPr>
        <w:t>2.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事业收入：</w:t>
      </w:r>
      <w:r>
        <w:rPr>
          <w:rFonts w:hint="eastAsia" w:ascii="仿宋_GB2312" w:eastAsia="仿宋_GB2312"/>
          <w:color w:val="auto"/>
          <w:sz w:val="32"/>
          <w:szCs w:val="32"/>
        </w:rPr>
        <w:t>指学校收取学生住宿费等收入。</w:t>
      </w:r>
    </w:p>
    <w:p>
      <w:pPr>
        <w:pStyle w:val="28"/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.</w:t>
      </w:r>
      <w:r>
        <w:rPr>
          <w:rFonts w:hint="eastAsia" w:ascii="仿宋_GB2312" w:eastAsia="仿宋_GB2312"/>
          <w:color w:val="auto"/>
          <w:sz w:val="32"/>
          <w:szCs w:val="32"/>
        </w:rPr>
        <w:t>年初结转和结余：指学校以前年度尚未完成、结转到本年按有关规定继续使用的资金等。</w:t>
      </w:r>
      <w:r>
        <w:rPr>
          <w:rFonts w:ascii="仿宋_GB2312" w:eastAsia="仿宋_GB2312"/>
          <w:color w:val="auto"/>
          <w:sz w:val="32"/>
          <w:szCs w:val="32"/>
        </w:rPr>
        <w:t xml:space="preserve"> </w:t>
      </w:r>
    </w:p>
    <w:p>
      <w:pPr>
        <w:pStyle w:val="28"/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5.</w:t>
      </w:r>
      <w:r>
        <w:rPr>
          <w:rFonts w:hint="eastAsia" w:ascii="仿宋_GB2312" w:eastAsia="仿宋_GB2312"/>
          <w:color w:val="auto"/>
          <w:sz w:val="32"/>
          <w:szCs w:val="32"/>
        </w:rPr>
        <w:t>年末结转和结余：指学校按有关规定结转到下年或以后年度继续使用的项目资金。</w:t>
      </w:r>
    </w:p>
    <w:p>
      <w:pPr>
        <w:pStyle w:val="28"/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lang w:eastAsia="zh-Hans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Hans"/>
        </w:rPr>
        <w:t>6. 教育支出（类）职业教育（款）中等职业教育（项）：指学校用于教育教学等方面的支出。</w:t>
      </w:r>
    </w:p>
    <w:p>
      <w:pPr>
        <w:pStyle w:val="28"/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lang w:eastAsia="zh-Hans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Hans"/>
        </w:rPr>
        <w:t>7. 社会保障和就业支出（类）行政事业单位养老支出（款）机关事业单位基本养老保险缴费支出（项）：指学校用于实施养老保险制度由单位缴纳的基本养老保险费支出。</w:t>
      </w:r>
    </w:p>
    <w:p>
      <w:pPr>
        <w:pStyle w:val="28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Hans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Hans"/>
        </w:rPr>
        <w:t>8. 社会保障和就业（类）行政事业单位养老支出（款）机关事业单位职业年金缴费支出（项）：指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学校</w:t>
      </w:r>
      <w:r>
        <w:rPr>
          <w:rFonts w:hint="eastAsia" w:ascii="仿宋_GB2312" w:eastAsia="仿宋_GB2312"/>
          <w:color w:val="auto"/>
          <w:sz w:val="32"/>
          <w:szCs w:val="32"/>
          <w:lang w:eastAsia="zh-Hans"/>
        </w:rPr>
        <w:t>实施养老保险制度由单位缴纳的职业年金支出。</w:t>
      </w:r>
    </w:p>
    <w:p>
      <w:pPr>
        <w:pStyle w:val="28"/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lang w:eastAsia="zh-Hans"/>
        </w:rPr>
      </w:pPr>
      <w:r>
        <w:rPr>
          <w:rFonts w:ascii="仿宋_GB2312" w:eastAsia="仿宋_GB2312"/>
          <w:color w:val="auto"/>
          <w:sz w:val="32"/>
          <w:szCs w:val="32"/>
        </w:rPr>
        <w:t>9.</w:t>
      </w:r>
      <w:r>
        <w:rPr>
          <w:rFonts w:hint="eastAsia" w:ascii="仿宋_GB2312" w:eastAsia="仿宋_GB2312"/>
          <w:color w:val="auto"/>
          <w:sz w:val="32"/>
          <w:szCs w:val="32"/>
          <w:lang w:eastAsia="zh-Hans"/>
        </w:rPr>
        <w:t xml:space="preserve"> 卫生健康支出（类）行政事业单位医疗（款）事业单位医疗（项）：指</w:t>
      </w:r>
      <w:r>
        <w:rPr>
          <w:rFonts w:hint="eastAsia" w:ascii="仿宋_GB2312" w:eastAsia="仿宋_GB2312"/>
          <w:color w:val="auto"/>
          <w:sz w:val="32"/>
          <w:szCs w:val="32"/>
        </w:rPr>
        <w:t>学校</w:t>
      </w:r>
      <w:r>
        <w:rPr>
          <w:rFonts w:hint="eastAsia" w:ascii="仿宋_GB2312" w:eastAsia="仿宋_GB2312"/>
          <w:color w:val="auto"/>
          <w:sz w:val="32"/>
          <w:szCs w:val="32"/>
          <w:lang w:eastAsia="zh-Hans"/>
        </w:rPr>
        <w:t xml:space="preserve">用于按规定的工资基数以及规定比例为职工缴纳的基本医疗保险。 </w:t>
      </w:r>
    </w:p>
    <w:p>
      <w:pPr>
        <w:pStyle w:val="28"/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Hans"/>
        </w:rPr>
      </w:pPr>
      <w:r>
        <w:rPr>
          <w:rFonts w:ascii="仿宋_GB2312" w:eastAsia="仿宋_GB2312"/>
          <w:color w:val="auto"/>
          <w:sz w:val="32"/>
          <w:szCs w:val="32"/>
        </w:rPr>
        <w:t>10.</w:t>
      </w:r>
      <w:r>
        <w:rPr>
          <w:rFonts w:hint="eastAsia" w:ascii="仿宋_GB2312" w:eastAsia="仿宋_GB2312"/>
          <w:color w:val="auto"/>
          <w:sz w:val="32"/>
          <w:szCs w:val="32"/>
          <w:lang w:eastAsia="zh-Hans"/>
        </w:rPr>
        <w:t>住房保障支出（类）住房改革支出（款）住房公积金（项）：指</w:t>
      </w:r>
      <w:r>
        <w:rPr>
          <w:rFonts w:hint="eastAsia" w:ascii="仿宋_GB2312" w:eastAsia="仿宋_GB2312"/>
          <w:color w:val="auto"/>
          <w:sz w:val="32"/>
          <w:szCs w:val="32"/>
        </w:rPr>
        <w:t>学校</w:t>
      </w:r>
      <w:r>
        <w:rPr>
          <w:rFonts w:hint="eastAsia" w:ascii="仿宋_GB2312" w:eastAsia="仿宋_GB2312"/>
          <w:color w:val="auto"/>
          <w:sz w:val="32"/>
          <w:szCs w:val="32"/>
          <w:lang w:eastAsia="zh-Hans"/>
        </w:rPr>
        <w:t>用于按规定的工资基数以及规定比例为职工缴纳的住房公积金。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11.其他支出(类）其他支出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（款）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其他支出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（项）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：指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反映除上述项目以外其他不能划分到具体功能科目中的支出项目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pStyle w:val="28"/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12.</w:t>
      </w:r>
      <w:r>
        <w:rPr>
          <w:rFonts w:hint="eastAsia" w:ascii="仿宋_GB2312" w:eastAsia="仿宋_GB2312"/>
          <w:color w:val="auto"/>
          <w:sz w:val="32"/>
          <w:szCs w:val="32"/>
        </w:rPr>
        <w:t>基本支出：指学校为保障机构正常运转、完成日常工作任务而发生的人员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经费</w:t>
      </w:r>
      <w:r>
        <w:rPr>
          <w:rFonts w:hint="eastAsia" w:ascii="仿宋_GB2312" w:eastAsia="仿宋_GB2312"/>
          <w:color w:val="auto"/>
          <w:sz w:val="32"/>
          <w:szCs w:val="32"/>
        </w:rPr>
        <w:t>和公用支出。</w:t>
      </w:r>
    </w:p>
    <w:p>
      <w:pPr>
        <w:pStyle w:val="28"/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ascii="仿宋_GB2312" w:eastAsia="仿宋_GB2312"/>
          <w:color w:val="auto"/>
          <w:sz w:val="32"/>
          <w:szCs w:val="32"/>
        </w:rPr>
        <w:t>.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 项目支出：指学校在基本支出之外为完成特定事业发展目标所发生的支出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，如产教融合实训基地排洪沟工程</w:t>
      </w:r>
      <w:r>
        <w:rPr>
          <w:rFonts w:hint="eastAsia" w:ascii="仿宋_GB2312" w:eastAsia="仿宋_GB2312"/>
          <w:color w:val="auto"/>
          <w:sz w:val="32"/>
          <w:szCs w:val="32"/>
        </w:rPr>
        <w:t>等。</w:t>
      </w:r>
    </w:p>
    <w:p>
      <w:pPr>
        <w:pStyle w:val="28"/>
        <w:spacing w:line="560" w:lineRule="exact"/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ascii="仿宋_GB2312" w:eastAsia="仿宋_GB2312"/>
          <w:color w:val="auto"/>
          <w:sz w:val="32"/>
          <w:szCs w:val="32"/>
        </w:rPr>
        <w:t>.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 “三公”经费：指部门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车辆购置支出（含车辆购置税）及租用费、燃料费、维修费、过路过桥费、保险费等支出；公务接待费反映单位按规定开支的各类公务接待（含外宾接待）支出。</w:t>
      </w:r>
      <w:bookmarkStart w:id="71" w:name="_Toc15377226"/>
    </w:p>
    <w:p>
      <w:pPr>
        <w:pStyle w:val="28"/>
        <w:spacing w:line="560" w:lineRule="exact"/>
        <w:jc w:val="center"/>
        <w:outlineLvl w:val="0"/>
        <w:rPr>
          <w:rStyle w:val="17"/>
          <w:rFonts w:ascii="黑体" w:hAnsi="黑体" w:eastAsia="黑体"/>
          <w:b w:val="0"/>
          <w:color w:val="auto"/>
          <w:highlight w:val="none"/>
        </w:rPr>
      </w:pPr>
      <w:r>
        <w:rPr>
          <w:rFonts w:ascii="宋体"/>
          <w:b/>
          <w:color w:val="auto"/>
          <w:sz w:val="44"/>
          <w:szCs w:val="44"/>
          <w:highlight w:val="none"/>
        </w:rPr>
        <w:br w:type="page"/>
      </w:r>
      <w:bookmarkStart w:id="72" w:name="_Toc22144"/>
      <w:bookmarkStart w:id="73" w:name="_Toc15396614"/>
      <w:r>
        <w:rPr>
          <w:rFonts w:hint="eastAsia" w:ascii="黑体" w:hAnsi="黑体" w:eastAsia="黑体"/>
          <w:color w:val="auto"/>
          <w:sz w:val="44"/>
          <w:szCs w:val="44"/>
          <w:highlight w:val="none"/>
        </w:rPr>
        <w:t>第</w:t>
      </w:r>
      <w:r>
        <w:rPr>
          <w:rStyle w:val="17"/>
          <w:rFonts w:hint="eastAsia" w:ascii="黑体" w:hAnsi="黑体" w:eastAsia="黑体"/>
          <w:b w:val="0"/>
          <w:color w:val="auto"/>
          <w:highlight w:val="none"/>
        </w:rPr>
        <w:t>四部分 附件</w:t>
      </w:r>
      <w:bookmarkEnd w:id="72"/>
      <w:bookmarkEnd w:id="7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1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 w:bidi="ar-SA"/>
        </w:rPr>
      </w:pPr>
      <w:bookmarkStart w:id="74" w:name="_Toc10880"/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 w:bidi="ar-SA"/>
        </w:rPr>
        <w:t>部门预算项目支出绩效自评表（2022年度）</w:t>
      </w:r>
      <w:bookmarkEnd w:id="7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  <w:bookmarkStart w:id="75" w:name="_Toc15396618"/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Calibri" w:eastAsia="仿宋_GB2312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spacing w:line="600" w:lineRule="exact"/>
        <w:jc w:val="center"/>
        <w:outlineLvl w:val="9"/>
        <w:rPr>
          <w:rFonts w:hint="eastAsia" w:ascii="黑体" w:hAnsi="黑体" w:eastAsia="黑体"/>
          <w:color w:val="auto"/>
          <w:sz w:val="44"/>
          <w:szCs w:val="44"/>
          <w:highlight w:val="none"/>
        </w:rPr>
      </w:pPr>
    </w:p>
    <w:p>
      <w:pPr>
        <w:spacing w:line="600" w:lineRule="exact"/>
        <w:jc w:val="center"/>
        <w:outlineLvl w:val="0"/>
        <w:rPr>
          <w:rFonts w:hint="eastAsia" w:ascii="仿宋" w:hAnsi="仿宋" w:eastAsia="仿宋"/>
          <w:b w:val="0"/>
          <w:color w:val="auto"/>
          <w:highlight w:val="none"/>
        </w:rPr>
      </w:pPr>
      <w:bookmarkStart w:id="76" w:name="_Toc4731"/>
      <w:r>
        <w:rPr>
          <w:rFonts w:hint="eastAsia" w:ascii="黑体" w:hAnsi="黑体" w:eastAsia="黑体"/>
          <w:color w:val="auto"/>
          <w:sz w:val="44"/>
          <w:szCs w:val="44"/>
          <w:highlight w:val="none"/>
        </w:rPr>
        <w:t>第</w:t>
      </w:r>
      <w:r>
        <w:rPr>
          <w:rStyle w:val="17"/>
          <w:rFonts w:hint="eastAsia" w:ascii="黑体" w:hAnsi="黑体" w:eastAsia="黑体"/>
          <w:b w:val="0"/>
          <w:color w:val="auto"/>
          <w:highlight w:val="none"/>
        </w:rPr>
        <w:t>五部分 附表</w:t>
      </w:r>
      <w:bookmarkEnd w:id="71"/>
      <w:bookmarkEnd w:id="75"/>
      <w:bookmarkEnd w:id="76"/>
      <w:bookmarkStart w:id="77" w:name="_Toc15396619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78" w:name="_Toc25863"/>
      <w:r>
        <w:rPr>
          <w:rFonts w:hint="eastAsia" w:ascii="仿宋" w:hAnsi="仿宋" w:eastAsia="仿宋"/>
          <w:b w:val="0"/>
          <w:color w:val="auto"/>
          <w:highlight w:val="none"/>
        </w:rPr>
        <w:t>一、收</w:t>
      </w:r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入支出决算总表</w:t>
      </w:r>
      <w:bookmarkEnd w:id="77"/>
      <w:bookmarkEnd w:id="78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79" w:name="_Toc15396620"/>
      <w:bookmarkStart w:id="80" w:name="_Toc27286"/>
      <w:r>
        <w:rPr>
          <w:rFonts w:hint="eastAsia" w:ascii="仿宋" w:hAnsi="仿宋" w:eastAsia="仿宋"/>
          <w:b w:val="0"/>
          <w:color w:val="auto"/>
          <w:highlight w:val="none"/>
        </w:rPr>
        <w:t>二、收</w:t>
      </w:r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入决算表</w:t>
      </w:r>
      <w:bookmarkEnd w:id="79"/>
      <w:bookmarkEnd w:id="80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81" w:name="_Toc19525"/>
      <w:bookmarkStart w:id="82" w:name="_Toc15396621"/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三、</w:t>
      </w:r>
      <w:r>
        <w:rPr>
          <w:rFonts w:hint="eastAsia" w:ascii="仿宋" w:hAnsi="仿宋" w:eastAsia="仿宋"/>
          <w:b w:val="0"/>
          <w:color w:val="auto"/>
          <w:highlight w:val="none"/>
        </w:rPr>
        <w:t>支</w:t>
      </w:r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出决算表</w:t>
      </w:r>
      <w:bookmarkEnd w:id="81"/>
      <w:bookmarkEnd w:id="82"/>
    </w:p>
    <w:p>
      <w:pPr>
        <w:pStyle w:val="4"/>
        <w:tabs>
          <w:tab w:val="left" w:pos="5046"/>
        </w:tabs>
        <w:rPr>
          <w:rFonts w:hint="eastAsia" w:ascii="仿宋" w:hAnsi="仿宋" w:eastAsia="仿宋"/>
          <w:b w:val="0"/>
          <w:color w:val="auto"/>
          <w:highlight w:val="none"/>
          <w:lang w:eastAsia="zh-CN"/>
        </w:rPr>
      </w:pPr>
      <w:bookmarkStart w:id="83" w:name="_Toc15396622"/>
      <w:bookmarkStart w:id="84" w:name="_Toc21078"/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四、</w:t>
      </w:r>
      <w:r>
        <w:rPr>
          <w:rFonts w:hint="eastAsia" w:ascii="仿宋" w:hAnsi="仿宋" w:eastAsia="仿宋"/>
          <w:b w:val="0"/>
          <w:color w:val="auto"/>
          <w:highlight w:val="none"/>
        </w:rPr>
        <w:t>财</w:t>
      </w:r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政拨款收入支出决算总表</w:t>
      </w:r>
      <w:bookmarkEnd w:id="83"/>
      <w:bookmarkEnd w:id="84"/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  <w:lang w:eastAsia="zh-CN"/>
        </w:rPr>
        <w:tab/>
      </w:r>
    </w:p>
    <w:p>
      <w:pPr>
        <w:pStyle w:val="4"/>
        <w:rPr>
          <w:rStyle w:val="18"/>
          <w:rFonts w:ascii="仿宋" w:hAnsi="仿宋" w:eastAsia="仿宋"/>
          <w:b w:val="0"/>
          <w:bCs w:val="0"/>
          <w:color w:val="auto"/>
          <w:highlight w:val="none"/>
        </w:rPr>
      </w:pPr>
      <w:bookmarkStart w:id="85" w:name="_Toc15396623"/>
      <w:bookmarkStart w:id="86" w:name="_Toc30773"/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五、</w:t>
      </w:r>
      <w:r>
        <w:rPr>
          <w:rFonts w:hint="eastAsia" w:ascii="仿宋" w:hAnsi="仿宋" w:eastAsia="仿宋"/>
          <w:b w:val="0"/>
          <w:color w:val="auto"/>
          <w:highlight w:val="none"/>
        </w:rPr>
        <w:t>财</w:t>
      </w:r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政拨款支出决算明细表</w:t>
      </w:r>
      <w:bookmarkEnd w:id="85"/>
      <w:bookmarkEnd w:id="86"/>
      <w:bookmarkStart w:id="87" w:name="_Toc15396624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88" w:name="_Toc29204"/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六、</w:t>
      </w:r>
      <w:r>
        <w:rPr>
          <w:rFonts w:hint="eastAsia" w:ascii="仿宋" w:hAnsi="仿宋" w:eastAsia="仿宋"/>
          <w:b w:val="0"/>
          <w:color w:val="auto"/>
          <w:highlight w:val="none"/>
        </w:rPr>
        <w:t>一</w:t>
      </w:r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般公共预算财政拨款支出决算表</w:t>
      </w:r>
      <w:bookmarkEnd w:id="87"/>
      <w:bookmarkEnd w:id="88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89" w:name="_Toc15396625"/>
      <w:bookmarkStart w:id="90" w:name="_Toc18163"/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七、</w:t>
      </w:r>
      <w:r>
        <w:rPr>
          <w:rFonts w:hint="eastAsia" w:ascii="仿宋" w:hAnsi="仿宋" w:eastAsia="仿宋"/>
          <w:b w:val="0"/>
          <w:color w:val="auto"/>
          <w:highlight w:val="none"/>
        </w:rPr>
        <w:t>一</w:t>
      </w:r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般公共预算财政拨款支出决算明细表</w:t>
      </w:r>
      <w:bookmarkEnd w:id="89"/>
      <w:bookmarkEnd w:id="90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91" w:name="_Toc15396626"/>
      <w:bookmarkStart w:id="92" w:name="_Toc12821"/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八、</w:t>
      </w:r>
      <w:r>
        <w:rPr>
          <w:rFonts w:hint="eastAsia" w:ascii="仿宋" w:hAnsi="仿宋" w:eastAsia="仿宋"/>
          <w:b w:val="0"/>
          <w:color w:val="auto"/>
          <w:highlight w:val="none"/>
        </w:rPr>
        <w:t>一</w:t>
      </w:r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般公共预算财政拨款基本支出决算表</w:t>
      </w:r>
      <w:bookmarkEnd w:id="91"/>
      <w:bookmarkEnd w:id="92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93" w:name="_Toc24541"/>
      <w:bookmarkStart w:id="94" w:name="_Toc15396627"/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九、</w:t>
      </w:r>
      <w:r>
        <w:rPr>
          <w:rFonts w:hint="eastAsia" w:ascii="仿宋" w:hAnsi="仿宋" w:eastAsia="仿宋"/>
          <w:b w:val="0"/>
          <w:color w:val="auto"/>
          <w:highlight w:val="none"/>
        </w:rPr>
        <w:t>一</w:t>
      </w:r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般公共预算财政拨款项目支出决算表</w:t>
      </w:r>
      <w:bookmarkEnd w:id="93"/>
      <w:bookmarkEnd w:id="94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95" w:name="_Toc15396628"/>
      <w:bookmarkStart w:id="96" w:name="_Toc17320"/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十、</w:t>
      </w:r>
      <w:bookmarkEnd w:id="95"/>
      <w:r>
        <w:rPr>
          <w:rFonts w:hint="eastAsia" w:ascii="仿宋" w:hAnsi="仿宋" w:eastAsia="仿宋"/>
          <w:b w:val="0"/>
          <w:color w:val="auto"/>
          <w:highlight w:val="none"/>
        </w:rPr>
        <w:t>政</w:t>
      </w:r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府性基金预算财政拨款收入支出决算表</w:t>
      </w:r>
      <w:bookmarkEnd w:id="96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97" w:name="_Toc15396629"/>
      <w:bookmarkStart w:id="98" w:name="_Toc24782"/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十一、</w:t>
      </w:r>
      <w:bookmarkEnd w:id="97"/>
      <w:r>
        <w:rPr>
          <w:rFonts w:hint="eastAsia" w:ascii="仿宋" w:hAnsi="仿宋" w:eastAsia="仿宋"/>
          <w:b w:val="0"/>
          <w:color w:val="auto"/>
          <w:highlight w:val="none"/>
        </w:rPr>
        <w:t>国</w:t>
      </w:r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有资本经营预算</w:t>
      </w:r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  <w:lang w:eastAsia="zh-CN"/>
        </w:rPr>
        <w:t>财政拨款收入</w:t>
      </w:r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支出决算表</w:t>
      </w:r>
      <w:bookmarkEnd w:id="98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99" w:name="_Toc15396630"/>
      <w:bookmarkStart w:id="100" w:name="_Toc16379"/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十二、</w:t>
      </w:r>
      <w:bookmarkEnd w:id="99"/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  <w:lang w:eastAsia="zh-CN"/>
        </w:rPr>
        <w:t>国有资本经营预算财政拨款支出决算表</w:t>
      </w:r>
      <w:bookmarkEnd w:id="100"/>
    </w:p>
    <w:p>
      <w:pPr>
        <w:pStyle w:val="4"/>
        <w:rPr>
          <w:rFonts w:hint="eastAsia" w:eastAsia="仿宋"/>
          <w:color w:val="auto"/>
          <w:highlight w:val="none"/>
          <w:lang w:eastAsia="zh-CN"/>
        </w:rPr>
      </w:pPr>
      <w:bookmarkStart w:id="101" w:name="_Toc15396631"/>
      <w:bookmarkStart w:id="102" w:name="_Toc3597"/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</w:rPr>
        <w:t>十三、</w:t>
      </w:r>
      <w:bookmarkEnd w:id="101"/>
      <w:r>
        <w:rPr>
          <w:rStyle w:val="18"/>
          <w:rFonts w:hint="eastAsia" w:ascii="仿宋" w:hAnsi="仿宋" w:eastAsia="仿宋"/>
          <w:b w:val="0"/>
          <w:bCs w:val="0"/>
          <w:color w:val="auto"/>
          <w:highlight w:val="none"/>
          <w:lang w:eastAsia="zh-CN"/>
        </w:rPr>
        <w:t>财政拨款“三公”经费支出决算表</w:t>
      </w:r>
      <w:bookmarkEnd w:id="102"/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652CEC"/>
    <w:multiLevelType w:val="singleLevel"/>
    <w:tmpl w:val="CF652CEC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2FA047D"/>
    <w:multiLevelType w:val="singleLevel"/>
    <w:tmpl w:val="E2FA047D"/>
    <w:lvl w:ilvl="0" w:tentative="0">
      <w:start w:val="3"/>
      <w:numFmt w:val="chineseCounting"/>
      <w:suff w:val="space"/>
      <w:lvlText w:val="第%1部分"/>
      <w:lvlJc w:val="left"/>
      <w:rPr>
        <w:rFonts w:hint="eastAsia" w:ascii="黑体" w:hAnsi="黑体" w:eastAsia="黑体" w:cs="黑体"/>
        <w:sz w:val="44"/>
        <w:szCs w:val="44"/>
      </w:rPr>
    </w:lvl>
  </w:abstractNum>
  <w:abstractNum w:abstractNumId="2">
    <w:nsid w:val="1272550B"/>
    <w:multiLevelType w:val="multilevel"/>
    <w:tmpl w:val="1272550B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zNjU0ZjJiYTExZmRjZjA1N2ViYmUzZTFmODk4ZjQifQ=="/>
  </w:docVars>
  <w:rsids>
    <w:rsidRoot w:val="00F1361C"/>
    <w:rsid w:val="000222C6"/>
    <w:rsid w:val="0002549F"/>
    <w:rsid w:val="000468DB"/>
    <w:rsid w:val="0006487A"/>
    <w:rsid w:val="00065F8F"/>
    <w:rsid w:val="00070A43"/>
    <w:rsid w:val="000768F2"/>
    <w:rsid w:val="0009184B"/>
    <w:rsid w:val="00094236"/>
    <w:rsid w:val="0009593C"/>
    <w:rsid w:val="00097322"/>
    <w:rsid w:val="000A6A92"/>
    <w:rsid w:val="000B047F"/>
    <w:rsid w:val="000B5923"/>
    <w:rsid w:val="000B5A48"/>
    <w:rsid w:val="000B6FF3"/>
    <w:rsid w:val="000C3467"/>
    <w:rsid w:val="000C3CA6"/>
    <w:rsid w:val="000D1267"/>
    <w:rsid w:val="000D1D50"/>
    <w:rsid w:val="000D5782"/>
    <w:rsid w:val="000E6613"/>
    <w:rsid w:val="000E7119"/>
    <w:rsid w:val="00114E9B"/>
    <w:rsid w:val="00142216"/>
    <w:rsid w:val="00144D6A"/>
    <w:rsid w:val="0014729F"/>
    <w:rsid w:val="00157BAB"/>
    <w:rsid w:val="001654D1"/>
    <w:rsid w:val="00174518"/>
    <w:rsid w:val="0018106D"/>
    <w:rsid w:val="001877A7"/>
    <w:rsid w:val="00191536"/>
    <w:rsid w:val="00196687"/>
    <w:rsid w:val="001C0962"/>
    <w:rsid w:val="001D7531"/>
    <w:rsid w:val="001E737D"/>
    <w:rsid w:val="001F0592"/>
    <w:rsid w:val="001F7506"/>
    <w:rsid w:val="002006CD"/>
    <w:rsid w:val="00202B36"/>
    <w:rsid w:val="00204B7A"/>
    <w:rsid w:val="00204CDE"/>
    <w:rsid w:val="0021101A"/>
    <w:rsid w:val="00220536"/>
    <w:rsid w:val="00235629"/>
    <w:rsid w:val="00260C38"/>
    <w:rsid w:val="002616C0"/>
    <w:rsid w:val="00265372"/>
    <w:rsid w:val="002662AA"/>
    <w:rsid w:val="00280496"/>
    <w:rsid w:val="00294DC9"/>
    <w:rsid w:val="00295495"/>
    <w:rsid w:val="002A31DE"/>
    <w:rsid w:val="002B2613"/>
    <w:rsid w:val="002D6D05"/>
    <w:rsid w:val="002F1818"/>
    <w:rsid w:val="002F567B"/>
    <w:rsid w:val="003216A9"/>
    <w:rsid w:val="00330CC6"/>
    <w:rsid w:val="00335A74"/>
    <w:rsid w:val="0036561B"/>
    <w:rsid w:val="0037013F"/>
    <w:rsid w:val="00380C92"/>
    <w:rsid w:val="003A484F"/>
    <w:rsid w:val="003A4883"/>
    <w:rsid w:val="003B0BE0"/>
    <w:rsid w:val="003B0C1B"/>
    <w:rsid w:val="003B688C"/>
    <w:rsid w:val="003C0291"/>
    <w:rsid w:val="003C39AE"/>
    <w:rsid w:val="003C7B60"/>
    <w:rsid w:val="003D0C0F"/>
    <w:rsid w:val="003D1FB2"/>
    <w:rsid w:val="003D66DA"/>
    <w:rsid w:val="003E1310"/>
    <w:rsid w:val="003E6F55"/>
    <w:rsid w:val="00406254"/>
    <w:rsid w:val="004223DE"/>
    <w:rsid w:val="00434489"/>
    <w:rsid w:val="00437085"/>
    <w:rsid w:val="00443880"/>
    <w:rsid w:val="004464F4"/>
    <w:rsid w:val="00471401"/>
    <w:rsid w:val="00473F31"/>
    <w:rsid w:val="0048263A"/>
    <w:rsid w:val="00487E5D"/>
    <w:rsid w:val="004A711F"/>
    <w:rsid w:val="004B199D"/>
    <w:rsid w:val="004B4690"/>
    <w:rsid w:val="004E0A2D"/>
    <w:rsid w:val="004E206B"/>
    <w:rsid w:val="004E6DF7"/>
    <w:rsid w:val="004F0FBD"/>
    <w:rsid w:val="00505A47"/>
    <w:rsid w:val="00512FDA"/>
    <w:rsid w:val="00520DA0"/>
    <w:rsid w:val="005664BB"/>
    <w:rsid w:val="00566FFA"/>
    <w:rsid w:val="0057481D"/>
    <w:rsid w:val="0058486E"/>
    <w:rsid w:val="00585B33"/>
    <w:rsid w:val="0059014D"/>
    <w:rsid w:val="005B5C64"/>
    <w:rsid w:val="005C5337"/>
    <w:rsid w:val="005C6BD0"/>
    <w:rsid w:val="005D1C8B"/>
    <w:rsid w:val="005D468D"/>
    <w:rsid w:val="005D5CED"/>
    <w:rsid w:val="005F1A4C"/>
    <w:rsid w:val="00605688"/>
    <w:rsid w:val="006070AF"/>
    <w:rsid w:val="00607E6C"/>
    <w:rsid w:val="006101B1"/>
    <w:rsid w:val="00614E44"/>
    <w:rsid w:val="0062270A"/>
    <w:rsid w:val="00622830"/>
    <w:rsid w:val="00623DA0"/>
    <w:rsid w:val="00630AEF"/>
    <w:rsid w:val="006325F8"/>
    <w:rsid w:val="00633463"/>
    <w:rsid w:val="00634C9A"/>
    <w:rsid w:val="006440E4"/>
    <w:rsid w:val="0066343B"/>
    <w:rsid w:val="00664777"/>
    <w:rsid w:val="006748A4"/>
    <w:rsid w:val="00681A31"/>
    <w:rsid w:val="00683E73"/>
    <w:rsid w:val="006A3141"/>
    <w:rsid w:val="006A5E34"/>
    <w:rsid w:val="006B2422"/>
    <w:rsid w:val="006B2B9A"/>
    <w:rsid w:val="006C1937"/>
    <w:rsid w:val="006F020C"/>
    <w:rsid w:val="007127B7"/>
    <w:rsid w:val="0071798E"/>
    <w:rsid w:val="007416B6"/>
    <w:rsid w:val="00746F48"/>
    <w:rsid w:val="0075404D"/>
    <w:rsid w:val="0076182A"/>
    <w:rsid w:val="00767B7E"/>
    <w:rsid w:val="007770C3"/>
    <w:rsid w:val="00784D24"/>
    <w:rsid w:val="00785FBA"/>
    <w:rsid w:val="00786E4A"/>
    <w:rsid w:val="007875EB"/>
    <w:rsid w:val="0079426B"/>
    <w:rsid w:val="007D1682"/>
    <w:rsid w:val="007D312A"/>
    <w:rsid w:val="007D3F19"/>
    <w:rsid w:val="007E23B0"/>
    <w:rsid w:val="007E23E5"/>
    <w:rsid w:val="007F1991"/>
    <w:rsid w:val="007F2C2F"/>
    <w:rsid w:val="007F55FC"/>
    <w:rsid w:val="007F5665"/>
    <w:rsid w:val="00800112"/>
    <w:rsid w:val="00813348"/>
    <w:rsid w:val="008253BB"/>
    <w:rsid w:val="0083706E"/>
    <w:rsid w:val="008408F6"/>
    <w:rsid w:val="008423A5"/>
    <w:rsid w:val="00850625"/>
    <w:rsid w:val="00853718"/>
    <w:rsid w:val="00855221"/>
    <w:rsid w:val="00860645"/>
    <w:rsid w:val="00871F71"/>
    <w:rsid w:val="00872FD8"/>
    <w:rsid w:val="00885AF4"/>
    <w:rsid w:val="008939CD"/>
    <w:rsid w:val="008B768C"/>
    <w:rsid w:val="008C4DB1"/>
    <w:rsid w:val="008C4EAF"/>
    <w:rsid w:val="008C5176"/>
    <w:rsid w:val="008C7FD0"/>
    <w:rsid w:val="008E1DE7"/>
    <w:rsid w:val="008E707C"/>
    <w:rsid w:val="00900B08"/>
    <w:rsid w:val="00902155"/>
    <w:rsid w:val="00902FA3"/>
    <w:rsid w:val="00923564"/>
    <w:rsid w:val="0092392E"/>
    <w:rsid w:val="009315F9"/>
    <w:rsid w:val="00933499"/>
    <w:rsid w:val="00935C98"/>
    <w:rsid w:val="00946945"/>
    <w:rsid w:val="00951248"/>
    <w:rsid w:val="0095152F"/>
    <w:rsid w:val="00954C49"/>
    <w:rsid w:val="00955E37"/>
    <w:rsid w:val="0097099F"/>
    <w:rsid w:val="00971997"/>
    <w:rsid w:val="00971FFC"/>
    <w:rsid w:val="0098660A"/>
    <w:rsid w:val="009931C3"/>
    <w:rsid w:val="009B2C43"/>
    <w:rsid w:val="009B4EAE"/>
    <w:rsid w:val="009B7573"/>
    <w:rsid w:val="009C22F4"/>
    <w:rsid w:val="009C2A4B"/>
    <w:rsid w:val="009C2E98"/>
    <w:rsid w:val="009D3447"/>
    <w:rsid w:val="009D4711"/>
    <w:rsid w:val="009F1185"/>
    <w:rsid w:val="009F18CD"/>
    <w:rsid w:val="009F2A13"/>
    <w:rsid w:val="009F7527"/>
    <w:rsid w:val="00A04EB0"/>
    <w:rsid w:val="00A13CC1"/>
    <w:rsid w:val="00A16847"/>
    <w:rsid w:val="00A237D8"/>
    <w:rsid w:val="00A268C4"/>
    <w:rsid w:val="00A307CD"/>
    <w:rsid w:val="00A331C8"/>
    <w:rsid w:val="00A40A00"/>
    <w:rsid w:val="00A4142F"/>
    <w:rsid w:val="00A422EB"/>
    <w:rsid w:val="00A45BB7"/>
    <w:rsid w:val="00A56DF2"/>
    <w:rsid w:val="00A56E6E"/>
    <w:rsid w:val="00A67AB5"/>
    <w:rsid w:val="00A733B2"/>
    <w:rsid w:val="00A741C2"/>
    <w:rsid w:val="00A91760"/>
    <w:rsid w:val="00A93B00"/>
    <w:rsid w:val="00A93C21"/>
    <w:rsid w:val="00AB64C9"/>
    <w:rsid w:val="00AC3C6A"/>
    <w:rsid w:val="00AD5620"/>
    <w:rsid w:val="00AD656B"/>
    <w:rsid w:val="00AD7C1B"/>
    <w:rsid w:val="00AE16BA"/>
    <w:rsid w:val="00AE1EBE"/>
    <w:rsid w:val="00B03C9D"/>
    <w:rsid w:val="00B060AE"/>
    <w:rsid w:val="00B10517"/>
    <w:rsid w:val="00B14E76"/>
    <w:rsid w:val="00B161B8"/>
    <w:rsid w:val="00B2048C"/>
    <w:rsid w:val="00B310B9"/>
    <w:rsid w:val="00B35F3F"/>
    <w:rsid w:val="00B36CBB"/>
    <w:rsid w:val="00B425E0"/>
    <w:rsid w:val="00B440AA"/>
    <w:rsid w:val="00B44B70"/>
    <w:rsid w:val="00B53C56"/>
    <w:rsid w:val="00B57DAF"/>
    <w:rsid w:val="00B77EA6"/>
    <w:rsid w:val="00B81598"/>
    <w:rsid w:val="00B841F1"/>
    <w:rsid w:val="00B944D6"/>
    <w:rsid w:val="00BB4DF0"/>
    <w:rsid w:val="00BC289F"/>
    <w:rsid w:val="00BC2D50"/>
    <w:rsid w:val="00BC5361"/>
    <w:rsid w:val="00BC5460"/>
    <w:rsid w:val="00BC6B50"/>
    <w:rsid w:val="00BD0E25"/>
    <w:rsid w:val="00BF5BD6"/>
    <w:rsid w:val="00C03E31"/>
    <w:rsid w:val="00C33E72"/>
    <w:rsid w:val="00C354B2"/>
    <w:rsid w:val="00C35554"/>
    <w:rsid w:val="00C42709"/>
    <w:rsid w:val="00C533CC"/>
    <w:rsid w:val="00C5751C"/>
    <w:rsid w:val="00C61BFC"/>
    <w:rsid w:val="00C62B85"/>
    <w:rsid w:val="00C65438"/>
    <w:rsid w:val="00C87FD8"/>
    <w:rsid w:val="00C91381"/>
    <w:rsid w:val="00C91CBB"/>
    <w:rsid w:val="00CB4E70"/>
    <w:rsid w:val="00CC09B6"/>
    <w:rsid w:val="00CC666F"/>
    <w:rsid w:val="00CD1E3F"/>
    <w:rsid w:val="00CE44F6"/>
    <w:rsid w:val="00CE49DA"/>
    <w:rsid w:val="00CE7B61"/>
    <w:rsid w:val="00D00095"/>
    <w:rsid w:val="00D114F0"/>
    <w:rsid w:val="00D20620"/>
    <w:rsid w:val="00D254F7"/>
    <w:rsid w:val="00D26091"/>
    <w:rsid w:val="00D2685C"/>
    <w:rsid w:val="00D34E7C"/>
    <w:rsid w:val="00D35489"/>
    <w:rsid w:val="00D36AFE"/>
    <w:rsid w:val="00D51276"/>
    <w:rsid w:val="00D7035F"/>
    <w:rsid w:val="00DA634F"/>
    <w:rsid w:val="00DA65AC"/>
    <w:rsid w:val="00DB1913"/>
    <w:rsid w:val="00DC410D"/>
    <w:rsid w:val="00DC5A81"/>
    <w:rsid w:val="00DC68CA"/>
    <w:rsid w:val="00DC7CBA"/>
    <w:rsid w:val="00DD73B7"/>
    <w:rsid w:val="00DF28BC"/>
    <w:rsid w:val="00DF34B9"/>
    <w:rsid w:val="00E01053"/>
    <w:rsid w:val="00E07ACF"/>
    <w:rsid w:val="00E331A1"/>
    <w:rsid w:val="00E33202"/>
    <w:rsid w:val="00E336A9"/>
    <w:rsid w:val="00E472B1"/>
    <w:rsid w:val="00E50624"/>
    <w:rsid w:val="00E568DF"/>
    <w:rsid w:val="00E64269"/>
    <w:rsid w:val="00E82267"/>
    <w:rsid w:val="00E853CE"/>
    <w:rsid w:val="00E867B6"/>
    <w:rsid w:val="00EA010F"/>
    <w:rsid w:val="00ED1B63"/>
    <w:rsid w:val="00ED3C1F"/>
    <w:rsid w:val="00ED4085"/>
    <w:rsid w:val="00ED420E"/>
    <w:rsid w:val="00ED6FBE"/>
    <w:rsid w:val="00EE2F57"/>
    <w:rsid w:val="00EF4C34"/>
    <w:rsid w:val="00EF6564"/>
    <w:rsid w:val="00EF77C6"/>
    <w:rsid w:val="00F05438"/>
    <w:rsid w:val="00F1361C"/>
    <w:rsid w:val="00F156F0"/>
    <w:rsid w:val="00F160C7"/>
    <w:rsid w:val="00F2408F"/>
    <w:rsid w:val="00F240E9"/>
    <w:rsid w:val="00F36D8F"/>
    <w:rsid w:val="00F417B1"/>
    <w:rsid w:val="00F45853"/>
    <w:rsid w:val="00F602DF"/>
    <w:rsid w:val="00F754A1"/>
    <w:rsid w:val="00F81FD9"/>
    <w:rsid w:val="00F841AA"/>
    <w:rsid w:val="00F84A94"/>
    <w:rsid w:val="00F87E96"/>
    <w:rsid w:val="00FA23E8"/>
    <w:rsid w:val="00FD3CC1"/>
    <w:rsid w:val="00FF1E02"/>
    <w:rsid w:val="00FF30B4"/>
    <w:rsid w:val="03F4702C"/>
    <w:rsid w:val="053A62B5"/>
    <w:rsid w:val="065035C2"/>
    <w:rsid w:val="07724E37"/>
    <w:rsid w:val="08634780"/>
    <w:rsid w:val="09970B85"/>
    <w:rsid w:val="0A2032A3"/>
    <w:rsid w:val="0B472137"/>
    <w:rsid w:val="0B8A37D8"/>
    <w:rsid w:val="0CFB767D"/>
    <w:rsid w:val="0E3837AB"/>
    <w:rsid w:val="0E39045D"/>
    <w:rsid w:val="0E83784A"/>
    <w:rsid w:val="0E8F62CF"/>
    <w:rsid w:val="109B4C39"/>
    <w:rsid w:val="10C055FF"/>
    <w:rsid w:val="10D206F5"/>
    <w:rsid w:val="10F74CFB"/>
    <w:rsid w:val="118107EC"/>
    <w:rsid w:val="11DD6519"/>
    <w:rsid w:val="135E44C2"/>
    <w:rsid w:val="144C79BB"/>
    <w:rsid w:val="14515DD5"/>
    <w:rsid w:val="14E82BDD"/>
    <w:rsid w:val="15267261"/>
    <w:rsid w:val="16BB723D"/>
    <w:rsid w:val="18015F3F"/>
    <w:rsid w:val="1BE8440E"/>
    <w:rsid w:val="1D155CEE"/>
    <w:rsid w:val="1D707B22"/>
    <w:rsid w:val="1DD43CFE"/>
    <w:rsid w:val="1E7758B0"/>
    <w:rsid w:val="1E8142E9"/>
    <w:rsid w:val="20F57F95"/>
    <w:rsid w:val="211F14F5"/>
    <w:rsid w:val="21CA5B44"/>
    <w:rsid w:val="2217065D"/>
    <w:rsid w:val="228E5A83"/>
    <w:rsid w:val="240371BF"/>
    <w:rsid w:val="240D3BE7"/>
    <w:rsid w:val="25711CC6"/>
    <w:rsid w:val="257361E2"/>
    <w:rsid w:val="25C741E6"/>
    <w:rsid w:val="27842671"/>
    <w:rsid w:val="27AC1848"/>
    <w:rsid w:val="2849353B"/>
    <w:rsid w:val="291B59A8"/>
    <w:rsid w:val="29FD04D3"/>
    <w:rsid w:val="2ABE7A3E"/>
    <w:rsid w:val="2C491D5B"/>
    <w:rsid w:val="2CA234A8"/>
    <w:rsid w:val="2EFA178C"/>
    <w:rsid w:val="300264A9"/>
    <w:rsid w:val="30B46D73"/>
    <w:rsid w:val="30B874AF"/>
    <w:rsid w:val="319F7F4E"/>
    <w:rsid w:val="325B6344"/>
    <w:rsid w:val="33136C1F"/>
    <w:rsid w:val="383D272C"/>
    <w:rsid w:val="38A04AB1"/>
    <w:rsid w:val="38EC5F48"/>
    <w:rsid w:val="39AE70AB"/>
    <w:rsid w:val="3AC37C94"/>
    <w:rsid w:val="3BD76E8A"/>
    <w:rsid w:val="3C08753D"/>
    <w:rsid w:val="3C0C0783"/>
    <w:rsid w:val="3E1877DF"/>
    <w:rsid w:val="3F9F3A96"/>
    <w:rsid w:val="40F956A6"/>
    <w:rsid w:val="41085755"/>
    <w:rsid w:val="41756B51"/>
    <w:rsid w:val="42C35A4E"/>
    <w:rsid w:val="42DC527F"/>
    <w:rsid w:val="453A628D"/>
    <w:rsid w:val="45AB6161"/>
    <w:rsid w:val="46D85D5E"/>
    <w:rsid w:val="47B42327"/>
    <w:rsid w:val="48BF60AB"/>
    <w:rsid w:val="48C4659A"/>
    <w:rsid w:val="493C27E9"/>
    <w:rsid w:val="496F39ED"/>
    <w:rsid w:val="49F7625A"/>
    <w:rsid w:val="49FF41D3"/>
    <w:rsid w:val="4BE068DB"/>
    <w:rsid w:val="4BF6002B"/>
    <w:rsid w:val="4EC56BC8"/>
    <w:rsid w:val="4ECE2238"/>
    <w:rsid w:val="50947199"/>
    <w:rsid w:val="51A85EF1"/>
    <w:rsid w:val="51DB4B86"/>
    <w:rsid w:val="53775CDF"/>
    <w:rsid w:val="53FD6E04"/>
    <w:rsid w:val="5449029B"/>
    <w:rsid w:val="55333C3E"/>
    <w:rsid w:val="5A1E1882"/>
    <w:rsid w:val="5B90055D"/>
    <w:rsid w:val="5EB804F7"/>
    <w:rsid w:val="62EB75A3"/>
    <w:rsid w:val="64CA39A1"/>
    <w:rsid w:val="69630ADE"/>
    <w:rsid w:val="6B170F81"/>
    <w:rsid w:val="6C4A05C8"/>
    <w:rsid w:val="6D3B1A89"/>
    <w:rsid w:val="6FC84312"/>
    <w:rsid w:val="70503BE0"/>
    <w:rsid w:val="71381023"/>
    <w:rsid w:val="71BF4EC2"/>
    <w:rsid w:val="72734D90"/>
    <w:rsid w:val="732B0E40"/>
    <w:rsid w:val="7412278C"/>
    <w:rsid w:val="74D764B6"/>
    <w:rsid w:val="75CD61DE"/>
    <w:rsid w:val="762C75B5"/>
    <w:rsid w:val="763E70DC"/>
    <w:rsid w:val="76764AC8"/>
    <w:rsid w:val="77FA5285"/>
    <w:rsid w:val="7904082E"/>
    <w:rsid w:val="79E7B28D"/>
    <w:rsid w:val="7AC6722C"/>
    <w:rsid w:val="7C6E0902"/>
    <w:rsid w:val="7CF95B0B"/>
    <w:rsid w:val="7D597809"/>
    <w:rsid w:val="7EB17531"/>
    <w:rsid w:val="7EDF5174"/>
    <w:rsid w:val="7F9F20EE"/>
    <w:rsid w:val="9E3A10E2"/>
    <w:rsid w:val="F2E1F9D4"/>
    <w:rsid w:val="F788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7"/>
    <w:qFormat/>
    <w:uiPriority w:val="99"/>
    <w:pPr>
      <w:spacing w:beforeLines="30"/>
    </w:pPr>
    <w:rPr>
      <w:rFonts w:ascii="仿宋_GB2312" w:eastAsia="仿宋_GB2312"/>
      <w:kern w:val="0"/>
      <w:sz w:val="30"/>
    </w:rPr>
  </w:style>
  <w:style w:type="paragraph" w:styleId="6">
    <w:name w:val="toc 3"/>
    <w:basedOn w:val="1"/>
    <w:next w:val="1"/>
    <w:unhideWhenUsed/>
    <w:qFormat/>
    <w:uiPriority w:val="39"/>
    <w:pPr>
      <w:tabs>
        <w:tab w:val="right" w:leader="dot" w:pos="8296"/>
      </w:tabs>
      <w:ind w:left="840" w:leftChars="400"/>
    </w:pPr>
  </w:style>
  <w:style w:type="paragraph" w:styleId="7">
    <w:name w:val="Balloon Text"/>
    <w:basedOn w:val="1"/>
    <w:link w:val="31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5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9">
    <w:name w:val="header"/>
    <w:basedOn w:val="1"/>
    <w:link w:val="2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10">
    <w:name w:val="toc 1"/>
    <w:basedOn w:val="1"/>
    <w:next w:val="1"/>
    <w:unhideWhenUsed/>
    <w:qFormat/>
    <w:uiPriority w:val="39"/>
    <w:pPr>
      <w:tabs>
        <w:tab w:val="right" w:leader="dot" w:pos="8296"/>
      </w:tabs>
      <w:spacing w:before="93"/>
      <w:jc w:val="center"/>
    </w:pPr>
    <w:rPr>
      <w:rFonts w:ascii="仿宋" w:hAnsi="仿宋" w:eastAsia="仿宋"/>
      <w:sz w:val="28"/>
      <w:szCs w:val="28"/>
    </w:rPr>
  </w:style>
  <w:style w:type="paragraph" w:styleId="11">
    <w:name w:val="toc 2"/>
    <w:basedOn w:val="1"/>
    <w:next w:val="1"/>
    <w:unhideWhenUsed/>
    <w:qFormat/>
    <w:uiPriority w:val="39"/>
    <w:pPr>
      <w:tabs>
        <w:tab w:val="right" w:leader="dot" w:pos="8296"/>
      </w:tabs>
      <w:ind w:left="420" w:leftChars="200"/>
    </w:pPr>
  </w:style>
  <w:style w:type="paragraph" w:styleId="1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99"/>
    <w:rPr>
      <w:b/>
    </w:rPr>
  </w:style>
  <w:style w:type="character" w:styleId="16">
    <w:name w:val="Hyperlink"/>
    <w:basedOn w:val="1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7">
    <w:name w:val="标题 1 Char"/>
    <w:basedOn w:val="14"/>
    <w:link w:val="3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character" w:customStyle="1" w:styleId="18">
    <w:name w:val="标题 2 Char"/>
    <w:basedOn w:val="14"/>
    <w:link w:val="4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9">
    <w:name w:val="标题 3 Char"/>
    <w:basedOn w:val="14"/>
    <w:link w:val="5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paragraph" w:customStyle="1" w:styleId="20">
    <w:name w:val="BodyText1I2"/>
    <w:basedOn w:val="21"/>
    <w:next w:val="1"/>
    <w:qFormat/>
    <w:uiPriority w:val="0"/>
    <w:pPr>
      <w:spacing w:after="120"/>
      <w:ind w:left="420" w:leftChars="200" w:firstLine="420" w:firstLineChars="200"/>
      <w:jc w:val="both"/>
      <w:textAlignment w:val="baseline"/>
    </w:pPr>
    <w:rPr>
      <w:rFonts w:ascii="Calibri" w:hAnsi="Calibri" w:eastAsia="宋体"/>
      <w:sz w:val="21"/>
      <w:szCs w:val="24"/>
    </w:rPr>
  </w:style>
  <w:style w:type="paragraph" w:customStyle="1" w:styleId="21">
    <w:name w:val="BodyTextIndent"/>
    <w:basedOn w:val="1"/>
    <w:next w:val="20"/>
    <w:qFormat/>
    <w:uiPriority w:val="0"/>
    <w:pPr>
      <w:spacing w:after="120"/>
      <w:ind w:left="420" w:leftChars="200"/>
      <w:jc w:val="both"/>
      <w:textAlignment w:val="baseline"/>
    </w:pPr>
  </w:style>
  <w:style w:type="character" w:customStyle="1" w:styleId="22">
    <w:name w:val="Header Char"/>
    <w:basedOn w:val="14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23">
    <w:name w:val="页眉 Char"/>
    <w:link w:val="9"/>
    <w:semiHidden/>
    <w:qFormat/>
    <w:locked/>
    <w:uiPriority w:val="99"/>
    <w:rPr>
      <w:sz w:val="18"/>
    </w:rPr>
  </w:style>
  <w:style w:type="character" w:customStyle="1" w:styleId="24">
    <w:name w:val="Footer Char"/>
    <w:basedOn w:val="14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25">
    <w:name w:val="页脚 Char"/>
    <w:link w:val="8"/>
    <w:qFormat/>
    <w:locked/>
    <w:uiPriority w:val="99"/>
    <w:rPr>
      <w:sz w:val="18"/>
    </w:rPr>
  </w:style>
  <w:style w:type="character" w:customStyle="1" w:styleId="26">
    <w:name w:val="Body Text Char"/>
    <w:basedOn w:val="14"/>
    <w:semiHidden/>
    <w:qFormat/>
    <w:uiPriority w:val="99"/>
    <w:rPr>
      <w:rFonts w:ascii="Times New Roman" w:hAnsi="Times New Roman"/>
      <w:szCs w:val="24"/>
    </w:rPr>
  </w:style>
  <w:style w:type="character" w:customStyle="1" w:styleId="27">
    <w:name w:val="正文文本 Char"/>
    <w:link w:val="2"/>
    <w:qFormat/>
    <w:locked/>
    <w:uiPriority w:val="99"/>
    <w:rPr>
      <w:rFonts w:ascii="仿宋_GB2312" w:hAnsi="Times New Roman" w:eastAsia="仿宋_GB2312"/>
      <w:sz w:val="24"/>
    </w:rPr>
  </w:style>
  <w:style w:type="paragraph" w:customStyle="1" w:styleId="2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  <w:style w:type="paragraph" w:styleId="29">
    <w:name w:val="List Paragraph"/>
    <w:basedOn w:val="1"/>
    <w:qFormat/>
    <w:uiPriority w:val="34"/>
    <w:pPr>
      <w:ind w:firstLine="420" w:firstLineChars="200"/>
    </w:pPr>
  </w:style>
  <w:style w:type="paragraph" w:customStyle="1" w:styleId="30">
    <w:name w:val="TOC 标题1"/>
    <w:basedOn w:val="3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31">
    <w:name w:val="批注框文本 Char"/>
    <w:basedOn w:val="14"/>
    <w:link w:val="7"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32">
    <w:name w:val="TOC Heading"/>
    <w:basedOn w:val="3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paragraph" w:customStyle="1" w:styleId="33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34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3.xml"/><Relationship Id="rId8" Type="http://schemas.openxmlformats.org/officeDocument/2006/relationships/chart" Target="charts/chart2.xml"/><Relationship Id="rId7" Type="http://schemas.openxmlformats.org/officeDocument/2006/relationships/chart" Target="charts/chart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chart" Target="charts/chart6.xml"/><Relationship Id="rId11" Type="http://schemas.openxmlformats.org/officeDocument/2006/relationships/chart" Target="charts/chart5.xml"/><Relationship Id="rId10" Type="http://schemas.openxmlformats.org/officeDocument/2006/relationships/chart" Target="charts/chart4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&#24037;&#20316;&#31807;1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&#24037;&#20316;&#31807;1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&#24037;&#20316;&#31807;1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&#24037;&#20316;&#31807;1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5.xml"/><Relationship Id="rId2" Type="http://schemas.microsoft.com/office/2011/relationships/chartStyle" Target="style5.xml"/><Relationship Id="rId1" Type="http://schemas.openxmlformats.org/officeDocument/2006/relationships/oleObject" Target="&#24037;&#20316;&#31807;1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microsoft.com/office/2011/relationships/chartColorStyle" Target="colors6.xml"/><Relationship Id="rId2" Type="http://schemas.microsoft.com/office/2011/relationships/chartStyle" Target="style6.xml"/><Relationship Id="rId1" Type="http://schemas.openxmlformats.org/officeDocument/2006/relationships/oleObject" Target="&#24037;&#20316;&#31807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5514764565044"/>
          <c:y val="0.0545454545454545"/>
          <c:w val="0.760638467677574"/>
          <c:h val="0.75524848484848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[工作簿1]Sheet1!$I$3</c:f>
              <c:strCache>
                <c:ptCount val="1"/>
                <c:pt idx="0">
                  <c:v>2021年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[工作簿1]Sheet1!$J$2:$K$2</c:f>
              <c:strCache>
                <c:ptCount val="2"/>
                <c:pt idx="0">
                  <c:v>收入</c:v>
                </c:pt>
                <c:pt idx="1">
                  <c:v>支出</c:v>
                </c:pt>
              </c:strCache>
            </c:strRef>
          </c:cat>
          <c:val>
            <c:numRef>
              <c:f>[工作簿1]Sheet1!$J$3:$K$3</c:f>
              <c:numCache>
                <c:formatCode>General</c:formatCode>
                <c:ptCount val="2"/>
                <c:pt idx="0">
                  <c:v>6803.46</c:v>
                </c:pt>
                <c:pt idx="1">
                  <c:v>6803.46</c:v>
                </c:pt>
              </c:numCache>
            </c:numRef>
          </c:val>
        </c:ser>
        <c:ser>
          <c:idx val="1"/>
          <c:order val="1"/>
          <c:tx>
            <c:strRef>
              <c:f>[工作簿1]Sheet1!$I$4</c:f>
              <c:strCache>
                <c:ptCount val="1"/>
                <c:pt idx="0">
                  <c:v>2022年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[工作簿1]Sheet1!$J$2:$K$2</c:f>
              <c:strCache>
                <c:ptCount val="2"/>
                <c:pt idx="0">
                  <c:v>收入</c:v>
                </c:pt>
                <c:pt idx="1">
                  <c:v>支出</c:v>
                </c:pt>
              </c:strCache>
            </c:strRef>
          </c:cat>
          <c:val>
            <c:numRef>
              <c:f>[工作簿1]Sheet1!$J$4:$K$4</c:f>
              <c:numCache>
                <c:formatCode>#,##0.00</c:formatCode>
                <c:ptCount val="2"/>
                <c:pt idx="0">
                  <c:v>6554.46</c:v>
                </c:pt>
                <c:pt idx="1">
                  <c:v>6554.46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6"/>
        <c:overlap val="-28"/>
        <c:axId val="702039964"/>
        <c:axId val="146492019"/>
      </c:barChart>
      <c:catAx>
        <c:axId val="70203996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46492019"/>
        <c:crosses val="autoZero"/>
        <c:auto val="1"/>
        <c:lblAlgn val="ctr"/>
        <c:lblOffset val="100"/>
        <c:noMultiLvlLbl val="0"/>
      </c:catAx>
      <c:valAx>
        <c:axId val="14649201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902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t>金额：万元</a:t>
                </a:r>
              </a:p>
            </c:rich>
          </c:tx>
          <c:layout>
            <c:manualLayout>
              <c:xMode val="edge"/>
              <c:yMode val="edge"/>
              <c:x val="0.0240279302550855"/>
              <c:y val="0.289166666666667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gradFill>
              <a:gsLst>
                <a:gs pos="0">
                  <a:schemeClr val="accent1">
                    <a:lumMod val="5000"/>
                    <a:lumOff val="95000"/>
                  </a:schemeClr>
                </a:gs>
                <a:gs pos="74000">
                  <a:schemeClr val="accent1">
                    <a:lumMod val="45000"/>
                    <a:lumOff val="55000"/>
                  </a:schemeClr>
                </a:gs>
                <a:gs pos="83000">
                  <a:schemeClr val="accent1">
                    <a:lumMod val="45000"/>
                    <a:lumOff val="55000"/>
                  </a:schemeClr>
                </a:gs>
                <a:gs pos="100000">
                  <a:schemeClr val="accent1">
                    <a:lumMod val="30000"/>
                    <a:lumOff val="70000"/>
                  </a:schemeClr>
                </a:gs>
              </a:gsLst>
              <a:lin ang="5400000" scaled="1"/>
            </a:gradFill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02039964"/>
        <c:crosses val="autoZero"/>
        <c:crossBetween val="between"/>
        <c:majorUnit val="500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14046288906624"/>
          <c:y val="0.878787878787879"/>
        </c:manualLayout>
      </c:layout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spPr/>
          <c:explosion val="0"/>
          <c:dPt>
            <c:idx val="0"/>
            <c:bubble3D val="0"/>
            <c:spPr>
              <a:solidFill>
                <a:schemeClr val="accent1"/>
              </a:solidFill>
              <a:ln>
                <a:solidFill>
                  <a:schemeClr val="bg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solidFill>
                  <a:schemeClr val="bg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[工作簿1]Sheet1!$A$4:$B$4</c:f>
              <c:strCache>
                <c:ptCount val="2"/>
                <c:pt idx="0">
                  <c:v>一般公共预算财政拨款收入</c:v>
                </c:pt>
                <c:pt idx="1">
                  <c:v>事业收入</c:v>
                </c:pt>
              </c:strCache>
            </c:strRef>
          </c:cat>
          <c:val>
            <c:numRef>
              <c:f>[工作簿1]Sheet1!$A$5:$B$5</c:f>
              <c:numCache>
                <c:formatCode>0.00%</c:formatCode>
                <c:ptCount val="2"/>
                <c:pt idx="0">
                  <c:v>0.8628</c:v>
                </c:pt>
                <c:pt idx="1">
                  <c:v>0.1372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spPr/>
          <c:explosion val="0"/>
          <c:dPt>
            <c:idx val="0"/>
            <c:bubble3D val="0"/>
            <c:spPr>
              <a:solidFill>
                <a:schemeClr val="accent1"/>
              </a:solidFill>
              <a:ln>
                <a:solidFill>
                  <a:schemeClr val="bg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solidFill>
                  <a:schemeClr val="bg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[工作簿1]Sheet1!$A$4:$B$4</c:f>
              <c:strCache>
                <c:ptCount val="2"/>
                <c:pt idx="0">
                  <c:v>基本支出</c:v>
                </c:pt>
                <c:pt idx="1">
                  <c:v>项目支出</c:v>
                </c:pt>
              </c:strCache>
            </c:strRef>
          </c:cat>
          <c:val>
            <c:numRef>
              <c:f>[工作簿1]Sheet1!$A$5:$B$5</c:f>
              <c:numCache>
                <c:formatCode>0.00%</c:formatCode>
                <c:ptCount val="2"/>
                <c:pt idx="0">
                  <c:v>0.4564</c:v>
                </c:pt>
                <c:pt idx="1">
                  <c:v>0.5436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5514764565044"/>
          <c:y val="0.0545454545454545"/>
          <c:w val="0.760638467677574"/>
          <c:h val="0.75524848484848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[工作簿1]Sheet1!$I$3</c:f>
              <c:strCache>
                <c:ptCount val="1"/>
                <c:pt idx="0">
                  <c:v>2021年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[工作簿1]Sheet1!$J$2:$K$2</c:f>
              <c:strCache>
                <c:ptCount val="2"/>
                <c:pt idx="0">
                  <c:v>收入</c:v>
                </c:pt>
                <c:pt idx="1">
                  <c:v>支出</c:v>
                </c:pt>
              </c:strCache>
            </c:strRef>
          </c:cat>
          <c:val>
            <c:numRef>
              <c:f>[工作簿1]Sheet1!$J$3:$K$3</c:f>
              <c:numCache>
                <c:formatCode>General</c:formatCode>
                <c:ptCount val="2"/>
                <c:pt idx="0">
                  <c:v>6262.73</c:v>
                </c:pt>
                <c:pt idx="1">
                  <c:v>6262.73</c:v>
                </c:pt>
              </c:numCache>
            </c:numRef>
          </c:val>
        </c:ser>
        <c:ser>
          <c:idx val="1"/>
          <c:order val="1"/>
          <c:tx>
            <c:strRef>
              <c:f>[工作簿1]Sheet1!$I$4</c:f>
              <c:strCache>
                <c:ptCount val="1"/>
                <c:pt idx="0">
                  <c:v>2022年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[工作簿1]Sheet1!$J$2:$K$2</c:f>
              <c:strCache>
                <c:ptCount val="2"/>
                <c:pt idx="0">
                  <c:v>收入</c:v>
                </c:pt>
                <c:pt idx="1">
                  <c:v>支出</c:v>
                </c:pt>
              </c:strCache>
            </c:strRef>
          </c:cat>
          <c:val>
            <c:numRef>
              <c:f>[工作簿1]Sheet1!$J$4:$K$4</c:f>
              <c:numCache>
                <c:formatCode>#,##0.00</c:formatCode>
                <c:ptCount val="2"/>
                <c:pt idx="0">
                  <c:v>5836.7</c:v>
                </c:pt>
                <c:pt idx="1">
                  <c:v>5836.7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6"/>
        <c:overlap val="-28"/>
        <c:axId val="702039964"/>
        <c:axId val="146492019"/>
      </c:barChart>
      <c:catAx>
        <c:axId val="70203996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46492019"/>
        <c:crosses val="autoZero"/>
        <c:auto val="1"/>
        <c:lblAlgn val="ctr"/>
        <c:lblOffset val="100"/>
        <c:noMultiLvlLbl val="0"/>
      </c:catAx>
      <c:valAx>
        <c:axId val="14649201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902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t>金额：万元</a:t>
                </a:r>
              </a:p>
            </c:rich>
          </c:tx>
          <c:layout>
            <c:manualLayout>
              <c:xMode val="edge"/>
              <c:yMode val="edge"/>
              <c:x val="0.0240279302550855"/>
              <c:y val="0.289166666666667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gradFill>
              <a:gsLst>
                <a:gs pos="0">
                  <a:schemeClr val="accent1">
                    <a:lumMod val="5000"/>
                    <a:lumOff val="95000"/>
                  </a:schemeClr>
                </a:gs>
                <a:gs pos="74000">
                  <a:schemeClr val="accent1">
                    <a:lumMod val="45000"/>
                    <a:lumOff val="55000"/>
                  </a:schemeClr>
                </a:gs>
                <a:gs pos="83000">
                  <a:schemeClr val="accent1">
                    <a:lumMod val="45000"/>
                    <a:lumOff val="55000"/>
                  </a:schemeClr>
                </a:gs>
                <a:gs pos="100000">
                  <a:schemeClr val="accent1">
                    <a:lumMod val="30000"/>
                    <a:lumOff val="70000"/>
                  </a:schemeClr>
                </a:gs>
              </a:gsLst>
              <a:lin ang="5400000" scaled="1"/>
            </a:gradFill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02039964"/>
        <c:crosses val="autoZero"/>
        <c:crossBetween val="between"/>
        <c:majorUnit val="500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14046288906624"/>
          <c:y val="0.878787878787879"/>
        </c:manualLayout>
      </c:layout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6184159188451"/>
          <c:y val="0.0761904761904762"/>
          <c:w val="0.753101833788529"/>
          <c:h val="0.808544217687075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[工作簿1]Sheet1!$I$5:$J$5</c:f>
              <c:strCache>
                <c:ptCount val="2"/>
                <c:pt idx="0">
                  <c:v>2021年</c:v>
                </c:pt>
                <c:pt idx="1">
                  <c:v>2022年</c:v>
                </c:pt>
              </c:strCache>
            </c:strRef>
          </c:cat>
          <c:val>
            <c:numRef>
              <c:f>[工作簿1]Sheet1!$I$6:$J$6</c:f>
              <c:numCache>
                <c:formatCode>General</c:formatCode>
                <c:ptCount val="2"/>
                <c:pt idx="0">
                  <c:v>4594.03</c:v>
                </c:pt>
                <c:pt idx="1">
                  <c:v>5345.83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6"/>
        <c:overlap val="-28"/>
        <c:axId val="702484199"/>
        <c:axId val="413007143"/>
      </c:barChart>
      <c:catAx>
        <c:axId val="702484199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413007143"/>
        <c:crosses val="autoZero"/>
        <c:auto val="1"/>
        <c:lblAlgn val="ctr"/>
        <c:lblOffset val="100"/>
        <c:noMultiLvlLbl val="0"/>
      </c:catAx>
      <c:valAx>
        <c:axId val="4130071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902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t>金额：万元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02484199"/>
        <c:crosses val="autoZero"/>
        <c:crossBetween val="between"/>
        <c:majorUnit val="50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spPr/>
          <c:explosion val="0"/>
          <c:dPt>
            <c:idx val="0"/>
            <c:bubble3D val="0"/>
            <c:spPr>
              <a:solidFill>
                <a:schemeClr val="accent1"/>
              </a:solidFill>
              <a:ln>
                <a:solidFill>
                  <a:schemeClr val="bg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solidFill>
                  <a:schemeClr val="bg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solidFill>
                  <a:schemeClr val="bg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solidFill>
                  <a:schemeClr val="bg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>
                <a:solidFill>
                  <a:schemeClr val="bg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[工作簿1]Sheet1!$A$1:$E$1</c:f>
              <c:strCache>
                <c:ptCount val="5"/>
                <c:pt idx="0">
                  <c:v>教育支出</c:v>
                </c:pt>
                <c:pt idx="1">
                  <c:v>社会保障和就业支出</c:v>
                </c:pt>
                <c:pt idx="2">
                  <c:v>卫生健康支出</c:v>
                </c:pt>
                <c:pt idx="3">
                  <c:v>住房保障支出</c:v>
                </c:pt>
                <c:pt idx="4">
                  <c:v>其他支出</c:v>
                </c:pt>
              </c:strCache>
            </c:strRef>
          </c:cat>
          <c:val>
            <c:numRef>
              <c:f>[工作簿1]Sheet1!$A$2:$E$2</c:f>
              <c:numCache>
                <c:formatCode>0.00%</c:formatCode>
                <c:ptCount val="5"/>
                <c:pt idx="0">
                  <c:v>0.8343</c:v>
                </c:pt>
                <c:pt idx="1">
                  <c:v>0.0444</c:v>
                </c:pt>
                <c:pt idx="2">
                  <c:v>0.0202</c:v>
                </c:pt>
                <c:pt idx="3">
                  <c:v>0.0437</c:v>
                </c:pt>
                <c:pt idx="4">
                  <c:v>0.0574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784683307862116"/>
          <c:y val="0.104555181901559"/>
          <c:w val="0.210222448633045"/>
          <c:h val="0.857230204830327"/>
        </c:manualLayout>
      </c:layout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8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1">
      <cs:styleClr val="auto"/>
    </cs:fillRef>
    <cs:effectRef idx="0"/>
    <cs:fontRef idx="minor">
      <a:schemeClr val="dk1"/>
    </cs:fontRef>
    <cs:spPr>
      <a:ln>
        <a:solidFill>
          <a:schemeClr val="bg1"/>
        </a:solidFill>
      </a:ln>
      <a:effectLst/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bg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1">
      <cs:styleClr val="auto"/>
    </cs:fillRef>
    <cs:effectRef idx="0"/>
    <cs:fontRef idx="minor">
      <a:schemeClr val="dk1"/>
    </cs:fontRef>
    <cs:spPr>
      <a:ln>
        <a:noFill/>
      </a:ln>
      <a:effectLst/>
    </cs:spPr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bg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8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1">
      <cs:styleClr val="auto"/>
    </cs:fillRef>
    <cs:effectRef idx="0"/>
    <cs:fontRef idx="minor">
      <a:schemeClr val="dk1"/>
    </cs:fontRef>
    <cs:spPr>
      <a:ln>
        <a:solidFill>
          <a:schemeClr val="bg1"/>
        </a:solidFill>
      </a:ln>
      <a:effectLst/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bg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1">
      <cs:styleClr val="auto"/>
    </cs:fillRef>
    <cs:effectRef idx="0"/>
    <cs:fontRef idx="minor">
      <a:schemeClr val="dk1"/>
    </cs:fontRef>
    <cs:spPr>
      <a:ln>
        <a:noFill/>
      </a:ln>
      <a:effectLst/>
    </cs:spPr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bg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100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1">
      <cs:styleClr val="auto"/>
    </cs:fillRef>
    <cs:effectRef idx="0"/>
    <cs:fontRef idx="minor">
      <a:schemeClr val="dk1"/>
    </cs:fontRef>
    <cs:spPr>
      <a:ln>
        <a:noFill/>
      </a:ln>
      <a:effectLst/>
    </cs:spPr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bg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1008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1">
      <cs:styleClr val="auto"/>
    </cs:fillRef>
    <cs:effectRef idx="0"/>
    <cs:fontRef idx="minor">
      <a:schemeClr val="dk1"/>
    </cs:fontRef>
    <cs:spPr>
      <a:ln>
        <a:solidFill>
          <a:schemeClr val="bg1"/>
        </a:solidFill>
      </a:ln>
      <a:effectLst/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bg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四川省财政厅</Company>
  <Pages>24</Pages>
  <Words>1299</Words>
  <Characters>7410</Characters>
  <Lines>61</Lines>
  <Paragraphs>17</Paragraphs>
  <TotalTime>4</TotalTime>
  <ScaleCrop>false</ScaleCrop>
  <LinksUpToDate>false</LinksUpToDate>
  <CharactersWithSpaces>8692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2020-08-05T01:49:00Z</dcterms:created>
  <dc:creator>曹颖</dc:creator>
  <cp:lastModifiedBy>.</cp:lastModifiedBy>
  <cp:lastPrinted>2023-07-31T02:35:00Z</cp:lastPrinted>
  <dcterms:modified xsi:type="dcterms:W3CDTF">2023-10-17T07:20:49Z</dcterms:modified>
  <dc:title>四川省***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6B70361D626A4593B4A9C4A901EC4F63</vt:lpwstr>
  </property>
</Properties>
</file>