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rPr>
          <w:rFonts w:ascii="方正小标宋_GBK" w:hAnsi="宋体" w:eastAsia="方正小标宋_GBK"/>
          <w:sz w:val="72"/>
          <w:szCs w:val="72"/>
        </w:rPr>
      </w:pPr>
      <w:bookmarkStart w:id="0" w:name="_Toc15396597"/>
      <w:bookmarkStart w:id="1" w:name="_Toc15396475"/>
      <w:bookmarkStart w:id="2" w:name="_Toc15377425"/>
      <w:bookmarkStart w:id="3" w:name="_Toc15378441"/>
      <w:bookmarkStart w:id="4" w:name="_Toc15306267"/>
      <w:bookmarkStart w:id="5" w:name="_Toc15377193"/>
    </w:p>
    <w:p>
      <w:pPr>
        <w:spacing w:line="576" w:lineRule="exact"/>
        <w:jc w:val="center"/>
        <w:rPr>
          <w:rFonts w:ascii="方正小标宋_GBK" w:hAnsi="宋体" w:eastAsia="方正小标宋_GBK"/>
          <w:sz w:val="72"/>
          <w:szCs w:val="72"/>
        </w:rPr>
      </w:pPr>
    </w:p>
    <w:p>
      <w:pPr>
        <w:spacing w:line="576" w:lineRule="exact"/>
        <w:jc w:val="center"/>
        <w:rPr>
          <w:rFonts w:ascii="方正小标宋_GBK" w:hAnsi="宋体" w:eastAsia="方正小标宋_GBK"/>
          <w:sz w:val="72"/>
          <w:szCs w:val="72"/>
        </w:rPr>
      </w:pPr>
    </w:p>
    <w:p>
      <w:pPr>
        <w:spacing w:line="360" w:lineRule="auto"/>
        <w:jc w:val="center"/>
        <w:rPr>
          <w:rFonts w:ascii="方正小标宋_GBK" w:hAnsi="宋体" w:eastAsia="方正小标宋_GBK"/>
          <w:sz w:val="72"/>
          <w:szCs w:val="72"/>
        </w:rPr>
      </w:pPr>
    </w:p>
    <w:bookmarkEnd w:id="0"/>
    <w:bookmarkEnd w:id="1"/>
    <w:bookmarkEnd w:id="2"/>
    <w:bookmarkEnd w:id="3"/>
    <w:bookmarkEnd w:id="4"/>
    <w:bookmarkEnd w:id="5"/>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lang w:val="zh-CN"/>
        </w:rPr>
      </w:pPr>
      <w:r>
        <w:rPr>
          <w:rFonts w:hint="eastAsia" w:ascii="方正小标宋_GBK" w:hAnsi="方正小标宋_GBK" w:eastAsia="方正小标宋_GBK" w:cs="方正小标宋_GBK"/>
          <w:sz w:val="64"/>
          <w:szCs w:val="64"/>
          <w:lang w:val="zh-CN"/>
        </w:rPr>
        <w:t>2022年度广元市国土空间</w:t>
      </w: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lang w:val="zh-CN"/>
        </w:rPr>
      </w:pPr>
      <w:r>
        <w:rPr>
          <w:rFonts w:hint="eastAsia" w:ascii="方正小标宋_GBK" w:hAnsi="方正小标宋_GBK" w:eastAsia="方正小标宋_GBK" w:cs="方正小标宋_GBK"/>
          <w:sz w:val="64"/>
          <w:szCs w:val="64"/>
          <w:lang w:val="zh-CN"/>
        </w:rPr>
        <w:t>规划编制研究中心</w:t>
      </w: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lang w:val="zh-CN"/>
        </w:rPr>
      </w:pPr>
      <w:r>
        <w:rPr>
          <w:rFonts w:hint="eastAsia" w:ascii="方正小标宋_GBK" w:hAnsi="方正小标宋_GBK" w:eastAsia="方正小标宋_GBK" w:cs="方正小标宋_GBK"/>
          <w:sz w:val="64"/>
          <w:szCs w:val="64"/>
          <w:lang w:val="zh-CN"/>
        </w:rPr>
        <w:t>（本级）单位决算</w:t>
      </w: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ascii="黑体" w:hAnsi="黑体" w:eastAsia="黑体"/>
          <w:sz w:val="48"/>
          <w:szCs w:val="48"/>
        </w:rPr>
      </w:pPr>
      <w:r>
        <w:rPr>
          <w:rFonts w:ascii="方正小标宋_GBK" w:hAnsi="宋体" w:eastAsia="方正小标宋_GBK"/>
          <w:sz w:val="36"/>
          <w:szCs w:val="36"/>
        </w:rPr>
        <w:br w:type="page"/>
      </w:r>
      <w:r>
        <w:rPr>
          <w:rFonts w:hint="eastAsia" w:ascii="方正小标宋_GBK" w:hAnsi="方正小标宋_GBK" w:eastAsia="方正小标宋_GBK" w:cs="方正小标宋_GBK"/>
          <w:sz w:val="44"/>
          <w:szCs w:val="44"/>
        </w:rPr>
        <w:t>目</w:t>
      </w:r>
      <w:r>
        <w:rPr>
          <w:rFonts w:hint="eastAsia" w:ascii="方正小标宋_GBK" w:hAnsi="方正小标宋_GBK" w:eastAsia="方正小标宋_GBK" w:cs="方正小标宋_GBK"/>
          <w:sz w:val="44"/>
          <w:szCs w:val="44"/>
          <w:lang w:val="en-US" w:eastAsia="zh-CN"/>
        </w:rPr>
        <w:t xml:space="preserve">  </w:t>
      </w:r>
      <w:bookmarkStart w:id="261" w:name="_GoBack"/>
      <w:bookmarkEnd w:id="261"/>
      <w:r>
        <w:rPr>
          <w:rFonts w:hint="eastAsia" w:ascii="方正小标宋_GBK" w:hAnsi="方正小标宋_GBK" w:eastAsia="方正小标宋_GBK" w:cs="方正小标宋_GBK"/>
          <w:sz w:val="44"/>
          <w:szCs w:val="44"/>
        </w:rPr>
        <w:t>录</w:t>
      </w:r>
    </w:p>
    <w:p>
      <w:pPr>
        <w:pStyle w:val="11"/>
        <w:spacing w:before="0" w:line="576" w:lineRule="exact"/>
      </w:pPr>
    </w:p>
    <w:p>
      <w:pPr>
        <w:pStyle w:val="11"/>
        <w:spacing w:before="0" w:line="576" w:lineRule="exact"/>
      </w:pPr>
      <w:r>
        <w:rPr>
          <w:rFonts w:hint="eastAsia"/>
        </w:rPr>
        <w:t>公开时间：2023年10月10日</w:t>
      </w:r>
    </w:p>
    <w:p>
      <w:pPr>
        <w:pStyle w:val="11"/>
        <w:tabs>
          <w:tab w:val="right" w:leader="dot" w:pos="8845"/>
          <w:tab w:val="clear" w:pos="8296"/>
        </w:tabs>
        <w:rPr>
          <w:rFonts w:hint="eastAsia" w:ascii="黑体" w:hAnsi="黑体" w:eastAsia="黑体" w:cs="黑体"/>
          <w:sz w:val="32"/>
          <w:szCs w:val="3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TOC \o "1-2" \h \u </w:instrText>
      </w:r>
      <w:r>
        <w:rPr>
          <w:rFonts w:hint="eastAsia" w:ascii="仿宋_GB2312" w:hAnsi="仿宋_GB2312" w:eastAsia="仿宋_GB2312" w:cs="仿宋_GB2312"/>
        </w:rPr>
        <w:fldChar w:fldCharType="separate"/>
      </w:r>
    </w:p>
    <w:p>
      <w:pPr>
        <w:pStyle w:val="11"/>
        <w:tabs>
          <w:tab w:val="right" w:leader="dot" w:pos="8845"/>
          <w:tab w:val="clear" w:pos="8296"/>
        </w:tabs>
        <w:rPr>
          <w:rFonts w:ascii="仿宋_GB2312" w:hAnsi="仿宋_GB2312" w:eastAsia="仿宋_GB2312" w:cs="仿宋_GB231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"_Toc29105" </w:instrText>
      </w:r>
      <w:r>
        <w:rPr>
          <w:rFonts w:hint="eastAsia" w:ascii="黑体" w:hAnsi="黑体" w:eastAsia="黑体" w:cs="黑体"/>
          <w:sz w:val="32"/>
          <w:szCs w:val="32"/>
        </w:rPr>
        <w:fldChar w:fldCharType="separate"/>
      </w:r>
      <w:r>
        <w:rPr>
          <w:rFonts w:hint="eastAsia" w:ascii="黑体" w:hAnsi="黑体" w:eastAsia="黑体" w:cs="黑体"/>
          <w:sz w:val="32"/>
          <w:szCs w:val="32"/>
        </w:rPr>
        <w:t>第一部分 单位概况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_Toc29105 \h </w:instrText>
      </w:r>
      <w:r>
        <w:rPr>
          <w:rFonts w:hint="eastAsia" w:ascii="黑体" w:hAnsi="黑体" w:eastAsia="黑体" w:cs="黑体"/>
          <w:sz w:val="32"/>
          <w:szCs w:val="32"/>
        </w:rPr>
        <w:fldChar w:fldCharType="separate"/>
      </w:r>
      <w:r>
        <w:rPr>
          <w:rFonts w:hint="eastAsia" w:ascii="黑体" w:hAnsi="黑体" w:eastAsia="黑体" w:cs="黑体"/>
          <w:sz w:val="32"/>
          <w:szCs w:val="32"/>
        </w:rPr>
        <w:t>1</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"_Toc9827" </w:instrText>
      </w:r>
      <w:r>
        <w:fldChar w:fldCharType="separate"/>
      </w:r>
      <w:r>
        <w:rPr>
          <w:rFonts w:hint="eastAsia" w:ascii="仿宋_GB2312" w:hAnsi="仿宋_GB2312" w:eastAsia="仿宋_GB2312" w:cs="仿宋_GB2312"/>
          <w:sz w:val="28"/>
          <w:szCs w:val="28"/>
        </w:rPr>
        <w:t>一、部门职责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_Toc9827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"_Toc5066" </w:instrText>
      </w:r>
      <w:r>
        <w:fldChar w:fldCharType="separate"/>
      </w: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_Toc5066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1"/>
        <w:tabs>
          <w:tab w:val="right" w:leader="dot" w:pos="8845"/>
          <w:tab w:val="clear" w:pos="8296"/>
        </w:tabs>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"_Toc2292" </w:instrText>
      </w:r>
      <w:r>
        <w:rPr>
          <w:rFonts w:hint="eastAsia" w:ascii="黑体" w:hAnsi="黑体" w:eastAsia="黑体" w:cs="黑体"/>
          <w:sz w:val="32"/>
          <w:szCs w:val="32"/>
        </w:rPr>
        <w:fldChar w:fldCharType="separate"/>
      </w:r>
      <w:r>
        <w:rPr>
          <w:rFonts w:hint="eastAsia" w:ascii="黑体" w:hAnsi="黑体" w:eastAsia="黑体" w:cs="黑体"/>
          <w:sz w:val="32"/>
          <w:szCs w:val="32"/>
        </w:rPr>
        <w:t>第二部分 2022年度单位决算情况说明</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_Toc2292 \h </w:instrText>
      </w:r>
      <w:r>
        <w:rPr>
          <w:rFonts w:hint="eastAsia" w:ascii="黑体" w:hAnsi="黑体" w:eastAsia="黑体" w:cs="黑体"/>
          <w:sz w:val="32"/>
          <w:szCs w:val="32"/>
        </w:rPr>
        <w:fldChar w:fldCharType="separate"/>
      </w:r>
      <w:r>
        <w:rPr>
          <w:rFonts w:hint="eastAsia" w:ascii="黑体" w:hAnsi="黑体" w:eastAsia="黑体" w:cs="黑体"/>
          <w:sz w:val="32"/>
          <w:szCs w:val="32"/>
        </w:rPr>
        <w:t>2</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"_Toc3990" </w:instrText>
      </w:r>
      <w: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_Toc3990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"_Toc14466" </w:instrText>
      </w:r>
      <w:r>
        <w:fldChar w:fldCharType="separate"/>
      </w:r>
      <w:r>
        <w:rPr>
          <w:rFonts w:hint="eastAsia" w:ascii="仿宋_GB2312" w:hAnsi="仿宋_GB2312" w:eastAsia="仿宋_GB2312" w:cs="仿宋_GB2312"/>
          <w:sz w:val="28"/>
          <w:szCs w:val="28"/>
        </w:rPr>
        <w:t>二、 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_Toc14466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"_Toc4920" </w:instrText>
      </w:r>
      <w: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_Toc4920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"_Toc7897" </w:instrText>
      </w:r>
      <w: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_Toc7897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"_Toc5147" </w:instrText>
      </w:r>
      <w: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_Toc5147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"_Toc27033" </w:instrText>
      </w:r>
      <w: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_Toc27033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"_Toc4159" </w:instrText>
      </w:r>
      <w:r>
        <w:fldChar w:fldCharType="separate"/>
      </w:r>
      <w:r>
        <w:rPr>
          <w:rFonts w:hint="eastAsia" w:ascii="仿宋_GB2312" w:hAnsi="仿宋_GB2312" w:eastAsia="仿宋_GB2312" w:cs="仿宋_GB2312"/>
          <w:sz w:val="28"/>
          <w:szCs w:val="28"/>
        </w:rPr>
        <w:t>七、财政拨款“三公”经费财政拨款支出决算情况说明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_Toc4159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"_Toc4634" </w:instrText>
      </w:r>
      <w: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_Toc4634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"_Toc10643" </w:instrText>
      </w:r>
      <w:r>
        <w:fldChar w:fldCharType="separate"/>
      </w:r>
      <w:r>
        <w:rPr>
          <w:rFonts w:hint="eastAsia" w:ascii="仿宋_GB2312" w:hAnsi="仿宋_GB2312" w:eastAsia="仿宋_GB2312" w:cs="仿宋_GB2312"/>
          <w:sz w:val="28"/>
          <w:szCs w:val="28"/>
        </w:rPr>
        <w:t>九、 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_Toc10643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"_Toc20669" </w:instrText>
      </w:r>
      <w:r>
        <w:fldChar w:fldCharType="separate"/>
      </w:r>
      <w:r>
        <w:rPr>
          <w:rFonts w:hint="eastAsia" w:ascii="仿宋_GB2312" w:hAnsi="仿宋_GB2312" w:eastAsia="仿宋_GB2312" w:cs="仿宋_GB2312"/>
          <w:sz w:val="28"/>
          <w:szCs w:val="28"/>
        </w:rPr>
        <w:t>十、 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_Toc20669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1"/>
        <w:tabs>
          <w:tab w:val="right" w:leader="dot" w:pos="8845"/>
          <w:tab w:val="clear" w:pos="8296"/>
        </w:tabs>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"_Toc22499" </w:instrText>
      </w:r>
      <w:r>
        <w:rPr>
          <w:rFonts w:hint="eastAsia" w:ascii="黑体" w:hAnsi="黑体" w:eastAsia="黑体" w:cs="黑体"/>
          <w:sz w:val="32"/>
          <w:szCs w:val="32"/>
        </w:rPr>
        <w:fldChar w:fldCharType="separate"/>
      </w:r>
      <w:r>
        <w:rPr>
          <w:rFonts w:hint="eastAsia" w:ascii="黑体" w:hAnsi="黑体" w:eastAsia="黑体" w:cs="黑体"/>
          <w:sz w:val="32"/>
          <w:szCs w:val="32"/>
        </w:rPr>
        <w:t>第三部分 名词解释</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_Toc22499 \h </w:instrText>
      </w:r>
      <w:r>
        <w:rPr>
          <w:rFonts w:hint="eastAsia" w:ascii="黑体" w:hAnsi="黑体" w:eastAsia="黑体" w:cs="黑体"/>
          <w:sz w:val="32"/>
          <w:szCs w:val="32"/>
        </w:rPr>
        <w:fldChar w:fldCharType="separate"/>
      </w:r>
      <w:r>
        <w:rPr>
          <w:rFonts w:hint="eastAsia" w:ascii="黑体" w:hAnsi="黑体" w:eastAsia="黑体" w:cs="黑体"/>
          <w:sz w:val="32"/>
          <w:szCs w:val="32"/>
        </w:rPr>
        <w:t>10</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1"/>
        <w:tabs>
          <w:tab w:val="right" w:leader="dot" w:pos="8845"/>
          <w:tab w:val="clear" w:pos="8296"/>
        </w:tabs>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"_Toc4942" </w:instrText>
      </w:r>
      <w:r>
        <w:rPr>
          <w:rFonts w:hint="eastAsia" w:ascii="黑体" w:hAnsi="黑体" w:eastAsia="黑体" w:cs="黑体"/>
          <w:sz w:val="32"/>
          <w:szCs w:val="32"/>
        </w:rPr>
        <w:fldChar w:fldCharType="separate"/>
      </w:r>
      <w:r>
        <w:rPr>
          <w:rFonts w:hint="eastAsia" w:ascii="黑体" w:hAnsi="黑体" w:eastAsia="黑体" w:cs="黑体"/>
          <w:sz w:val="32"/>
          <w:szCs w:val="32"/>
        </w:rPr>
        <w:t>第四部分 附件</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_Toc4942 \h </w:instrText>
      </w:r>
      <w:r>
        <w:rPr>
          <w:rFonts w:hint="eastAsia" w:ascii="黑体" w:hAnsi="黑体" w:eastAsia="黑体" w:cs="黑体"/>
          <w:sz w:val="32"/>
          <w:szCs w:val="32"/>
        </w:rPr>
        <w:fldChar w:fldCharType="separate"/>
      </w:r>
      <w:r>
        <w:rPr>
          <w:rFonts w:hint="eastAsia" w:ascii="黑体" w:hAnsi="黑体" w:eastAsia="黑体" w:cs="黑体"/>
          <w:sz w:val="32"/>
          <w:szCs w:val="32"/>
        </w:rPr>
        <w:t>12</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1"/>
        <w:tabs>
          <w:tab w:val="right" w:leader="dot" w:pos="8845"/>
          <w:tab w:val="clear" w:pos="8296"/>
        </w:tabs>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"_Toc31627" </w:instrText>
      </w:r>
      <w:r>
        <w:rPr>
          <w:rFonts w:hint="eastAsia" w:ascii="黑体" w:hAnsi="黑体" w:eastAsia="黑体" w:cs="黑体"/>
          <w:sz w:val="32"/>
          <w:szCs w:val="32"/>
        </w:rPr>
        <w:fldChar w:fldCharType="separate"/>
      </w:r>
      <w:r>
        <w:rPr>
          <w:rFonts w:hint="eastAsia" w:ascii="黑体" w:hAnsi="黑体" w:eastAsia="黑体" w:cs="黑体"/>
          <w:sz w:val="32"/>
          <w:szCs w:val="32"/>
        </w:rPr>
        <w:t>第五部分 附表</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_Toc31627 \h </w:instrText>
      </w:r>
      <w:r>
        <w:rPr>
          <w:rFonts w:hint="eastAsia" w:ascii="黑体" w:hAnsi="黑体" w:eastAsia="黑体" w:cs="黑体"/>
          <w:sz w:val="32"/>
          <w:szCs w:val="32"/>
        </w:rPr>
        <w:fldChar w:fldCharType="separate"/>
      </w:r>
      <w:r>
        <w:rPr>
          <w:rFonts w:hint="eastAsia" w:ascii="黑体" w:hAnsi="黑体" w:eastAsia="黑体" w:cs="黑体"/>
          <w:sz w:val="32"/>
          <w:szCs w:val="32"/>
        </w:rPr>
        <w:t>29</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"_Toc21217" </w:instrText>
      </w:r>
      <w:r>
        <w:fldChar w:fldCharType="separate"/>
      </w:r>
      <w:r>
        <w:rPr>
          <w:rFonts w:hint="eastAsia" w:ascii="仿宋_GB2312" w:hAnsi="仿宋_GB2312" w:eastAsia="仿宋_GB2312" w:cs="仿宋_GB2312"/>
          <w:sz w:val="28"/>
          <w:szCs w:val="28"/>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_Toc21217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"_Toc11537" </w:instrText>
      </w:r>
      <w:r>
        <w:fldChar w:fldCharType="separate"/>
      </w:r>
      <w:r>
        <w:rPr>
          <w:rFonts w:hint="eastAsia" w:ascii="仿宋_GB2312" w:hAnsi="仿宋_GB2312" w:eastAsia="仿宋_GB2312" w:cs="仿宋_GB2312"/>
          <w:sz w:val="28"/>
          <w:szCs w:val="28"/>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_Toc11537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"_Toc2887" </w:instrText>
      </w:r>
      <w:r>
        <w:fldChar w:fldCharType="separate"/>
      </w:r>
      <w:r>
        <w:rPr>
          <w:rFonts w:hint="eastAsia" w:ascii="仿宋_GB2312" w:hAnsi="仿宋_GB2312" w:eastAsia="仿宋_GB2312" w:cs="仿宋_GB2312"/>
          <w:sz w:val="28"/>
          <w:szCs w:val="28"/>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_Toc2887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"_Toc16964" </w:instrText>
      </w:r>
      <w:r>
        <w:fldChar w:fldCharType="separate"/>
      </w:r>
      <w:r>
        <w:rPr>
          <w:rFonts w:hint="eastAsia" w:ascii="仿宋_GB2312" w:hAnsi="仿宋_GB2312" w:eastAsia="仿宋_GB2312" w:cs="仿宋_GB2312"/>
          <w:sz w:val="28"/>
          <w:szCs w:val="28"/>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_Toc16964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"_Toc8349" </w:instrText>
      </w:r>
      <w:r>
        <w:fldChar w:fldCharType="separate"/>
      </w:r>
      <w:r>
        <w:rPr>
          <w:rFonts w:hint="eastAsia" w:ascii="仿宋_GB2312" w:hAnsi="仿宋_GB2312" w:eastAsia="仿宋_GB2312" w:cs="仿宋_GB2312"/>
          <w:sz w:val="28"/>
          <w:szCs w:val="28"/>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_Toc8349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"_Toc21270" </w:instrText>
      </w:r>
      <w:r>
        <w:fldChar w:fldCharType="separate"/>
      </w:r>
      <w:r>
        <w:rPr>
          <w:rFonts w:hint="eastAsia" w:ascii="仿宋_GB2312" w:hAnsi="仿宋_GB2312" w:eastAsia="仿宋_GB2312" w:cs="仿宋_GB2312"/>
          <w:sz w:val="28"/>
          <w:szCs w:val="28"/>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_Toc21270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"_Toc3281" </w:instrText>
      </w:r>
      <w:r>
        <w:fldChar w:fldCharType="separate"/>
      </w:r>
      <w:r>
        <w:rPr>
          <w:rFonts w:hint="eastAsia" w:ascii="仿宋_GB2312" w:hAnsi="仿宋_GB2312" w:eastAsia="仿宋_GB2312" w:cs="仿宋_GB2312"/>
          <w:sz w:val="28"/>
          <w:szCs w:val="28"/>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_Toc3281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"_Toc32537" </w:instrText>
      </w:r>
      <w:r>
        <w:fldChar w:fldCharType="separate"/>
      </w:r>
      <w:r>
        <w:rPr>
          <w:rFonts w:hint="eastAsia" w:ascii="仿宋_GB2312" w:hAnsi="仿宋_GB2312" w:eastAsia="仿宋_GB2312" w:cs="仿宋_GB2312"/>
          <w:sz w:val="28"/>
          <w:szCs w:val="28"/>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_Toc32537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"_Toc20744" </w:instrText>
      </w:r>
      <w:r>
        <w:fldChar w:fldCharType="separate"/>
      </w:r>
      <w:r>
        <w:rPr>
          <w:rFonts w:hint="eastAsia" w:ascii="仿宋_GB2312" w:hAnsi="仿宋_GB2312" w:eastAsia="仿宋_GB2312" w:cs="仿宋_GB2312"/>
          <w:sz w:val="28"/>
          <w:szCs w:val="28"/>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_Toc20744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"_Toc2901" </w:instrText>
      </w:r>
      <w:r>
        <w:fldChar w:fldCharType="separate"/>
      </w:r>
      <w:r>
        <w:rPr>
          <w:rFonts w:hint="eastAsia" w:ascii="仿宋_GB2312" w:hAnsi="仿宋_GB2312" w:eastAsia="仿宋_GB2312" w:cs="仿宋_GB2312"/>
          <w:sz w:val="28"/>
          <w:szCs w:val="28"/>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"_Toc3284" </w:instrText>
      </w:r>
      <w:r>
        <w:fldChar w:fldCharType="separate"/>
      </w:r>
      <w:r>
        <w:rPr>
          <w:rFonts w:hint="eastAsia" w:ascii="仿宋_GB2312" w:hAnsi="仿宋_GB2312" w:eastAsia="仿宋_GB2312" w:cs="仿宋_GB2312"/>
          <w:sz w:val="28"/>
          <w:szCs w:val="28"/>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_Toc3284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"_Toc29970" </w:instrText>
      </w:r>
      <w:r>
        <w:fldChar w:fldCharType="separate"/>
      </w:r>
      <w:r>
        <w:rPr>
          <w:rFonts w:hint="eastAsia" w:ascii="仿宋_GB2312" w:hAnsi="仿宋_GB2312" w:eastAsia="仿宋_GB2312" w:cs="仿宋_GB2312"/>
          <w:sz w:val="28"/>
          <w:szCs w:val="28"/>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_Toc29970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845"/>
          <w:tab w:val="clear" w:pos="8296"/>
        </w:tabs>
        <w:rPr>
          <w:rFonts w:ascii="仿宋_GB2312" w:hAnsi="仿宋_GB2312" w:eastAsia="仿宋_GB2312" w:cs="仿宋_GB2312"/>
          <w:sz w:val="28"/>
          <w:szCs w:val="28"/>
        </w:rPr>
      </w:pPr>
      <w:r>
        <w:fldChar w:fldCharType="begin"/>
      </w:r>
      <w:r>
        <w:instrText xml:space="preserve"> HYPERLINK \l "_Toc15446" </w:instrText>
      </w:r>
      <w:r>
        <w:fldChar w:fldCharType="separate"/>
      </w:r>
      <w:r>
        <w:rPr>
          <w:rFonts w:hint="eastAsia" w:ascii="仿宋_GB2312" w:hAnsi="仿宋_GB2312" w:eastAsia="仿宋_GB2312" w:cs="仿宋_GB2312"/>
          <w:sz w:val="28"/>
          <w:szCs w:val="28"/>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_Toc15446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end"/>
      </w:r>
    </w:p>
    <w:p>
      <w:pPr>
        <w:pStyle w:val="31"/>
        <w:tabs>
          <w:tab w:val="right" w:leader="dot" w:pos="8845"/>
        </w:tabs>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p>
    <w:p>
      <w:pPr>
        <w:rPr>
          <w:rFonts w:ascii="仿宋" w:hAnsi="仿宋" w:eastAsia="仿宋" w:cs="仿宋"/>
          <w:sz w:val="28"/>
          <w:szCs w:val="28"/>
        </w:rPr>
      </w:pPr>
      <w:r>
        <w:rPr>
          <w:rFonts w:hint="eastAsia" w:ascii="仿宋" w:hAnsi="仿宋" w:eastAsia="仿宋" w:cs="仿宋"/>
          <w:sz w:val="28"/>
          <w:szCs w:val="28"/>
        </w:rPr>
        <w:fldChar w:fldCharType="end"/>
      </w:r>
    </w:p>
    <w:p>
      <w:pPr>
        <w:spacing w:line="576" w:lineRule="exact"/>
      </w:pPr>
    </w:p>
    <w:p>
      <w:pPr>
        <w:pStyle w:val="6"/>
        <w:spacing w:before="93"/>
        <w:sectPr>
          <w:headerReference r:id="rId3" w:type="default"/>
          <w:footerReference r:id="rId4" w:type="default"/>
          <w:pgSz w:w="11906" w:h="16838"/>
          <w:pgMar w:top="2098" w:right="1474" w:bottom="1984" w:left="1587" w:header="851" w:footer="992" w:gutter="0"/>
          <w:pgNumType w:start="1"/>
          <w:cols w:space="0" w:num="1"/>
          <w:docGrid w:type="lines" w:linePitch="312" w:charSpace="0"/>
        </w:sectPr>
      </w:pPr>
    </w:p>
    <w:p>
      <w:pPr>
        <w:pStyle w:val="6"/>
        <w:spacing w:before="93"/>
      </w:pPr>
    </w:p>
    <w:p>
      <w:pPr>
        <w:pStyle w:val="3"/>
        <w:spacing w:before="0" w:after="0" w:line="576" w:lineRule="exact"/>
        <w:jc w:val="center"/>
        <w:rPr>
          <w:rFonts w:ascii="黑体" w:eastAsia="黑体"/>
          <w:sz w:val="32"/>
          <w:szCs w:val="32"/>
        </w:rPr>
      </w:pPr>
      <w:bookmarkStart w:id="6" w:name="_Toc24886"/>
      <w:bookmarkStart w:id="7" w:name="_Toc26028"/>
      <w:bookmarkStart w:id="8" w:name="_Toc29198"/>
      <w:bookmarkStart w:id="9" w:name="_Toc23179"/>
      <w:bookmarkStart w:id="10" w:name="_Toc15396599"/>
      <w:bookmarkStart w:id="11" w:name="_Toc29105"/>
      <w:bookmarkStart w:id="12" w:name="_Toc15377196"/>
      <w:r>
        <w:rPr>
          <w:rFonts w:hint="eastAsia" w:ascii="黑体" w:hAnsi="黑体" w:eastAsia="黑体"/>
          <w:b w:val="0"/>
        </w:rPr>
        <w:t xml:space="preserve">第一部分 </w:t>
      </w:r>
      <w:r>
        <w:rPr>
          <w:rStyle w:val="27"/>
          <w:rFonts w:hint="eastAsia" w:ascii="黑体" w:hAnsi="黑体" w:eastAsia="黑体"/>
          <w:b w:val="0"/>
          <w:bCs w:val="0"/>
        </w:rPr>
        <w:t>单位概况</w:t>
      </w:r>
      <w:bookmarkEnd w:id="6"/>
      <w:bookmarkEnd w:id="7"/>
      <w:bookmarkEnd w:id="8"/>
      <w:bookmarkEnd w:id="9"/>
      <w:bookmarkEnd w:id="10"/>
      <w:bookmarkEnd w:id="11"/>
      <w:bookmarkEnd w:id="12"/>
    </w:p>
    <w:p>
      <w:pPr>
        <w:pStyle w:val="4"/>
        <w:pageBreakBefore w:val="0"/>
        <w:widowControl w:val="0"/>
        <w:kinsoku/>
        <w:wordWrap/>
        <w:overflowPunct/>
        <w:topLinePunct w:val="0"/>
        <w:autoSpaceDE/>
        <w:autoSpaceDN/>
        <w:bidi w:val="0"/>
        <w:spacing w:before="0" w:after="0" w:line="576" w:lineRule="exact"/>
        <w:textAlignment w:val="auto"/>
        <w:rPr>
          <w:rFonts w:ascii="黑体" w:hAnsi="黑体" w:eastAsia="黑体"/>
          <w:b w:val="0"/>
        </w:rPr>
      </w:pPr>
      <w:bookmarkStart w:id="13" w:name="_Toc15396600"/>
      <w:bookmarkStart w:id="14" w:name="_Toc15377197"/>
    </w:p>
    <w:p>
      <w:pPr>
        <w:pStyle w:val="4"/>
        <w:pageBreakBefore w:val="0"/>
        <w:widowControl w:val="0"/>
        <w:kinsoku/>
        <w:wordWrap/>
        <w:overflowPunct/>
        <w:topLinePunct w:val="0"/>
        <w:autoSpaceDE/>
        <w:autoSpaceDN/>
        <w:bidi w:val="0"/>
        <w:spacing w:before="0" w:after="0" w:line="540" w:lineRule="exact"/>
        <w:ind w:firstLine="640" w:firstLineChars="200"/>
        <w:textAlignment w:val="auto"/>
        <w:rPr>
          <w:rStyle w:val="28"/>
          <w:rFonts w:ascii="仿宋" w:hAnsi="仿宋" w:eastAsia="仿宋"/>
          <w:b w:val="0"/>
          <w:bCs w:val="0"/>
        </w:rPr>
      </w:pPr>
      <w:bookmarkStart w:id="15" w:name="_Toc11406"/>
      <w:bookmarkStart w:id="16" w:name="_Toc20152"/>
      <w:bookmarkStart w:id="17" w:name="_Toc8311"/>
      <w:bookmarkStart w:id="18" w:name="_Toc16754"/>
      <w:bookmarkStart w:id="19" w:name="_Toc9827"/>
      <w:r>
        <w:rPr>
          <w:rFonts w:hint="eastAsia" w:ascii="黑体" w:hAnsi="黑体" w:eastAsia="黑体"/>
          <w:b w:val="0"/>
        </w:rPr>
        <w:t>一、</w:t>
      </w:r>
      <w:bookmarkEnd w:id="13"/>
      <w:bookmarkEnd w:id="14"/>
      <w:bookmarkEnd w:id="15"/>
      <w:bookmarkEnd w:id="16"/>
      <w:bookmarkEnd w:id="17"/>
      <w:bookmarkEnd w:id="18"/>
      <w:bookmarkEnd w:id="19"/>
      <w:r>
        <w:rPr>
          <w:rFonts w:hint="eastAsia" w:ascii="黑体" w:hAnsi="黑体" w:eastAsia="黑体"/>
          <w:b w:val="0"/>
        </w:rPr>
        <w:t>部门职责</w:t>
      </w:r>
    </w:p>
    <w:p>
      <w:pPr>
        <w:pageBreakBefore w:val="0"/>
        <w:widowControl w:val="0"/>
        <w:kinsoku/>
        <w:wordWrap/>
        <w:overflowPunct/>
        <w:topLinePunct w:val="0"/>
        <w:autoSpaceDE/>
        <w:autoSpaceDN/>
        <w:bidi w:val="0"/>
        <w:spacing w:line="54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贯彻执行国家、省、市有关国土空间规划编制管理的方针、政策和法律、法规；承担市国土空间发展战略规划、公共政策、项目和计划的研究；拟订市国土空间规划管理相关技术标准和技术规定。受市人民政府或市自然资源局委托，组织编制、维护市级国土空间总体规划、中心城区详细规划、专项规划及城市设计、相关概念性规划。负责各县（区）国土空间规划、镇（乡）国土空间规划、村规划编制的技术指导工作。协调跨县（区）重大村镇项目规划编制工作。负责历史文化名城保护规划编制相关事务工作，指导名镇、名村和历史文化街区、传统村落规划编制工作。负责组织多部门、多行业技术联审，承办市国土空间规划专业委员会工作，承担市国土空间规划委员会办公室相关事务工作。承担中心城区项目的规划选址、论证、规划设计前期研究和规划设计方案审查。负责市国土空间规划信息数据平台实施维护和国土空间总体规划、详细规划等数据更新工作。完成市委、市政府和市自然资源局交办的其他任务。</w:t>
      </w:r>
    </w:p>
    <w:p>
      <w:pPr>
        <w:pStyle w:val="4"/>
        <w:pageBreakBefore w:val="0"/>
        <w:widowControl w:val="0"/>
        <w:kinsoku/>
        <w:wordWrap/>
        <w:overflowPunct/>
        <w:topLinePunct w:val="0"/>
        <w:autoSpaceDE/>
        <w:autoSpaceDN/>
        <w:bidi w:val="0"/>
        <w:spacing w:before="0" w:after="0" w:line="540" w:lineRule="exact"/>
        <w:ind w:firstLine="640" w:firstLineChars="200"/>
        <w:textAlignment w:val="auto"/>
        <w:rPr>
          <w:rFonts w:ascii="黑体" w:hAnsi="黑体" w:eastAsia="黑体"/>
          <w:b w:val="0"/>
        </w:rPr>
      </w:pPr>
      <w:bookmarkStart w:id="20" w:name="_Toc15396601"/>
      <w:bookmarkStart w:id="21" w:name="_Toc24746"/>
      <w:bookmarkStart w:id="22" w:name="_Toc1578"/>
      <w:bookmarkStart w:id="23" w:name="_Toc26608"/>
      <w:bookmarkStart w:id="24" w:name="_Toc15858"/>
      <w:bookmarkStart w:id="25" w:name="_Toc5066"/>
      <w:bookmarkStart w:id="26" w:name="_Toc15377200"/>
      <w:r>
        <w:rPr>
          <w:rFonts w:hint="eastAsia" w:ascii="黑体" w:hAnsi="黑体" w:eastAsia="黑体"/>
          <w:b w:val="0"/>
        </w:rPr>
        <w:t>二、机构设置</w:t>
      </w:r>
      <w:bookmarkEnd w:id="20"/>
      <w:bookmarkEnd w:id="21"/>
      <w:bookmarkEnd w:id="22"/>
      <w:bookmarkEnd w:id="23"/>
      <w:bookmarkEnd w:id="24"/>
      <w:bookmarkEnd w:id="25"/>
      <w:bookmarkEnd w:id="26"/>
    </w:p>
    <w:p>
      <w:pPr>
        <w:pStyle w:val="6"/>
        <w:pageBreakBefore w:val="0"/>
        <w:widowControl w:val="0"/>
        <w:kinsoku/>
        <w:wordWrap/>
        <w:overflowPunct/>
        <w:topLinePunct w:val="0"/>
        <w:autoSpaceDE/>
        <w:autoSpaceDN/>
        <w:bidi w:val="0"/>
        <w:adjustRightInd w:val="0"/>
        <w:snapToGrid w:val="0"/>
        <w:spacing w:beforeLines="0" w:line="540" w:lineRule="exact"/>
        <w:ind w:firstLine="640" w:firstLineChars="200"/>
        <w:textAlignment w:val="auto"/>
        <w:outlineLvl w:val="0"/>
        <w:rPr>
          <w:rFonts w:hint="eastAsia" w:ascii="仿宋_GB2312" w:hAnsi="仿宋_GB2312" w:eastAsia="仿宋_GB2312" w:cs="仿宋_GB2312"/>
          <w:kern w:val="2"/>
          <w:sz w:val="32"/>
          <w:szCs w:val="32"/>
          <w:lang w:val="en-US" w:eastAsia="zh-CN" w:bidi="ar-SA"/>
        </w:rPr>
      </w:pPr>
      <w:bookmarkStart w:id="27" w:name="_Toc4891"/>
      <w:bookmarkStart w:id="28" w:name="_Toc73"/>
      <w:bookmarkStart w:id="29" w:name="_Toc20352"/>
      <w:bookmarkStart w:id="30" w:name="_Toc28104"/>
      <w:bookmarkStart w:id="31" w:name="_Toc27153"/>
      <w:r>
        <w:rPr>
          <w:rFonts w:hint="eastAsia" w:ascii="仿宋_GB2312" w:hAnsi="仿宋_GB2312" w:eastAsia="仿宋_GB2312" w:cs="仿宋_GB2312"/>
          <w:kern w:val="2"/>
          <w:sz w:val="32"/>
          <w:szCs w:val="32"/>
          <w:lang w:val="en-US" w:eastAsia="zh-CN" w:bidi="ar-SA"/>
        </w:rPr>
        <w:t>广元市国土空间规划编制研究中心属于财政一级预算单位，内设8个科室在编人数38人。</w:t>
      </w:r>
      <w:bookmarkEnd w:id="27"/>
      <w:bookmarkEnd w:id="28"/>
      <w:bookmarkEnd w:id="29"/>
      <w:bookmarkEnd w:id="30"/>
      <w:bookmarkEnd w:id="31"/>
      <w:r>
        <w:rPr>
          <w:rFonts w:hint="eastAsia" w:ascii="仿宋_GB2312" w:hAnsi="仿宋_GB2312" w:eastAsia="仿宋_GB2312" w:cs="仿宋_GB2312"/>
          <w:kern w:val="2"/>
          <w:sz w:val="32"/>
          <w:szCs w:val="32"/>
          <w:lang w:val="en-US" w:eastAsia="zh-CN" w:bidi="ar-SA"/>
        </w:rPr>
        <w:br w:type="page"/>
      </w:r>
    </w:p>
    <w:p>
      <w:pPr>
        <w:pStyle w:val="3"/>
        <w:spacing w:before="0" w:after="0" w:line="576" w:lineRule="exact"/>
        <w:jc w:val="center"/>
        <w:rPr>
          <w:rStyle w:val="27"/>
          <w:rFonts w:ascii="黑体" w:hAnsi="黑体" w:eastAsia="黑体"/>
          <w:b w:val="0"/>
          <w:bCs/>
        </w:rPr>
      </w:pPr>
      <w:bookmarkStart w:id="32" w:name="_Toc2292"/>
      <w:bookmarkStart w:id="33" w:name="_Toc15377204"/>
      <w:bookmarkStart w:id="34" w:name="_Toc15396602"/>
      <w:bookmarkStart w:id="35" w:name="_Toc22090"/>
      <w:bookmarkStart w:id="36" w:name="_Toc1341"/>
      <w:bookmarkStart w:id="37" w:name="_Toc25790"/>
      <w:bookmarkStart w:id="38" w:name="_Toc3228"/>
      <w:r>
        <w:rPr>
          <w:rFonts w:hint="eastAsia" w:ascii="黑体" w:hAnsi="黑体" w:eastAsia="黑体"/>
          <w:b w:val="0"/>
        </w:rPr>
        <w:t>第二部分 2022年度</w:t>
      </w:r>
      <w:r>
        <w:rPr>
          <w:rStyle w:val="27"/>
          <w:rFonts w:hint="eastAsia" w:ascii="黑体" w:hAnsi="黑体" w:eastAsia="黑体"/>
          <w:b w:val="0"/>
          <w:bCs/>
        </w:rPr>
        <w:t>单位决算情况说明</w:t>
      </w:r>
      <w:bookmarkEnd w:id="32"/>
      <w:bookmarkEnd w:id="33"/>
      <w:bookmarkEnd w:id="34"/>
      <w:bookmarkEnd w:id="35"/>
      <w:bookmarkEnd w:id="36"/>
      <w:bookmarkEnd w:id="37"/>
      <w:bookmarkEnd w:id="38"/>
    </w:p>
    <w:p>
      <w:pPr>
        <w:spacing w:line="576" w:lineRule="exact"/>
      </w:pPr>
    </w:p>
    <w:p>
      <w:pPr>
        <w:pStyle w:val="18"/>
        <w:spacing w:line="576" w:lineRule="exact"/>
        <w:ind w:firstLine="640"/>
        <w:outlineLvl w:val="1"/>
        <w:rPr>
          <w:rStyle w:val="28"/>
          <w:rFonts w:ascii="黑体" w:hAnsi="黑体" w:eastAsia="黑体"/>
          <w:b w:val="0"/>
        </w:rPr>
      </w:pPr>
      <w:bookmarkStart w:id="39" w:name="_Toc15396603"/>
      <w:bookmarkStart w:id="40" w:name="_Toc28569"/>
      <w:bookmarkStart w:id="41" w:name="_Toc3990"/>
      <w:bookmarkStart w:id="42" w:name="_Toc22503"/>
      <w:bookmarkStart w:id="43" w:name="_Toc15377205"/>
      <w:bookmarkStart w:id="44" w:name="_Toc20450"/>
      <w:bookmarkStart w:id="45" w:name="_Toc10931"/>
      <w:r>
        <w:rPr>
          <w:rFonts w:hint="eastAsia" w:ascii="黑体" w:hAnsi="黑体" w:eastAsia="黑体"/>
          <w:sz w:val="32"/>
          <w:szCs w:val="32"/>
        </w:rPr>
        <w:t>一、收</w:t>
      </w:r>
      <w:r>
        <w:rPr>
          <w:rStyle w:val="28"/>
          <w:rFonts w:hint="eastAsia" w:ascii="黑体" w:hAnsi="黑体" w:eastAsia="黑体"/>
          <w:b w:val="0"/>
        </w:rPr>
        <w:t>入支出决算总体情况说明</w:t>
      </w:r>
      <w:bookmarkEnd w:id="39"/>
      <w:bookmarkEnd w:id="40"/>
      <w:bookmarkEnd w:id="41"/>
      <w:bookmarkEnd w:id="42"/>
      <w:bookmarkEnd w:id="43"/>
      <w:bookmarkEnd w:id="44"/>
      <w:bookmarkEnd w:id="45"/>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2022年度收、支总计1,094.86万元。与2021年相比，收、支总计各减少</w:t>
      </w:r>
      <w:r>
        <w:rPr>
          <w:rFonts w:hint="eastAsia" w:ascii="仿宋_GB2312" w:hAnsi="仿宋_GB2312" w:eastAsia="仿宋_GB2312"/>
          <w:color w:val="000000"/>
          <w:sz w:val="32"/>
        </w:rPr>
        <w:t>46.48</w:t>
      </w:r>
      <w:r>
        <w:rPr>
          <w:rFonts w:hint="eastAsia" w:ascii="仿宋_GB2312" w:hAnsi="仿宋_GB2312" w:eastAsia="仿宋_GB2312"/>
          <w:color w:val="000000"/>
          <w:sz w:val="32"/>
          <w:lang w:val="zh-CN"/>
        </w:rPr>
        <w:t>万元，下降</w:t>
      </w:r>
      <w:r>
        <w:rPr>
          <w:rFonts w:hint="eastAsia" w:ascii="仿宋_GB2312" w:hAnsi="仿宋_GB2312" w:eastAsia="仿宋_GB2312"/>
          <w:color w:val="000000"/>
          <w:sz w:val="32"/>
        </w:rPr>
        <w:t>4.07</w:t>
      </w:r>
      <w:r>
        <w:rPr>
          <w:rFonts w:hint="eastAsia" w:ascii="仿宋_GB2312" w:hAnsi="仿宋_GB2312" w:eastAsia="仿宋_GB2312"/>
          <w:color w:val="000000"/>
          <w:sz w:val="32"/>
          <w:lang w:val="zh-CN"/>
        </w:rPr>
        <w:t>%。主要变动原因是</w:t>
      </w:r>
      <w:r>
        <w:rPr>
          <w:rFonts w:hint="eastAsia" w:ascii="仿宋_GB2312" w:hAnsi="仿宋_GB2312" w:eastAsia="仿宋_GB2312"/>
          <w:color w:val="000000"/>
          <w:sz w:val="32"/>
        </w:rPr>
        <w:t>财政结转资金减少</w:t>
      </w:r>
      <w:r>
        <w:rPr>
          <w:rFonts w:hint="eastAsia" w:ascii="仿宋_GB2312" w:hAnsi="仿宋_GB2312" w:eastAsia="仿宋_GB2312"/>
          <w:color w:val="000000"/>
          <w:sz w:val="32"/>
          <w:lang w:val="zh-CN"/>
        </w:rPr>
        <w:t>。</w:t>
      </w:r>
    </w:p>
    <w:p>
      <w:pPr>
        <w:pStyle w:val="6"/>
        <w:spacing w:before="93"/>
        <w:jc w:val="center"/>
        <w:rPr>
          <w:rFonts w:hAnsi="仿宋_GB2312" w:cs="仿宋_GB2312"/>
          <w:sz w:val="32"/>
          <w:szCs w:val="32"/>
        </w:rPr>
      </w:pPr>
      <w:r>
        <w:rPr>
          <w:rFonts w:hint="eastAsia" w:hAnsi="仿宋_GB2312" w:cs="仿宋_GB2312"/>
          <w:sz w:val="32"/>
          <w:szCs w:val="32"/>
        </w:rPr>
        <w:drawing>
          <wp:inline distT="0" distB="0" distL="114300" distR="114300">
            <wp:extent cx="4716780" cy="2933700"/>
            <wp:effectExtent l="0" t="0" r="762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9"/>
                    <a:stretch>
                      <a:fillRect/>
                    </a:stretch>
                  </pic:blipFill>
                  <pic:spPr>
                    <a:xfrm>
                      <a:off x="0" y="0"/>
                      <a:ext cx="4716780" cy="2933700"/>
                    </a:xfrm>
                    <a:prstGeom prst="rect">
                      <a:avLst/>
                    </a:prstGeom>
                    <a:noFill/>
                    <a:ln>
                      <a:noFill/>
                    </a:ln>
                  </pic:spPr>
                </pic:pic>
              </a:graphicData>
            </a:graphic>
          </wp:inline>
        </w:drawing>
      </w:r>
    </w:p>
    <w:p>
      <w:pPr>
        <w:spacing w:line="576" w:lineRule="exact"/>
        <w:jc w:val="center"/>
        <w:rPr>
          <w:rFonts w:ascii="仿宋_GB2312" w:eastAsia="仿宋_GB2312"/>
          <w:sz w:val="32"/>
          <w:szCs w:val="32"/>
        </w:rPr>
      </w:pPr>
      <w:r>
        <w:rPr>
          <w:rFonts w:hint="eastAsia" w:ascii="仿宋_GB2312" w:hAnsi="仿宋_GB2312" w:eastAsia="仿宋_GB2312" w:cs="仿宋_GB2312"/>
          <w:sz w:val="32"/>
          <w:szCs w:val="32"/>
        </w:rPr>
        <w:t>图1：收、支决算总计变动情况图</w:t>
      </w:r>
    </w:p>
    <w:p>
      <w:pPr>
        <w:pStyle w:val="18"/>
        <w:numPr>
          <w:ilvl w:val="0"/>
          <w:numId w:val="1"/>
        </w:numPr>
        <w:spacing w:line="576" w:lineRule="exact"/>
        <w:ind w:firstLine="640"/>
        <w:outlineLvl w:val="1"/>
        <w:rPr>
          <w:rStyle w:val="28"/>
          <w:rFonts w:ascii="黑体" w:hAnsi="黑体" w:eastAsia="黑体"/>
          <w:b w:val="0"/>
        </w:rPr>
      </w:pPr>
      <w:bookmarkStart w:id="46" w:name="_Toc22630"/>
      <w:bookmarkStart w:id="47" w:name="_Toc15396604"/>
      <w:bookmarkStart w:id="48" w:name="_Toc14466"/>
      <w:bookmarkStart w:id="49" w:name="_Toc15377206"/>
      <w:bookmarkStart w:id="50" w:name="_Toc5295"/>
      <w:bookmarkStart w:id="51" w:name="_Toc4338"/>
      <w:bookmarkStart w:id="52" w:name="_Toc14560"/>
      <w:r>
        <w:rPr>
          <w:rStyle w:val="28"/>
          <w:rFonts w:hint="eastAsia" w:ascii="黑体" w:hAnsi="黑体" w:eastAsia="黑体"/>
          <w:b w:val="0"/>
        </w:rPr>
        <w:t>收入决算情况说明</w:t>
      </w:r>
      <w:bookmarkEnd w:id="46"/>
      <w:bookmarkEnd w:id="47"/>
      <w:bookmarkEnd w:id="48"/>
      <w:bookmarkEnd w:id="49"/>
      <w:bookmarkEnd w:id="50"/>
      <w:bookmarkEnd w:id="51"/>
      <w:bookmarkEnd w:id="52"/>
    </w:p>
    <w:p>
      <w:pPr>
        <w:pStyle w:val="6"/>
        <w:spacing w:before="93"/>
        <w:ind w:firstLine="640" w:firstLineChars="200"/>
        <w:jc w:val="left"/>
        <w:rPr>
          <w:rFonts w:hAnsi="仿宋_GB2312"/>
          <w:color w:val="000000"/>
          <w:kern w:val="2"/>
          <w:sz w:val="32"/>
          <w:lang w:val="zh-CN"/>
        </w:rPr>
      </w:pPr>
      <w:r>
        <w:rPr>
          <w:rFonts w:hint="eastAsia" w:hAnsi="仿宋_GB2312"/>
          <w:color w:val="000000"/>
          <w:kern w:val="2"/>
          <w:sz w:val="32"/>
          <w:lang w:val="zh-CN"/>
        </w:rPr>
        <w:t>2022年本年收入合计911.52万元，其中：一般公共预算财政拨款收入732.24万元，占80.3%；政府性基金预算财政拨款收入179.22万元，占19.7%；其他收入0.06万元，占0%。</w:t>
      </w:r>
    </w:p>
    <w:p>
      <w:pPr>
        <w:pStyle w:val="6"/>
        <w:spacing w:before="93"/>
        <w:ind w:firstLine="640" w:firstLineChars="200"/>
        <w:jc w:val="left"/>
        <w:rPr>
          <w:rFonts w:hAnsi="仿宋_GB2312"/>
          <w:color w:val="000000"/>
          <w:kern w:val="2"/>
          <w:sz w:val="32"/>
          <w:lang w:val="zh-CN"/>
        </w:rPr>
      </w:pPr>
      <w:r>
        <w:rPr>
          <w:rFonts w:hint="eastAsia" w:hAnsi="仿宋_GB2312"/>
          <w:color w:val="000000"/>
          <w:kern w:val="2"/>
          <w:sz w:val="32"/>
        </w:rPr>
        <w:drawing>
          <wp:inline distT="0" distB="0" distL="114300" distR="114300">
            <wp:extent cx="4556760" cy="2506980"/>
            <wp:effectExtent l="0" t="0" r="15240" b="7620"/>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10"/>
                    <a:stretch>
                      <a:fillRect/>
                    </a:stretch>
                  </pic:blipFill>
                  <pic:spPr>
                    <a:xfrm>
                      <a:off x="0" y="0"/>
                      <a:ext cx="4556760" cy="2506980"/>
                    </a:xfrm>
                    <a:prstGeom prst="rect">
                      <a:avLst/>
                    </a:prstGeom>
                    <a:noFill/>
                    <a:ln>
                      <a:noFill/>
                    </a:ln>
                  </pic:spPr>
                </pic:pic>
              </a:graphicData>
            </a:graphic>
          </wp:inline>
        </w:drawing>
      </w:r>
    </w:p>
    <w:p>
      <w:pPr>
        <w:spacing w:line="600" w:lineRule="exact"/>
        <w:jc w:val="center"/>
        <w:rPr>
          <w:rFonts w:ascii="仿宋_GB2312" w:eastAsia="仿宋_GB2312"/>
          <w:sz w:val="32"/>
          <w:szCs w:val="32"/>
        </w:rPr>
      </w:pPr>
      <w:r>
        <w:rPr>
          <w:rFonts w:hint="eastAsia" w:ascii="仿宋" w:hAnsi="仿宋" w:eastAsia="仿宋"/>
          <w:sz w:val="32"/>
          <w:szCs w:val="32"/>
        </w:rPr>
        <w:t>图2：收入决算结构图</w:t>
      </w:r>
    </w:p>
    <w:p>
      <w:pPr>
        <w:pStyle w:val="18"/>
        <w:spacing w:line="576" w:lineRule="exact"/>
        <w:ind w:firstLine="640"/>
        <w:outlineLvl w:val="1"/>
        <w:rPr>
          <w:rStyle w:val="28"/>
          <w:rFonts w:ascii="黑体" w:hAnsi="黑体" w:eastAsia="黑体"/>
          <w:b w:val="0"/>
        </w:rPr>
      </w:pPr>
      <w:bookmarkStart w:id="53" w:name="_Toc17566"/>
      <w:bookmarkStart w:id="54" w:name="_Toc22528"/>
      <w:bookmarkStart w:id="55" w:name="_Toc32515"/>
      <w:bookmarkStart w:id="56" w:name="_Toc4920"/>
      <w:bookmarkStart w:id="57" w:name="_Toc15377207"/>
      <w:bookmarkStart w:id="58" w:name="_Toc15396605"/>
      <w:bookmarkStart w:id="59" w:name="_Toc27316"/>
      <w:r>
        <w:rPr>
          <w:rStyle w:val="28"/>
          <w:rFonts w:hint="eastAsia" w:ascii="黑体" w:hAnsi="黑体" w:eastAsia="黑体"/>
          <w:b w:val="0"/>
        </w:rPr>
        <w:t>三、支出决算情况说明</w:t>
      </w:r>
      <w:bookmarkEnd w:id="53"/>
      <w:bookmarkEnd w:id="54"/>
      <w:bookmarkEnd w:id="55"/>
      <w:bookmarkEnd w:id="56"/>
      <w:bookmarkEnd w:id="57"/>
      <w:bookmarkEnd w:id="58"/>
      <w:bookmarkEnd w:id="59"/>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2022年本年支出合计1,078.82万元，其中：基本支出734.81万元，占68.1%；项目支出344.01万元，占31.9%。</w:t>
      </w:r>
    </w:p>
    <w:p>
      <w:pPr>
        <w:spacing w:line="576" w:lineRule="exact"/>
        <w:ind w:firstLine="640" w:firstLineChars="200"/>
        <w:outlineLvl w:val="1"/>
        <w:rPr>
          <w:rFonts w:ascii="仿宋_GB2312" w:hAnsi="仿宋_GB2312" w:eastAsia="仿宋_GB2312" w:cs="仿宋_GB2312"/>
          <w:sz w:val="32"/>
          <w:szCs w:val="32"/>
          <w:shd w:val="pct10" w:color="auto" w:fill="FFFFFF"/>
        </w:rPr>
      </w:pPr>
    </w:p>
    <w:p>
      <w:pPr>
        <w:pStyle w:val="6"/>
        <w:spacing w:before="93"/>
        <w:jc w:val="center"/>
      </w:pPr>
      <w:r>
        <w:rPr>
          <w:rFonts w:hint="eastAsia"/>
        </w:rPr>
        <w:drawing>
          <wp:inline distT="0" distB="0" distL="114300" distR="114300">
            <wp:extent cx="4922520" cy="2659380"/>
            <wp:effectExtent l="0" t="0" r="11430" b="7620"/>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11"/>
                    <a:stretch>
                      <a:fillRect/>
                    </a:stretch>
                  </pic:blipFill>
                  <pic:spPr>
                    <a:xfrm>
                      <a:off x="0" y="0"/>
                      <a:ext cx="4922520" cy="2659380"/>
                    </a:xfrm>
                    <a:prstGeom prst="rect">
                      <a:avLst/>
                    </a:prstGeom>
                    <a:noFill/>
                    <a:ln>
                      <a:noFill/>
                    </a:ln>
                  </pic:spPr>
                </pic:pic>
              </a:graphicData>
            </a:graphic>
          </wp:inline>
        </w:drawing>
      </w:r>
    </w:p>
    <w:p>
      <w:pPr>
        <w:spacing w:line="57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w:t>
      </w:r>
    </w:p>
    <w:p>
      <w:pPr>
        <w:spacing w:line="576" w:lineRule="exact"/>
        <w:ind w:firstLine="640" w:firstLineChars="200"/>
        <w:rPr>
          <w:rFonts w:ascii="仿宋_GB2312" w:eastAsia="仿宋_GB2312"/>
          <w:sz w:val="32"/>
          <w:szCs w:val="32"/>
        </w:rPr>
      </w:pPr>
    </w:p>
    <w:p>
      <w:pPr>
        <w:spacing w:line="576" w:lineRule="exact"/>
        <w:ind w:firstLine="640" w:firstLineChars="200"/>
        <w:outlineLvl w:val="1"/>
        <w:rPr>
          <w:rStyle w:val="28"/>
          <w:rFonts w:ascii="黑体" w:hAnsi="黑体" w:eastAsia="黑体"/>
          <w:b w:val="0"/>
        </w:rPr>
      </w:pPr>
      <w:bookmarkStart w:id="60" w:name="_Toc15377208"/>
      <w:bookmarkStart w:id="61" w:name="_Toc23076"/>
      <w:bookmarkStart w:id="62" w:name="_Toc22088"/>
      <w:bookmarkStart w:id="63" w:name="_Toc1428"/>
      <w:bookmarkStart w:id="64" w:name="_Toc15396606"/>
      <w:bookmarkStart w:id="65" w:name="_Toc31232"/>
      <w:bookmarkStart w:id="66" w:name="_Toc7897"/>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60"/>
      <w:bookmarkEnd w:id="61"/>
      <w:bookmarkEnd w:id="62"/>
      <w:bookmarkEnd w:id="63"/>
      <w:bookmarkEnd w:id="64"/>
      <w:bookmarkEnd w:id="65"/>
      <w:bookmarkEnd w:id="66"/>
    </w:p>
    <w:p>
      <w:pPr>
        <w:spacing w:line="576" w:lineRule="exact"/>
        <w:ind w:firstLine="640"/>
        <w:rPr>
          <w:rFonts w:ascii="仿宋_GB2312" w:hAnsi="仿宋_GB2312" w:eastAsia="仿宋_GB2312" w:cs="仿宋_GB2312"/>
          <w:sz w:val="32"/>
          <w:szCs w:val="32"/>
        </w:rPr>
      </w:pPr>
      <w:r>
        <w:rPr>
          <w:rFonts w:hint="eastAsia" w:ascii="仿宋_GB2312" w:hAnsi="仿宋_GB2312" w:eastAsia="仿宋_GB2312"/>
          <w:color w:val="000000"/>
          <w:sz w:val="32"/>
          <w:lang w:val="zh-CN"/>
        </w:rPr>
        <w:t>2022年财政拨款收、支总计1,058.36万元。与2021年相比，财政拨款收、支总计各增加</w:t>
      </w:r>
      <w:r>
        <w:rPr>
          <w:rFonts w:hint="eastAsia" w:ascii="仿宋_GB2312" w:hAnsi="仿宋_GB2312" w:eastAsia="仿宋_GB2312"/>
          <w:color w:val="000000"/>
          <w:sz w:val="32"/>
        </w:rPr>
        <w:t>390.35</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58.44</w:t>
      </w:r>
      <w:r>
        <w:rPr>
          <w:rFonts w:hint="eastAsia" w:ascii="仿宋_GB2312" w:hAnsi="仿宋_GB2312" w:eastAsia="仿宋_GB2312"/>
          <w:color w:val="000000"/>
          <w:sz w:val="32"/>
          <w:lang w:val="zh-CN"/>
        </w:rPr>
        <w:t>%。主要变动原因是</w:t>
      </w:r>
      <w:r>
        <w:rPr>
          <w:rFonts w:hint="eastAsia" w:ascii="仿宋_GB2312" w:hAnsi="仿宋_GB2312" w:eastAsia="仿宋_GB2312"/>
          <w:color w:val="000000"/>
          <w:sz w:val="32"/>
        </w:rPr>
        <w:t>项目资金增加</w:t>
      </w:r>
      <w:r>
        <w:rPr>
          <w:rFonts w:hint="eastAsia" w:ascii="仿宋_GB2312" w:hAnsi="仿宋_GB2312" w:eastAsia="仿宋_GB2312"/>
          <w:color w:val="000000"/>
          <w:sz w:val="32"/>
          <w:lang w:val="zh-CN"/>
        </w:rPr>
        <w:t>。</w:t>
      </w:r>
      <w:r>
        <w:rPr>
          <w:rFonts w:hint="eastAsia" w:ascii="仿宋_GB2312" w:hAnsi="仿宋_GB2312" w:eastAsia="仿宋_GB2312" w:cs="仿宋_GB2312"/>
          <w:sz w:val="32"/>
          <w:szCs w:val="32"/>
        </w:rPr>
        <w:t>主要变动原因一是2022年在职人数较2021年增加2人；二是2022年财政拨入规划设计专项资金。</w:t>
      </w:r>
    </w:p>
    <w:p>
      <w:pPr>
        <w:pStyle w:val="6"/>
        <w:spacing w:before="93"/>
        <w:jc w:val="center"/>
        <w:rPr>
          <w:rFonts w:ascii="仿宋" w:hAnsi="仿宋" w:eastAsia="仿宋"/>
          <w:sz w:val="32"/>
          <w:szCs w:val="32"/>
        </w:rPr>
      </w:pPr>
      <w:r>
        <w:rPr>
          <w:rFonts w:hint="eastAsia" w:ascii="仿宋" w:hAnsi="仿宋" w:eastAsia="仿宋"/>
          <w:sz w:val="32"/>
          <w:szCs w:val="32"/>
        </w:rPr>
        <w:drawing>
          <wp:inline distT="0" distB="0" distL="114300" distR="114300">
            <wp:extent cx="5234940" cy="2590800"/>
            <wp:effectExtent l="0" t="0" r="3810" b="0"/>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12"/>
                    <a:stretch>
                      <a:fillRect/>
                    </a:stretch>
                  </pic:blipFill>
                  <pic:spPr>
                    <a:xfrm>
                      <a:off x="0" y="0"/>
                      <a:ext cx="5234940" cy="2590800"/>
                    </a:xfrm>
                    <a:prstGeom prst="rect">
                      <a:avLst/>
                    </a:prstGeom>
                    <a:noFill/>
                    <a:ln>
                      <a:noFill/>
                    </a:ln>
                  </pic:spPr>
                </pic:pic>
              </a:graphicData>
            </a:graphic>
          </wp:inline>
        </w:drawing>
      </w:r>
    </w:p>
    <w:p>
      <w:pPr>
        <w:spacing w:line="576" w:lineRule="exact"/>
        <w:jc w:val="center"/>
        <w:rPr>
          <w:rFonts w:ascii="仿宋" w:hAnsi="仿宋" w:eastAsia="仿宋"/>
          <w:b/>
          <w:sz w:val="32"/>
          <w:szCs w:val="32"/>
        </w:rPr>
      </w:pPr>
      <w:r>
        <w:rPr>
          <w:rFonts w:hint="eastAsia" w:ascii="仿宋" w:hAnsi="仿宋" w:eastAsia="仿宋"/>
          <w:sz w:val="32"/>
          <w:szCs w:val="32"/>
        </w:rPr>
        <w:t>图4：财政拨款收、支决算总计变动情况</w:t>
      </w:r>
    </w:p>
    <w:p>
      <w:pPr>
        <w:spacing w:line="576" w:lineRule="exact"/>
        <w:ind w:firstLine="640" w:firstLineChars="200"/>
        <w:outlineLvl w:val="1"/>
        <w:rPr>
          <w:rStyle w:val="28"/>
          <w:rFonts w:ascii="黑体" w:hAnsi="黑体" w:eastAsia="黑体"/>
          <w:b w:val="0"/>
        </w:rPr>
      </w:pPr>
      <w:bookmarkStart w:id="67" w:name="_Toc15186"/>
      <w:bookmarkStart w:id="68" w:name="_Toc23879"/>
      <w:bookmarkStart w:id="69" w:name="_Toc15396607"/>
      <w:bookmarkStart w:id="70" w:name="_Toc15377209"/>
      <w:bookmarkStart w:id="71" w:name="_Toc5147"/>
      <w:bookmarkStart w:id="72" w:name="_Toc10163"/>
      <w:bookmarkStart w:id="73" w:name="_Toc21886"/>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67"/>
      <w:bookmarkEnd w:id="68"/>
      <w:bookmarkEnd w:id="69"/>
      <w:bookmarkEnd w:id="70"/>
      <w:bookmarkEnd w:id="71"/>
      <w:bookmarkEnd w:id="72"/>
      <w:bookmarkEnd w:id="73"/>
    </w:p>
    <w:p>
      <w:pPr>
        <w:spacing w:line="576" w:lineRule="exact"/>
        <w:ind w:firstLine="640" w:firstLineChars="200"/>
        <w:outlineLvl w:val="2"/>
        <w:rPr>
          <w:rFonts w:hint="eastAsia" w:ascii="楷体_GB2312" w:hAnsi="楷体_GB2312" w:eastAsia="楷体_GB2312" w:cs="楷体_GB2312"/>
          <w:b w:val="0"/>
          <w:bCs/>
          <w:sz w:val="32"/>
          <w:szCs w:val="32"/>
        </w:rPr>
      </w:pPr>
      <w:bookmarkStart w:id="74" w:name="_Toc15377210"/>
      <w:r>
        <w:rPr>
          <w:rFonts w:hint="eastAsia" w:ascii="楷体_GB2312" w:hAnsi="楷体_GB2312" w:eastAsia="楷体_GB2312" w:cs="楷体_GB2312"/>
          <w:b w:val="0"/>
          <w:bCs/>
          <w:sz w:val="32"/>
          <w:szCs w:val="32"/>
        </w:rPr>
        <w:t>（一）一般公共预算财政拨款支出决算总体情况</w:t>
      </w:r>
      <w:bookmarkEnd w:id="74"/>
      <w:r>
        <w:rPr>
          <w:rFonts w:hint="eastAsia" w:ascii="楷体_GB2312" w:hAnsi="楷体_GB2312" w:eastAsia="楷体_GB2312" w:cs="楷体_GB2312"/>
          <w:b w:val="0"/>
          <w:bCs/>
          <w:sz w:val="32"/>
          <w:szCs w:val="32"/>
        </w:rPr>
        <w:t>。</w:t>
      </w:r>
    </w:p>
    <w:p>
      <w:pPr>
        <w:spacing w:line="576" w:lineRule="exact"/>
        <w:ind w:firstLine="640"/>
        <w:rPr>
          <w:rFonts w:ascii="仿宋_GB2312" w:hAnsi="仿宋_GB2312" w:eastAsia="仿宋_GB2312" w:cs="仿宋_GB2312"/>
          <w:sz w:val="32"/>
          <w:szCs w:val="32"/>
        </w:rPr>
      </w:pPr>
      <w:r>
        <w:rPr>
          <w:rFonts w:hint="eastAsia" w:ascii="仿宋_GB2312" w:hAnsi="仿宋_GB2312" w:eastAsia="仿宋_GB2312"/>
          <w:color w:val="000000"/>
          <w:sz w:val="32"/>
          <w:lang w:val="zh-CN"/>
        </w:rPr>
        <w:t>2022年一般公共预算财政拨款支出734.75万元，占本年支出合计的68.1%。与2021年相比，一般公共预算财政拨款支出增加</w:t>
      </w:r>
      <w:r>
        <w:rPr>
          <w:rFonts w:hint="eastAsia" w:ascii="仿宋_GB2312" w:hAnsi="仿宋_GB2312" w:eastAsia="仿宋_GB2312"/>
          <w:color w:val="000000"/>
          <w:sz w:val="32"/>
        </w:rPr>
        <w:t>229.25</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45.35</w:t>
      </w:r>
      <w:r>
        <w:rPr>
          <w:rFonts w:hint="eastAsia" w:ascii="仿宋_GB2312" w:hAnsi="仿宋_GB2312" w:eastAsia="仿宋_GB2312"/>
          <w:color w:val="000000"/>
          <w:sz w:val="32"/>
          <w:lang w:val="zh-CN"/>
        </w:rPr>
        <w:t>%。</w:t>
      </w:r>
      <w:r>
        <w:rPr>
          <w:rFonts w:hint="eastAsia" w:ascii="仿宋_GB2312" w:hAnsi="仿宋_GB2312" w:eastAsia="仿宋_GB2312" w:cs="仿宋_GB2312"/>
          <w:sz w:val="32"/>
          <w:szCs w:val="32"/>
        </w:rPr>
        <w:t>主要变动原因一是2022年在职人数较2021年增加2人；二是2022年财政拨入规划设计专项资金。</w:t>
      </w:r>
    </w:p>
    <w:p>
      <w:pPr>
        <w:jc w:val="center"/>
        <w:rPr>
          <w:rFonts w:ascii="仿宋" w:hAnsi="仿宋" w:eastAsia="仿宋"/>
          <w:sz w:val="32"/>
          <w:szCs w:val="32"/>
        </w:rPr>
      </w:pPr>
      <w:r>
        <w:rPr>
          <w:rFonts w:hint="eastAsia" w:ascii="仿宋" w:hAnsi="仿宋" w:eastAsia="仿宋"/>
          <w:sz w:val="32"/>
          <w:szCs w:val="32"/>
        </w:rPr>
        <w:drawing>
          <wp:inline distT="0" distB="0" distL="114300" distR="114300">
            <wp:extent cx="5516880" cy="2545080"/>
            <wp:effectExtent l="0" t="0" r="7620" b="7620"/>
            <wp:docPr id="5" name="图片 5"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5"/>
                    <pic:cNvPicPr>
                      <a:picLocks noChangeAspect="1"/>
                    </pic:cNvPicPr>
                  </pic:nvPicPr>
                  <pic:blipFill>
                    <a:blip r:embed="rId13"/>
                    <a:stretch>
                      <a:fillRect/>
                    </a:stretch>
                  </pic:blipFill>
                  <pic:spPr>
                    <a:xfrm>
                      <a:off x="0" y="0"/>
                      <a:ext cx="5516880" cy="2545080"/>
                    </a:xfrm>
                    <a:prstGeom prst="rect">
                      <a:avLst/>
                    </a:prstGeom>
                    <a:noFill/>
                    <a:ln>
                      <a:noFill/>
                    </a:ln>
                  </pic:spPr>
                </pic:pic>
              </a:graphicData>
            </a:graphic>
          </wp:inline>
        </w:drawing>
      </w:r>
    </w:p>
    <w:p>
      <w:pPr>
        <w:spacing w:line="576"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576" w:lineRule="exact"/>
        <w:ind w:firstLine="640" w:firstLineChars="200"/>
        <w:outlineLvl w:val="2"/>
        <w:rPr>
          <w:rFonts w:hint="eastAsia" w:ascii="楷体_GB2312" w:hAnsi="楷体_GB2312" w:eastAsia="楷体_GB2312" w:cs="楷体_GB2312"/>
          <w:b w:val="0"/>
          <w:bCs/>
          <w:sz w:val="32"/>
          <w:szCs w:val="32"/>
        </w:rPr>
      </w:pPr>
      <w:bookmarkStart w:id="75" w:name="_Toc15377211"/>
      <w:r>
        <w:rPr>
          <w:rFonts w:hint="eastAsia" w:ascii="楷体_GB2312" w:hAnsi="楷体_GB2312" w:eastAsia="楷体_GB2312" w:cs="楷体_GB2312"/>
          <w:b w:val="0"/>
          <w:bCs/>
          <w:sz w:val="32"/>
          <w:szCs w:val="32"/>
          <w:lang w:eastAsia="zh-CN"/>
        </w:rPr>
        <w:t>（二）</w:t>
      </w:r>
      <w:r>
        <w:rPr>
          <w:rFonts w:hint="eastAsia" w:ascii="楷体_GB2312" w:hAnsi="楷体_GB2312" w:eastAsia="楷体_GB2312" w:cs="楷体_GB2312"/>
          <w:b w:val="0"/>
          <w:bCs/>
          <w:sz w:val="32"/>
          <w:szCs w:val="32"/>
        </w:rPr>
        <w:t>一般公共预算财政拨款支出决算结构情况</w:t>
      </w:r>
      <w:bookmarkEnd w:id="75"/>
      <w:r>
        <w:rPr>
          <w:rFonts w:hint="eastAsia" w:ascii="楷体_GB2312" w:hAnsi="楷体_GB2312" w:eastAsia="楷体_GB2312" w:cs="楷体_GB2312"/>
          <w:b w:val="0"/>
          <w:bCs/>
          <w:sz w:val="32"/>
          <w:szCs w:val="32"/>
        </w:rPr>
        <w:t>。</w:t>
      </w:r>
    </w:p>
    <w:p>
      <w:pPr>
        <w:spacing w:line="576" w:lineRule="exact"/>
        <w:ind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2022年一般公共预算财政拨款支出734.75万元，主要用于以下方面: 社会保障和就业支出61.56万元，占8.4%；卫生健康支出23.3万元，占3.2%；城乡社区支出592.89万元，占80.7%；住房保障支出56.99万元，占7.8%。</w:t>
      </w:r>
    </w:p>
    <w:p>
      <w:pPr>
        <w:jc w:val="center"/>
        <w:rPr>
          <w:rFonts w:ascii="仿宋" w:hAnsi="仿宋" w:eastAsia="仿宋"/>
          <w:sz w:val="32"/>
          <w:szCs w:val="32"/>
        </w:rPr>
      </w:pPr>
      <w:r>
        <w:rPr>
          <w:rFonts w:hint="eastAsia" w:ascii="仿宋" w:hAnsi="仿宋" w:eastAsia="仿宋"/>
          <w:sz w:val="32"/>
          <w:szCs w:val="32"/>
        </w:rPr>
        <w:drawing>
          <wp:inline distT="0" distB="0" distL="114300" distR="114300">
            <wp:extent cx="4407535" cy="2606675"/>
            <wp:effectExtent l="0" t="0" r="12065" b="3175"/>
            <wp:docPr id="6" name="图片 6"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6"/>
                    <pic:cNvPicPr>
                      <a:picLocks noChangeAspect="1"/>
                    </pic:cNvPicPr>
                  </pic:nvPicPr>
                  <pic:blipFill>
                    <a:blip r:embed="rId14"/>
                    <a:stretch>
                      <a:fillRect/>
                    </a:stretch>
                  </pic:blipFill>
                  <pic:spPr>
                    <a:xfrm>
                      <a:off x="0" y="0"/>
                      <a:ext cx="4407535" cy="2606675"/>
                    </a:xfrm>
                    <a:prstGeom prst="rect">
                      <a:avLst/>
                    </a:prstGeom>
                    <a:noFill/>
                    <a:ln>
                      <a:noFill/>
                    </a:ln>
                  </pic:spPr>
                </pic:pic>
              </a:graphicData>
            </a:graphic>
          </wp:inline>
        </w:drawing>
      </w:r>
    </w:p>
    <w:p>
      <w:pPr>
        <w:spacing w:line="576"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576" w:lineRule="exact"/>
        <w:ind w:firstLine="640" w:firstLineChars="200"/>
        <w:outlineLvl w:val="2"/>
        <w:rPr>
          <w:rFonts w:hint="eastAsia" w:ascii="楷体_GB2312" w:hAnsi="楷体_GB2312" w:eastAsia="楷体_GB2312" w:cs="楷体_GB2312"/>
          <w:b w:val="0"/>
          <w:bCs/>
          <w:sz w:val="32"/>
          <w:szCs w:val="32"/>
        </w:rPr>
      </w:pPr>
      <w:bookmarkStart w:id="76" w:name="_Toc15377212"/>
      <w:r>
        <w:rPr>
          <w:rFonts w:hint="eastAsia" w:ascii="楷体_GB2312" w:hAnsi="楷体_GB2312" w:eastAsia="楷体_GB2312" w:cs="楷体_GB2312"/>
          <w:b w:val="0"/>
          <w:bCs/>
          <w:sz w:val="32"/>
          <w:szCs w:val="32"/>
        </w:rPr>
        <w:t>（三）一般公共预算财政拨款支出决算具体情况</w:t>
      </w:r>
      <w:bookmarkEnd w:id="76"/>
      <w:r>
        <w:rPr>
          <w:rFonts w:hint="eastAsia" w:ascii="楷体_GB2312" w:hAnsi="楷体_GB2312" w:eastAsia="楷体_GB2312" w:cs="楷体_GB2312"/>
          <w:b w:val="0"/>
          <w:bCs/>
          <w:sz w:val="32"/>
          <w:szCs w:val="32"/>
        </w:rPr>
        <w:t>。</w:t>
      </w:r>
    </w:p>
    <w:p>
      <w:pPr>
        <w:spacing w:line="620" w:lineRule="exact"/>
        <w:ind w:firstLine="643" w:firstLineChars="200"/>
        <w:outlineLvl w:val="2"/>
        <w:rPr>
          <w:rFonts w:hint="eastAsia" w:ascii="仿宋_GB2312" w:hAnsi="仿宋_GB2312" w:eastAsia="仿宋_GB2312" w:cs="仿宋_GB2312"/>
          <w:color w:val="FF0000"/>
          <w:sz w:val="32"/>
          <w:szCs w:val="32"/>
        </w:rPr>
      </w:pPr>
      <w:bookmarkStart w:id="77" w:name="_Toc15378460"/>
      <w:bookmarkStart w:id="78" w:name="_Toc15377444"/>
      <w:bookmarkStart w:id="79" w:name="_Toc15377213"/>
      <w:r>
        <w:rPr>
          <w:rFonts w:hint="eastAsia" w:ascii="仿宋_GB2312" w:hAnsi="仿宋_GB2312" w:eastAsia="仿宋_GB2312" w:cs="仿宋_GB2312"/>
          <w:b/>
          <w:color w:val="000000"/>
          <w:sz w:val="32"/>
          <w:lang w:val="zh-CN"/>
        </w:rPr>
        <w:t>2022年一般公共预算支出决算数为734.75万元</w:t>
      </w:r>
      <w:r>
        <w:rPr>
          <w:rFonts w:hint="eastAsia" w:ascii="仿宋_GB2312" w:hAnsi="仿宋_GB2312" w:eastAsia="仿宋_GB2312" w:cs="仿宋_GB2312"/>
          <w:color w:val="000000"/>
          <w:sz w:val="32"/>
          <w:lang w:val="zh-CN"/>
        </w:rPr>
        <w:t>，</w:t>
      </w:r>
      <w:r>
        <w:rPr>
          <w:rFonts w:hint="eastAsia" w:ascii="仿宋_GB2312" w:hAnsi="仿宋_GB2312" w:eastAsia="仿宋_GB2312" w:cs="仿宋_GB2312"/>
          <w:b/>
          <w:color w:val="000000"/>
          <w:sz w:val="32"/>
          <w:lang w:val="zh-CN"/>
        </w:rPr>
        <w:t>完成预算97%，</w:t>
      </w:r>
      <w:r>
        <w:rPr>
          <w:rStyle w:val="15"/>
          <w:rFonts w:hint="eastAsia" w:ascii="仿宋_GB2312" w:hAnsi="仿宋_GB2312" w:eastAsia="仿宋_GB2312" w:cs="仿宋_GB2312"/>
          <w:bCs/>
          <w:sz w:val="32"/>
          <w:szCs w:val="32"/>
        </w:rPr>
        <w:t>其中：</w:t>
      </w:r>
      <w:bookmarkEnd w:id="77"/>
      <w:bookmarkEnd w:id="78"/>
      <w:bookmarkEnd w:id="79"/>
    </w:p>
    <w:p>
      <w:pPr>
        <w:spacing w:line="620" w:lineRule="exact"/>
        <w:ind w:firstLine="643" w:firstLineChars="200"/>
        <w:rPr>
          <w:rStyle w:val="15"/>
          <w:rFonts w:hint="eastAsia" w:ascii="仿宋_GB2312" w:hAnsi="仿宋_GB2312" w:eastAsia="仿宋_GB2312" w:cs="仿宋_GB2312"/>
          <w:b w:val="0"/>
          <w:bCs/>
          <w:color w:val="000000"/>
          <w:sz w:val="32"/>
          <w:szCs w:val="32"/>
        </w:rPr>
      </w:pPr>
      <w:r>
        <w:rPr>
          <w:rStyle w:val="15"/>
          <w:rFonts w:hint="eastAsia" w:ascii="仿宋_GB2312" w:hAnsi="仿宋_GB2312" w:eastAsia="仿宋_GB2312" w:cs="仿宋_GB2312"/>
          <w:bCs/>
          <w:color w:val="000000"/>
          <w:sz w:val="32"/>
          <w:szCs w:val="32"/>
        </w:rPr>
        <w:t>1.社会保障和就业支出（类）行政事业单位养老支出（款）机关事业单位基本养老保险缴费支出（项）:</w:t>
      </w:r>
      <w:r>
        <w:rPr>
          <w:rStyle w:val="15"/>
          <w:rFonts w:hint="eastAsia" w:ascii="仿宋_GB2312" w:hAnsi="仿宋_GB2312" w:eastAsia="仿宋_GB2312" w:cs="仿宋_GB2312"/>
          <w:b w:val="0"/>
          <w:bCs/>
          <w:color w:val="000000"/>
          <w:sz w:val="32"/>
          <w:szCs w:val="32"/>
        </w:rPr>
        <w:t>支出决算为42.90万元，完成预算100%</w:t>
      </w:r>
      <w:r>
        <w:rPr>
          <w:rStyle w:val="15"/>
          <w:rFonts w:hint="eastAsia" w:ascii="仿宋_GB2312" w:hAnsi="仿宋_GB2312" w:eastAsia="仿宋_GB2312" w:cs="仿宋_GB2312"/>
          <w:b w:val="0"/>
          <w:bCs/>
          <w:sz w:val="32"/>
          <w:szCs w:val="32"/>
        </w:rPr>
        <w:t>；</w:t>
      </w:r>
      <w:r>
        <w:rPr>
          <w:rStyle w:val="15"/>
          <w:rFonts w:hint="eastAsia" w:ascii="仿宋_GB2312" w:hAnsi="仿宋_GB2312" w:eastAsia="仿宋_GB2312" w:cs="仿宋_GB2312"/>
          <w:bCs/>
          <w:color w:val="000000"/>
          <w:sz w:val="32"/>
          <w:szCs w:val="32"/>
        </w:rPr>
        <w:t>社会保障和就业支出（类）行政事业单位养老支出（款）机关事业单位职业年金缴费支出（项）:</w:t>
      </w:r>
      <w:r>
        <w:rPr>
          <w:rStyle w:val="15"/>
          <w:rFonts w:hint="eastAsia" w:ascii="仿宋_GB2312" w:hAnsi="仿宋_GB2312" w:eastAsia="仿宋_GB2312" w:cs="仿宋_GB2312"/>
          <w:b w:val="0"/>
          <w:bCs/>
          <w:color w:val="000000"/>
          <w:sz w:val="32"/>
          <w:szCs w:val="32"/>
        </w:rPr>
        <w:t>支出决算为9.95万元，完成预算100%</w:t>
      </w:r>
      <w:r>
        <w:rPr>
          <w:rStyle w:val="15"/>
          <w:rFonts w:hint="eastAsia" w:ascii="仿宋_GB2312" w:hAnsi="仿宋_GB2312" w:eastAsia="仿宋_GB2312" w:cs="仿宋_GB2312"/>
          <w:b w:val="0"/>
          <w:bCs/>
          <w:sz w:val="32"/>
          <w:szCs w:val="32"/>
        </w:rPr>
        <w:t>；</w:t>
      </w:r>
      <w:r>
        <w:rPr>
          <w:rStyle w:val="15"/>
          <w:rFonts w:hint="eastAsia" w:ascii="仿宋_GB2312" w:hAnsi="仿宋_GB2312" w:eastAsia="仿宋_GB2312" w:cs="仿宋_GB2312"/>
          <w:bCs/>
          <w:color w:val="000000"/>
          <w:sz w:val="32"/>
          <w:szCs w:val="32"/>
        </w:rPr>
        <w:t>社会保障和就业支出（类）其他社会和保障就业支出（款）其他社会和保障就业支出（项）:</w:t>
      </w:r>
      <w:r>
        <w:rPr>
          <w:rStyle w:val="15"/>
          <w:rFonts w:hint="eastAsia" w:ascii="仿宋_GB2312" w:hAnsi="仿宋_GB2312" w:eastAsia="仿宋_GB2312" w:cs="仿宋_GB2312"/>
          <w:b w:val="0"/>
          <w:bCs/>
          <w:color w:val="000000"/>
          <w:sz w:val="32"/>
          <w:szCs w:val="32"/>
        </w:rPr>
        <w:t>支出决算为8.7万元，完成预算100%。</w:t>
      </w:r>
    </w:p>
    <w:p>
      <w:pPr>
        <w:spacing w:line="620" w:lineRule="exact"/>
        <w:ind w:firstLine="643" w:firstLineChars="200"/>
        <w:rPr>
          <w:rFonts w:hint="eastAsia" w:ascii="仿宋_GB2312" w:hAnsi="仿宋_GB2312" w:eastAsia="仿宋_GB2312" w:cs="仿宋_GB2312"/>
          <w:b/>
          <w:sz w:val="32"/>
          <w:szCs w:val="32"/>
        </w:rPr>
      </w:pPr>
      <w:r>
        <w:rPr>
          <w:rStyle w:val="15"/>
          <w:rFonts w:hint="eastAsia" w:ascii="仿宋_GB2312" w:hAnsi="仿宋_GB2312" w:eastAsia="仿宋_GB2312" w:cs="仿宋_GB2312"/>
          <w:bCs/>
          <w:sz w:val="32"/>
          <w:szCs w:val="32"/>
        </w:rPr>
        <w:t>2.</w:t>
      </w:r>
      <w:r>
        <w:rPr>
          <w:rStyle w:val="15"/>
          <w:rFonts w:hint="eastAsia" w:ascii="仿宋_GB2312" w:hAnsi="仿宋_GB2312" w:eastAsia="仿宋_GB2312" w:cs="仿宋_GB2312"/>
          <w:bCs/>
          <w:color w:val="000000"/>
          <w:sz w:val="32"/>
          <w:szCs w:val="32"/>
        </w:rPr>
        <w:t>卫生健康支出（类）行政事业单位医疗（款）事业单位医疗（项）</w:t>
      </w:r>
      <w:r>
        <w:rPr>
          <w:rStyle w:val="15"/>
          <w:rFonts w:hint="eastAsia" w:ascii="仿宋_GB2312" w:hAnsi="仿宋_GB2312" w:eastAsia="仿宋_GB2312" w:cs="仿宋_GB2312"/>
          <w:bCs/>
          <w:sz w:val="32"/>
          <w:szCs w:val="32"/>
        </w:rPr>
        <w:t>:</w:t>
      </w:r>
      <w:r>
        <w:rPr>
          <w:rStyle w:val="15"/>
          <w:rFonts w:hint="eastAsia" w:ascii="仿宋_GB2312" w:hAnsi="仿宋_GB2312" w:eastAsia="仿宋_GB2312" w:cs="仿宋_GB2312"/>
          <w:b w:val="0"/>
          <w:bCs/>
          <w:sz w:val="32"/>
          <w:szCs w:val="32"/>
        </w:rPr>
        <w:t>支出决算为23.3万元，完成预算100%。</w:t>
      </w:r>
    </w:p>
    <w:p>
      <w:pPr>
        <w:spacing w:line="620" w:lineRule="exact"/>
        <w:ind w:firstLine="643" w:firstLineChars="200"/>
        <w:rPr>
          <w:rFonts w:hint="eastAsia" w:ascii="仿宋_GB2312" w:hAnsi="仿宋_GB2312" w:eastAsia="仿宋_GB2312" w:cs="仿宋_GB2312"/>
          <w:b/>
          <w:sz w:val="32"/>
          <w:szCs w:val="32"/>
        </w:rPr>
      </w:pPr>
      <w:r>
        <w:rPr>
          <w:rStyle w:val="15"/>
          <w:rFonts w:hint="eastAsia" w:ascii="仿宋_GB2312" w:hAnsi="仿宋_GB2312" w:eastAsia="仿宋_GB2312" w:cs="仿宋_GB2312"/>
          <w:bCs/>
          <w:sz w:val="32"/>
          <w:szCs w:val="32"/>
        </w:rPr>
        <w:t>3.</w:t>
      </w:r>
      <w:r>
        <w:rPr>
          <w:rStyle w:val="15"/>
          <w:rFonts w:hint="eastAsia" w:ascii="仿宋_GB2312" w:hAnsi="仿宋_GB2312" w:eastAsia="仿宋_GB2312" w:cs="仿宋_GB2312"/>
          <w:bCs/>
          <w:color w:val="000000"/>
          <w:sz w:val="32"/>
          <w:szCs w:val="32"/>
        </w:rPr>
        <w:t>城乡社区（类）城乡社区规划与管理（款）城乡社区</w:t>
      </w:r>
      <w:r>
        <w:rPr>
          <w:rStyle w:val="15"/>
          <w:rFonts w:hint="eastAsia" w:ascii="仿宋_GB2312" w:hAnsi="仿宋_GB2312" w:eastAsia="仿宋_GB2312" w:cs="仿宋_GB2312"/>
          <w:bCs/>
          <w:sz w:val="32"/>
          <w:szCs w:val="32"/>
        </w:rPr>
        <w:t>规划与管理（项）:</w:t>
      </w:r>
      <w:r>
        <w:rPr>
          <w:rStyle w:val="15"/>
          <w:rFonts w:hint="eastAsia" w:ascii="仿宋_GB2312" w:hAnsi="仿宋_GB2312" w:eastAsia="仿宋_GB2312" w:cs="仿宋_GB2312"/>
          <w:b w:val="0"/>
          <w:bCs/>
          <w:sz w:val="32"/>
          <w:szCs w:val="32"/>
        </w:rPr>
        <w:t>支出决算为592.89万元，完成预算97%，决算数小于预算数的主要原因是剩余部分采购指标及未支付完毕的部分基本支出。</w:t>
      </w:r>
    </w:p>
    <w:p>
      <w:pPr>
        <w:spacing w:line="620" w:lineRule="exact"/>
        <w:ind w:firstLine="643" w:firstLineChars="200"/>
        <w:rPr>
          <w:rFonts w:hint="eastAsia" w:ascii="仿宋_GB2312" w:hAnsi="仿宋_GB2312" w:eastAsia="仿宋_GB2312" w:cs="仿宋_GB2312"/>
          <w:b/>
          <w:sz w:val="32"/>
          <w:szCs w:val="32"/>
        </w:rPr>
      </w:pPr>
      <w:r>
        <w:rPr>
          <w:rStyle w:val="15"/>
          <w:rFonts w:hint="eastAsia" w:ascii="仿宋_GB2312" w:hAnsi="仿宋_GB2312" w:eastAsia="仿宋_GB2312" w:cs="仿宋_GB2312"/>
          <w:bCs/>
          <w:sz w:val="32"/>
          <w:szCs w:val="32"/>
        </w:rPr>
        <w:t>4.</w:t>
      </w:r>
      <w:r>
        <w:rPr>
          <w:rStyle w:val="15"/>
          <w:rFonts w:hint="eastAsia" w:ascii="仿宋_GB2312" w:hAnsi="仿宋_GB2312" w:eastAsia="仿宋_GB2312" w:cs="仿宋_GB2312"/>
          <w:bCs/>
          <w:color w:val="000000"/>
          <w:sz w:val="32"/>
          <w:szCs w:val="32"/>
        </w:rPr>
        <w:t>住房保障（类）住房改革支出（款）住房公积金（项）</w:t>
      </w:r>
      <w:r>
        <w:rPr>
          <w:rStyle w:val="15"/>
          <w:rFonts w:hint="eastAsia" w:ascii="仿宋_GB2312" w:hAnsi="仿宋_GB2312" w:eastAsia="仿宋_GB2312" w:cs="仿宋_GB2312"/>
          <w:bCs/>
          <w:sz w:val="32"/>
          <w:szCs w:val="32"/>
        </w:rPr>
        <w:t>:</w:t>
      </w:r>
      <w:r>
        <w:rPr>
          <w:rStyle w:val="15"/>
          <w:rFonts w:hint="eastAsia" w:ascii="仿宋_GB2312" w:hAnsi="仿宋_GB2312" w:eastAsia="仿宋_GB2312" w:cs="仿宋_GB2312"/>
          <w:b w:val="0"/>
          <w:bCs/>
          <w:sz w:val="32"/>
          <w:szCs w:val="32"/>
        </w:rPr>
        <w:t>支出决算为56.99万元，完成预算100%。</w:t>
      </w:r>
    </w:p>
    <w:p>
      <w:pPr>
        <w:tabs>
          <w:tab w:val="right" w:pos="8306"/>
        </w:tabs>
        <w:spacing w:line="620" w:lineRule="exact"/>
        <w:ind w:firstLine="640" w:firstLineChars="200"/>
        <w:outlineLvl w:val="1"/>
        <w:rPr>
          <w:rStyle w:val="28"/>
        </w:rPr>
      </w:pPr>
      <w:bookmarkStart w:id="80" w:name="_Toc27033"/>
      <w:bookmarkStart w:id="81" w:name="_Toc1463"/>
      <w:bookmarkStart w:id="82" w:name="_Toc15377214"/>
      <w:bookmarkStart w:id="83" w:name="_Toc26748"/>
      <w:bookmarkStart w:id="84" w:name="_Toc15396608"/>
      <w:bookmarkStart w:id="85" w:name="_Toc6506"/>
      <w:bookmarkStart w:id="86" w:name="_Toc5353"/>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80"/>
      <w:bookmarkEnd w:id="81"/>
      <w:bookmarkEnd w:id="82"/>
      <w:bookmarkEnd w:id="83"/>
      <w:bookmarkEnd w:id="84"/>
      <w:bookmarkEnd w:id="85"/>
      <w:bookmarkEnd w:id="86"/>
      <w:r>
        <w:rPr>
          <w:rStyle w:val="28"/>
          <w:rFonts w:ascii="黑体" w:hAnsi="黑体" w:eastAsia="黑体"/>
          <w:b w:val="0"/>
        </w:rPr>
        <w:tab/>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2022年一般公共预算财政拨款基本支出734.75万元，其中：</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630.26万元，主要包括：基本工资、津贴补贴、奖金、绩效工资、机关事业单位基本养老保险缴费、职业年金缴费、职工基本医疗保险缴费、其他社会保障缴费、其他工资福利支出、奖励金、生活补助、住房公积金、其他对个人和家庭的补助支出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104.48万元，主要包括：办公费、印刷费、水费、电费、邮电费、物业管理费、差旅费、维修（护）费、租赁费、会议费、培训费、公务接待费、劳务费、工会经费、福利费、其他交通费、其他商品和服务支出、办公设备购置等。</w:t>
      </w:r>
    </w:p>
    <w:p>
      <w:pPr>
        <w:spacing w:line="620" w:lineRule="exact"/>
        <w:ind w:firstLine="640" w:firstLineChars="200"/>
        <w:outlineLvl w:val="1"/>
        <w:rPr>
          <w:rStyle w:val="28"/>
          <w:rFonts w:ascii="黑体" w:hAnsi="黑体" w:eastAsia="黑体"/>
          <w:b w:val="0"/>
        </w:rPr>
      </w:pPr>
      <w:bookmarkStart w:id="87" w:name="_Toc17107"/>
      <w:bookmarkStart w:id="88" w:name="_Toc8681"/>
      <w:bookmarkStart w:id="89" w:name="_Toc4159"/>
      <w:bookmarkStart w:id="90" w:name="_Toc15396609"/>
      <w:bookmarkStart w:id="91" w:name="_Toc18483"/>
      <w:bookmarkStart w:id="92" w:name="_Toc20254"/>
      <w:bookmarkStart w:id="93" w:name="_Toc15377215"/>
      <w:r>
        <w:rPr>
          <w:rFonts w:hint="eastAsia" w:ascii="黑体" w:eastAsia="黑体"/>
          <w:sz w:val="32"/>
          <w:szCs w:val="32"/>
        </w:rPr>
        <w:t>七、</w:t>
      </w:r>
      <w:r>
        <w:rPr>
          <w:rStyle w:val="28"/>
          <w:rFonts w:hint="eastAsia" w:ascii="黑体" w:hAnsi="黑体" w:eastAsia="黑体"/>
        </w:rPr>
        <w:t>“</w:t>
      </w:r>
      <w:r>
        <w:rPr>
          <w:rStyle w:val="28"/>
          <w:rFonts w:hint="eastAsia" w:ascii="黑体" w:hAnsi="黑体" w:eastAsia="黑体"/>
          <w:b w:val="0"/>
        </w:rPr>
        <w:t>三公”经费财政拨款支出决算情况说明</w:t>
      </w:r>
      <w:bookmarkEnd w:id="87"/>
      <w:bookmarkEnd w:id="88"/>
      <w:bookmarkEnd w:id="89"/>
      <w:bookmarkEnd w:id="90"/>
      <w:bookmarkEnd w:id="91"/>
      <w:bookmarkEnd w:id="92"/>
      <w:bookmarkEnd w:id="93"/>
    </w:p>
    <w:p>
      <w:pPr>
        <w:spacing w:line="576" w:lineRule="exact"/>
        <w:ind w:firstLine="640" w:firstLineChars="200"/>
        <w:outlineLvl w:val="2"/>
        <w:rPr>
          <w:rFonts w:hint="eastAsia" w:ascii="楷体_GB2312" w:hAnsi="楷体_GB2312" w:eastAsia="楷体_GB2312" w:cs="楷体_GB2312"/>
          <w:b w:val="0"/>
          <w:bCs/>
          <w:sz w:val="32"/>
          <w:szCs w:val="32"/>
        </w:rPr>
      </w:pPr>
      <w:bookmarkStart w:id="94" w:name="_Toc15377216"/>
      <w:r>
        <w:rPr>
          <w:rFonts w:hint="eastAsia" w:ascii="楷体_GB2312" w:hAnsi="楷体_GB2312" w:eastAsia="楷体_GB2312" w:cs="楷体_GB2312"/>
          <w:b w:val="0"/>
          <w:bCs/>
          <w:sz w:val="32"/>
          <w:szCs w:val="32"/>
        </w:rPr>
        <w:t>（一）“三公”经费财政拨款支出决算总体情况说明</w:t>
      </w:r>
      <w:bookmarkEnd w:id="94"/>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2022年“三公”经费财政拨款支出决算为0.15万元，完成预算6.8%，</w:t>
      </w:r>
      <w:r>
        <w:rPr>
          <w:rFonts w:hint="eastAsia" w:ascii="仿宋_GB2312" w:hAnsi="仿宋_GB2312" w:eastAsia="仿宋_GB2312" w:cs="仿宋_GB2312"/>
          <w:color w:val="000000"/>
          <w:sz w:val="32"/>
          <w:lang w:val="zh-CN"/>
        </w:rPr>
        <w:t>较上年减少</w:t>
      </w:r>
      <w:r>
        <w:rPr>
          <w:rFonts w:hint="eastAsia" w:ascii="仿宋_GB2312" w:hAnsi="仿宋_GB2312" w:eastAsia="仿宋_GB2312" w:cs="仿宋_GB2312"/>
          <w:color w:val="000000"/>
          <w:sz w:val="32"/>
        </w:rPr>
        <w:t>0.07</w:t>
      </w:r>
      <w:r>
        <w:rPr>
          <w:rFonts w:hint="eastAsia" w:ascii="仿宋_GB2312" w:hAnsi="仿宋_GB2312" w:eastAsia="仿宋_GB2312" w:cs="仿宋_GB2312"/>
          <w:color w:val="000000"/>
          <w:sz w:val="32"/>
          <w:lang w:val="zh-CN"/>
        </w:rPr>
        <w:t>万元，</w:t>
      </w:r>
      <w:r>
        <w:rPr>
          <w:rFonts w:hint="eastAsia" w:ascii="仿宋_GB2312" w:hAnsi="仿宋_GB2312" w:eastAsia="仿宋_GB2312" w:cs="仿宋_GB2312"/>
          <w:sz w:val="32"/>
          <w:szCs w:val="32"/>
        </w:rPr>
        <w:t>决算数小于预算数的主要原因：一是</w:t>
      </w:r>
      <w:r>
        <w:rPr>
          <w:rFonts w:hint="eastAsia" w:ascii="仿宋_GB2312" w:hAnsi="仿宋_GB2312" w:eastAsia="仿宋_GB2312" w:cs="仿宋_GB2312"/>
          <w:color w:val="000000"/>
          <w:sz w:val="32"/>
          <w:szCs w:val="32"/>
        </w:rPr>
        <w:t>按照市委市政府要求厉行节约压减经费支出；二是因疫情影响减少接待次数。</w:t>
      </w:r>
    </w:p>
    <w:p>
      <w:pPr>
        <w:spacing w:line="576" w:lineRule="exact"/>
        <w:ind w:firstLine="640" w:firstLineChars="200"/>
        <w:outlineLvl w:val="2"/>
        <w:rPr>
          <w:rFonts w:hint="eastAsia" w:ascii="楷体_GB2312" w:hAnsi="楷体_GB2312" w:eastAsia="楷体_GB2312" w:cs="楷体_GB2312"/>
          <w:b w:val="0"/>
          <w:bCs/>
          <w:sz w:val="32"/>
          <w:szCs w:val="32"/>
        </w:rPr>
      </w:pPr>
      <w:bookmarkStart w:id="95" w:name="_Toc15377217"/>
      <w:r>
        <w:rPr>
          <w:rFonts w:hint="eastAsia" w:ascii="楷体_GB2312" w:hAnsi="楷体_GB2312" w:eastAsia="楷体_GB2312" w:cs="楷体_GB2312"/>
          <w:b w:val="0"/>
          <w:bCs/>
          <w:sz w:val="32"/>
          <w:szCs w:val="32"/>
        </w:rPr>
        <w:t>（二）“三公”经费财政拨款支出决算具体情况说明</w:t>
      </w:r>
      <w:bookmarkEnd w:id="95"/>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2022年“三公”经费财政拨款支出决算中，因公出国（境）费支出决算0万元，占0%；公务用车购置及运行维护费支出决算0万元，占0%；公务接待费支出决算0.15万元，占100%。具体情况如下：</w:t>
      </w:r>
    </w:p>
    <w:p>
      <w:pPr>
        <w:spacing w:line="576" w:lineRule="exact"/>
        <w:ind w:firstLine="640"/>
        <w:rPr>
          <w:rFonts w:ascii="仿宋" w:hAnsi="仿宋" w:eastAsia="仿宋"/>
          <w:sz w:val="32"/>
          <w:szCs w:val="32"/>
        </w:rPr>
      </w:pPr>
    </w:p>
    <w:p>
      <w:pPr>
        <w:pStyle w:val="6"/>
        <w:spacing w:before="93"/>
        <w:jc w:val="center"/>
        <w:rPr>
          <w:rFonts w:ascii="仿宋" w:hAnsi="仿宋" w:eastAsia="仿宋"/>
          <w:sz w:val="32"/>
          <w:szCs w:val="32"/>
        </w:rPr>
      </w:pPr>
      <w:r>
        <w:rPr>
          <w:rFonts w:hint="eastAsia" w:ascii="仿宋" w:hAnsi="仿宋" w:eastAsia="仿宋"/>
          <w:sz w:val="32"/>
          <w:szCs w:val="32"/>
        </w:rPr>
        <w:drawing>
          <wp:inline distT="0" distB="0" distL="114300" distR="114300">
            <wp:extent cx="4648200" cy="2781300"/>
            <wp:effectExtent l="0" t="0" r="0" b="0"/>
            <wp:docPr id="7" name="图片 7"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7"/>
                    <pic:cNvPicPr>
                      <a:picLocks noChangeAspect="1"/>
                    </pic:cNvPicPr>
                  </pic:nvPicPr>
                  <pic:blipFill>
                    <a:blip r:embed="rId15"/>
                    <a:stretch>
                      <a:fillRect/>
                    </a:stretch>
                  </pic:blipFill>
                  <pic:spPr>
                    <a:xfrm>
                      <a:off x="0" y="0"/>
                      <a:ext cx="4648200" cy="2781300"/>
                    </a:xfrm>
                    <a:prstGeom prst="rect">
                      <a:avLst/>
                    </a:prstGeom>
                    <a:noFill/>
                    <a:ln>
                      <a:noFill/>
                    </a:ln>
                  </pic:spPr>
                </pic:pic>
              </a:graphicData>
            </a:graphic>
          </wp:inline>
        </w:drawing>
      </w:r>
    </w:p>
    <w:p>
      <w:pPr>
        <w:spacing w:line="506" w:lineRule="exact"/>
        <w:jc w:val="center"/>
        <w:rPr>
          <w:rFonts w:ascii="仿宋" w:hAnsi="仿宋" w:eastAsia="仿宋"/>
          <w:sz w:val="32"/>
          <w:szCs w:val="32"/>
        </w:rPr>
      </w:pPr>
      <w:r>
        <w:rPr>
          <w:rFonts w:hint="eastAsia" w:ascii="仿宋" w:hAnsi="仿宋" w:eastAsia="仿宋"/>
          <w:sz w:val="32"/>
          <w:szCs w:val="32"/>
        </w:rPr>
        <w:t>图7：“三公”经费财政拨款支出结构</w:t>
      </w:r>
    </w:p>
    <w:p>
      <w:pPr>
        <w:spacing w:line="506" w:lineRule="exact"/>
        <w:ind w:firstLine="643" w:firstLineChars="200"/>
        <w:rPr>
          <w:rStyle w:val="15"/>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sz w:val="32"/>
          <w:szCs w:val="32"/>
        </w:rPr>
        <w:t>1.因公出国（境）经费支出</w:t>
      </w:r>
      <w:r>
        <w:rPr>
          <w:rFonts w:hint="eastAsia" w:ascii="仿宋_GB2312" w:hAnsi="仿宋_GB2312" w:eastAsia="仿宋_GB2312" w:cs="仿宋_GB2312"/>
          <w:sz w:val="32"/>
          <w:szCs w:val="32"/>
        </w:rPr>
        <w:t>0万元，</w:t>
      </w:r>
      <w:r>
        <w:rPr>
          <w:rStyle w:val="15"/>
          <w:rFonts w:hint="eastAsia" w:ascii="仿宋_GB2312" w:hAnsi="仿宋_GB2312" w:eastAsia="仿宋_GB2312" w:cs="仿宋_GB2312"/>
          <w:b w:val="0"/>
          <w:bCs/>
          <w:color w:val="000000"/>
          <w:sz w:val="32"/>
          <w:szCs w:val="32"/>
        </w:rPr>
        <w:t>年初未安排预算。</w:t>
      </w:r>
    </w:p>
    <w:p>
      <w:pPr>
        <w:spacing w:line="506"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0万元，</w:t>
      </w:r>
      <w:r>
        <w:rPr>
          <w:rStyle w:val="15"/>
          <w:rFonts w:hint="eastAsia" w:ascii="仿宋_GB2312" w:hAnsi="仿宋_GB2312" w:eastAsia="仿宋_GB2312" w:cs="仿宋_GB2312"/>
          <w:b w:val="0"/>
          <w:bCs/>
          <w:color w:val="000000"/>
          <w:sz w:val="32"/>
          <w:szCs w:val="32"/>
        </w:rPr>
        <w:t>年初未安排预算。</w:t>
      </w: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0万元。全年按规定更新购置公务用车0辆。截至2022年12月底，单位共有公务用车0辆。</w:t>
      </w: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p>
    <w:p>
      <w:pPr>
        <w:spacing w:line="506"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0.15万元，完成预算6.8%。公务接待费支出决算比2021年减少0.07万元，减少31%。主要原因是</w:t>
      </w:r>
      <w:r>
        <w:rPr>
          <w:rFonts w:hint="eastAsia" w:ascii="仿宋_GB2312" w:hAnsi="仿宋_GB2312" w:eastAsia="仿宋_GB2312" w:cs="仿宋_GB2312"/>
          <w:color w:val="000000"/>
          <w:sz w:val="32"/>
          <w:szCs w:val="32"/>
        </w:rPr>
        <w:t>因疫情影响减少接待次数</w:t>
      </w:r>
      <w:r>
        <w:rPr>
          <w:rFonts w:hint="eastAsia" w:ascii="仿宋_GB2312" w:hAnsi="仿宋_GB2312" w:eastAsia="仿宋_GB2312" w:cs="仿宋_GB2312"/>
          <w:sz w:val="32"/>
          <w:szCs w:val="32"/>
        </w:rPr>
        <w:t>。其中：</w:t>
      </w:r>
    </w:p>
    <w:p>
      <w:pPr>
        <w:spacing w:line="506"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0.15万元，主要用于执行公务、开展业务活动开支的用餐费。国内公务接待1批次，15人次（包括陪同人员），共计支出0.15万元，具体内容包括：接待省住建厅单位来广指导工作。</w:t>
      </w:r>
    </w:p>
    <w:p>
      <w:pPr>
        <w:spacing w:line="50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p>
    <w:p>
      <w:pPr>
        <w:spacing w:line="506" w:lineRule="exact"/>
        <w:ind w:firstLine="640"/>
        <w:outlineLvl w:val="1"/>
        <w:rPr>
          <w:rStyle w:val="28"/>
          <w:rFonts w:ascii="黑体" w:hAnsi="黑体" w:eastAsia="黑体"/>
        </w:rPr>
      </w:pPr>
      <w:bookmarkStart w:id="96" w:name="_Toc25935"/>
      <w:bookmarkStart w:id="97" w:name="_Toc10120"/>
      <w:bookmarkStart w:id="98" w:name="_Toc17733"/>
      <w:bookmarkStart w:id="99" w:name="_Toc15377218"/>
      <w:bookmarkStart w:id="100" w:name="_Toc23592"/>
      <w:bookmarkStart w:id="101" w:name="_Toc15396610"/>
      <w:bookmarkStart w:id="102" w:name="_Toc4634"/>
      <w:r>
        <w:rPr>
          <w:rFonts w:hint="eastAsia" w:ascii="黑体" w:eastAsia="黑体"/>
          <w:sz w:val="32"/>
          <w:szCs w:val="32"/>
        </w:rPr>
        <w:t>八、</w:t>
      </w:r>
      <w:r>
        <w:rPr>
          <w:rStyle w:val="28"/>
          <w:rFonts w:hint="eastAsia" w:ascii="黑体" w:hAnsi="黑体" w:eastAsia="黑体"/>
          <w:b w:val="0"/>
        </w:rPr>
        <w:t>政府性基金预算支出决算情况说明</w:t>
      </w:r>
      <w:bookmarkEnd w:id="96"/>
      <w:bookmarkEnd w:id="97"/>
      <w:bookmarkEnd w:id="98"/>
      <w:bookmarkEnd w:id="99"/>
      <w:bookmarkEnd w:id="100"/>
      <w:bookmarkEnd w:id="101"/>
      <w:bookmarkEnd w:id="102"/>
    </w:p>
    <w:p>
      <w:pPr>
        <w:spacing w:line="506"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2022年政府性基金预算财政拨款支出</w:t>
      </w:r>
      <w:r>
        <w:rPr>
          <w:rFonts w:hint="eastAsia" w:ascii="仿宋_GB2312" w:hAnsi="仿宋_GB2312" w:eastAsia="仿宋_GB2312" w:cs="仿宋_GB2312"/>
          <w:color w:val="000000"/>
          <w:sz w:val="32"/>
          <w:szCs w:val="32"/>
          <w:lang w:val="zh-CN"/>
        </w:rPr>
        <w:t>321.85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z w:val="32"/>
          <w:szCs w:val="32"/>
        </w:rPr>
        <w:t>2022年本单位未在政府性基金预算拨款安排“三公经费”支出。</w:t>
      </w:r>
    </w:p>
    <w:p>
      <w:pPr>
        <w:numPr>
          <w:ilvl w:val="0"/>
          <w:numId w:val="2"/>
        </w:numPr>
        <w:spacing w:line="506" w:lineRule="exact"/>
        <w:ind w:firstLine="640"/>
        <w:outlineLvl w:val="1"/>
        <w:rPr>
          <w:rStyle w:val="28"/>
          <w:rFonts w:ascii="黑体" w:hAnsi="黑体" w:eastAsia="黑体"/>
          <w:b w:val="0"/>
        </w:rPr>
      </w:pPr>
      <w:bookmarkStart w:id="103" w:name="_Toc8198"/>
      <w:bookmarkStart w:id="104" w:name="_Toc2494"/>
      <w:bookmarkStart w:id="105" w:name="_Toc15377219"/>
      <w:bookmarkStart w:id="106" w:name="_Toc10643"/>
      <w:bookmarkStart w:id="107" w:name="_Toc599"/>
      <w:bookmarkStart w:id="108" w:name="_Toc29974"/>
      <w:bookmarkStart w:id="109" w:name="_Toc15396611"/>
      <w:r>
        <w:rPr>
          <w:rStyle w:val="28"/>
          <w:rFonts w:hint="eastAsia" w:ascii="黑体" w:hAnsi="黑体" w:eastAsia="黑体"/>
          <w:b w:val="0"/>
        </w:rPr>
        <w:t>国有资本经营预算支出决算情况说明</w:t>
      </w:r>
      <w:bookmarkEnd w:id="103"/>
      <w:bookmarkEnd w:id="104"/>
      <w:bookmarkEnd w:id="105"/>
      <w:bookmarkEnd w:id="106"/>
      <w:bookmarkEnd w:id="107"/>
      <w:bookmarkEnd w:id="108"/>
      <w:bookmarkEnd w:id="109"/>
    </w:p>
    <w:p>
      <w:pPr>
        <w:spacing w:line="506" w:lineRule="exact"/>
        <w:ind w:firstLine="640"/>
        <w:rPr>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22年国有资本经营预算财政拨款支出0万元。</w:t>
      </w:r>
      <w:bookmarkStart w:id="110" w:name="_Toc15377221"/>
      <w:bookmarkStart w:id="111" w:name="_Toc15396612"/>
    </w:p>
    <w:p>
      <w:pPr>
        <w:numPr>
          <w:ilvl w:val="0"/>
          <w:numId w:val="2"/>
        </w:numPr>
        <w:spacing w:line="506" w:lineRule="exact"/>
        <w:ind w:firstLine="640"/>
        <w:outlineLvl w:val="1"/>
        <w:rPr>
          <w:rStyle w:val="28"/>
          <w:rFonts w:ascii="黑体" w:hAnsi="黑体" w:eastAsia="黑体"/>
          <w:b w:val="0"/>
        </w:rPr>
      </w:pPr>
      <w:bookmarkStart w:id="112" w:name="_Toc20669"/>
      <w:bookmarkStart w:id="113" w:name="_Toc28465"/>
      <w:bookmarkStart w:id="114" w:name="_Toc1576"/>
      <w:bookmarkStart w:id="115" w:name="_Toc17862"/>
      <w:bookmarkStart w:id="116" w:name="_Toc16322"/>
      <w:r>
        <w:rPr>
          <w:rStyle w:val="28"/>
          <w:rFonts w:hint="eastAsia" w:ascii="黑体" w:hAnsi="黑体" w:eastAsia="黑体"/>
          <w:b w:val="0"/>
        </w:rPr>
        <w:t>其他重要事项的情况说明</w:t>
      </w:r>
      <w:bookmarkEnd w:id="110"/>
      <w:bookmarkEnd w:id="111"/>
      <w:bookmarkEnd w:id="112"/>
      <w:bookmarkEnd w:id="113"/>
      <w:bookmarkEnd w:id="114"/>
      <w:bookmarkEnd w:id="115"/>
      <w:bookmarkEnd w:id="116"/>
    </w:p>
    <w:p>
      <w:pPr>
        <w:spacing w:line="576" w:lineRule="exact"/>
        <w:ind w:firstLine="640" w:firstLineChars="200"/>
        <w:outlineLvl w:val="2"/>
        <w:rPr>
          <w:rFonts w:hint="eastAsia" w:ascii="楷体_GB2312" w:hAnsi="楷体_GB2312" w:eastAsia="楷体_GB2312" w:cs="楷体_GB2312"/>
          <w:b w:val="0"/>
          <w:bCs/>
          <w:sz w:val="32"/>
          <w:szCs w:val="32"/>
        </w:rPr>
      </w:pPr>
      <w:bookmarkStart w:id="117" w:name="_Toc15377222"/>
      <w:r>
        <w:rPr>
          <w:rFonts w:hint="eastAsia" w:ascii="楷体_GB2312" w:hAnsi="楷体_GB2312" w:eastAsia="楷体_GB2312" w:cs="楷体_GB2312"/>
          <w:b w:val="0"/>
          <w:bCs/>
          <w:sz w:val="32"/>
          <w:szCs w:val="32"/>
        </w:rPr>
        <w:t>（一）机关运行经费支出情况</w:t>
      </w:r>
      <w:bookmarkEnd w:id="117"/>
    </w:p>
    <w:p>
      <w:pPr>
        <w:spacing w:line="506" w:lineRule="exact"/>
        <w:ind w:firstLine="640"/>
        <w:rPr>
          <w:rFonts w:ascii="仿宋_GB2312" w:eastAsia="仿宋_GB2312"/>
          <w:sz w:val="32"/>
          <w:szCs w:val="32"/>
        </w:rPr>
      </w:pPr>
      <w:bookmarkStart w:id="118" w:name="_Toc15377223"/>
      <w:r>
        <w:rPr>
          <w:rFonts w:hint="eastAsia" w:ascii="仿宋_GB2312" w:eastAsia="仿宋_GB2312"/>
          <w:sz w:val="32"/>
          <w:szCs w:val="32"/>
        </w:rPr>
        <w:t xml:space="preserve">2022年未发生机关运行经费支出，与2021年决算数持平。    </w:t>
      </w:r>
    </w:p>
    <w:p>
      <w:pPr>
        <w:spacing w:line="576" w:lineRule="exact"/>
        <w:ind w:firstLine="640" w:firstLineChars="200"/>
        <w:outlineLvl w:val="2"/>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（二）政府采购支出情况</w:t>
      </w:r>
      <w:bookmarkEnd w:id="118"/>
    </w:p>
    <w:p>
      <w:pPr>
        <w:spacing w:line="506"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22年，广元市国土空间规划编制研究中心政府采购支出总额5.26万元，其中：</w:t>
      </w:r>
      <w:r>
        <w:rPr>
          <w:rFonts w:hint="eastAsia" w:ascii="仿宋_GB2312" w:eastAsia="仿宋_GB2312"/>
          <w:sz w:val="32"/>
          <w:szCs w:val="32"/>
          <w:lang w:val="zh-CN"/>
        </w:rPr>
        <w:t>政府采购货物支出5.26万元</w:t>
      </w:r>
      <w:r>
        <w:rPr>
          <w:rFonts w:hint="eastAsia" w:ascii="仿宋_GB2312" w:eastAsia="仿宋_GB2312"/>
          <w:sz w:val="32"/>
          <w:szCs w:val="32"/>
        </w:rPr>
        <w:t>。主要用于办公相关设备采购。授予中小企业合同金额5.26万元，占政府采购支出总额的100</w:t>
      </w:r>
      <w:r>
        <w:rPr>
          <w:rFonts w:ascii="仿宋_GB2312" w:eastAsia="仿宋_GB2312"/>
          <w:sz w:val="32"/>
          <w:szCs w:val="32"/>
        </w:rPr>
        <w:t>%</w:t>
      </w:r>
      <w:r>
        <w:rPr>
          <w:rFonts w:hint="eastAsia" w:ascii="仿宋_GB2312" w:eastAsia="仿宋_GB2312"/>
          <w:sz w:val="32"/>
          <w:szCs w:val="32"/>
        </w:rPr>
        <w:t>，其中：授予小微企业合同金额5.26万元，占政府采购支出总额的100</w:t>
      </w:r>
      <w:r>
        <w:rPr>
          <w:rFonts w:ascii="仿宋_GB2312" w:eastAsia="仿宋_GB2312"/>
          <w:sz w:val="32"/>
          <w:szCs w:val="32"/>
        </w:rPr>
        <w:t>%</w:t>
      </w:r>
      <w:r>
        <w:rPr>
          <w:rFonts w:hint="eastAsia" w:ascii="仿宋_GB2312" w:eastAsia="仿宋_GB2312"/>
          <w:sz w:val="32"/>
          <w:szCs w:val="32"/>
        </w:rPr>
        <w:t>。</w:t>
      </w:r>
    </w:p>
    <w:p>
      <w:pPr>
        <w:spacing w:line="576" w:lineRule="exact"/>
        <w:ind w:firstLine="640" w:firstLineChars="200"/>
        <w:outlineLvl w:val="2"/>
        <w:rPr>
          <w:rFonts w:hint="eastAsia" w:ascii="楷体_GB2312" w:hAnsi="楷体_GB2312" w:eastAsia="楷体_GB2312" w:cs="楷体_GB2312"/>
          <w:b w:val="0"/>
          <w:bCs/>
          <w:sz w:val="32"/>
          <w:szCs w:val="32"/>
        </w:rPr>
      </w:pPr>
      <w:bookmarkStart w:id="119" w:name="_Toc15377224"/>
      <w:r>
        <w:rPr>
          <w:rFonts w:hint="eastAsia" w:ascii="楷体_GB2312" w:hAnsi="楷体_GB2312" w:eastAsia="楷体_GB2312" w:cs="楷体_GB2312"/>
          <w:b w:val="0"/>
          <w:bCs/>
          <w:sz w:val="32"/>
          <w:szCs w:val="32"/>
        </w:rPr>
        <w:t>（三）国有资产占有使用情况</w:t>
      </w:r>
      <w:bookmarkEnd w:id="119"/>
    </w:p>
    <w:p>
      <w:pPr>
        <w:spacing w:line="506" w:lineRule="exact"/>
        <w:ind w:firstLine="64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日，共有车辆0辆。单价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spacing w:line="576" w:lineRule="exact"/>
        <w:ind w:firstLine="640" w:firstLineChars="200"/>
        <w:outlineLvl w:val="2"/>
        <w:rPr>
          <w:rFonts w:hint="eastAsia" w:ascii="楷体_GB2312" w:hAnsi="楷体_GB2312" w:eastAsia="楷体_GB2312" w:cs="楷体_GB2312"/>
          <w:b w:val="0"/>
          <w:bCs/>
          <w:sz w:val="32"/>
          <w:szCs w:val="32"/>
        </w:rPr>
      </w:pPr>
      <w:bookmarkStart w:id="120" w:name="_Toc32070"/>
      <w:bookmarkStart w:id="121" w:name="_Toc26278"/>
      <w:bookmarkStart w:id="122" w:name="_Toc1813"/>
      <w:bookmarkStart w:id="123" w:name="_Toc15523"/>
      <w:r>
        <w:rPr>
          <w:rFonts w:hint="eastAsia" w:ascii="楷体_GB2312" w:hAnsi="楷体_GB2312" w:eastAsia="楷体_GB2312" w:cs="楷体_GB2312"/>
          <w:b w:val="0"/>
          <w:bCs/>
          <w:sz w:val="32"/>
          <w:szCs w:val="32"/>
        </w:rPr>
        <w:t>（四）预算绩效管理情况</w:t>
      </w:r>
      <w:bookmarkEnd w:id="120"/>
      <w:bookmarkEnd w:id="121"/>
      <w:bookmarkEnd w:id="122"/>
      <w:bookmarkEnd w:id="123"/>
    </w:p>
    <w:p>
      <w:pPr>
        <w:spacing w:line="576" w:lineRule="exact"/>
        <w:ind w:firstLine="640" w:firstLineChars="200"/>
        <w:outlineLvl w:val="1"/>
        <w:rPr>
          <w:rFonts w:hint="eastAsia" w:ascii="仿宋_GB2312" w:hAnsi="仿宋_GB2312" w:eastAsia="仿宋_GB2312" w:cs="仿宋_GB2312"/>
          <w:sz w:val="32"/>
          <w:szCs w:val="32"/>
          <w:lang w:val="en-US" w:eastAsia="zh-CN"/>
        </w:rPr>
      </w:pPr>
      <w:bookmarkStart w:id="124" w:name="_Toc1139"/>
      <w:bookmarkStart w:id="125" w:name="_Toc25307"/>
      <w:bookmarkStart w:id="126" w:name="_Toc13001"/>
      <w:bookmarkStart w:id="127" w:name="_Toc12311"/>
      <w:bookmarkStart w:id="128" w:name="_Toc11966"/>
      <w:bookmarkStart w:id="129" w:name="_Toc30532"/>
      <w:r>
        <w:rPr>
          <w:rFonts w:hint="eastAsia" w:ascii="仿宋_GB2312" w:hAnsi="仿宋_GB2312" w:eastAsia="仿宋_GB2312" w:cs="仿宋_GB2312"/>
          <w:sz w:val="32"/>
          <w:szCs w:val="32"/>
        </w:rPr>
        <w:t>根</w:t>
      </w:r>
      <w:bookmarkEnd w:id="124"/>
      <w:bookmarkEnd w:id="125"/>
      <w:bookmarkEnd w:id="126"/>
      <w:bookmarkEnd w:id="127"/>
      <w:bookmarkEnd w:id="128"/>
      <w:bookmarkEnd w:id="129"/>
      <w:bookmarkStart w:id="130" w:name="_Toc20513"/>
      <w:r>
        <w:rPr>
          <w:rFonts w:hint="eastAsia" w:ascii="仿宋_GB2312" w:hAnsi="仿宋_GB2312" w:eastAsia="仿宋_GB2312" w:cs="仿宋_GB2312"/>
          <w:sz w:val="32"/>
          <w:szCs w:val="32"/>
        </w:rPr>
        <w:t>根据预算绩效管理要求，本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在2022年度预算编制阶段，</w:t>
      </w:r>
      <w:r>
        <w:rPr>
          <w:rFonts w:hint="eastAsia" w:ascii="仿宋_GB2312" w:hAnsi="仿宋_GB2312" w:eastAsia="仿宋_GB2312" w:cs="仿宋_GB2312"/>
          <w:sz w:val="32"/>
          <w:szCs w:val="32"/>
          <w:lang w:eastAsia="zh-CN"/>
        </w:rPr>
        <w:t>未开展预算事前绩效评估</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个项目开展绩效监控，</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个项目开展了绩效自评</w:t>
      </w:r>
      <w:bookmarkEnd w:id="130"/>
      <w:r>
        <w:rPr>
          <w:rFonts w:hint="eastAsia" w:ascii="仿宋_GB2312" w:hAnsi="仿宋_GB2312" w:eastAsia="仿宋_GB2312" w:cs="仿宋_GB2312"/>
          <w:sz w:val="32"/>
          <w:szCs w:val="32"/>
          <w:lang w:val="en-US" w:eastAsia="zh-CN"/>
        </w:rPr>
        <w:t>,绩效自评表详见第四部分附件。</w:t>
      </w:r>
      <w:bookmarkStart w:id="131" w:name="_Toc15377225"/>
      <w:bookmarkStart w:id="132" w:name="_Toc24345"/>
      <w:bookmarkStart w:id="133" w:name="_Toc27638"/>
      <w:bookmarkStart w:id="134" w:name="_Toc15396613"/>
      <w:bookmarkStart w:id="135" w:name="_Toc10219"/>
      <w:bookmarkStart w:id="136" w:name="_Toc14681"/>
      <w:bookmarkStart w:id="137" w:name="_Toc23390"/>
    </w:p>
    <w:p>
      <w:r>
        <w:br w:type="page"/>
      </w:r>
    </w:p>
    <w:p>
      <w:pPr>
        <w:numPr>
          <w:ilvl w:val="0"/>
          <w:numId w:val="3"/>
        </w:numPr>
        <w:spacing w:line="500" w:lineRule="exact"/>
        <w:ind w:left="0" w:firstLine="660" w:firstLineChars="150"/>
        <w:jc w:val="center"/>
        <w:outlineLvl w:val="0"/>
        <w:rPr>
          <w:rStyle w:val="27"/>
          <w:rFonts w:ascii="黑体" w:hAnsi="黑体" w:eastAsia="黑体"/>
          <w:b w:val="0"/>
        </w:rPr>
      </w:pPr>
      <w:bookmarkStart w:id="138" w:name="_Toc22499"/>
      <w:r>
        <w:rPr>
          <w:rFonts w:hint="eastAsia" w:ascii="黑体" w:hAnsi="黑体" w:eastAsia="黑体"/>
          <w:sz w:val="44"/>
          <w:szCs w:val="44"/>
          <w:lang w:val="en-US" w:eastAsia="zh-CN"/>
        </w:rPr>
        <w:t xml:space="preserve"> </w:t>
      </w:r>
      <w:r>
        <w:rPr>
          <w:rFonts w:hint="eastAsia" w:ascii="黑体" w:hAnsi="黑体" w:eastAsia="黑体"/>
          <w:sz w:val="44"/>
          <w:szCs w:val="44"/>
        </w:rPr>
        <w:t>名</w:t>
      </w:r>
      <w:r>
        <w:rPr>
          <w:rStyle w:val="27"/>
          <w:rFonts w:hint="eastAsia" w:ascii="黑体" w:hAnsi="黑体" w:eastAsia="黑体"/>
          <w:b w:val="0"/>
        </w:rPr>
        <w:t>词解释</w:t>
      </w:r>
      <w:bookmarkEnd w:id="131"/>
      <w:bookmarkEnd w:id="132"/>
      <w:bookmarkEnd w:id="133"/>
      <w:bookmarkEnd w:id="134"/>
      <w:bookmarkEnd w:id="135"/>
      <w:bookmarkEnd w:id="136"/>
      <w:bookmarkEnd w:id="137"/>
      <w:bookmarkEnd w:id="138"/>
    </w:p>
    <w:p>
      <w:pPr>
        <w:spacing w:line="500" w:lineRule="exact"/>
        <w:jc w:val="left"/>
        <w:rPr>
          <w:rFonts w:ascii="宋体"/>
          <w:b/>
          <w:sz w:val="44"/>
          <w:szCs w:val="44"/>
        </w:rPr>
      </w:pPr>
    </w:p>
    <w:p>
      <w:pPr>
        <w:pStyle w:val="17"/>
        <w:spacing w:line="500" w:lineRule="exact"/>
        <w:ind w:firstLine="640" w:firstLineChars="200"/>
        <w:jc w:val="both"/>
        <w:rPr>
          <w:rFonts w:ascii="仿宋_GB2312" w:hAnsi="仿宋_GB2312" w:eastAsia="仿宋_GB2312" w:cs="仿宋_GB2312"/>
          <w:sz w:val="32"/>
          <w:szCs w:val="32"/>
        </w:rPr>
      </w:pPr>
      <w:bookmarkStart w:id="139" w:name="_Toc15396614"/>
      <w:bookmarkStart w:id="140" w:name="_Toc15377226"/>
      <w:r>
        <w:rPr>
          <w:rFonts w:hint="eastAsia" w:ascii="仿宋_GB2312" w:hAnsi="仿宋_GB2312" w:eastAsia="仿宋_GB2312" w:cs="仿宋_GB2312"/>
          <w:sz w:val="32"/>
          <w:szCs w:val="32"/>
        </w:rPr>
        <w:t>1.财政拨款收入：指单位从同级财政部门取得的财政预算资金。</w:t>
      </w:r>
    </w:p>
    <w:p>
      <w:pPr>
        <w:pStyle w:val="17"/>
        <w:tabs>
          <w:tab w:val="left" w:pos="3570"/>
        </w:tabs>
        <w:spacing w:line="5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2.其他收入：指单位取得的除上述收入以外的各项收入，主要用于核算银行存款收入。</w:t>
      </w:r>
    </w:p>
    <w:p>
      <w:pPr>
        <w:pStyle w:val="17"/>
        <w:spacing w:line="5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3.年初结转和结余：指以前年度尚未完成、结转到本年按有关规定继续使用的资金。</w:t>
      </w:r>
    </w:p>
    <w:p>
      <w:pPr>
        <w:pStyle w:val="17"/>
        <w:spacing w:line="5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年末结转和结余：指单位按有关规定结转到下年或以后年度继续使用的资金。</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Style w:val="15"/>
          <w:rFonts w:hint="eastAsia" w:ascii="仿宋_GB2312" w:hAnsi="仿宋_GB2312" w:eastAsia="仿宋_GB2312" w:cs="仿宋_GB2312"/>
          <w:b w:val="0"/>
          <w:bCs/>
          <w:color w:val="000000"/>
          <w:sz w:val="32"/>
          <w:szCs w:val="32"/>
        </w:rPr>
        <w:t>社会保障和就业支出（类）</w:t>
      </w:r>
      <w:r>
        <w:rPr>
          <w:rFonts w:hint="eastAsia" w:ascii="仿宋_GB2312" w:hAnsi="仿宋_GB2312" w:eastAsia="仿宋_GB2312" w:cs="仿宋_GB2312"/>
          <w:color w:val="000000"/>
          <w:kern w:val="0"/>
          <w:sz w:val="32"/>
          <w:szCs w:val="32"/>
        </w:rPr>
        <w:t>行政事业单位养老支出（</w:t>
      </w:r>
      <w:r>
        <w:rPr>
          <w:rStyle w:val="15"/>
          <w:rFonts w:hint="eastAsia" w:ascii="仿宋_GB2312" w:hAnsi="仿宋_GB2312" w:eastAsia="仿宋_GB2312" w:cs="仿宋_GB2312"/>
          <w:b w:val="0"/>
          <w:bCs/>
          <w:color w:val="000000"/>
          <w:sz w:val="32"/>
          <w:szCs w:val="32"/>
        </w:rPr>
        <w:t>款）机关事业单位基本养老保险缴费支出（项）</w:t>
      </w:r>
      <w:r>
        <w:rPr>
          <w:rFonts w:hint="eastAsia" w:ascii="仿宋_GB2312" w:hAnsi="仿宋_GB2312" w:eastAsia="仿宋_GB2312" w:cs="仿宋_GB2312"/>
          <w:color w:val="000000"/>
          <w:sz w:val="32"/>
          <w:szCs w:val="32"/>
        </w:rPr>
        <w:t>：指反映机关事业单位实施养老保险制度由单位缴纳的基本养老保险支出。</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r>
        <w:rPr>
          <w:rStyle w:val="15"/>
          <w:rFonts w:hint="eastAsia" w:ascii="仿宋_GB2312" w:hAnsi="仿宋_GB2312" w:eastAsia="仿宋_GB2312" w:cs="仿宋_GB2312"/>
          <w:b w:val="0"/>
          <w:bCs/>
          <w:color w:val="000000"/>
          <w:sz w:val="32"/>
          <w:szCs w:val="32"/>
        </w:rPr>
        <w:t>卫生健康支出（类）行政事业单位医疗（款）事业单位医疗（项）</w:t>
      </w:r>
      <w:r>
        <w:rPr>
          <w:rFonts w:hint="eastAsia" w:ascii="仿宋_GB2312" w:hAnsi="仿宋_GB2312" w:eastAsia="仿宋_GB2312" w:cs="仿宋_GB2312"/>
          <w:color w:val="000000"/>
          <w:sz w:val="32"/>
          <w:szCs w:val="32"/>
        </w:rPr>
        <w:t>：指反映财政部门集中安排的事业单位基本医疗保险缴费经费，未参加医疗保险的事业单位的公费医疗经费，按国家规定享受离休人员待遇的医疗经费。</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r>
        <w:rPr>
          <w:rStyle w:val="15"/>
          <w:rFonts w:hint="eastAsia" w:ascii="仿宋_GB2312" w:hAnsi="仿宋_GB2312" w:eastAsia="仿宋_GB2312" w:cs="仿宋_GB2312"/>
          <w:b w:val="0"/>
          <w:bCs/>
          <w:color w:val="000000"/>
          <w:sz w:val="32"/>
          <w:szCs w:val="32"/>
        </w:rPr>
        <w:t>城乡社区（类）城乡社区规划与管理（款）城乡社区规划与管理（项）</w:t>
      </w:r>
      <w:r>
        <w:rPr>
          <w:rFonts w:hint="eastAsia" w:ascii="仿宋_GB2312" w:hAnsi="仿宋_GB2312" w:eastAsia="仿宋_GB2312" w:cs="仿宋_GB2312"/>
          <w:color w:val="000000"/>
          <w:sz w:val="32"/>
          <w:szCs w:val="32"/>
        </w:rPr>
        <w:t>：指反映城乡社区、名胜风景区、防灾减灾、历史名城规划制定与管理方面的支出。</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r>
        <w:rPr>
          <w:rStyle w:val="15"/>
          <w:rFonts w:hint="eastAsia" w:ascii="仿宋_GB2312" w:hAnsi="仿宋_GB2312" w:eastAsia="仿宋_GB2312" w:cs="仿宋_GB2312"/>
          <w:b w:val="0"/>
          <w:bCs/>
          <w:sz w:val="32"/>
          <w:szCs w:val="32"/>
        </w:rPr>
        <w:t>住房保障</w:t>
      </w:r>
      <w:r>
        <w:rPr>
          <w:rStyle w:val="15"/>
          <w:rFonts w:hint="eastAsia" w:ascii="仿宋_GB2312" w:hAnsi="仿宋_GB2312" w:eastAsia="仿宋_GB2312" w:cs="仿宋_GB2312"/>
          <w:b w:val="0"/>
          <w:bCs/>
          <w:color w:val="000000"/>
          <w:sz w:val="32"/>
          <w:szCs w:val="32"/>
        </w:rPr>
        <w:t>（类）住房改革支出（款）住房公积金（项）</w:t>
      </w:r>
      <w:r>
        <w:rPr>
          <w:rFonts w:hint="eastAsia" w:ascii="仿宋_GB2312" w:hAnsi="仿宋_GB2312" w:eastAsia="仿宋_GB2312" w:cs="仿宋_GB2312"/>
          <w:color w:val="000000"/>
          <w:sz w:val="32"/>
          <w:szCs w:val="32"/>
        </w:rPr>
        <w:t>：指反映行政事业单位按人力资源和社会保障部、财政部规定的基本工资和津贴补贴以及规定比例为职工缴纳住房公积金。</w:t>
      </w:r>
    </w:p>
    <w:p>
      <w:pPr>
        <w:pStyle w:val="6"/>
        <w:spacing w:beforeLines="0" w:line="500" w:lineRule="exact"/>
        <w:ind w:firstLine="640"/>
        <w:rPr>
          <w:rStyle w:val="15"/>
          <w:rFonts w:hAnsi="仿宋_GB2312" w:cs="仿宋_GB2312"/>
          <w:b w:val="0"/>
          <w:bCs/>
          <w:color w:val="000000"/>
          <w:sz w:val="32"/>
          <w:szCs w:val="32"/>
        </w:rPr>
      </w:pPr>
      <w:r>
        <w:rPr>
          <w:rFonts w:hint="eastAsia" w:hAnsi="仿宋_GB2312" w:cs="仿宋_GB2312"/>
          <w:color w:val="000000"/>
          <w:kern w:val="2"/>
          <w:sz w:val="32"/>
          <w:szCs w:val="32"/>
        </w:rPr>
        <w:t>9.</w:t>
      </w:r>
      <w:r>
        <w:rPr>
          <w:rStyle w:val="15"/>
          <w:rFonts w:hint="eastAsia" w:hAnsi="仿宋"/>
          <w:b w:val="0"/>
          <w:bCs/>
          <w:kern w:val="2"/>
          <w:sz w:val="32"/>
          <w:szCs w:val="32"/>
        </w:rPr>
        <w:t>城乡社区（类）农业土地开发资金安排的支出（款）农业土地开发资金安排的支出（项）：指反</w:t>
      </w:r>
      <w:r>
        <w:rPr>
          <w:rStyle w:val="15"/>
          <w:rFonts w:hint="eastAsia" w:hAnsi="仿宋"/>
          <w:b w:val="0"/>
          <w:bCs/>
          <w:sz w:val="32"/>
          <w:szCs w:val="32"/>
        </w:rPr>
        <w:t>映</w:t>
      </w:r>
      <w:r>
        <w:rPr>
          <w:rFonts w:hint="eastAsia" w:hAnsi="仿宋"/>
          <w:sz w:val="32"/>
          <w:szCs w:val="32"/>
        </w:rPr>
        <w:t>城乡社区</w:t>
      </w:r>
      <w:r>
        <w:rPr>
          <w:rStyle w:val="15"/>
          <w:rFonts w:hint="eastAsia" w:hAnsi="仿宋"/>
          <w:b w:val="0"/>
          <w:bCs/>
          <w:sz w:val="32"/>
          <w:szCs w:val="32"/>
        </w:rPr>
        <w:t>农业土地开发支出。</w:t>
      </w:r>
      <w:r>
        <w:rPr>
          <w:rFonts w:hint="eastAsia" w:hAnsi="仿宋"/>
          <w:kern w:val="2"/>
          <w:sz w:val="32"/>
          <w:szCs w:val="32"/>
        </w:rPr>
        <w:t>城区社区支出（类）国有土地使用权出让安排的支出（款）土地出让支出（项）：指出让前发生的土地出让业务支出。</w:t>
      </w:r>
    </w:p>
    <w:p>
      <w:pPr>
        <w:spacing w:line="500" w:lineRule="exact"/>
        <w:ind w:firstLine="640" w:firstLineChars="200"/>
        <w:rPr>
          <w:rStyle w:val="15"/>
          <w:rFonts w:ascii="仿宋_GB2312" w:hAnsi="仿宋_GB2312" w:eastAsia="仿宋_GB2312" w:cs="仿宋_GB2312"/>
          <w:b w:val="0"/>
          <w:bCs/>
          <w:color w:val="000000"/>
          <w:sz w:val="32"/>
          <w:szCs w:val="32"/>
        </w:rPr>
      </w:pPr>
      <w:r>
        <w:rPr>
          <w:rStyle w:val="15"/>
          <w:rFonts w:hint="eastAsia" w:ascii="仿宋_GB2312" w:hAnsi="仿宋_GB2312" w:eastAsia="仿宋_GB2312" w:cs="仿宋_GB2312"/>
          <w:b w:val="0"/>
          <w:bCs/>
          <w:color w:val="000000"/>
          <w:sz w:val="32"/>
          <w:szCs w:val="32"/>
        </w:rPr>
        <w:t>10.</w:t>
      </w:r>
      <w:r>
        <w:rPr>
          <w:rFonts w:hint="eastAsia" w:ascii="仿宋_GB2312" w:hAnsi="仿宋_GB2312" w:eastAsia="仿宋_GB2312" w:cs="仿宋_GB2312"/>
          <w:color w:val="000000"/>
          <w:sz w:val="32"/>
          <w:szCs w:val="32"/>
        </w:rPr>
        <w:t>社会保障和就业支出（类）行政事业单位养老支出（款）机关事业单位职业年金缴费支出（项）:指反映机关事业单位实施养老保险制度由单位缴纳的职业年金支出。；社会保障和就业支出（类）其他社会和保障就业支出（款）其他社会和保障就业支出（项）指反映机关事业单位实施指反映机关事业单位实施保险制度由单位缴纳的其他社会和保障就业支出。</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11.基本支出：指为保障机构正常运转、完成日常工作任务而发生的人员支出和公用支出。</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12.项目支出：指在基本支出之外为完成特定行政任务和事业发展目标所发生的支出。</w:t>
      </w:r>
    </w:p>
    <w:p>
      <w:pPr>
        <w:pStyle w:val="17"/>
        <w:spacing w:line="5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00" w:lineRule="exact"/>
        <w:ind w:firstLine="640" w:firstLineChars="200"/>
        <w:jc w:val="both"/>
        <w:rPr>
          <w:rFonts w:ascii="黑体" w:hAnsi="黑体" w:eastAsia="黑体"/>
          <w:sz w:val="44"/>
          <w:szCs w:val="44"/>
        </w:rPr>
      </w:pPr>
      <w:r>
        <w:rPr>
          <w:rFonts w:hint="eastAsia" w:ascii="仿宋_GB2312" w:hAnsi="仿宋_GB2312" w:eastAsia="仿宋_GB2312" w:cs="仿宋_GB2312"/>
          <w:sz w:val="32"/>
          <w:szCs w:val="32"/>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Style w:val="27"/>
          <w:rFonts w:ascii="黑体" w:hAnsi="黑体" w:eastAsia="黑体"/>
          <w:b w:val="0"/>
        </w:rPr>
      </w:pPr>
      <w:bookmarkStart w:id="141" w:name="_Toc22663"/>
      <w:bookmarkStart w:id="142" w:name="_Toc26741"/>
      <w:bookmarkStart w:id="143" w:name="_Toc20001"/>
      <w:bookmarkStart w:id="144" w:name="_Toc17548"/>
      <w:bookmarkStart w:id="145" w:name="_Toc30782"/>
      <w:r>
        <w:rPr>
          <w:rStyle w:val="27"/>
          <w:rFonts w:hint="eastAsia" w:ascii="黑体" w:hAnsi="黑体" w:eastAsia="黑体"/>
          <w:b w:val="0"/>
        </w:rPr>
        <w:br w:type="page"/>
      </w:r>
    </w:p>
    <w:p>
      <w:pPr>
        <w:numPr>
          <w:ilvl w:val="0"/>
          <w:numId w:val="3"/>
        </w:numPr>
        <w:spacing w:line="576" w:lineRule="exact"/>
        <w:ind w:left="0" w:firstLine="660" w:firstLineChars="150"/>
        <w:jc w:val="center"/>
        <w:outlineLvl w:val="0"/>
        <w:rPr>
          <w:rStyle w:val="27"/>
          <w:rFonts w:ascii="黑体" w:hAnsi="黑体" w:eastAsia="黑体"/>
          <w:b w:val="0"/>
        </w:rPr>
      </w:pPr>
      <w:bookmarkStart w:id="146" w:name="_Toc4942"/>
      <w:r>
        <w:rPr>
          <w:rStyle w:val="27"/>
          <w:rFonts w:hint="eastAsia" w:ascii="黑体" w:hAnsi="黑体" w:eastAsia="黑体"/>
          <w:b w:val="0"/>
        </w:rPr>
        <w:t>附件</w:t>
      </w:r>
      <w:bookmarkEnd w:id="139"/>
      <w:bookmarkEnd w:id="141"/>
      <w:bookmarkEnd w:id="142"/>
      <w:bookmarkEnd w:id="143"/>
      <w:bookmarkEnd w:id="144"/>
      <w:bookmarkEnd w:id="145"/>
      <w:bookmarkEnd w:id="146"/>
    </w:p>
    <w:p>
      <w:pPr>
        <w:numPr>
          <w:ilvl w:val="0"/>
          <w:numId w:val="0"/>
        </w:numPr>
        <w:spacing w:line="576" w:lineRule="exact"/>
        <w:ind w:leftChars="150"/>
        <w:jc w:val="both"/>
        <w:outlineLvl w:val="0"/>
        <w:rPr>
          <w:rStyle w:val="27"/>
          <w:rFonts w:hint="eastAsia" w:ascii="黑体" w:hAnsi="黑体" w:eastAsia="黑体"/>
          <w:b w:val="0"/>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1"/>
        <w:rPr>
          <w:rFonts w:hint="eastAsia" w:ascii="方正小标宋_GBK" w:eastAsia="方正小标宋_GBK"/>
          <w:bCs/>
          <w:sz w:val="44"/>
          <w:szCs w:val="44"/>
          <w:highlight w:val="none"/>
          <w:lang w:val="en-US" w:eastAsia="zh-CN"/>
        </w:rPr>
      </w:pPr>
      <w:bookmarkStart w:id="147" w:name="_Toc14705"/>
      <w:r>
        <w:rPr>
          <w:rFonts w:hint="eastAsia" w:ascii="方正小标宋_GBK" w:eastAsia="方正小标宋_GBK"/>
          <w:bCs/>
          <w:sz w:val="44"/>
          <w:szCs w:val="44"/>
          <w:highlight w:val="none"/>
        </w:rPr>
        <w:t>广元市</w:t>
      </w:r>
      <w:bookmarkEnd w:id="147"/>
      <w:r>
        <w:rPr>
          <w:rFonts w:hint="eastAsia" w:ascii="方正小标宋_GBK" w:eastAsia="方正小标宋_GBK"/>
          <w:bCs/>
          <w:sz w:val="44"/>
          <w:szCs w:val="44"/>
          <w:highlight w:val="none"/>
          <w:lang w:eastAsia="zh-CN"/>
        </w:rPr>
        <w:t>国土空间规划编制研究中心</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方正小标宋_GBK" w:eastAsia="方正小标宋_GBK"/>
          <w:bCs/>
          <w:sz w:val="44"/>
          <w:szCs w:val="44"/>
          <w:highlight w:val="none"/>
          <w:lang w:eastAsia="zh-CN"/>
        </w:rPr>
      </w:pPr>
      <w:bookmarkStart w:id="148" w:name="_Toc10376"/>
      <w:r>
        <w:rPr>
          <w:rFonts w:hint="eastAsia" w:ascii="方正小标宋_GBK" w:eastAsia="方正小标宋_GBK"/>
          <w:bCs/>
          <w:sz w:val="44"/>
          <w:szCs w:val="44"/>
          <w:highlight w:val="none"/>
        </w:rPr>
        <w:t>2022年</w:t>
      </w:r>
      <w:r>
        <w:rPr>
          <w:rFonts w:hint="eastAsia" w:ascii="方正小标宋_GBK" w:eastAsia="方正小标宋_GBK"/>
          <w:bCs/>
          <w:sz w:val="44"/>
          <w:szCs w:val="44"/>
          <w:highlight w:val="none"/>
          <w:lang w:eastAsia="zh-CN"/>
        </w:rPr>
        <w:t>单位预算项目支出</w:t>
      </w:r>
      <w:r>
        <w:rPr>
          <w:rFonts w:hint="eastAsia" w:ascii="方正小标宋_GBK" w:eastAsia="方正小标宋_GBK"/>
          <w:bCs/>
          <w:sz w:val="44"/>
          <w:szCs w:val="44"/>
          <w:highlight w:val="none"/>
        </w:rPr>
        <w:t>绩效自评</w:t>
      </w:r>
      <w:r>
        <w:rPr>
          <w:rFonts w:hint="eastAsia" w:ascii="方正小标宋_GBK" w:eastAsia="方正小标宋_GBK"/>
          <w:bCs/>
          <w:sz w:val="44"/>
          <w:szCs w:val="44"/>
          <w:highlight w:val="none"/>
          <w:lang w:eastAsia="zh-CN"/>
        </w:rPr>
        <w:t>表</w:t>
      </w:r>
      <w:bookmarkEnd w:id="148"/>
    </w:p>
    <w:p>
      <w:pPr>
        <w:numPr>
          <w:ilvl w:val="0"/>
          <w:numId w:val="0"/>
        </w:numPr>
        <w:spacing w:line="576" w:lineRule="exact"/>
        <w:ind w:leftChars="150"/>
        <w:jc w:val="both"/>
        <w:outlineLvl w:val="0"/>
        <w:rPr>
          <w:rStyle w:val="27"/>
          <w:rFonts w:hint="eastAsia" w:ascii="黑体" w:hAnsi="黑体" w:eastAsia="黑体"/>
          <w:b w:val="0"/>
        </w:rPr>
      </w:pPr>
    </w:p>
    <w:p>
      <w:pPr>
        <w:spacing w:line="576" w:lineRule="exact"/>
        <w:ind w:left="315" w:leftChars="150"/>
        <w:outlineLvl w:val="0"/>
        <w:rPr>
          <w:rStyle w:val="27"/>
          <w:rFonts w:ascii="黑体" w:hAnsi="黑体" w:eastAsia="黑体"/>
          <w:b w:val="0"/>
        </w:rPr>
      </w:pPr>
    </w:p>
    <w:bookmarkEnd w:id="140"/>
    <w:p>
      <w:pPr>
        <w:rPr>
          <w:rFonts w:ascii="仿宋_GB2312" w:eastAsia="仿宋_GB2312"/>
          <w:sz w:val="32"/>
        </w:rPr>
        <w:sectPr>
          <w:footerReference r:id="rId5" w:type="default"/>
          <w:pgSz w:w="11906" w:h="16838"/>
          <w:pgMar w:top="2098" w:right="1474" w:bottom="1984" w:left="1587" w:header="851" w:footer="1417" w:gutter="0"/>
          <w:pgNumType w:start="1"/>
          <w:cols w:space="0" w:num="1"/>
          <w:rtlGutter w:val="0"/>
          <w:docGrid w:type="lines" w:linePitch="315" w:charSpace="0"/>
        </w:sectPr>
      </w:pPr>
    </w:p>
    <w:tbl>
      <w:tblPr>
        <w:tblStyle w:val="13"/>
        <w:tblW w:w="146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2"/>
        <w:gridCol w:w="2043"/>
        <w:gridCol w:w="1777"/>
        <w:gridCol w:w="2260"/>
        <w:gridCol w:w="545"/>
        <w:gridCol w:w="1670"/>
        <w:gridCol w:w="543"/>
        <w:gridCol w:w="1127"/>
        <w:gridCol w:w="664"/>
        <w:gridCol w:w="664"/>
        <w:gridCol w:w="2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14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2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7"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9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1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51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0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保障人员工资按月足额发放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175.89</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250.81</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250.81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175.89</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250.81</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250.81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106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资金无结余，预算执行率100%。自评得分100分。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73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3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pPr>
        <w:rPr>
          <w:rFonts w:ascii="仿宋_GB2312" w:eastAsia="仿宋_GB2312"/>
          <w:sz w:val="32"/>
        </w:rPr>
      </w:pPr>
      <w:r>
        <w:rPr>
          <w:rFonts w:ascii="仿宋_GB2312" w:eastAsia="仿宋_GB2312"/>
          <w:sz w:val="32"/>
        </w:rPr>
        <w:br w:type="page"/>
      </w:r>
    </w:p>
    <w:tbl>
      <w:tblPr>
        <w:tblStyle w:val="13"/>
        <w:tblW w:w="145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9"/>
        <w:gridCol w:w="2058"/>
        <w:gridCol w:w="1779"/>
        <w:gridCol w:w="2267"/>
        <w:gridCol w:w="537"/>
        <w:gridCol w:w="1680"/>
        <w:gridCol w:w="542"/>
        <w:gridCol w:w="1123"/>
        <w:gridCol w:w="661"/>
        <w:gridCol w:w="661"/>
        <w:gridCol w:w="2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145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2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3"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8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0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50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按月足额发放退休人员生活补助。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7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8" w:hRule="atLeast"/>
        </w:trPr>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106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87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87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87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73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23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pPr>
        <w:rPr>
          <w:rFonts w:ascii="仿宋_GB2312" w:eastAsia="仿宋_GB2312"/>
          <w:sz w:val="32"/>
        </w:rPr>
      </w:pPr>
      <w:r>
        <w:rPr>
          <w:rFonts w:ascii="仿宋_GB2312" w:eastAsia="仿宋_GB2312"/>
          <w:sz w:val="32"/>
        </w:rPr>
        <w:br w:type="page"/>
      </w:r>
    </w:p>
    <w:tbl>
      <w:tblPr>
        <w:tblStyle w:val="13"/>
        <w:tblW w:w="145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7"/>
        <w:gridCol w:w="2070"/>
        <w:gridCol w:w="1787"/>
        <w:gridCol w:w="2302"/>
        <w:gridCol w:w="537"/>
        <w:gridCol w:w="1691"/>
        <w:gridCol w:w="544"/>
        <w:gridCol w:w="1122"/>
        <w:gridCol w:w="659"/>
        <w:gridCol w:w="576"/>
        <w:gridCol w:w="2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45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6"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9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8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保障单位日常运转，单位参公人员交通补贴按月足额发放，员工福利、工会、党建、退休人员活动经费，按《财务管理制度》报销。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7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108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8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8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8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trPr>
        <w:tc>
          <w:tcPr>
            <w:tcW w:w="74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1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7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6"/>
        <w:gridCol w:w="2075"/>
        <w:gridCol w:w="1800"/>
        <w:gridCol w:w="2293"/>
        <w:gridCol w:w="543"/>
        <w:gridCol w:w="1695"/>
        <w:gridCol w:w="546"/>
        <w:gridCol w:w="1134"/>
        <w:gridCol w:w="667"/>
        <w:gridCol w:w="667"/>
        <w:gridCol w:w="25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147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2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2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34"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9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0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8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50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按时足额发放事业人员工资。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237.55</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300.02</w:t>
            </w: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237.55</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300.02</w:t>
            </w: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1080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0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2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5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2096"/>
        <w:gridCol w:w="1805"/>
        <w:gridCol w:w="2308"/>
        <w:gridCol w:w="540"/>
        <w:gridCol w:w="1712"/>
        <w:gridCol w:w="544"/>
        <w:gridCol w:w="1127"/>
        <w:gridCol w:w="556"/>
        <w:gridCol w:w="556"/>
        <w:gridCol w:w="26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45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2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51080022R000006867036-退休“中人”一次性补贴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7"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9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退休“中人”一次性补贴，严格执行预算文件，足额发放到位。</w:t>
            </w:r>
          </w:p>
        </w:tc>
        <w:tc>
          <w:tcPr>
            <w:tcW w:w="4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按财政预算文件全额支付退休“中人”一次性补贴，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退休“中人”一次性补贴，严格执行预算文件，足额发放到位。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w:t>
            </w: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w:t>
            </w: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0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足额保障率</w:t>
            </w:r>
          </w:p>
        </w:tc>
        <w:tc>
          <w:tcPr>
            <w:tcW w:w="5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1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30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按时发放率</w:t>
            </w:r>
          </w:p>
        </w:tc>
        <w:tc>
          <w:tcPr>
            <w:tcW w:w="54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1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0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30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结余率（计算方法为：结余数/预算数）</w:t>
            </w:r>
          </w:p>
        </w:tc>
        <w:tc>
          <w:tcPr>
            <w:tcW w:w="54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1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5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08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8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8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8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7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1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5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7"/>
        <w:gridCol w:w="2090"/>
        <w:gridCol w:w="1801"/>
        <w:gridCol w:w="2302"/>
        <w:gridCol w:w="539"/>
        <w:gridCol w:w="1708"/>
        <w:gridCol w:w="541"/>
        <w:gridCol w:w="1125"/>
        <w:gridCol w:w="555"/>
        <w:gridCol w:w="555"/>
        <w:gridCol w:w="25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145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27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51080022R000006887034-职业年金做实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5"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8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按财政预算文件职业年金做实，及时足额支付到位.</w:t>
            </w:r>
          </w:p>
        </w:tc>
        <w:tc>
          <w:tcPr>
            <w:tcW w:w="48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按财政预算文件职业年金做实，及时足额支付到位，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按财政预算文件职业年金做实，及时足额支付到位.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w:t>
            </w: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w:t>
            </w: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7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0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足额保障率</w:t>
            </w:r>
          </w:p>
        </w:tc>
        <w:tc>
          <w:tcPr>
            <w:tcW w:w="53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30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按时发放率</w:t>
            </w:r>
          </w:p>
        </w:tc>
        <w:tc>
          <w:tcPr>
            <w:tcW w:w="53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30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结余率（计算方法为：结余数/预算数）</w:t>
            </w:r>
          </w:p>
        </w:tc>
        <w:tc>
          <w:tcPr>
            <w:tcW w:w="53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2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5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trPr>
        <w:tc>
          <w:tcPr>
            <w:tcW w:w="1081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trPr>
        <w:tc>
          <w:tcPr>
            <w:tcW w:w="74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0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2"/>
        <w:gridCol w:w="2119"/>
        <w:gridCol w:w="1825"/>
        <w:gridCol w:w="2334"/>
        <w:gridCol w:w="544"/>
        <w:gridCol w:w="1731"/>
        <w:gridCol w:w="546"/>
        <w:gridCol w:w="1133"/>
        <w:gridCol w:w="559"/>
        <w:gridCol w:w="486"/>
        <w:gridCol w:w="2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 w:hRule="atLeast"/>
        </w:trPr>
        <w:tc>
          <w:tcPr>
            <w:tcW w:w="146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51080022T000004938627-规委会专委会工作经费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34"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精心组织、筹备和服务于室规委会会议，及时对市规委会成员进行了调整、充实，根据专业性质不同增加了相关行业的专家委员。进一步延伸专委会审查深度，根据项目建设需要适时筹备专委会和规委会，服务广元国土空间规划建设，做好项目要素保障。</w:t>
            </w:r>
          </w:p>
        </w:tc>
        <w:tc>
          <w:tcPr>
            <w:tcW w:w="4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全面完成年初目标计划，全年召开市专委会45期、审查项目规划设计方案160个；筹备市规委会16期、审议项目规划设计方案80余个。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用于保障市专委会、规委会办公室职责履行，确保每次市专委会、市规委会会议完满完成，确保及时对市规委会成员进行调整、充实。进一步延伸市专委会、市规委会审查深度，推行“并联审查”，建立“小批量、多频次”审查机制，根据项目建设需要适时召开市专委会和筹备市规委会，更好服务广元规划建设，做好项目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召开专委会</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召开规委会</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方案审查</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设备维护费用</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审查前现场踏勘、租车支出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图纸资料制作</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专业档案整理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网络运行</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对城市规划影响</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通过相关部门认可通过率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109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9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9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9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75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0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5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1"/>
        <w:gridCol w:w="2098"/>
        <w:gridCol w:w="1809"/>
        <w:gridCol w:w="2312"/>
        <w:gridCol w:w="541"/>
        <w:gridCol w:w="1714"/>
        <w:gridCol w:w="544"/>
        <w:gridCol w:w="1128"/>
        <w:gridCol w:w="558"/>
        <w:gridCol w:w="558"/>
        <w:gridCol w:w="2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trPr>
        <w:tc>
          <w:tcPr>
            <w:tcW w:w="145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2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51080022T000004938888-国土空间规划编制工作经费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2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8"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认真履行规划编制职能职责，严格按照法定程序启动中心城区控规调整、专项规划调整、总体规划调整。邀请组织相关专家对项目进行现场踏勘指导，对经济技术指标充分论证，增强城市规划的科学性和权威性，服务广元城乡规划建设，做好项目要素保障。</w:t>
            </w:r>
          </w:p>
        </w:tc>
        <w:tc>
          <w:tcPr>
            <w:tcW w:w="4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完成5个中心城区控制性详细规划调整、完成8项专项规划调整。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认真履行规划编制职能职责，严格按照法定程序开展中心城区控规调整、专项规划调整、总体规划调整。邀请组织相关专家对项目进行现场踏勘指导，对经济技术指标充分论证，增强城市规划的科学性和权威性，服务广元城乡规划建设，做好项目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9"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中心城区控制性详细规划调整</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块</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专项规划调整</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专业档案整理</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现场踏勘咨询费</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图纸资料制作费</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从业行业人员专业培训</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优化广元城市规划建设、提升城市形象</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相关部门通过率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108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8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8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8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10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6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3"/>
        <w:gridCol w:w="2110"/>
        <w:gridCol w:w="1817"/>
        <w:gridCol w:w="2323"/>
        <w:gridCol w:w="544"/>
        <w:gridCol w:w="1725"/>
        <w:gridCol w:w="548"/>
        <w:gridCol w:w="1134"/>
        <w:gridCol w:w="560"/>
        <w:gridCol w:w="560"/>
        <w:gridCol w:w="26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4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8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51080022T000004939955-乡村振兴工作经费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34"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9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完成2022年昭化区清水镇石庙村乡村55户结对帮扶振兴任务，通过结对帮扶改善居民生活环境、增加收入等</w:t>
            </w:r>
          </w:p>
        </w:tc>
        <w:tc>
          <w:tcPr>
            <w:tcW w:w="48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通过针对帮扶，完成2022年昭化区清水镇石庙村55户结对帮扶振兴任务，通过结对帮扶改善居民生活环境、增加收入等。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2022年是巩固脱贫攻坚成果同乡村振兴有效衔接的关键之年，按照市委市政府安排部署，巩固脱贫成果，接续乡村振兴，提升帮扶质效，全面做好昭化区清水镇石庙村2022年结对帮扶振兴工作。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结对帮扶户</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结对帮扶村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驻村帮扶人员生活补助</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农村生活水平</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2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09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94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75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15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7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123"/>
        <w:gridCol w:w="1833"/>
        <w:gridCol w:w="1938"/>
        <w:gridCol w:w="951"/>
        <w:gridCol w:w="1468"/>
        <w:gridCol w:w="820"/>
        <w:gridCol w:w="1141"/>
        <w:gridCol w:w="564"/>
        <w:gridCol w:w="564"/>
        <w:gridCol w:w="2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47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8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51080022T000005594673-规划设计专项资金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8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41"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9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7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完成《广元历史文化名城保护规划（2017-2035）》修编和老城片区城市更新综合提升改造规划编制。</w:t>
            </w:r>
          </w:p>
        </w:tc>
        <w:tc>
          <w:tcPr>
            <w:tcW w:w="49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《广元历史文化名城保护规划（2017-2035）》修编方案获省政府批复，老城片区城市更新综合提升改造规划通过市规委会审议。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1"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中办国办印发的《关于在城乡建设中加强历史文化保护传承的意见》，对新时代城乡建设中加强历史文化保护传承提出的新要求，处理好城市开发与历史文化遗产保护的关系，传承和发展广元历史文化名城价值特色及内涵，完善历史文化保护内容及传承体系。深入贯彻落实市第八次党代会精神，围绕加快建设“美丽广元、幸福家园”目标，推进落实市委市政府关于创建全国文明城市要求，优化城市结构，完善功能配套，提升城市品质，科学推进老城片区城市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144.40</w:t>
            </w: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142.63</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98.78%</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144.40</w:t>
            </w: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142.63</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98.78%</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71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32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7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833"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3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5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6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2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4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6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6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3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7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规划编制</w:t>
            </w:r>
          </w:p>
        </w:tc>
        <w:tc>
          <w:tcPr>
            <w:tcW w:w="9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1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71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规划方案</w:t>
            </w:r>
          </w:p>
        </w:tc>
        <w:tc>
          <w:tcPr>
            <w:tcW w:w="9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通过专委会、规委会、常务会审查和省政府审批</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1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通过专委会、规委会、常务会审查和省政府审批</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71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9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1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规划设计费</w:t>
            </w:r>
          </w:p>
        </w:tc>
        <w:tc>
          <w:tcPr>
            <w:tcW w:w="9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157.8</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1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157.8</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71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83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93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对城市生态的影响</w:t>
            </w:r>
          </w:p>
        </w:tc>
        <w:tc>
          <w:tcPr>
            <w:tcW w:w="95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14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3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对城市规划影响</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12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相关部门通过率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109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0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0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0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项目负责人：俞正军</w:t>
            </w:r>
          </w:p>
        </w:tc>
        <w:tc>
          <w:tcPr>
            <w:tcW w:w="71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2065"/>
        <w:gridCol w:w="1788"/>
        <w:gridCol w:w="2308"/>
        <w:gridCol w:w="541"/>
        <w:gridCol w:w="1688"/>
        <w:gridCol w:w="545"/>
        <w:gridCol w:w="1125"/>
        <w:gridCol w:w="665"/>
        <w:gridCol w:w="665"/>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146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9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5"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0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8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50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保障单位日常运转，严格执行预算按月按进度支付相关费用，资金无结余，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9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保障单位日常运转，单位参公人员交通补贴按月足额发放，员工福利、工会、党建、退休人员活动经费，按《财务管理制度》报销。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53.56</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95.63%</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53.56</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51.22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95.63%</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27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07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9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9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9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74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26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bl>
    <w:p>
      <w:r>
        <w:br w:type="page"/>
      </w:r>
    </w:p>
    <w:tbl>
      <w:tblPr>
        <w:tblStyle w:val="13"/>
        <w:tblW w:w="14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0"/>
        <w:gridCol w:w="2064"/>
        <w:gridCol w:w="1780"/>
        <w:gridCol w:w="2275"/>
        <w:gridCol w:w="540"/>
        <w:gridCol w:w="1687"/>
        <w:gridCol w:w="545"/>
        <w:gridCol w:w="1123"/>
        <w:gridCol w:w="662"/>
        <w:gridCol w:w="662"/>
        <w:gridCol w:w="25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trPr>
        <w:tc>
          <w:tcPr>
            <w:tcW w:w="146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单位预算项目支出绩效自评表（2022年度）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8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广元市国土空间规划编制研究中心部门</w:t>
            </w:r>
          </w:p>
        </w:tc>
        <w:tc>
          <w:tcPr>
            <w:tcW w:w="1123"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广元市国土空间规划编制研究中心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0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68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及时足额发放基础绩效奖励及退休人员生活补助</w:t>
            </w:r>
          </w:p>
        </w:tc>
        <w:tc>
          <w:tcPr>
            <w:tcW w:w="50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按预算文件及时足额发放基础绩效奖励及退休人员生活补助，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84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按预算文件及时足额发放基础绩效奖励及退休人员生活补助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51.77</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51.77</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107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9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7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项目负责人：尚海</w:t>
            </w:r>
          </w:p>
        </w:tc>
        <w:tc>
          <w:tcPr>
            <w:tcW w:w="7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财务负责人：尚海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14620" w:type="dxa"/>
            <w:gridSpan w:val="11"/>
            <w:tcBorders>
              <w:top w:val="single" w:color="000000" w:sz="4" w:space="0"/>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4620" w:type="dxa"/>
            <w:gridSpan w:val="11"/>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4620" w:type="dxa"/>
            <w:gridSpan w:val="11"/>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14620" w:type="dxa"/>
            <w:gridSpan w:val="11"/>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sectPr>
          <w:pgSz w:w="16838" w:h="11906" w:orient="landscape"/>
          <w:pgMar w:top="1134" w:right="1134" w:bottom="1134" w:left="1134" w:header="851" w:footer="850" w:gutter="0"/>
          <w:cols w:space="0" w:num="1"/>
          <w:docGrid w:type="lines" w:linePitch="315" w:charSpace="0"/>
        </w:sectPr>
      </w:pPr>
      <w:r>
        <w:br w:type="page"/>
      </w:r>
    </w:p>
    <w:p>
      <w:pPr>
        <w:spacing w:line="576" w:lineRule="exact"/>
        <w:jc w:val="center"/>
        <w:outlineLvl w:val="0"/>
        <w:rPr>
          <w:rFonts w:ascii="仿宋" w:hAnsi="仿宋" w:eastAsia="仿宋"/>
        </w:rPr>
      </w:pPr>
      <w:bookmarkStart w:id="149" w:name="_Toc8069"/>
      <w:bookmarkStart w:id="150" w:name="_Toc31627"/>
      <w:bookmarkStart w:id="151" w:name="_Toc7468"/>
      <w:bookmarkStart w:id="152" w:name="_Toc3168"/>
      <w:bookmarkStart w:id="153" w:name="_Toc14712"/>
      <w:bookmarkStart w:id="154" w:name="_Toc10108"/>
      <w:bookmarkStart w:id="155" w:name="_Toc15396618"/>
      <w:bookmarkStart w:id="156" w:name="_Toc29495"/>
      <w:r>
        <w:rPr>
          <w:rFonts w:hint="eastAsia" w:ascii="黑体" w:hAnsi="黑体" w:eastAsia="黑体"/>
          <w:sz w:val="44"/>
          <w:szCs w:val="44"/>
        </w:rPr>
        <w:t>第</w:t>
      </w:r>
      <w:r>
        <w:rPr>
          <w:rStyle w:val="27"/>
          <w:rFonts w:hint="eastAsia" w:ascii="黑体" w:hAnsi="黑体" w:eastAsia="黑体"/>
          <w:b w:val="0"/>
        </w:rPr>
        <w:t>五部分</w:t>
      </w:r>
      <w:r>
        <w:rPr>
          <w:rStyle w:val="27"/>
          <w:rFonts w:hint="eastAsia" w:ascii="黑体" w:hAnsi="黑体" w:eastAsia="黑体"/>
          <w:b w:val="0"/>
          <w:lang w:val="en-US" w:eastAsia="zh-CN"/>
        </w:rPr>
        <w:t xml:space="preserve"> </w:t>
      </w:r>
      <w:r>
        <w:rPr>
          <w:rStyle w:val="27"/>
          <w:rFonts w:hint="eastAsia" w:ascii="黑体" w:hAnsi="黑体" w:eastAsia="黑体"/>
          <w:b w:val="0"/>
        </w:rPr>
        <w:t xml:space="preserve"> 附表</w:t>
      </w:r>
      <w:bookmarkEnd w:id="149"/>
      <w:bookmarkEnd w:id="150"/>
      <w:bookmarkEnd w:id="151"/>
      <w:bookmarkEnd w:id="152"/>
      <w:bookmarkEnd w:id="153"/>
      <w:bookmarkEnd w:id="154"/>
      <w:bookmarkEnd w:id="155"/>
      <w:bookmarkEnd w:id="156"/>
      <w:bookmarkStart w:id="157" w:name="_Toc15396619"/>
    </w:p>
    <w:p>
      <w:pPr>
        <w:pStyle w:val="4"/>
        <w:spacing w:before="0" w:after="0" w:line="576" w:lineRule="exact"/>
        <w:rPr>
          <w:rFonts w:ascii="仿宋" w:hAnsi="仿宋" w:eastAsia="仿宋"/>
          <w:b w:val="0"/>
        </w:rPr>
      </w:pPr>
      <w:bookmarkStart w:id="158" w:name="_Toc4029"/>
      <w:bookmarkStart w:id="159" w:name="_Toc19752"/>
      <w:bookmarkStart w:id="160" w:name="_Toc19186"/>
      <w:bookmarkStart w:id="161" w:name="_Toc13853"/>
      <w:bookmarkStart w:id="162" w:name="_Toc32680"/>
      <w:bookmarkStart w:id="163" w:name="_Toc23117"/>
    </w:p>
    <w:p>
      <w:pPr>
        <w:pStyle w:val="4"/>
        <w:spacing w:before="0" w:after="0" w:line="576" w:lineRule="exact"/>
        <w:rPr>
          <w:rFonts w:hint="eastAsia" w:ascii="仿宋" w:hAnsi="仿宋" w:eastAsia="仿宋"/>
          <w:b w:val="0"/>
          <w:lang w:val="en-US" w:eastAsia="zh-CN"/>
        </w:rPr>
      </w:pPr>
      <w:bookmarkStart w:id="164" w:name="_Toc21217"/>
      <w:r>
        <w:rPr>
          <w:rFonts w:hint="eastAsia" w:ascii="仿宋" w:hAnsi="仿宋" w:eastAsia="仿宋"/>
          <w:b w:val="0"/>
          <w:lang w:val="en-US" w:eastAsia="zh-CN"/>
        </w:rPr>
        <w:t>一、收入支出决算总表</w:t>
      </w:r>
      <w:bookmarkEnd w:id="157"/>
      <w:bookmarkEnd w:id="158"/>
      <w:bookmarkEnd w:id="159"/>
      <w:bookmarkEnd w:id="160"/>
      <w:bookmarkEnd w:id="161"/>
      <w:bookmarkEnd w:id="162"/>
      <w:bookmarkEnd w:id="163"/>
      <w:bookmarkEnd w:id="164"/>
    </w:p>
    <w:p>
      <w:pPr>
        <w:pStyle w:val="4"/>
        <w:spacing w:before="0" w:after="0" w:line="576" w:lineRule="exact"/>
        <w:rPr>
          <w:rFonts w:hint="eastAsia" w:ascii="仿宋" w:hAnsi="仿宋" w:eastAsia="仿宋"/>
          <w:b w:val="0"/>
          <w:lang w:val="en-US" w:eastAsia="zh-CN"/>
        </w:rPr>
      </w:pPr>
      <w:bookmarkStart w:id="165" w:name="_Toc32139"/>
      <w:bookmarkStart w:id="166" w:name="_Toc234"/>
      <w:bookmarkStart w:id="167" w:name="_Toc29193"/>
      <w:bookmarkStart w:id="168" w:name="_Toc11722"/>
      <w:bookmarkStart w:id="169" w:name="_Toc15396620"/>
      <w:bookmarkStart w:id="170" w:name="_Toc22045"/>
      <w:bookmarkStart w:id="171" w:name="_Toc15164"/>
      <w:bookmarkStart w:id="172" w:name="_Toc11537"/>
      <w:r>
        <w:rPr>
          <w:rFonts w:hint="eastAsia" w:ascii="仿宋" w:hAnsi="仿宋" w:eastAsia="仿宋"/>
          <w:b w:val="0"/>
          <w:lang w:val="en-US" w:eastAsia="zh-CN"/>
        </w:rPr>
        <w:t>二、收入决算表</w:t>
      </w:r>
      <w:bookmarkEnd w:id="165"/>
      <w:bookmarkEnd w:id="166"/>
      <w:bookmarkEnd w:id="167"/>
      <w:bookmarkEnd w:id="168"/>
      <w:bookmarkEnd w:id="169"/>
      <w:bookmarkEnd w:id="170"/>
      <w:bookmarkEnd w:id="171"/>
      <w:bookmarkEnd w:id="172"/>
    </w:p>
    <w:p>
      <w:pPr>
        <w:pStyle w:val="4"/>
        <w:spacing w:before="0" w:after="0" w:line="576" w:lineRule="exact"/>
        <w:rPr>
          <w:rFonts w:hint="eastAsia" w:ascii="仿宋" w:hAnsi="仿宋" w:eastAsia="仿宋"/>
          <w:b w:val="0"/>
          <w:lang w:val="en-US" w:eastAsia="zh-CN"/>
        </w:rPr>
      </w:pPr>
      <w:bookmarkStart w:id="173" w:name="_Toc13821"/>
      <w:bookmarkStart w:id="174" w:name="_Toc2887"/>
      <w:bookmarkStart w:id="175" w:name="_Toc28090"/>
      <w:bookmarkStart w:id="176" w:name="_Toc15396621"/>
      <w:bookmarkStart w:id="177" w:name="_Toc22163"/>
      <w:bookmarkStart w:id="178" w:name="_Toc16760"/>
      <w:bookmarkStart w:id="179" w:name="_Toc28119"/>
      <w:bookmarkStart w:id="180" w:name="_Toc21640"/>
      <w:r>
        <w:rPr>
          <w:rFonts w:hint="eastAsia" w:ascii="仿宋" w:hAnsi="仿宋" w:eastAsia="仿宋"/>
          <w:b w:val="0"/>
          <w:lang w:val="en-US" w:eastAsia="zh-CN"/>
        </w:rPr>
        <w:t>三、支出决算表</w:t>
      </w:r>
      <w:bookmarkEnd w:id="173"/>
      <w:bookmarkEnd w:id="174"/>
      <w:bookmarkEnd w:id="175"/>
      <w:bookmarkEnd w:id="176"/>
      <w:bookmarkEnd w:id="177"/>
      <w:bookmarkEnd w:id="178"/>
      <w:bookmarkEnd w:id="179"/>
      <w:bookmarkEnd w:id="180"/>
    </w:p>
    <w:p>
      <w:pPr>
        <w:pStyle w:val="4"/>
        <w:spacing w:before="0" w:after="0" w:line="576" w:lineRule="exact"/>
        <w:rPr>
          <w:rFonts w:hint="eastAsia" w:ascii="仿宋" w:hAnsi="仿宋" w:eastAsia="仿宋"/>
          <w:b w:val="0"/>
          <w:lang w:val="en-US" w:eastAsia="zh-CN"/>
        </w:rPr>
      </w:pPr>
      <w:bookmarkStart w:id="181" w:name="_Toc27380"/>
      <w:bookmarkStart w:id="182" w:name="_Toc4351"/>
      <w:bookmarkStart w:id="183" w:name="_Toc19465"/>
      <w:bookmarkStart w:id="184" w:name="_Toc12490"/>
      <w:bookmarkStart w:id="185" w:name="_Toc16964"/>
      <w:bookmarkStart w:id="186" w:name="_Toc8346"/>
      <w:bookmarkStart w:id="187" w:name="_Toc15396622"/>
      <w:bookmarkStart w:id="188" w:name="_Toc12717"/>
      <w:r>
        <w:rPr>
          <w:rFonts w:hint="eastAsia" w:ascii="仿宋" w:hAnsi="仿宋" w:eastAsia="仿宋"/>
          <w:b w:val="0"/>
          <w:lang w:val="en-US" w:eastAsia="zh-CN"/>
        </w:rPr>
        <w:t>四、财政拨款收入支出决算总表</w:t>
      </w:r>
      <w:bookmarkEnd w:id="181"/>
      <w:bookmarkEnd w:id="182"/>
      <w:bookmarkEnd w:id="183"/>
      <w:bookmarkEnd w:id="184"/>
      <w:bookmarkEnd w:id="185"/>
      <w:bookmarkEnd w:id="186"/>
      <w:bookmarkEnd w:id="187"/>
      <w:bookmarkEnd w:id="188"/>
    </w:p>
    <w:p>
      <w:pPr>
        <w:pStyle w:val="4"/>
        <w:spacing w:before="0" w:after="0" w:line="576" w:lineRule="exact"/>
        <w:rPr>
          <w:rFonts w:hint="eastAsia" w:ascii="仿宋" w:hAnsi="仿宋" w:eastAsia="仿宋"/>
          <w:b w:val="0"/>
          <w:lang w:val="en-US" w:eastAsia="zh-CN"/>
        </w:rPr>
      </w:pPr>
      <w:bookmarkStart w:id="189" w:name="_Toc13663"/>
      <w:bookmarkStart w:id="190" w:name="_Toc22206"/>
      <w:bookmarkStart w:id="191" w:name="_Toc2731"/>
      <w:bookmarkStart w:id="192" w:name="_Toc10388"/>
      <w:bookmarkStart w:id="193" w:name="_Toc15396623"/>
      <w:bookmarkStart w:id="194" w:name="_Toc8349"/>
      <w:bookmarkStart w:id="195" w:name="_Toc18486"/>
      <w:bookmarkStart w:id="196" w:name="_Toc10067"/>
      <w:r>
        <w:rPr>
          <w:rFonts w:hint="eastAsia" w:ascii="仿宋" w:hAnsi="仿宋" w:eastAsia="仿宋"/>
          <w:b w:val="0"/>
          <w:lang w:val="en-US" w:eastAsia="zh-CN"/>
        </w:rPr>
        <w:t>五、财政拨款支出决算明细表</w:t>
      </w:r>
      <w:bookmarkEnd w:id="189"/>
      <w:bookmarkEnd w:id="190"/>
      <w:bookmarkEnd w:id="191"/>
      <w:bookmarkEnd w:id="192"/>
      <w:bookmarkEnd w:id="193"/>
      <w:bookmarkEnd w:id="194"/>
      <w:bookmarkEnd w:id="195"/>
      <w:bookmarkEnd w:id="196"/>
      <w:bookmarkStart w:id="197" w:name="_Toc15396624"/>
    </w:p>
    <w:p>
      <w:pPr>
        <w:pStyle w:val="4"/>
        <w:spacing w:before="0" w:after="0" w:line="576" w:lineRule="exact"/>
        <w:rPr>
          <w:rFonts w:hint="eastAsia" w:ascii="仿宋" w:hAnsi="仿宋" w:eastAsia="仿宋"/>
          <w:b w:val="0"/>
          <w:lang w:val="en-US" w:eastAsia="zh-CN"/>
        </w:rPr>
      </w:pPr>
      <w:bookmarkStart w:id="198" w:name="_Toc27947"/>
      <w:bookmarkStart w:id="199" w:name="_Toc21270"/>
      <w:bookmarkStart w:id="200" w:name="_Toc20345"/>
      <w:bookmarkStart w:id="201" w:name="_Toc20874"/>
      <w:bookmarkStart w:id="202" w:name="_Toc16783"/>
      <w:bookmarkStart w:id="203" w:name="_Toc10377"/>
      <w:bookmarkStart w:id="204" w:name="_Toc20386"/>
      <w:r>
        <w:rPr>
          <w:rFonts w:hint="eastAsia" w:ascii="仿宋" w:hAnsi="仿宋" w:eastAsia="仿宋"/>
          <w:b w:val="0"/>
          <w:lang w:val="en-US" w:eastAsia="zh-CN"/>
        </w:rPr>
        <w:t>六、一般公共预算财政拨款支出决算表</w:t>
      </w:r>
      <w:bookmarkEnd w:id="197"/>
      <w:bookmarkEnd w:id="198"/>
      <w:bookmarkEnd w:id="199"/>
      <w:bookmarkEnd w:id="200"/>
      <w:bookmarkEnd w:id="201"/>
      <w:bookmarkEnd w:id="202"/>
      <w:bookmarkEnd w:id="203"/>
      <w:bookmarkEnd w:id="204"/>
    </w:p>
    <w:p>
      <w:pPr>
        <w:pStyle w:val="4"/>
        <w:spacing w:before="0" w:after="0" w:line="576" w:lineRule="exact"/>
        <w:rPr>
          <w:rFonts w:hint="eastAsia" w:ascii="仿宋" w:hAnsi="仿宋" w:eastAsia="仿宋"/>
          <w:b w:val="0"/>
          <w:lang w:val="en-US" w:eastAsia="zh-CN"/>
        </w:rPr>
      </w:pPr>
      <w:bookmarkStart w:id="205" w:name="_Toc596"/>
      <w:bookmarkStart w:id="206" w:name="_Toc3281"/>
      <w:bookmarkStart w:id="207" w:name="_Toc15396625"/>
      <w:bookmarkStart w:id="208" w:name="_Toc6160"/>
      <w:bookmarkStart w:id="209" w:name="_Toc13469"/>
      <w:bookmarkStart w:id="210" w:name="_Toc20668"/>
      <w:bookmarkStart w:id="211" w:name="_Toc24277"/>
      <w:bookmarkStart w:id="212" w:name="_Toc17299"/>
      <w:r>
        <w:rPr>
          <w:rFonts w:hint="eastAsia" w:ascii="仿宋" w:hAnsi="仿宋" w:eastAsia="仿宋"/>
          <w:b w:val="0"/>
          <w:lang w:val="en-US" w:eastAsia="zh-CN"/>
        </w:rPr>
        <w:t>七、一般公共预算财政拨款支出决算明细表</w:t>
      </w:r>
      <w:bookmarkEnd w:id="205"/>
      <w:bookmarkEnd w:id="206"/>
      <w:bookmarkEnd w:id="207"/>
      <w:bookmarkEnd w:id="208"/>
      <w:bookmarkEnd w:id="209"/>
      <w:bookmarkEnd w:id="210"/>
      <w:bookmarkEnd w:id="211"/>
      <w:bookmarkEnd w:id="212"/>
    </w:p>
    <w:p>
      <w:pPr>
        <w:pStyle w:val="4"/>
        <w:spacing w:before="0" w:after="0" w:line="576" w:lineRule="exact"/>
        <w:rPr>
          <w:rFonts w:hint="eastAsia" w:ascii="仿宋" w:hAnsi="仿宋" w:eastAsia="仿宋"/>
          <w:b w:val="0"/>
          <w:lang w:val="en-US" w:eastAsia="zh-CN"/>
        </w:rPr>
      </w:pPr>
      <w:bookmarkStart w:id="213" w:name="_Toc3671"/>
      <w:bookmarkStart w:id="214" w:name="_Toc388"/>
      <w:bookmarkStart w:id="215" w:name="_Toc26419"/>
      <w:bookmarkStart w:id="216" w:name="_Toc9451"/>
      <w:bookmarkStart w:id="217" w:name="_Toc32537"/>
      <w:bookmarkStart w:id="218" w:name="_Toc1725"/>
      <w:bookmarkStart w:id="219" w:name="_Toc15396626"/>
      <w:bookmarkStart w:id="220" w:name="_Toc10297"/>
      <w:r>
        <w:rPr>
          <w:rFonts w:hint="eastAsia" w:ascii="仿宋" w:hAnsi="仿宋" w:eastAsia="仿宋"/>
          <w:b w:val="0"/>
          <w:lang w:val="en-US" w:eastAsia="zh-CN"/>
        </w:rPr>
        <w:t>八、一般公共预算财政拨款基本支出决算表</w:t>
      </w:r>
      <w:bookmarkEnd w:id="213"/>
      <w:bookmarkEnd w:id="214"/>
      <w:bookmarkEnd w:id="215"/>
      <w:bookmarkEnd w:id="216"/>
      <w:bookmarkEnd w:id="217"/>
      <w:bookmarkEnd w:id="218"/>
      <w:bookmarkEnd w:id="219"/>
      <w:bookmarkEnd w:id="220"/>
    </w:p>
    <w:p>
      <w:pPr>
        <w:pStyle w:val="4"/>
        <w:spacing w:before="0" w:after="0" w:line="576" w:lineRule="exact"/>
        <w:rPr>
          <w:rFonts w:hint="eastAsia" w:ascii="仿宋" w:hAnsi="仿宋" w:eastAsia="仿宋"/>
          <w:b w:val="0"/>
          <w:lang w:val="en-US" w:eastAsia="zh-CN"/>
        </w:rPr>
      </w:pPr>
      <w:bookmarkStart w:id="221" w:name="_Toc29171"/>
      <w:bookmarkStart w:id="222" w:name="_Toc373"/>
      <w:bookmarkStart w:id="223" w:name="_Toc15396627"/>
      <w:bookmarkStart w:id="224" w:name="_Toc30488"/>
      <w:bookmarkStart w:id="225" w:name="_Toc20744"/>
      <w:bookmarkStart w:id="226" w:name="_Toc12202"/>
      <w:bookmarkStart w:id="227" w:name="_Toc14797"/>
      <w:bookmarkStart w:id="228" w:name="_Toc8186"/>
      <w:r>
        <w:rPr>
          <w:rFonts w:hint="eastAsia" w:ascii="仿宋" w:hAnsi="仿宋" w:eastAsia="仿宋"/>
          <w:b w:val="0"/>
          <w:lang w:val="en-US" w:eastAsia="zh-CN"/>
        </w:rPr>
        <w:t>九、一般公共预算财政拨款项目支出决算表</w:t>
      </w:r>
      <w:bookmarkEnd w:id="221"/>
      <w:bookmarkEnd w:id="222"/>
      <w:bookmarkEnd w:id="223"/>
      <w:bookmarkEnd w:id="224"/>
      <w:bookmarkEnd w:id="225"/>
      <w:bookmarkEnd w:id="226"/>
      <w:bookmarkEnd w:id="227"/>
      <w:bookmarkEnd w:id="228"/>
    </w:p>
    <w:p>
      <w:pPr>
        <w:pStyle w:val="4"/>
        <w:spacing w:before="0" w:after="0" w:line="576" w:lineRule="exact"/>
        <w:rPr>
          <w:rFonts w:hint="eastAsia" w:ascii="仿宋" w:hAnsi="仿宋" w:eastAsia="仿宋"/>
          <w:b w:val="0"/>
          <w:lang w:val="en-US" w:eastAsia="zh-CN"/>
        </w:rPr>
      </w:pPr>
      <w:bookmarkStart w:id="229" w:name="_Toc8933"/>
      <w:bookmarkStart w:id="230" w:name="_Toc16695"/>
      <w:bookmarkStart w:id="231" w:name="_Toc15396628"/>
      <w:bookmarkStart w:id="232" w:name="_Toc29703"/>
      <w:bookmarkStart w:id="233" w:name="_Toc2901"/>
      <w:bookmarkStart w:id="234" w:name="_Toc4489"/>
      <w:bookmarkStart w:id="235" w:name="_Toc20797"/>
      <w:bookmarkStart w:id="236" w:name="_Toc30284"/>
      <w:r>
        <w:rPr>
          <w:rFonts w:hint="eastAsia" w:ascii="仿宋" w:hAnsi="仿宋" w:eastAsia="仿宋"/>
          <w:b w:val="0"/>
          <w:lang w:val="en-US" w:eastAsia="zh-CN"/>
        </w:rPr>
        <w:t>十、</w:t>
      </w:r>
      <w:bookmarkEnd w:id="229"/>
      <w:bookmarkEnd w:id="230"/>
      <w:bookmarkEnd w:id="231"/>
      <w:bookmarkEnd w:id="232"/>
      <w:bookmarkEnd w:id="233"/>
      <w:bookmarkEnd w:id="234"/>
      <w:bookmarkEnd w:id="235"/>
      <w:bookmarkEnd w:id="236"/>
      <w:r>
        <w:rPr>
          <w:rFonts w:hint="eastAsia" w:ascii="仿宋" w:hAnsi="仿宋" w:eastAsia="仿宋"/>
          <w:b w:val="0"/>
          <w:lang w:val="en-US" w:eastAsia="zh-CN"/>
        </w:rPr>
        <w:t>政府性基金预算财政拨款收入支出决算表</w:t>
      </w:r>
    </w:p>
    <w:p>
      <w:pPr>
        <w:pStyle w:val="4"/>
        <w:spacing w:before="0" w:after="0" w:line="576" w:lineRule="exact"/>
        <w:rPr>
          <w:rFonts w:hint="eastAsia" w:ascii="仿宋" w:hAnsi="仿宋" w:eastAsia="仿宋"/>
          <w:b w:val="0"/>
          <w:lang w:val="en-US" w:eastAsia="zh-CN"/>
        </w:rPr>
      </w:pPr>
      <w:bookmarkStart w:id="237" w:name="_Toc3284"/>
      <w:bookmarkStart w:id="238" w:name="_Toc12130"/>
      <w:bookmarkStart w:id="239" w:name="_Toc6312"/>
      <w:bookmarkStart w:id="240" w:name="_Toc29664"/>
      <w:bookmarkStart w:id="241" w:name="_Toc10655"/>
      <w:bookmarkStart w:id="242" w:name="_Toc15396629"/>
      <w:bookmarkStart w:id="243" w:name="_Toc19627"/>
      <w:bookmarkStart w:id="244" w:name="_Toc5945"/>
      <w:r>
        <w:rPr>
          <w:rFonts w:hint="eastAsia" w:ascii="仿宋" w:hAnsi="仿宋" w:eastAsia="仿宋"/>
          <w:b w:val="0"/>
          <w:lang w:val="en-US" w:eastAsia="zh-CN"/>
        </w:rPr>
        <w:t>十一、</w:t>
      </w:r>
      <w:bookmarkEnd w:id="237"/>
      <w:bookmarkEnd w:id="238"/>
      <w:bookmarkEnd w:id="239"/>
      <w:bookmarkEnd w:id="240"/>
      <w:bookmarkEnd w:id="241"/>
      <w:bookmarkEnd w:id="242"/>
      <w:bookmarkEnd w:id="243"/>
      <w:bookmarkEnd w:id="244"/>
      <w:r>
        <w:rPr>
          <w:rFonts w:hint="eastAsia" w:ascii="仿宋" w:hAnsi="仿宋" w:eastAsia="仿宋"/>
          <w:b w:val="0"/>
          <w:lang w:val="en-US" w:eastAsia="zh-CN"/>
        </w:rPr>
        <w:t>国有资本经营预算财政拨款收入支出决算表</w:t>
      </w:r>
    </w:p>
    <w:p>
      <w:pPr>
        <w:pStyle w:val="4"/>
        <w:spacing w:before="0" w:after="0" w:line="576" w:lineRule="exact"/>
        <w:rPr>
          <w:rFonts w:hint="eastAsia" w:ascii="仿宋" w:hAnsi="仿宋" w:eastAsia="仿宋"/>
          <w:b w:val="0"/>
          <w:lang w:val="en-US" w:eastAsia="zh-CN"/>
        </w:rPr>
      </w:pPr>
      <w:bookmarkStart w:id="245" w:name="_Toc21814"/>
      <w:bookmarkStart w:id="246" w:name="_Toc12810"/>
      <w:bookmarkStart w:id="247" w:name="_Toc15602"/>
      <w:bookmarkStart w:id="248" w:name="_Toc15396630"/>
      <w:bookmarkStart w:id="249" w:name="_Toc29970"/>
      <w:bookmarkStart w:id="250" w:name="_Toc26626"/>
      <w:bookmarkStart w:id="251" w:name="_Toc26650"/>
      <w:bookmarkStart w:id="252" w:name="_Toc4550"/>
      <w:r>
        <w:rPr>
          <w:rFonts w:hint="eastAsia" w:ascii="仿宋" w:hAnsi="仿宋" w:eastAsia="仿宋"/>
          <w:b w:val="0"/>
          <w:lang w:val="en-US" w:eastAsia="zh-CN"/>
        </w:rPr>
        <w:t>十二、</w:t>
      </w:r>
      <w:bookmarkEnd w:id="245"/>
      <w:bookmarkEnd w:id="246"/>
      <w:bookmarkEnd w:id="247"/>
      <w:bookmarkEnd w:id="248"/>
      <w:bookmarkEnd w:id="249"/>
      <w:bookmarkEnd w:id="250"/>
      <w:bookmarkEnd w:id="251"/>
      <w:bookmarkEnd w:id="252"/>
      <w:r>
        <w:rPr>
          <w:rFonts w:hint="eastAsia" w:ascii="仿宋" w:hAnsi="仿宋" w:eastAsia="仿宋"/>
          <w:b w:val="0"/>
          <w:lang w:val="en-US" w:eastAsia="zh-CN"/>
        </w:rPr>
        <w:t>国有资本经营预算财政拨款支出决算表</w:t>
      </w:r>
    </w:p>
    <w:p>
      <w:pPr>
        <w:pStyle w:val="4"/>
        <w:spacing w:before="0" w:after="0" w:line="576" w:lineRule="exact"/>
        <w:rPr>
          <w:rFonts w:hint="eastAsia" w:ascii="仿宋" w:hAnsi="仿宋" w:eastAsia="仿宋"/>
          <w:b w:val="0"/>
          <w:lang w:val="en-US" w:eastAsia="zh-CN"/>
        </w:rPr>
      </w:pPr>
      <w:bookmarkStart w:id="253" w:name="_Toc10918"/>
      <w:bookmarkStart w:id="254" w:name="_Toc12620"/>
      <w:bookmarkStart w:id="255" w:name="_Toc30100"/>
      <w:bookmarkStart w:id="256" w:name="_Toc15446"/>
      <w:bookmarkStart w:id="257" w:name="_Toc21412"/>
      <w:bookmarkStart w:id="258" w:name="_Toc19202"/>
      <w:bookmarkStart w:id="259" w:name="_Toc15396631"/>
      <w:bookmarkStart w:id="260" w:name="_Toc28643"/>
      <w:r>
        <w:rPr>
          <w:rFonts w:hint="eastAsia" w:ascii="仿宋" w:hAnsi="仿宋" w:eastAsia="仿宋"/>
          <w:b w:val="0"/>
          <w:lang w:val="en-US" w:eastAsia="zh-CN"/>
        </w:rPr>
        <w:t>十三、</w:t>
      </w:r>
      <w:bookmarkEnd w:id="253"/>
      <w:bookmarkEnd w:id="254"/>
      <w:bookmarkEnd w:id="255"/>
      <w:bookmarkEnd w:id="256"/>
      <w:bookmarkEnd w:id="257"/>
      <w:bookmarkEnd w:id="258"/>
      <w:bookmarkEnd w:id="259"/>
      <w:bookmarkEnd w:id="260"/>
      <w:r>
        <w:rPr>
          <w:rFonts w:hint="eastAsia" w:ascii="仿宋" w:hAnsi="仿宋" w:eastAsia="仿宋"/>
          <w:b w:val="0"/>
          <w:lang w:val="en-US" w:eastAsia="zh-CN"/>
        </w:rPr>
        <w:t>财政拨款“三公”经费支出决算表</w:t>
      </w:r>
    </w:p>
    <w:sectPr>
      <w:footerReference r:id="rId7" w:type="first"/>
      <w:headerReference r:id="rId6" w:type="default"/>
      <w:pgSz w:w="11905" w:h="16838"/>
      <w:pgMar w:top="2098" w:right="1474" w:bottom="1984" w:left="1587" w:header="851" w:footer="1559"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B9A5CDE-81C2-4B3B-AFF9-090DAA34211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embedRegular r:id="rId2" w:fontKey="{9458C9F9-1772-4EF2-A475-DC97DCB5B6F3}"/>
  </w:font>
  <w:font w:name="仿宋_GB2312">
    <w:panose1 w:val="02010609030101010101"/>
    <w:charset w:val="86"/>
    <w:family w:val="modern"/>
    <w:pitch w:val="default"/>
    <w:sig w:usb0="00000001" w:usb1="080E0000" w:usb2="00000000" w:usb3="00000000" w:csb0="00040000" w:csb1="00000000"/>
    <w:embedRegular r:id="rId3" w:fontKey="{301B6B30-64F9-47C1-AA41-360C7591D9EB}"/>
  </w:font>
  <w:font w:name="仿宋">
    <w:panose1 w:val="02010609060101010101"/>
    <w:charset w:val="86"/>
    <w:family w:val="modern"/>
    <w:pitch w:val="default"/>
    <w:sig w:usb0="800002BF" w:usb1="38CF7CFA" w:usb2="00000016" w:usb3="00000000" w:csb0="00040001" w:csb1="00000000"/>
    <w:embedRegular r:id="rId4" w:fontKey="{12C1E1ED-324B-471E-A2D9-52F1292FE86C}"/>
  </w:font>
  <w:font w:name="方正小标宋_GBK">
    <w:panose1 w:val="03000509000000000000"/>
    <w:charset w:val="86"/>
    <w:family w:val="script"/>
    <w:pitch w:val="default"/>
    <w:sig w:usb0="00000001" w:usb1="080E0000" w:usb2="00000000" w:usb3="00000000" w:csb0="00040000" w:csb1="00000000"/>
    <w:embedRegular r:id="rId5" w:fontKey="{6E2DEE17-1E15-47DF-85E5-CFAC34C4DC71}"/>
  </w:font>
  <w:font w:name="楷体_GB2312">
    <w:panose1 w:val="02010609030101010101"/>
    <w:charset w:val="86"/>
    <w:family w:val="auto"/>
    <w:pitch w:val="default"/>
    <w:sig w:usb0="00000001" w:usb1="080E0000" w:usb2="00000000" w:usb3="00000000" w:csb0="00040000" w:csb1="00000000"/>
    <w:embedRegular r:id="rId6" w:fontKey="{399FA3B2-1459-47BA-ACB3-B993BBAB63DF}"/>
  </w:font>
  <w:font w:name="微软雅黑">
    <w:panose1 w:val="020B0503020204020204"/>
    <w:charset w:val="86"/>
    <w:family w:val="auto"/>
    <w:pitch w:val="default"/>
    <w:sig w:usb0="80000287" w:usb1="280F3C52" w:usb2="00000016" w:usb3="00000000" w:csb0="0004001F" w:csb1="00000000"/>
    <w:embedRegular r:id="rId7" w:fontKey="{8B6AC3F3-B288-4C44-BC95-009206B24D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path/>
          <v:fill on="f" focussize="0,0"/>
          <v:stroke on="f" weight="0.5pt" joinstyle="miter"/>
          <v:imagedata o:title=""/>
          <o:lock v:ext="edit"/>
          <v:textbox inset="0mm,0mm,0mm,0mm" style="mso-fit-shape-to-text:t;">
            <w:txbxContent>
              <w:p>
                <w:pPr>
                  <w:pStyle w:val="9"/>
                  <w:jc w:val="center"/>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ascii="宋体" w:hAnsi="宋体" w:cs="宋体"/>
                    <w:sz w:val="28"/>
                    <w:szCs w:val="28"/>
                  </w:rPr>
                  <w:t>38</w:t>
                </w:r>
                <w:r>
                  <w:rPr>
                    <w:rFonts w:hint="eastAsia" w:ascii="宋体" w:hAnsi="宋体" w:cs="宋体"/>
                    <w:sz w:val="28"/>
                    <w:szCs w:val="28"/>
                  </w:rPr>
                  <w:fldChar w:fldCharType="end"/>
                </w:r>
                <w:r>
                  <w:rPr>
                    <w:rFonts w:hint="eastAsia" w:ascii="宋体" w:hAnsi="宋体" w:cs="宋体"/>
                    <w:sz w:val="28"/>
                    <w:szCs w:val="28"/>
                  </w:rPr>
                  <w:t>—</w:t>
                </w:r>
              </w:p>
            </w:txbxContent>
          </v:textbox>
        </v:shape>
      </w:pic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3073" o:spid="_x0000_s3073"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path/>
          <v:fill on="f" focussize="0,0"/>
          <v:stroke on="f" weight="0.5pt" joinstyle="miter"/>
          <v:imagedata o:title=""/>
          <o:lock v:ext="edit"/>
          <v:textbox inset="0mm,0mm,0mm,0mm" style="mso-fit-shape-to-text:t;">
            <w:txbxContent>
              <w:p>
                <w:pPr>
                  <w:pStyle w:val="9"/>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82C3A"/>
    <w:multiLevelType w:val="singleLevel"/>
    <w:tmpl w:val="95582C3A"/>
    <w:lvl w:ilvl="0" w:tentative="0">
      <w:start w:val="2"/>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pPr>
        <w:ind w:left="-10"/>
      </w:pPr>
      <w:rPr>
        <w:rFonts w:hint="eastAsia"/>
      </w:rPr>
    </w:lvl>
  </w:abstractNum>
  <w:abstractNum w:abstractNumId="2">
    <w:nsid w:val="E2FA047D"/>
    <w:multiLevelType w:val="singleLevel"/>
    <w:tmpl w:val="E2FA047D"/>
    <w:lvl w:ilvl="0" w:tentative="0">
      <w:start w:val="3"/>
      <w:numFmt w:val="chineseCounting"/>
      <w:suff w:val="space"/>
      <w:lvlText w:val="第%1部分"/>
      <w:lvlJc w:val="left"/>
      <w:pPr>
        <w:ind w:left="228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HorizontalSpacing w:val="105"/>
  <w:drawingGridVerticalSpacing w:val="158"/>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docVars>
    <w:docVar w:name="commondata" w:val="eyJoZGlkIjoiOGFjOTA5YzdkNTcxNWY5NDczYTIzM2U4MzRlOWJjYj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012E"/>
    <w:rsid w:val="002D6D05"/>
    <w:rsid w:val="002F1818"/>
    <w:rsid w:val="002F567B"/>
    <w:rsid w:val="003216A9"/>
    <w:rsid w:val="00335A74"/>
    <w:rsid w:val="003605EE"/>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0EDE"/>
    <w:rsid w:val="003E1310"/>
    <w:rsid w:val="003E2083"/>
    <w:rsid w:val="003E6F55"/>
    <w:rsid w:val="00406254"/>
    <w:rsid w:val="004223DE"/>
    <w:rsid w:val="00431B59"/>
    <w:rsid w:val="00434489"/>
    <w:rsid w:val="00437085"/>
    <w:rsid w:val="00443880"/>
    <w:rsid w:val="004464F4"/>
    <w:rsid w:val="00471401"/>
    <w:rsid w:val="00473F31"/>
    <w:rsid w:val="0048263A"/>
    <w:rsid w:val="00487E5D"/>
    <w:rsid w:val="004A711F"/>
    <w:rsid w:val="004A7B80"/>
    <w:rsid w:val="004B199D"/>
    <w:rsid w:val="004B4690"/>
    <w:rsid w:val="004E0A2D"/>
    <w:rsid w:val="004E206B"/>
    <w:rsid w:val="004E6DF7"/>
    <w:rsid w:val="004F0FBD"/>
    <w:rsid w:val="00505A47"/>
    <w:rsid w:val="00512A4B"/>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08B8"/>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E310D"/>
    <w:rsid w:val="006F020C"/>
    <w:rsid w:val="007127B7"/>
    <w:rsid w:val="0071798E"/>
    <w:rsid w:val="007350B2"/>
    <w:rsid w:val="007416B6"/>
    <w:rsid w:val="00746F48"/>
    <w:rsid w:val="0075404D"/>
    <w:rsid w:val="0076182A"/>
    <w:rsid w:val="00764F7A"/>
    <w:rsid w:val="00767B7E"/>
    <w:rsid w:val="007758C1"/>
    <w:rsid w:val="007770C3"/>
    <w:rsid w:val="00784D24"/>
    <w:rsid w:val="00785FBA"/>
    <w:rsid w:val="00786E4A"/>
    <w:rsid w:val="007875EB"/>
    <w:rsid w:val="0079426B"/>
    <w:rsid w:val="007D099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66AF"/>
    <w:rsid w:val="00871F71"/>
    <w:rsid w:val="00872FD8"/>
    <w:rsid w:val="00885AF4"/>
    <w:rsid w:val="008939CD"/>
    <w:rsid w:val="008B768C"/>
    <w:rsid w:val="008C098D"/>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3114"/>
    <w:rsid w:val="009B4EAE"/>
    <w:rsid w:val="009B7573"/>
    <w:rsid w:val="009C22F4"/>
    <w:rsid w:val="009C2A4B"/>
    <w:rsid w:val="009C2E98"/>
    <w:rsid w:val="009C6DAC"/>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4DD0"/>
    <w:rsid w:val="00A67AB5"/>
    <w:rsid w:val="00A733B2"/>
    <w:rsid w:val="00A741C2"/>
    <w:rsid w:val="00A900EA"/>
    <w:rsid w:val="00A91760"/>
    <w:rsid w:val="00A93B00"/>
    <w:rsid w:val="00A93C21"/>
    <w:rsid w:val="00AB64C9"/>
    <w:rsid w:val="00AB7CF2"/>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D2FDE"/>
    <w:rsid w:val="00CD4949"/>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02A2"/>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3D36"/>
    <w:rsid w:val="00E568DF"/>
    <w:rsid w:val="00E64269"/>
    <w:rsid w:val="00E82267"/>
    <w:rsid w:val="00E853CE"/>
    <w:rsid w:val="00E867B6"/>
    <w:rsid w:val="00EA010F"/>
    <w:rsid w:val="00EC5BB6"/>
    <w:rsid w:val="00ED1B63"/>
    <w:rsid w:val="00ED3C1F"/>
    <w:rsid w:val="00ED4085"/>
    <w:rsid w:val="00ED420E"/>
    <w:rsid w:val="00ED6FBE"/>
    <w:rsid w:val="00EE2F57"/>
    <w:rsid w:val="00EF2ABA"/>
    <w:rsid w:val="00EF4C34"/>
    <w:rsid w:val="00EF77C6"/>
    <w:rsid w:val="00F05438"/>
    <w:rsid w:val="00F1361C"/>
    <w:rsid w:val="00F156F0"/>
    <w:rsid w:val="00F160C7"/>
    <w:rsid w:val="00F2408F"/>
    <w:rsid w:val="00F240E9"/>
    <w:rsid w:val="00F36D8F"/>
    <w:rsid w:val="00F417B1"/>
    <w:rsid w:val="00F45853"/>
    <w:rsid w:val="00F54854"/>
    <w:rsid w:val="00F57346"/>
    <w:rsid w:val="00F602DF"/>
    <w:rsid w:val="00F754A1"/>
    <w:rsid w:val="00F76C7E"/>
    <w:rsid w:val="00F81FD9"/>
    <w:rsid w:val="00F841AA"/>
    <w:rsid w:val="00F84A94"/>
    <w:rsid w:val="00F87E96"/>
    <w:rsid w:val="00FA23E8"/>
    <w:rsid w:val="00FA45FD"/>
    <w:rsid w:val="00FD3CC1"/>
    <w:rsid w:val="00FF1E02"/>
    <w:rsid w:val="00FF30B4"/>
    <w:rsid w:val="01405CB5"/>
    <w:rsid w:val="01974A72"/>
    <w:rsid w:val="024F56D9"/>
    <w:rsid w:val="0293426A"/>
    <w:rsid w:val="02CF14AA"/>
    <w:rsid w:val="02F6136A"/>
    <w:rsid w:val="034F5D29"/>
    <w:rsid w:val="036B5FCD"/>
    <w:rsid w:val="03D62FC9"/>
    <w:rsid w:val="03F35D89"/>
    <w:rsid w:val="04044A83"/>
    <w:rsid w:val="04B65AC7"/>
    <w:rsid w:val="05A607FA"/>
    <w:rsid w:val="063574ED"/>
    <w:rsid w:val="066E0107"/>
    <w:rsid w:val="06D27E9C"/>
    <w:rsid w:val="073C456C"/>
    <w:rsid w:val="07572B98"/>
    <w:rsid w:val="07824101"/>
    <w:rsid w:val="07996F6E"/>
    <w:rsid w:val="07C766CF"/>
    <w:rsid w:val="088521A6"/>
    <w:rsid w:val="08B50556"/>
    <w:rsid w:val="08D05DA9"/>
    <w:rsid w:val="091755A7"/>
    <w:rsid w:val="09EE1557"/>
    <w:rsid w:val="0A175F9F"/>
    <w:rsid w:val="0A2032A3"/>
    <w:rsid w:val="0AB1291A"/>
    <w:rsid w:val="0AC027B0"/>
    <w:rsid w:val="0AEE3D69"/>
    <w:rsid w:val="0B212BCE"/>
    <w:rsid w:val="0B480119"/>
    <w:rsid w:val="0BEC359B"/>
    <w:rsid w:val="0BF10AA0"/>
    <w:rsid w:val="0C004E10"/>
    <w:rsid w:val="0C02422A"/>
    <w:rsid w:val="0C653200"/>
    <w:rsid w:val="0C7358DA"/>
    <w:rsid w:val="0CDC6727"/>
    <w:rsid w:val="0D5D7F7A"/>
    <w:rsid w:val="0DB7190D"/>
    <w:rsid w:val="0E67E46D"/>
    <w:rsid w:val="0F164D4D"/>
    <w:rsid w:val="0F4A7B25"/>
    <w:rsid w:val="0FD7C589"/>
    <w:rsid w:val="101860EC"/>
    <w:rsid w:val="109B53FF"/>
    <w:rsid w:val="10C055FF"/>
    <w:rsid w:val="10FBE914"/>
    <w:rsid w:val="11591A84"/>
    <w:rsid w:val="115F7210"/>
    <w:rsid w:val="11655896"/>
    <w:rsid w:val="118107EC"/>
    <w:rsid w:val="12184440"/>
    <w:rsid w:val="121A7943"/>
    <w:rsid w:val="12557610"/>
    <w:rsid w:val="12E3158A"/>
    <w:rsid w:val="12F96AB4"/>
    <w:rsid w:val="13052DC4"/>
    <w:rsid w:val="131555DD"/>
    <w:rsid w:val="13486D30"/>
    <w:rsid w:val="13B80076"/>
    <w:rsid w:val="13D50BC4"/>
    <w:rsid w:val="13F16B7D"/>
    <w:rsid w:val="14697B69"/>
    <w:rsid w:val="14902E96"/>
    <w:rsid w:val="155D6391"/>
    <w:rsid w:val="15F55695"/>
    <w:rsid w:val="15F9112A"/>
    <w:rsid w:val="164B3423"/>
    <w:rsid w:val="16547C2D"/>
    <w:rsid w:val="16853C7F"/>
    <w:rsid w:val="16B6041B"/>
    <w:rsid w:val="16BB723D"/>
    <w:rsid w:val="16E00551"/>
    <w:rsid w:val="175B6261"/>
    <w:rsid w:val="178033FE"/>
    <w:rsid w:val="17A36DC6"/>
    <w:rsid w:val="1812470B"/>
    <w:rsid w:val="187831B6"/>
    <w:rsid w:val="188A6953"/>
    <w:rsid w:val="189B0DEC"/>
    <w:rsid w:val="18A43C7A"/>
    <w:rsid w:val="19800165"/>
    <w:rsid w:val="19A33B9D"/>
    <w:rsid w:val="19B802BF"/>
    <w:rsid w:val="19C9185E"/>
    <w:rsid w:val="19D3216D"/>
    <w:rsid w:val="19FE0A33"/>
    <w:rsid w:val="1A78681D"/>
    <w:rsid w:val="1A8E0352"/>
    <w:rsid w:val="1AB56EDD"/>
    <w:rsid w:val="1AF84F97"/>
    <w:rsid w:val="1B0B3181"/>
    <w:rsid w:val="1B14307F"/>
    <w:rsid w:val="1B1F438E"/>
    <w:rsid w:val="1B6D1F0E"/>
    <w:rsid w:val="1B86412F"/>
    <w:rsid w:val="1BE8440E"/>
    <w:rsid w:val="1BE85FD5"/>
    <w:rsid w:val="1BF146E6"/>
    <w:rsid w:val="1C9F7D02"/>
    <w:rsid w:val="1D155CEE"/>
    <w:rsid w:val="1D5B3CB8"/>
    <w:rsid w:val="1DF03510"/>
    <w:rsid w:val="1E3B5B2B"/>
    <w:rsid w:val="1EC43D73"/>
    <w:rsid w:val="1FE223DD"/>
    <w:rsid w:val="200C5ECA"/>
    <w:rsid w:val="20805846"/>
    <w:rsid w:val="20982E05"/>
    <w:rsid w:val="209E0C02"/>
    <w:rsid w:val="21115269"/>
    <w:rsid w:val="212152E8"/>
    <w:rsid w:val="217649F2"/>
    <w:rsid w:val="218D7E9A"/>
    <w:rsid w:val="22804455"/>
    <w:rsid w:val="228E65E4"/>
    <w:rsid w:val="22A12A16"/>
    <w:rsid w:val="22CF67E2"/>
    <w:rsid w:val="22FA25EF"/>
    <w:rsid w:val="23050980"/>
    <w:rsid w:val="234F08C0"/>
    <w:rsid w:val="236B4CE3"/>
    <w:rsid w:val="23860B96"/>
    <w:rsid w:val="23953EC0"/>
    <w:rsid w:val="23D137A1"/>
    <w:rsid w:val="240371BF"/>
    <w:rsid w:val="249F7859"/>
    <w:rsid w:val="252B33D9"/>
    <w:rsid w:val="255023CB"/>
    <w:rsid w:val="25F8629A"/>
    <w:rsid w:val="270678D7"/>
    <w:rsid w:val="270E3C60"/>
    <w:rsid w:val="273E22EF"/>
    <w:rsid w:val="274B1605"/>
    <w:rsid w:val="274D4B08"/>
    <w:rsid w:val="27663AD0"/>
    <w:rsid w:val="276E08C0"/>
    <w:rsid w:val="27F751B9"/>
    <w:rsid w:val="280B3FC1"/>
    <w:rsid w:val="2827226D"/>
    <w:rsid w:val="284113D3"/>
    <w:rsid w:val="287610F2"/>
    <w:rsid w:val="28EA7DAC"/>
    <w:rsid w:val="291C1880"/>
    <w:rsid w:val="29FD04D3"/>
    <w:rsid w:val="2A8E045D"/>
    <w:rsid w:val="2B0B32AA"/>
    <w:rsid w:val="2B2955B1"/>
    <w:rsid w:val="2B2F7FE6"/>
    <w:rsid w:val="2B642A3F"/>
    <w:rsid w:val="2B914808"/>
    <w:rsid w:val="2BB51544"/>
    <w:rsid w:val="2BBC6951"/>
    <w:rsid w:val="2BC43D5D"/>
    <w:rsid w:val="2BCD6BEB"/>
    <w:rsid w:val="2BD51A79"/>
    <w:rsid w:val="2C344819"/>
    <w:rsid w:val="2C63508D"/>
    <w:rsid w:val="2C8A61B5"/>
    <w:rsid w:val="2CA55BDF"/>
    <w:rsid w:val="2D21575B"/>
    <w:rsid w:val="2D2F0F51"/>
    <w:rsid w:val="2D6D0C73"/>
    <w:rsid w:val="2DBA5111"/>
    <w:rsid w:val="2DC518B5"/>
    <w:rsid w:val="2DF04E50"/>
    <w:rsid w:val="2E2A66CA"/>
    <w:rsid w:val="2E48446E"/>
    <w:rsid w:val="2E7D06D3"/>
    <w:rsid w:val="2EFA305E"/>
    <w:rsid w:val="2EFB160F"/>
    <w:rsid w:val="2F513F2E"/>
    <w:rsid w:val="2F967065"/>
    <w:rsid w:val="2FF40F03"/>
    <w:rsid w:val="30252571"/>
    <w:rsid w:val="30347DA4"/>
    <w:rsid w:val="305E0BE8"/>
    <w:rsid w:val="30B43B75"/>
    <w:rsid w:val="30B97FFD"/>
    <w:rsid w:val="311822EF"/>
    <w:rsid w:val="315E6398"/>
    <w:rsid w:val="319F7F4E"/>
    <w:rsid w:val="31A237FE"/>
    <w:rsid w:val="328D4B95"/>
    <w:rsid w:val="32E2418A"/>
    <w:rsid w:val="32F8632E"/>
    <w:rsid w:val="332B3CDC"/>
    <w:rsid w:val="339B7340"/>
    <w:rsid w:val="33B4426B"/>
    <w:rsid w:val="34E56399"/>
    <w:rsid w:val="34F57284"/>
    <w:rsid w:val="34F65DF3"/>
    <w:rsid w:val="359F7AA1"/>
    <w:rsid w:val="36A003AE"/>
    <w:rsid w:val="36A77D38"/>
    <w:rsid w:val="36AA5135"/>
    <w:rsid w:val="36ED3925"/>
    <w:rsid w:val="37757EA8"/>
    <w:rsid w:val="378035E9"/>
    <w:rsid w:val="37C33A32"/>
    <w:rsid w:val="37E16F03"/>
    <w:rsid w:val="37F5545C"/>
    <w:rsid w:val="37FF36D3"/>
    <w:rsid w:val="389F7E39"/>
    <w:rsid w:val="38C0691B"/>
    <w:rsid w:val="39BA6041"/>
    <w:rsid w:val="39C656D7"/>
    <w:rsid w:val="39EB6D4A"/>
    <w:rsid w:val="3A28654C"/>
    <w:rsid w:val="3A823222"/>
    <w:rsid w:val="3ADD4E9F"/>
    <w:rsid w:val="3B3742B4"/>
    <w:rsid w:val="3B4667ED"/>
    <w:rsid w:val="3BEE5FE1"/>
    <w:rsid w:val="3BF85CB6"/>
    <w:rsid w:val="3D8A7087"/>
    <w:rsid w:val="3D98207C"/>
    <w:rsid w:val="3DD86550"/>
    <w:rsid w:val="3E390C7A"/>
    <w:rsid w:val="3E6842C3"/>
    <w:rsid w:val="3E7D40AA"/>
    <w:rsid w:val="3E824F32"/>
    <w:rsid w:val="3EC978AA"/>
    <w:rsid w:val="3EE023E4"/>
    <w:rsid w:val="3EE06334"/>
    <w:rsid w:val="3F7349CA"/>
    <w:rsid w:val="3FF077F6"/>
    <w:rsid w:val="40A75C9F"/>
    <w:rsid w:val="41666FD7"/>
    <w:rsid w:val="42287095"/>
    <w:rsid w:val="42376048"/>
    <w:rsid w:val="42454447"/>
    <w:rsid w:val="42B65CB1"/>
    <w:rsid w:val="42E046F5"/>
    <w:rsid w:val="42ED13DD"/>
    <w:rsid w:val="43140575"/>
    <w:rsid w:val="441930C8"/>
    <w:rsid w:val="446908C9"/>
    <w:rsid w:val="44E268DA"/>
    <w:rsid w:val="45456FB2"/>
    <w:rsid w:val="456B71F2"/>
    <w:rsid w:val="458B3B0F"/>
    <w:rsid w:val="460F188E"/>
    <w:rsid w:val="46100A37"/>
    <w:rsid w:val="461F4717"/>
    <w:rsid w:val="46803DD6"/>
    <w:rsid w:val="46816D3A"/>
    <w:rsid w:val="468808C3"/>
    <w:rsid w:val="46E83A48"/>
    <w:rsid w:val="472707CD"/>
    <w:rsid w:val="472E48D4"/>
    <w:rsid w:val="48176428"/>
    <w:rsid w:val="48765EF0"/>
    <w:rsid w:val="49086B1B"/>
    <w:rsid w:val="490927C1"/>
    <w:rsid w:val="49295994"/>
    <w:rsid w:val="492C413F"/>
    <w:rsid w:val="49303592"/>
    <w:rsid w:val="499F0E56"/>
    <w:rsid w:val="49FB423D"/>
    <w:rsid w:val="4A136C16"/>
    <w:rsid w:val="4A627F82"/>
    <w:rsid w:val="4A7F2511"/>
    <w:rsid w:val="4A873352"/>
    <w:rsid w:val="4A8E6560"/>
    <w:rsid w:val="4ACD5B55"/>
    <w:rsid w:val="4B143DF0"/>
    <w:rsid w:val="4B4F25DA"/>
    <w:rsid w:val="4B597A3E"/>
    <w:rsid w:val="4B7A1A0A"/>
    <w:rsid w:val="4B857FDF"/>
    <w:rsid w:val="4BB20860"/>
    <w:rsid w:val="4BE068DB"/>
    <w:rsid w:val="4BF21EC3"/>
    <w:rsid w:val="4BFB2271"/>
    <w:rsid w:val="4C796657"/>
    <w:rsid w:val="4D5015E7"/>
    <w:rsid w:val="4D53256B"/>
    <w:rsid w:val="4D577224"/>
    <w:rsid w:val="4D700028"/>
    <w:rsid w:val="4DE6755C"/>
    <w:rsid w:val="4E2305F0"/>
    <w:rsid w:val="4E6A7B35"/>
    <w:rsid w:val="4E823E01"/>
    <w:rsid w:val="4EAB630A"/>
    <w:rsid w:val="4ECE2238"/>
    <w:rsid w:val="4FC235E9"/>
    <w:rsid w:val="4FEF31B4"/>
    <w:rsid w:val="50355FCF"/>
    <w:rsid w:val="505B24E3"/>
    <w:rsid w:val="50A770DF"/>
    <w:rsid w:val="515404FD"/>
    <w:rsid w:val="515B2E61"/>
    <w:rsid w:val="516A6885"/>
    <w:rsid w:val="517E0251"/>
    <w:rsid w:val="51FE3C0C"/>
    <w:rsid w:val="526C4D2E"/>
    <w:rsid w:val="52F61A46"/>
    <w:rsid w:val="53292F0F"/>
    <w:rsid w:val="53607807"/>
    <w:rsid w:val="536166CE"/>
    <w:rsid w:val="53682BBC"/>
    <w:rsid w:val="53BF2AE6"/>
    <w:rsid w:val="53D53D51"/>
    <w:rsid w:val="53FE5EDD"/>
    <w:rsid w:val="54795826"/>
    <w:rsid w:val="54F372B3"/>
    <w:rsid w:val="551F5152"/>
    <w:rsid w:val="5533088A"/>
    <w:rsid w:val="553B58E4"/>
    <w:rsid w:val="5645418D"/>
    <w:rsid w:val="569C60AA"/>
    <w:rsid w:val="569E4FA0"/>
    <w:rsid w:val="56D65686"/>
    <w:rsid w:val="56FC06FF"/>
    <w:rsid w:val="57044ED0"/>
    <w:rsid w:val="57235785"/>
    <w:rsid w:val="579F72CD"/>
    <w:rsid w:val="57B64108"/>
    <w:rsid w:val="5843585C"/>
    <w:rsid w:val="58722B28"/>
    <w:rsid w:val="58C625B2"/>
    <w:rsid w:val="58C75B40"/>
    <w:rsid w:val="59587923"/>
    <w:rsid w:val="59AD15AB"/>
    <w:rsid w:val="59BE699D"/>
    <w:rsid w:val="59F11964"/>
    <w:rsid w:val="59F477A1"/>
    <w:rsid w:val="5A650D5A"/>
    <w:rsid w:val="5A924ACA"/>
    <w:rsid w:val="5ACD71C7"/>
    <w:rsid w:val="5AF92295"/>
    <w:rsid w:val="5AFF02AE"/>
    <w:rsid w:val="5B443C4B"/>
    <w:rsid w:val="5B745356"/>
    <w:rsid w:val="5B9C20DB"/>
    <w:rsid w:val="5BBF6B72"/>
    <w:rsid w:val="5BC93EA4"/>
    <w:rsid w:val="5C001E00"/>
    <w:rsid w:val="5C0F6B97"/>
    <w:rsid w:val="5C121D1A"/>
    <w:rsid w:val="5CD71FC4"/>
    <w:rsid w:val="5D3F1487"/>
    <w:rsid w:val="5E224A77"/>
    <w:rsid w:val="5E79378D"/>
    <w:rsid w:val="5E7D6299"/>
    <w:rsid w:val="5E8A6AE7"/>
    <w:rsid w:val="5EF430D7"/>
    <w:rsid w:val="5EFA4FE0"/>
    <w:rsid w:val="5F2345A8"/>
    <w:rsid w:val="5F644B92"/>
    <w:rsid w:val="5FDF198D"/>
    <w:rsid w:val="5FFBBE8C"/>
    <w:rsid w:val="60AA37E9"/>
    <w:rsid w:val="60BA4265"/>
    <w:rsid w:val="60DA41F1"/>
    <w:rsid w:val="61CB4DFE"/>
    <w:rsid w:val="62612D73"/>
    <w:rsid w:val="629C2F58"/>
    <w:rsid w:val="62CC4571"/>
    <w:rsid w:val="62F23D84"/>
    <w:rsid w:val="630D670F"/>
    <w:rsid w:val="631344AF"/>
    <w:rsid w:val="63392A57"/>
    <w:rsid w:val="636225DE"/>
    <w:rsid w:val="63FE7312"/>
    <w:rsid w:val="649B4C1C"/>
    <w:rsid w:val="64AD61BC"/>
    <w:rsid w:val="65250AB6"/>
    <w:rsid w:val="656520E7"/>
    <w:rsid w:val="65A51C1D"/>
    <w:rsid w:val="65BFF9A8"/>
    <w:rsid w:val="66376316"/>
    <w:rsid w:val="674A3201"/>
    <w:rsid w:val="677221C7"/>
    <w:rsid w:val="67BC3137"/>
    <w:rsid w:val="685272C6"/>
    <w:rsid w:val="696D3286"/>
    <w:rsid w:val="69EC15D6"/>
    <w:rsid w:val="6A34069C"/>
    <w:rsid w:val="6B344DF0"/>
    <w:rsid w:val="6B635940"/>
    <w:rsid w:val="6C206234"/>
    <w:rsid w:val="6C4A05C8"/>
    <w:rsid w:val="6CBC5B71"/>
    <w:rsid w:val="6D150A76"/>
    <w:rsid w:val="6D59546B"/>
    <w:rsid w:val="6D8952C5"/>
    <w:rsid w:val="6DB4096C"/>
    <w:rsid w:val="6DBCB3C8"/>
    <w:rsid w:val="6E360C61"/>
    <w:rsid w:val="6E4B1B00"/>
    <w:rsid w:val="6E70494A"/>
    <w:rsid w:val="6E7E3605"/>
    <w:rsid w:val="6EE34C25"/>
    <w:rsid w:val="6F783447"/>
    <w:rsid w:val="6F8B248C"/>
    <w:rsid w:val="6FCE4AF0"/>
    <w:rsid w:val="6FEF2100"/>
    <w:rsid w:val="6FF5CC65"/>
    <w:rsid w:val="6FF884A1"/>
    <w:rsid w:val="70481945"/>
    <w:rsid w:val="70893AA1"/>
    <w:rsid w:val="71267CAF"/>
    <w:rsid w:val="715C0E4B"/>
    <w:rsid w:val="722978DD"/>
    <w:rsid w:val="723039E4"/>
    <w:rsid w:val="72734D90"/>
    <w:rsid w:val="72DE2883"/>
    <w:rsid w:val="72EB4117"/>
    <w:rsid w:val="73065FC6"/>
    <w:rsid w:val="738E514E"/>
    <w:rsid w:val="73AD73D5"/>
    <w:rsid w:val="73B6EB34"/>
    <w:rsid w:val="73D36613"/>
    <w:rsid w:val="74092195"/>
    <w:rsid w:val="74292E19"/>
    <w:rsid w:val="74B41184"/>
    <w:rsid w:val="74E27C24"/>
    <w:rsid w:val="74E36C10"/>
    <w:rsid w:val="75A82D16"/>
    <w:rsid w:val="75B07E05"/>
    <w:rsid w:val="75C15E3F"/>
    <w:rsid w:val="75D373DE"/>
    <w:rsid w:val="75E97EE6"/>
    <w:rsid w:val="76232660"/>
    <w:rsid w:val="7648159B"/>
    <w:rsid w:val="765C7DD7"/>
    <w:rsid w:val="774175B4"/>
    <w:rsid w:val="788719AE"/>
    <w:rsid w:val="78C728B3"/>
    <w:rsid w:val="78CB70BB"/>
    <w:rsid w:val="78ED61EF"/>
    <w:rsid w:val="793F707A"/>
    <w:rsid w:val="794C37FB"/>
    <w:rsid w:val="798A03F3"/>
    <w:rsid w:val="798DE8E7"/>
    <w:rsid w:val="79956784"/>
    <w:rsid w:val="79EE5BA4"/>
    <w:rsid w:val="79F0141C"/>
    <w:rsid w:val="7A163A0F"/>
    <w:rsid w:val="7A32769F"/>
    <w:rsid w:val="7A7E7D69"/>
    <w:rsid w:val="7A894339"/>
    <w:rsid w:val="7AB86304"/>
    <w:rsid w:val="7AFD02D5"/>
    <w:rsid w:val="7C117EC2"/>
    <w:rsid w:val="7C60211A"/>
    <w:rsid w:val="7C823954"/>
    <w:rsid w:val="7CA771C1"/>
    <w:rsid w:val="7D0A03B5"/>
    <w:rsid w:val="7D7809E9"/>
    <w:rsid w:val="7DBF2109"/>
    <w:rsid w:val="7DC6090E"/>
    <w:rsid w:val="7E1322BB"/>
    <w:rsid w:val="7E7A3A8F"/>
    <w:rsid w:val="7EEF11D3"/>
    <w:rsid w:val="7F1E0D19"/>
    <w:rsid w:val="7F4D1868"/>
    <w:rsid w:val="7FA30C79"/>
    <w:rsid w:val="7FC250AB"/>
    <w:rsid w:val="7FC96657"/>
    <w:rsid w:val="7FF5E92A"/>
    <w:rsid w:val="7FFDF335"/>
    <w:rsid w:val="86B197E0"/>
    <w:rsid w:val="9FA9232A"/>
    <w:rsid w:val="B3FBAAAD"/>
    <w:rsid w:val="B8C7C7CC"/>
    <w:rsid w:val="D67D5315"/>
    <w:rsid w:val="D8D6DB89"/>
    <w:rsid w:val="DB6F4CAB"/>
    <w:rsid w:val="DDB30F89"/>
    <w:rsid w:val="DF6F9789"/>
    <w:rsid w:val="EFDE9171"/>
    <w:rsid w:val="F5729F64"/>
    <w:rsid w:val="F7DFAE72"/>
    <w:rsid w:val="FA958EBC"/>
    <w:rsid w:val="FFF711A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Cambria" w:hAnsi="Cambria" w:cs="黑体"/>
      <w:b/>
      <w:bCs/>
      <w:sz w:val="32"/>
      <w:szCs w:val="32"/>
    </w:rPr>
  </w:style>
  <w:style w:type="paragraph" w:styleId="5">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u w:val="single"/>
    </w:r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列出段落1"/>
    <w:basedOn w:val="1"/>
    <w:qFormat/>
    <w:uiPriority w:val="34"/>
    <w:pPr>
      <w:ind w:firstLine="420" w:firstLineChars="200"/>
    </w:pPr>
  </w:style>
  <w:style w:type="paragraph" w:customStyle="1" w:styleId="19">
    <w:name w:val="TOC 标题1"/>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20">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character" w:customStyle="1" w:styleId="21">
    <w:name w:val="Header Char"/>
    <w:basedOn w:val="14"/>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4"/>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4"/>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character" w:customStyle="1" w:styleId="27">
    <w:name w:val="标题 1 Char"/>
    <w:basedOn w:val="14"/>
    <w:link w:val="3"/>
    <w:qFormat/>
    <w:uiPriority w:val="9"/>
    <w:rPr>
      <w:rFonts w:ascii="Times New Roman" w:hAnsi="Times New Roman"/>
      <w:b/>
      <w:bCs/>
      <w:kern w:val="44"/>
      <w:sz w:val="44"/>
      <w:szCs w:val="44"/>
    </w:rPr>
  </w:style>
  <w:style w:type="character" w:customStyle="1" w:styleId="28">
    <w:name w:val="标题 2 Char"/>
    <w:basedOn w:val="14"/>
    <w:link w:val="4"/>
    <w:qFormat/>
    <w:uiPriority w:val="9"/>
    <w:rPr>
      <w:rFonts w:ascii="Cambria" w:hAnsi="Cambria" w:eastAsia="宋体" w:cs="黑体"/>
      <w:b/>
      <w:bCs/>
      <w:kern w:val="2"/>
      <w:sz w:val="32"/>
      <w:szCs w:val="32"/>
    </w:rPr>
  </w:style>
  <w:style w:type="character" w:customStyle="1" w:styleId="29">
    <w:name w:val="批注框文本 Char"/>
    <w:basedOn w:val="14"/>
    <w:link w:val="8"/>
    <w:semiHidden/>
    <w:qFormat/>
    <w:uiPriority w:val="99"/>
    <w:rPr>
      <w:rFonts w:ascii="Times New Roman" w:hAnsi="Times New Roman"/>
      <w:kern w:val="2"/>
      <w:sz w:val="18"/>
      <w:szCs w:val="18"/>
    </w:rPr>
  </w:style>
  <w:style w:type="character" w:customStyle="1" w:styleId="30">
    <w:name w:val="标题 3 Char"/>
    <w:basedOn w:val="14"/>
    <w:link w:val="5"/>
    <w:qFormat/>
    <w:uiPriority w:val="9"/>
    <w:rPr>
      <w:rFonts w:ascii="Times New Roman" w:hAnsi="Times New Roman"/>
      <w:b/>
      <w:bCs/>
      <w:kern w:val="2"/>
      <w:sz w:val="32"/>
      <w:szCs w:val="32"/>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3">
    <w:name w:val="NormalCharacter"/>
    <w:qFormat/>
    <w:uiPriority w:val="0"/>
  </w:style>
  <w:style w:type="character" w:customStyle="1" w:styleId="34">
    <w:name w:val="bjh-p"/>
    <w:qFormat/>
    <w:uiPriority w:val="0"/>
  </w:style>
  <w:style w:type="character" w:customStyle="1" w:styleId="35">
    <w:name w:val="font71"/>
    <w:basedOn w:val="14"/>
    <w:qFormat/>
    <w:uiPriority w:val="0"/>
    <w:rPr>
      <w:rFonts w:hint="eastAsia" w:ascii="宋体" w:hAnsi="宋体" w:eastAsia="宋体" w:cs="宋体"/>
      <w:color w:val="000000"/>
      <w:sz w:val="18"/>
      <w:szCs w:val="18"/>
      <w:u w:val="none"/>
    </w:rPr>
  </w:style>
  <w:style w:type="character" w:customStyle="1" w:styleId="36">
    <w:name w:val="font11"/>
    <w:basedOn w:val="14"/>
    <w:qFormat/>
    <w:uiPriority w:val="0"/>
    <w:rPr>
      <w:rFonts w:hint="eastAsia" w:ascii="宋体" w:hAnsi="宋体" w:eastAsia="宋体" w:cs="宋体"/>
      <w:b/>
      <w:bCs/>
      <w:color w:val="000000"/>
      <w:sz w:val="18"/>
      <w:szCs w:val="18"/>
      <w:u w:val="none"/>
    </w:rPr>
  </w:style>
  <w:style w:type="character" w:customStyle="1" w:styleId="37">
    <w:name w:val="font21"/>
    <w:basedOn w:val="14"/>
    <w:qFormat/>
    <w:uiPriority w:val="0"/>
    <w:rPr>
      <w:rFonts w:hint="eastAsia" w:ascii="宋体" w:hAnsi="宋体" w:eastAsia="宋体" w:cs="宋体"/>
      <w:color w:val="000000"/>
      <w:sz w:val="24"/>
      <w:szCs w:val="24"/>
      <w:u w:val="none"/>
    </w:rPr>
  </w:style>
  <w:style w:type="character" w:customStyle="1" w:styleId="38">
    <w:name w:val="font31"/>
    <w:basedOn w:val="14"/>
    <w:qFormat/>
    <w:uiPriority w:val="0"/>
    <w:rPr>
      <w:rFonts w:hint="eastAsia" w:ascii="宋体" w:hAnsi="宋体" w:eastAsia="宋体" w:cs="宋体"/>
      <w:color w:val="000000"/>
      <w:sz w:val="18"/>
      <w:szCs w:val="18"/>
      <w:u w:val="none"/>
    </w:rPr>
  </w:style>
  <w:style w:type="character" w:customStyle="1" w:styleId="39">
    <w:name w:val="font51"/>
    <w:basedOn w:val="14"/>
    <w:qFormat/>
    <w:uiPriority w:val="0"/>
    <w:rPr>
      <w:rFonts w:hint="eastAsia" w:ascii="宋体" w:hAnsi="宋体" w:eastAsia="宋体" w:cs="宋体"/>
      <w:color w:val="000000"/>
      <w:sz w:val="20"/>
      <w:szCs w:val="20"/>
      <w:u w:val="none"/>
    </w:rPr>
  </w:style>
  <w:style w:type="character" w:customStyle="1" w:styleId="40">
    <w:name w:val="font61"/>
    <w:basedOn w:val="1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32</Pages>
  <Words>12537</Words>
  <Characters>14588</Characters>
  <Lines>197</Lines>
  <Paragraphs>55</Paragraphs>
  <TotalTime>10</TotalTime>
  <ScaleCrop>false</ScaleCrop>
  <LinksUpToDate>false</LinksUpToDate>
  <CharactersWithSpaces>15505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ˉChance、</cp:lastModifiedBy>
  <cp:lastPrinted>2022-09-27T18:11:00Z</cp:lastPrinted>
  <dcterms:modified xsi:type="dcterms:W3CDTF">2023-10-22T05:10:22Z</dcterms:modified>
  <dc:title>四川省***</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EB97254974C0430A9A56EA39655390D7_13</vt:lpwstr>
  </property>
</Properties>
</file>