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方正小标宋简体" w:hAnsi="方正小标宋简体" w:eastAsia="方正小标宋简体" w:cs="方正小标宋简体"/>
          <w:color w:val="auto"/>
          <w:sz w:val="72"/>
          <w:szCs w:val="72"/>
          <w:highlight w:val="none"/>
        </w:rPr>
      </w:pPr>
      <w:bookmarkStart w:id="1" w:name="_Toc15396475"/>
      <w:bookmarkStart w:id="2" w:name="_Toc15378441"/>
      <w:bookmarkStart w:id="3" w:name="_Toc15377425"/>
      <w:bookmarkStart w:id="4" w:name="_Toc15377193"/>
      <w:bookmarkStart w:id="5" w:name="_Toc15396597"/>
      <w:r>
        <w:rPr>
          <w:rFonts w:hint="eastAsia" w:ascii="方正小标宋简体" w:hAnsi="方正小标宋简体" w:eastAsia="方正小标宋简体" w:cs="方正小标宋简体"/>
          <w:sz w:val="70"/>
          <w:szCs w:val="70"/>
        </w:rPr>
        <w:t>20</w:t>
      </w:r>
      <w:r>
        <w:rPr>
          <w:rFonts w:hint="eastAsia" w:ascii="方正小标宋简体" w:hAnsi="方正小标宋简体" w:eastAsia="方正小标宋简体" w:cs="方正小标宋简体"/>
          <w:sz w:val="70"/>
          <w:szCs w:val="70"/>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p>
    <w:bookmarkEnd w:id="0"/>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eastAsia="zh-CN"/>
        </w:rPr>
      </w:pPr>
      <w:bookmarkStart w:id="6" w:name="_Toc15377426"/>
      <w:bookmarkStart w:id="7" w:name="_Toc29703"/>
      <w:bookmarkStart w:id="8" w:name="_Toc15396598"/>
      <w:bookmarkStart w:id="9" w:name="_Toc15306268"/>
      <w:bookmarkStart w:id="10" w:name="_Toc15377194"/>
      <w:bookmarkStart w:id="11" w:name="_Toc3758"/>
      <w:bookmarkStart w:id="12" w:name="_Toc15396476"/>
      <w:bookmarkStart w:id="13" w:name="_Toc15378442"/>
      <w:r>
        <w:rPr>
          <w:rFonts w:hint="eastAsia" w:ascii="方正小标宋简体" w:hAnsi="方正小标宋简体" w:eastAsia="方正小标宋简体" w:cs="方正小标宋简体"/>
          <w:color w:val="auto"/>
          <w:sz w:val="72"/>
          <w:szCs w:val="72"/>
          <w:highlight w:val="none"/>
          <w:lang w:eastAsia="zh-CN"/>
        </w:rPr>
        <w:t>中国国民党革命委员会广元市委员会</w:t>
      </w: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r>
        <w:rPr>
          <w:rFonts w:hint="eastAsia" w:ascii="方正小标宋简体" w:hAnsi="方正小标宋简体" w:eastAsia="方正小标宋简体" w:cs="方正小标宋简体"/>
          <w:color w:val="auto"/>
          <w:sz w:val="72"/>
          <w:szCs w:val="72"/>
          <w:highlight w:val="none"/>
          <w:lang w:val="en-US" w:eastAsia="zh-CN"/>
        </w:rPr>
        <w:t>单位</w:t>
      </w:r>
      <w:r>
        <w:rPr>
          <w:rFonts w:hint="eastAsia" w:ascii="方正小标宋简体" w:hAnsi="方正小标宋简体" w:eastAsia="方正小标宋简体" w:cs="方正小标宋简体"/>
          <w:color w:val="auto"/>
          <w:sz w:val="72"/>
          <w:szCs w:val="72"/>
          <w:highlight w:val="none"/>
        </w:rPr>
        <w:t>决算</w:t>
      </w:r>
      <w:bookmarkEnd w:id="6"/>
      <w:bookmarkEnd w:id="7"/>
      <w:bookmarkEnd w:id="8"/>
      <w:bookmarkEnd w:id="9"/>
      <w:bookmarkEnd w:id="10"/>
      <w:bookmarkEnd w:id="11"/>
      <w:bookmarkEnd w:id="12"/>
      <w:bookmarkEnd w:id="13"/>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方正小标宋简体" w:hAnsi="方正小标宋简体" w:eastAsia="方正小标宋简体" w:cs="方正小标宋简体"/>
          <w:sz w:val="44"/>
          <w:szCs w:val="44"/>
        </w:rPr>
        <w:sectPr>
          <w:headerReference r:id="rId3" w:type="default"/>
          <w:pgSz w:w="11906" w:h="16838"/>
          <w:pgMar w:top="2098" w:right="1474" w:bottom="1984" w:left="1587" w:header="851" w:footer="1531" w:gutter="0"/>
          <w:pgNumType w:start="1"/>
          <w:cols w:space="425" w:num="1"/>
          <w:titlePg/>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6" w:lineRule="exact"/>
        <w:ind w:leftChars="0" w:firstLine="880" w:firstLineChars="200"/>
        <w:jc w:val="center"/>
        <w:textAlignment w:val="auto"/>
        <w:rPr>
          <w:rFonts w:hint="eastAsia"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目录</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公开时间：20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日</w:t>
      </w:r>
    </w:p>
    <w:sdt>
      <w:sdtPr>
        <w:rPr>
          <w:rFonts w:ascii="宋体" w:hAnsi="宋体" w:eastAsia="宋体" w:cs="Times New Roman"/>
          <w:kern w:val="2"/>
          <w:sz w:val="21"/>
          <w:szCs w:val="24"/>
          <w:lang w:val="en-US" w:eastAsia="zh-CN" w:bidi="ar-SA"/>
        </w:rPr>
        <w:id w:val="147482353"/>
        <w15:color w:val="DBDBDB"/>
        <w:docPartObj>
          <w:docPartGallery w:val="Table of Contents"/>
          <w:docPartUnique/>
        </w:docPartObj>
      </w:sdtPr>
      <w:sdtEndPr>
        <w:rPr>
          <w:rFonts w:hint="eastAsia" w:ascii="仿宋_GB2312" w:hAnsi="Times New Roman" w:eastAsia="仿宋_GB2312" w:cs="Times New Roman"/>
          <w:b/>
          <w:kern w:val="0"/>
          <w:sz w:val="30"/>
          <w:szCs w:val="24"/>
          <w:lang w:val="en-US" w:eastAsia="zh-CN" w:bidi="ar-SA"/>
        </w:rPr>
      </w:sdtEndPr>
      <w:sdtContent>
        <w:p>
          <w:pPr>
            <w:spacing w:before="0" w:beforeLines="0" w:after="0" w:afterLines="0" w:line="240" w:lineRule="auto"/>
            <w:ind w:left="0" w:leftChars="0" w:right="0" w:rightChars="0" w:firstLine="0" w:firstLineChars="0"/>
            <w:jc w:val="center"/>
          </w:pPr>
          <w:bookmarkStart w:id="180" w:name="_GoBack"/>
          <w:bookmarkEnd w:id="180"/>
          <w:r>
            <w:rPr>
              <w:rFonts w:hint="eastAsia"/>
            </w:rPr>
            <w:fldChar w:fldCharType="begin"/>
          </w:r>
          <w:r>
            <w:rPr>
              <w:rFonts w:hint="eastAsia"/>
            </w:rPr>
            <w:instrText xml:space="preserve">TOC \o "1-2" \h \u </w:instrText>
          </w:r>
          <w:r>
            <w:rPr>
              <w:rFonts w:hint="eastAsia"/>
            </w:rPr>
            <w:fldChar w:fldCharType="separate"/>
          </w:r>
        </w:p>
        <w:p>
          <w:pPr>
            <w:pStyle w:val="10"/>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jc w:val="both"/>
            <w:textAlignment w:val="auto"/>
          </w:pPr>
          <w:r>
            <w:rPr>
              <w:rFonts w:hint="eastAsia"/>
            </w:rPr>
            <w:fldChar w:fldCharType="begin"/>
          </w:r>
          <w:r>
            <w:rPr>
              <w:rFonts w:hint="eastAsia"/>
            </w:rPr>
            <w:instrText xml:space="preserve"> HYPERLINK \l _Toc31226 </w:instrText>
          </w:r>
          <w:r>
            <w:rPr>
              <w:rFonts w:hint="eastAsia"/>
            </w:rPr>
            <w:fldChar w:fldCharType="separate"/>
          </w:r>
          <w:r>
            <w:rPr>
              <w:rFonts w:hint="eastAsia" w:ascii="方正小标宋简体" w:hAnsi="方正小标宋简体" w:eastAsia="方正小标宋简体" w:cs="方正小标宋简体"/>
              <w:szCs w:val="44"/>
            </w:rPr>
            <w:t>第一部分</w:t>
          </w:r>
          <w:r>
            <w:rPr>
              <w:rFonts w:hint="eastAsia" w:ascii="方正小标宋简体" w:hAnsi="方正小标宋简体" w:eastAsia="方正小标宋简体" w:cs="方正小标宋简体"/>
              <w:szCs w:val="44"/>
              <w:lang w:eastAsia="zh-CN"/>
            </w:rPr>
            <w:t>单位</w:t>
          </w:r>
          <w:r>
            <w:rPr>
              <w:rFonts w:hint="eastAsia" w:ascii="方正小标宋简体" w:hAnsi="方正小标宋简体" w:eastAsia="方正小标宋简体" w:cs="方正小标宋简体"/>
              <w:szCs w:val="44"/>
            </w:rPr>
            <w:t>概况</w:t>
          </w:r>
          <w:r>
            <w:tab/>
          </w:r>
          <w:r>
            <w:fldChar w:fldCharType="begin"/>
          </w:r>
          <w:r>
            <w:instrText xml:space="preserve"> PAGEREF _Toc31226 \h </w:instrText>
          </w:r>
          <w:r>
            <w:fldChar w:fldCharType="separate"/>
          </w:r>
          <w:r>
            <w:t>1</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_Toc26689 </w:instrText>
          </w:r>
          <w:r>
            <w:rPr>
              <w:rFonts w:hint="eastAsia"/>
            </w:rPr>
            <w:fldChar w:fldCharType="separate"/>
          </w:r>
          <w:r>
            <w:rPr>
              <w:rFonts w:hint="eastAsia" w:ascii="黑体" w:hAnsi="黑体" w:eastAsia="黑体" w:cs="黑体"/>
              <w:szCs w:val="32"/>
              <w:lang w:eastAsia="zh-CN"/>
            </w:rPr>
            <w:t>一、主要职责</w:t>
          </w:r>
          <w:r>
            <w:tab/>
          </w:r>
          <w:r>
            <w:fldChar w:fldCharType="begin"/>
          </w:r>
          <w:r>
            <w:instrText xml:space="preserve"> PAGEREF _Toc26689 \h </w:instrText>
          </w:r>
          <w:r>
            <w:fldChar w:fldCharType="separate"/>
          </w:r>
          <w:r>
            <w:t>1</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_Toc21064 </w:instrText>
          </w:r>
          <w:r>
            <w:rPr>
              <w:rFonts w:hint="eastAsia"/>
            </w:rPr>
            <w:fldChar w:fldCharType="separate"/>
          </w:r>
          <w:r>
            <w:rPr>
              <w:rFonts w:hint="eastAsia" w:ascii="黑体" w:hAnsi="黑体" w:eastAsia="黑体" w:cs="黑体"/>
              <w:szCs w:val="32"/>
              <w:lang w:val="en-US" w:eastAsia="zh-CN"/>
            </w:rPr>
            <w:t>二、机构设置</w:t>
          </w:r>
          <w:r>
            <w:tab/>
          </w:r>
          <w:r>
            <w:fldChar w:fldCharType="begin"/>
          </w:r>
          <w:r>
            <w:instrText xml:space="preserve"> PAGEREF _Toc21064 \h </w:instrText>
          </w:r>
          <w:r>
            <w:fldChar w:fldCharType="separate"/>
          </w:r>
          <w:r>
            <w:t>1</w:t>
          </w:r>
          <w:r>
            <w:fldChar w:fldCharType="end"/>
          </w:r>
          <w:r>
            <w:rPr>
              <w:rFonts w:hint="eastAsia"/>
            </w:rPr>
            <w:fldChar w:fldCharType="end"/>
          </w:r>
        </w:p>
        <w:p>
          <w:pPr>
            <w:pStyle w:val="10"/>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_Toc26000 </w:instrText>
          </w:r>
          <w:r>
            <w:rPr>
              <w:rFonts w:hint="eastAsia"/>
            </w:rPr>
            <w:fldChar w:fldCharType="separate"/>
          </w:r>
          <w:r>
            <w:rPr>
              <w:rFonts w:hint="eastAsia" w:ascii="方正小标宋简体" w:hAnsi="方正小标宋简体" w:eastAsia="方正小标宋简体" w:cs="方正小标宋简体"/>
              <w:szCs w:val="44"/>
            </w:rPr>
            <w:t>第二部分</w:t>
          </w:r>
          <w:r>
            <w:rPr>
              <w:rFonts w:hint="eastAsia" w:ascii="方正小标宋简体" w:hAnsi="方正小标宋简体" w:eastAsia="方正小标宋简体" w:cs="方正小标宋简体"/>
              <w:szCs w:val="44"/>
              <w:lang w:val="en-US" w:eastAsia="zh-CN"/>
            </w:rPr>
            <w:t>2022年度</w:t>
          </w:r>
          <w:r>
            <w:rPr>
              <w:rFonts w:hint="eastAsia" w:ascii="方正小标宋简体" w:hAnsi="方正小标宋简体" w:eastAsia="方正小标宋简体" w:cs="方正小标宋简体"/>
              <w:szCs w:val="44"/>
              <w:lang w:eastAsia="zh-CN"/>
            </w:rPr>
            <w:t>单位</w:t>
          </w:r>
          <w:r>
            <w:rPr>
              <w:rFonts w:hint="eastAsia" w:ascii="方正小标宋简体" w:hAnsi="方正小标宋简体" w:eastAsia="方正小标宋简体" w:cs="方正小标宋简体"/>
              <w:szCs w:val="44"/>
            </w:rPr>
            <w:t>决算情况说明</w:t>
          </w:r>
          <w:r>
            <w:tab/>
          </w:r>
          <w:r>
            <w:fldChar w:fldCharType="begin"/>
          </w:r>
          <w:r>
            <w:instrText xml:space="preserve"> PAGEREF _Toc26000 \h </w:instrText>
          </w:r>
          <w:r>
            <w:fldChar w:fldCharType="separate"/>
          </w:r>
          <w:r>
            <w:t>2</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_Toc10188 </w:instrText>
          </w:r>
          <w:r>
            <w:rPr>
              <w:rFonts w:hint="eastAsia"/>
            </w:rPr>
            <w:fldChar w:fldCharType="separate"/>
          </w:r>
          <w:r>
            <w:rPr>
              <w:rFonts w:hint="eastAsia" w:ascii="黑体" w:hAnsi="黑体" w:eastAsia="黑体" w:cs="黑体"/>
              <w:szCs w:val="32"/>
              <w:lang w:eastAsia="zh-CN"/>
            </w:rPr>
            <w:t>一、</w:t>
          </w:r>
          <w:r>
            <w:rPr>
              <w:rFonts w:hint="eastAsia" w:ascii="黑体" w:hAnsi="黑体" w:eastAsia="黑体" w:cs="黑体"/>
              <w:szCs w:val="32"/>
            </w:rPr>
            <w:t>收入支出决算总体情况说明</w:t>
          </w:r>
          <w:r>
            <w:tab/>
          </w:r>
          <w:r>
            <w:fldChar w:fldCharType="begin"/>
          </w:r>
          <w:r>
            <w:instrText xml:space="preserve"> PAGEREF _Toc10188 \h </w:instrText>
          </w:r>
          <w:r>
            <w:fldChar w:fldCharType="separate"/>
          </w:r>
          <w:r>
            <w:t>2</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_Toc23625 </w:instrText>
          </w:r>
          <w:r>
            <w:rPr>
              <w:rFonts w:hint="eastAsia"/>
            </w:rPr>
            <w:fldChar w:fldCharType="separate"/>
          </w:r>
          <w:r>
            <w:rPr>
              <w:rFonts w:hint="eastAsia" w:ascii="黑体" w:hAnsi="黑体" w:eastAsia="黑体" w:cs="黑体"/>
              <w:kern w:val="2"/>
              <w:szCs w:val="32"/>
              <w:lang w:val="en-US" w:eastAsia="zh-CN" w:bidi="ar-SA"/>
            </w:rPr>
            <w:t>二、收入决算情况说明</w:t>
          </w:r>
          <w:r>
            <w:tab/>
          </w:r>
          <w:r>
            <w:fldChar w:fldCharType="begin"/>
          </w:r>
          <w:r>
            <w:instrText xml:space="preserve"> PAGEREF _Toc23625 \h </w:instrText>
          </w:r>
          <w:r>
            <w:fldChar w:fldCharType="separate"/>
          </w:r>
          <w:r>
            <w:t>2</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_Toc31002 </w:instrText>
          </w:r>
          <w:r>
            <w:rPr>
              <w:rFonts w:hint="eastAsia"/>
            </w:rPr>
            <w:fldChar w:fldCharType="separate"/>
          </w:r>
          <w:r>
            <w:rPr>
              <w:rFonts w:hint="eastAsia" w:ascii="黑体" w:hAnsi="黑体" w:eastAsia="黑体" w:cs="黑体"/>
              <w:kern w:val="2"/>
              <w:szCs w:val="32"/>
              <w:lang w:val="en-US" w:eastAsia="zh-CN" w:bidi="ar-SA"/>
            </w:rPr>
            <w:t>三、支出决算情况说明</w:t>
          </w:r>
          <w:r>
            <w:tab/>
          </w:r>
          <w:r>
            <w:fldChar w:fldCharType="begin"/>
          </w:r>
          <w:r>
            <w:instrText xml:space="preserve"> PAGEREF _Toc31002 \h </w:instrText>
          </w:r>
          <w:r>
            <w:fldChar w:fldCharType="separate"/>
          </w:r>
          <w:r>
            <w:t>3</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_Toc10811 </w:instrText>
          </w:r>
          <w:r>
            <w:rPr>
              <w:rFonts w:hint="eastAsia"/>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_Toc10811 \h </w:instrText>
          </w:r>
          <w:r>
            <w:fldChar w:fldCharType="separate"/>
          </w:r>
          <w:r>
            <w:t>4</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_Toc189 </w:instrText>
          </w:r>
          <w:r>
            <w:rPr>
              <w:rFonts w:hint="eastAsia"/>
            </w:rPr>
            <w:fldChar w:fldCharType="separate"/>
          </w:r>
          <w:r>
            <w:rPr>
              <w:rFonts w:hint="eastAsia" w:ascii="黑体" w:hAnsi="黑体" w:eastAsia="黑体" w:cs="黑体"/>
              <w:kern w:val="2"/>
              <w:szCs w:val="32"/>
              <w:lang w:val="en-US" w:eastAsia="zh-CN" w:bidi="ar-SA"/>
            </w:rPr>
            <w:t>五、一般公共预算财政拨款支出决算情况说明</w:t>
          </w:r>
          <w:r>
            <w:tab/>
          </w:r>
          <w:r>
            <w:fldChar w:fldCharType="begin"/>
          </w:r>
          <w:r>
            <w:instrText xml:space="preserve"> PAGEREF _Toc189 \h </w:instrText>
          </w:r>
          <w:r>
            <w:fldChar w:fldCharType="separate"/>
          </w:r>
          <w:r>
            <w:t>4</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_Toc32546 </w:instrText>
          </w:r>
          <w:r>
            <w:rPr>
              <w:rFonts w:hint="eastAsia"/>
            </w:rPr>
            <w:fldChar w:fldCharType="separate"/>
          </w:r>
          <w:r>
            <w:rPr>
              <w:rFonts w:hint="eastAsia" w:ascii="黑体" w:hAnsi="黑体" w:eastAsia="黑体" w:cs="黑体"/>
              <w:kern w:val="2"/>
              <w:szCs w:val="32"/>
              <w:lang w:val="en-US" w:eastAsia="zh-CN" w:bidi="ar-SA"/>
            </w:rPr>
            <w:t>六、一般公共预算财政拨款基本支出决算情况说明</w:t>
          </w:r>
          <w:r>
            <w:tab/>
          </w:r>
          <w:r>
            <w:fldChar w:fldCharType="begin"/>
          </w:r>
          <w:r>
            <w:instrText xml:space="preserve"> PAGEREF _Toc32546 \h </w:instrText>
          </w:r>
          <w:r>
            <w:fldChar w:fldCharType="separate"/>
          </w:r>
          <w:r>
            <w:t>6</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_Toc15448 </w:instrText>
          </w:r>
          <w:r>
            <w:rPr>
              <w:rFonts w:hint="eastAsia"/>
            </w:rPr>
            <w:fldChar w:fldCharType="separate"/>
          </w:r>
          <w:r>
            <w:rPr>
              <w:rFonts w:hint="eastAsia" w:ascii="黑体" w:hAnsi="黑体" w:eastAsia="黑体" w:cs="黑体"/>
              <w:kern w:val="2"/>
              <w:szCs w:val="32"/>
              <w:lang w:val="en-US" w:eastAsia="zh-CN" w:bidi="ar-SA"/>
            </w:rPr>
            <w:t>七、财政拨款“三公”经费支出决算情况说明</w:t>
          </w:r>
          <w:r>
            <w:tab/>
          </w:r>
          <w:r>
            <w:fldChar w:fldCharType="begin"/>
          </w:r>
          <w:r>
            <w:instrText xml:space="preserve"> PAGEREF _Toc15448 \h </w:instrText>
          </w:r>
          <w:r>
            <w:fldChar w:fldCharType="separate"/>
          </w:r>
          <w:r>
            <w:t>7</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_Toc9835 </w:instrText>
          </w:r>
          <w:r>
            <w:rPr>
              <w:rFonts w:hint="eastAsia"/>
            </w:rPr>
            <w:fldChar w:fldCharType="separate"/>
          </w:r>
          <w:r>
            <w:rPr>
              <w:rFonts w:hint="eastAsia" w:ascii="黑体" w:hAnsi="黑体" w:eastAsia="黑体" w:cs="黑体"/>
              <w:kern w:val="2"/>
              <w:szCs w:val="32"/>
              <w:lang w:val="en-US" w:eastAsia="zh-CN" w:bidi="ar-SA"/>
            </w:rPr>
            <w:t>八、政府性基金预算支出决算情况说明</w:t>
          </w:r>
          <w:r>
            <w:tab/>
          </w:r>
          <w:r>
            <w:fldChar w:fldCharType="begin"/>
          </w:r>
          <w:r>
            <w:instrText xml:space="preserve"> PAGEREF _Toc9835 \h </w:instrText>
          </w:r>
          <w:r>
            <w:fldChar w:fldCharType="separate"/>
          </w:r>
          <w:r>
            <w:t>8</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_Toc18702 </w:instrText>
          </w:r>
          <w:r>
            <w:rPr>
              <w:rFonts w:hint="eastAsia"/>
            </w:rPr>
            <w:fldChar w:fldCharType="separate"/>
          </w:r>
          <w:r>
            <w:rPr>
              <w:rFonts w:hint="eastAsia" w:ascii="黑体" w:hAnsi="黑体" w:eastAsia="黑体" w:cs="黑体"/>
              <w:kern w:val="2"/>
              <w:szCs w:val="32"/>
              <w:lang w:val="en-US" w:eastAsia="zh-CN" w:bidi="ar-SA"/>
            </w:rPr>
            <w:t>九、国有资本经营预算支出决算情况说明</w:t>
          </w:r>
          <w:r>
            <w:tab/>
          </w:r>
          <w:r>
            <w:fldChar w:fldCharType="begin"/>
          </w:r>
          <w:r>
            <w:instrText xml:space="preserve"> PAGEREF _Toc18702 \h </w:instrText>
          </w:r>
          <w:r>
            <w:fldChar w:fldCharType="separate"/>
          </w:r>
          <w:r>
            <w:t>8</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_Toc31135 </w:instrText>
          </w:r>
          <w:r>
            <w:rPr>
              <w:rFonts w:hint="eastAsia"/>
            </w:rPr>
            <w:fldChar w:fldCharType="separate"/>
          </w:r>
          <w:r>
            <w:rPr>
              <w:rFonts w:hint="eastAsia" w:ascii="黑体" w:hAnsi="黑体" w:eastAsia="黑体" w:cs="黑体"/>
              <w:kern w:val="2"/>
              <w:szCs w:val="32"/>
              <w:lang w:val="en-US" w:eastAsia="zh-CN" w:bidi="ar-SA"/>
            </w:rPr>
            <w:t>十、其他重要事项的情况说明</w:t>
          </w:r>
          <w:r>
            <w:tab/>
          </w:r>
          <w:r>
            <w:fldChar w:fldCharType="begin"/>
          </w:r>
          <w:r>
            <w:instrText xml:space="preserve"> PAGEREF _Toc31135 \h </w:instrText>
          </w:r>
          <w:r>
            <w:fldChar w:fldCharType="separate"/>
          </w:r>
          <w:r>
            <w:t>8</w:t>
          </w:r>
          <w:r>
            <w:fldChar w:fldCharType="end"/>
          </w:r>
          <w:r>
            <w:rPr>
              <w:rFonts w:hint="eastAsia"/>
            </w:rPr>
            <w:fldChar w:fldCharType="end"/>
          </w:r>
        </w:p>
        <w:p>
          <w:pPr>
            <w:pStyle w:val="10"/>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_Toc14238 </w:instrText>
          </w:r>
          <w:r>
            <w:rPr>
              <w:rFonts w:hint="eastAsia"/>
            </w:rPr>
            <w:fldChar w:fldCharType="separate"/>
          </w:r>
          <w:r>
            <w:rPr>
              <w:rFonts w:hint="eastAsia" w:ascii="方正小标宋简体" w:hAnsi="方正小标宋简体" w:eastAsia="方正小标宋简体" w:cs="方正小标宋简体"/>
              <w:szCs w:val="44"/>
              <w:lang w:eastAsia="zh-CN"/>
            </w:rPr>
            <w:t>第三部分</w:t>
          </w:r>
          <w:r>
            <w:rPr>
              <w:rFonts w:hint="eastAsia" w:ascii="方正小标宋简体" w:hAnsi="方正小标宋简体" w:eastAsia="方正小标宋简体" w:cs="方正小标宋简体"/>
              <w:szCs w:val="44"/>
            </w:rPr>
            <w:t>名词解释</w:t>
          </w:r>
          <w:r>
            <w:tab/>
          </w:r>
          <w:r>
            <w:fldChar w:fldCharType="begin"/>
          </w:r>
          <w:r>
            <w:instrText xml:space="preserve"> PAGEREF _Toc14238 \h </w:instrText>
          </w:r>
          <w:r>
            <w:fldChar w:fldCharType="separate"/>
          </w:r>
          <w:r>
            <w:t>10</w:t>
          </w:r>
          <w:r>
            <w:fldChar w:fldCharType="end"/>
          </w:r>
          <w:r>
            <w:rPr>
              <w:rFonts w:hint="eastAsia"/>
            </w:rPr>
            <w:fldChar w:fldCharType="end"/>
          </w:r>
        </w:p>
        <w:p>
          <w:pPr>
            <w:pStyle w:val="10"/>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_Toc20130 </w:instrText>
          </w:r>
          <w:r>
            <w:rPr>
              <w:rFonts w:hint="eastAsia"/>
            </w:rPr>
            <w:fldChar w:fldCharType="separate"/>
          </w:r>
          <w:r>
            <w:rPr>
              <w:rFonts w:hint="eastAsia" w:ascii="方正小标宋简体" w:hAnsi="方正小标宋简体" w:eastAsia="方正小标宋简体" w:cs="方正小标宋简体"/>
              <w:szCs w:val="44"/>
            </w:rPr>
            <w:t>第四部分附件</w:t>
          </w:r>
          <w:r>
            <w:tab/>
          </w:r>
          <w:r>
            <w:fldChar w:fldCharType="begin"/>
          </w:r>
          <w:r>
            <w:instrText xml:space="preserve"> PAGEREF _Toc20130 \h </w:instrText>
          </w:r>
          <w:r>
            <w:fldChar w:fldCharType="separate"/>
          </w:r>
          <w:r>
            <w:t>12</w:t>
          </w:r>
          <w:r>
            <w:fldChar w:fldCharType="end"/>
          </w:r>
          <w:r>
            <w:rPr>
              <w:rFonts w:hint="eastAsia"/>
            </w:rPr>
            <w:fldChar w:fldCharType="end"/>
          </w:r>
        </w:p>
        <w:p>
          <w:pPr>
            <w:pStyle w:val="10"/>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_Toc22388 </w:instrText>
          </w:r>
          <w:r>
            <w:rPr>
              <w:rFonts w:hint="eastAsia"/>
            </w:rPr>
            <w:fldChar w:fldCharType="separate"/>
          </w:r>
          <w:r>
            <w:rPr>
              <w:rFonts w:hint="eastAsia" w:ascii="方正小标宋简体" w:hAnsi="方正小标宋简体" w:eastAsia="方正小标宋简体" w:cs="方正小标宋简体"/>
              <w:szCs w:val="44"/>
            </w:rPr>
            <w:t>第五部分附表</w:t>
          </w:r>
          <w:r>
            <w:tab/>
          </w:r>
          <w:r>
            <w:fldChar w:fldCharType="begin"/>
          </w:r>
          <w:r>
            <w:instrText xml:space="preserve"> PAGEREF _Toc22388 \h </w:instrText>
          </w:r>
          <w:r>
            <w:fldChar w:fldCharType="separate"/>
          </w:r>
          <w:r>
            <w:t>13</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_Toc23219 </w:instrText>
          </w:r>
          <w:r>
            <w:rPr>
              <w:rFonts w:hint="eastAsia"/>
            </w:rPr>
            <w:fldChar w:fldCharType="separate"/>
          </w:r>
          <w:r>
            <w:rPr>
              <w:rFonts w:hint="eastAsia"/>
            </w:rPr>
            <w:t>一、收入支出决算总表</w:t>
          </w:r>
          <w:r>
            <w:tab/>
          </w:r>
          <w:r>
            <w:fldChar w:fldCharType="begin"/>
          </w:r>
          <w:r>
            <w:instrText xml:space="preserve"> PAGEREF _Toc23219 \h </w:instrText>
          </w:r>
          <w:r>
            <w:fldChar w:fldCharType="separate"/>
          </w:r>
          <w:r>
            <w:t>13</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_Toc29124 </w:instrText>
          </w:r>
          <w:r>
            <w:rPr>
              <w:rFonts w:hint="eastAsia"/>
            </w:rPr>
            <w:fldChar w:fldCharType="separate"/>
          </w:r>
          <w:r>
            <w:rPr>
              <w:rFonts w:hint="eastAsia"/>
            </w:rPr>
            <w:t>二、收入决算表</w:t>
          </w:r>
          <w:r>
            <w:tab/>
          </w:r>
          <w:r>
            <w:fldChar w:fldCharType="begin"/>
          </w:r>
          <w:r>
            <w:instrText xml:space="preserve"> PAGEREF _Toc29124 \h </w:instrText>
          </w:r>
          <w:r>
            <w:fldChar w:fldCharType="separate"/>
          </w:r>
          <w:r>
            <w:t>13</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_Toc7254 </w:instrText>
          </w:r>
          <w:r>
            <w:rPr>
              <w:rFonts w:hint="eastAsia"/>
            </w:rPr>
            <w:fldChar w:fldCharType="separate"/>
          </w:r>
          <w:r>
            <w:rPr>
              <w:rFonts w:hint="eastAsia"/>
            </w:rPr>
            <w:t>三、支出决算表</w:t>
          </w:r>
          <w:r>
            <w:tab/>
          </w:r>
          <w:r>
            <w:fldChar w:fldCharType="begin"/>
          </w:r>
          <w:r>
            <w:instrText xml:space="preserve"> PAGEREF _Toc7254 \h </w:instrText>
          </w:r>
          <w:r>
            <w:fldChar w:fldCharType="separate"/>
          </w:r>
          <w:r>
            <w:t>13</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_Toc5829 </w:instrText>
          </w:r>
          <w:r>
            <w:rPr>
              <w:rFonts w:hint="eastAsia"/>
            </w:rPr>
            <w:fldChar w:fldCharType="separate"/>
          </w:r>
          <w:r>
            <w:rPr>
              <w:rFonts w:hint="eastAsia"/>
            </w:rPr>
            <w:t>四、财政拨款收入支出决算总表</w:t>
          </w:r>
          <w:r>
            <w:tab/>
          </w:r>
          <w:r>
            <w:fldChar w:fldCharType="begin"/>
          </w:r>
          <w:r>
            <w:instrText xml:space="preserve"> PAGEREF _Toc5829 \h </w:instrText>
          </w:r>
          <w:r>
            <w:fldChar w:fldCharType="separate"/>
          </w:r>
          <w:r>
            <w:t>13</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_Toc7352 </w:instrText>
          </w:r>
          <w:r>
            <w:rPr>
              <w:rFonts w:hint="eastAsia"/>
            </w:rPr>
            <w:fldChar w:fldCharType="separate"/>
          </w:r>
          <w:r>
            <w:rPr>
              <w:rFonts w:hint="eastAsia"/>
            </w:rPr>
            <w:t>五、财政拨款支出决算明细表</w:t>
          </w:r>
          <w:r>
            <w:tab/>
          </w:r>
          <w:r>
            <w:fldChar w:fldCharType="begin"/>
          </w:r>
          <w:r>
            <w:instrText xml:space="preserve"> PAGEREF _Toc7352 \h </w:instrText>
          </w:r>
          <w:r>
            <w:fldChar w:fldCharType="separate"/>
          </w:r>
          <w:r>
            <w:t>13</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_Toc16396 </w:instrText>
          </w:r>
          <w:r>
            <w:rPr>
              <w:rFonts w:hint="eastAsia"/>
            </w:rPr>
            <w:fldChar w:fldCharType="separate"/>
          </w:r>
          <w:r>
            <w:rPr>
              <w:rFonts w:hint="eastAsia"/>
            </w:rPr>
            <w:t>六、一般公共预算财政拨款支出决算表</w:t>
          </w:r>
          <w:r>
            <w:tab/>
          </w:r>
          <w:r>
            <w:fldChar w:fldCharType="begin"/>
          </w:r>
          <w:r>
            <w:instrText xml:space="preserve"> PAGEREF _Toc16396 \h </w:instrText>
          </w:r>
          <w:r>
            <w:fldChar w:fldCharType="separate"/>
          </w:r>
          <w:r>
            <w:t>13</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_Toc14260 </w:instrText>
          </w:r>
          <w:r>
            <w:rPr>
              <w:rFonts w:hint="eastAsia"/>
            </w:rPr>
            <w:fldChar w:fldCharType="separate"/>
          </w:r>
          <w:r>
            <w:rPr>
              <w:rFonts w:hint="eastAsia"/>
            </w:rPr>
            <w:t>七、一般公共预算财政拨款支出决算明细表</w:t>
          </w:r>
          <w:r>
            <w:tab/>
          </w:r>
          <w:r>
            <w:fldChar w:fldCharType="begin"/>
          </w:r>
          <w:r>
            <w:instrText xml:space="preserve"> PAGEREF _Toc14260 \h </w:instrText>
          </w:r>
          <w:r>
            <w:fldChar w:fldCharType="separate"/>
          </w:r>
          <w:r>
            <w:t>13</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_Toc26687 </w:instrText>
          </w:r>
          <w:r>
            <w:rPr>
              <w:rFonts w:hint="eastAsia"/>
            </w:rPr>
            <w:fldChar w:fldCharType="separate"/>
          </w:r>
          <w:r>
            <w:rPr>
              <w:rFonts w:hint="eastAsia"/>
            </w:rPr>
            <w:t>八、一般公共预算财政拨款基本支出决算表</w:t>
          </w:r>
          <w:r>
            <w:tab/>
          </w:r>
          <w:r>
            <w:fldChar w:fldCharType="begin"/>
          </w:r>
          <w:r>
            <w:instrText xml:space="preserve"> PAGEREF _Toc26687 \h </w:instrText>
          </w:r>
          <w:r>
            <w:fldChar w:fldCharType="separate"/>
          </w:r>
          <w:r>
            <w:t>13</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_Toc6856 </w:instrText>
          </w:r>
          <w:r>
            <w:rPr>
              <w:rFonts w:hint="eastAsia"/>
            </w:rPr>
            <w:fldChar w:fldCharType="separate"/>
          </w:r>
          <w:r>
            <w:rPr>
              <w:rFonts w:hint="eastAsia"/>
            </w:rPr>
            <w:t>九、一般公共预算财政拨款项目支出决算表</w:t>
          </w:r>
          <w:r>
            <w:tab/>
          </w:r>
          <w:r>
            <w:fldChar w:fldCharType="begin"/>
          </w:r>
          <w:r>
            <w:instrText xml:space="preserve"> PAGEREF _Toc6856 \h </w:instrText>
          </w:r>
          <w:r>
            <w:fldChar w:fldCharType="separate"/>
          </w:r>
          <w:r>
            <w:t>13</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_Toc22183 </w:instrText>
          </w:r>
          <w:r>
            <w:rPr>
              <w:rFonts w:hint="eastAsia"/>
            </w:rPr>
            <w:fldChar w:fldCharType="separate"/>
          </w:r>
          <w:r>
            <w:rPr>
              <w:rFonts w:hint="eastAsia"/>
            </w:rPr>
            <w:t>十、政府性基金预算财政拨款收入支出决算表</w:t>
          </w:r>
          <w:r>
            <w:tab/>
          </w:r>
          <w:r>
            <w:fldChar w:fldCharType="begin"/>
          </w:r>
          <w:r>
            <w:instrText xml:space="preserve"> PAGEREF _Toc22183 \h </w:instrText>
          </w:r>
          <w:r>
            <w:fldChar w:fldCharType="separate"/>
          </w:r>
          <w:r>
            <w:t>13</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_Toc2251 </w:instrText>
          </w:r>
          <w:r>
            <w:rPr>
              <w:rFonts w:hint="eastAsia"/>
            </w:rPr>
            <w:fldChar w:fldCharType="separate"/>
          </w:r>
          <w:r>
            <w:rPr>
              <w:rFonts w:hint="eastAsia"/>
            </w:rPr>
            <w:t>十一、国有资本经营预算</w:t>
          </w:r>
          <w:r>
            <w:rPr>
              <w:rFonts w:hint="eastAsia"/>
              <w:lang w:eastAsia="zh-CN"/>
            </w:rPr>
            <w:t>财政拨款收入</w:t>
          </w:r>
          <w:r>
            <w:rPr>
              <w:rFonts w:hint="eastAsia"/>
            </w:rPr>
            <w:t>支出决算表</w:t>
          </w:r>
          <w:r>
            <w:tab/>
          </w:r>
          <w:r>
            <w:fldChar w:fldCharType="begin"/>
          </w:r>
          <w:r>
            <w:instrText xml:space="preserve"> PAGEREF _Toc2251 \h </w:instrText>
          </w:r>
          <w:r>
            <w:fldChar w:fldCharType="separate"/>
          </w:r>
          <w:r>
            <w:t>13</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_Toc24714 </w:instrText>
          </w:r>
          <w:r>
            <w:rPr>
              <w:rFonts w:hint="eastAsia"/>
            </w:rPr>
            <w:fldChar w:fldCharType="separate"/>
          </w:r>
          <w:r>
            <w:rPr>
              <w:rFonts w:hint="eastAsia"/>
            </w:rPr>
            <w:t>十二、</w:t>
          </w:r>
          <w:r>
            <w:rPr>
              <w:rFonts w:hint="eastAsia"/>
              <w:lang w:eastAsia="zh-CN"/>
            </w:rPr>
            <w:t>国有资本经营预算财政拨款支出决算表</w:t>
          </w:r>
          <w:r>
            <w:tab/>
          </w:r>
          <w:r>
            <w:fldChar w:fldCharType="begin"/>
          </w:r>
          <w:r>
            <w:instrText xml:space="preserve"> PAGEREF _Toc24714 \h </w:instrText>
          </w:r>
          <w:r>
            <w:fldChar w:fldCharType="separate"/>
          </w:r>
          <w:r>
            <w:t>13</w:t>
          </w:r>
          <w:r>
            <w:fldChar w:fldCharType="end"/>
          </w:r>
          <w:r>
            <w:rPr>
              <w:rFonts w:hint="eastAsia"/>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_Toc28790 </w:instrText>
          </w:r>
          <w:r>
            <w:rPr>
              <w:rFonts w:hint="eastAsia"/>
            </w:rPr>
            <w:fldChar w:fldCharType="separate"/>
          </w:r>
          <w:r>
            <w:rPr>
              <w:rFonts w:hint="eastAsia"/>
            </w:rPr>
            <w:t>十三、</w:t>
          </w:r>
          <w:r>
            <w:rPr>
              <w:rFonts w:hint="eastAsia"/>
              <w:lang w:eastAsia="zh-CN"/>
            </w:rPr>
            <w:t>财政拨款“三公”经费支出决算表</w:t>
          </w:r>
          <w:r>
            <w:tab/>
          </w:r>
          <w:r>
            <w:fldChar w:fldCharType="begin"/>
          </w:r>
          <w:r>
            <w:instrText xml:space="preserve"> PAGEREF _Toc28790 \h </w:instrText>
          </w:r>
          <w:r>
            <w:fldChar w:fldCharType="separate"/>
          </w:r>
          <w:r>
            <w:t>13</w:t>
          </w:r>
          <w:r>
            <w:fldChar w:fldCharType="end"/>
          </w:r>
          <w:r>
            <w:rPr>
              <w:rFonts w:hint="eastAsia"/>
            </w:rPr>
            <w:fldChar w:fldCharType="end"/>
          </w:r>
        </w:p>
        <w:p>
          <w:pPr>
            <w:pStyle w:val="2"/>
            <w:rPr>
              <w:rFonts w:hint="eastAsia" w:ascii="仿宋_GB2312" w:hAnsi="仿宋_GB2312" w:eastAsia="仿宋_GB2312" w:cs="仿宋_GB2312"/>
              <w:sz w:val="32"/>
              <w:szCs w:val="32"/>
            </w:rPr>
          </w:pPr>
          <w:r>
            <w:rPr>
              <w:rFonts w:hint="eastAsia"/>
            </w:rP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方正小标宋简体" w:hAnsi="方正小标宋简体" w:eastAsia="方正小标宋简体" w:cs="方正小标宋简体"/>
          <w:sz w:val="44"/>
          <w:szCs w:val="44"/>
        </w:rPr>
        <w:sectPr>
          <w:footerReference r:id="rId5" w:type="first"/>
          <w:footerReference r:id="rId4" w:type="default"/>
          <w:pgSz w:w="11906" w:h="16838"/>
          <w:pgMar w:top="2098" w:right="1474" w:bottom="1984" w:left="1587" w:header="851" w:footer="1531" w:gutter="0"/>
          <w:pgNumType w:start="1"/>
          <w:cols w:space="425" w:num="1"/>
          <w:docGrid w:type="lines" w:linePitch="312" w:charSpace="0"/>
        </w:sectPr>
      </w:pPr>
      <w:bookmarkStart w:id="14" w:name="_Toc15396599"/>
      <w:bookmarkStart w:id="15" w:name="_Toc15377196"/>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outlineLvl w:val="0"/>
        <w:rPr>
          <w:rFonts w:hint="eastAsia" w:ascii="方正小标宋简体" w:hAnsi="方正小标宋简体" w:eastAsia="方正小标宋简体" w:cs="方正小标宋简体"/>
          <w:sz w:val="44"/>
          <w:szCs w:val="44"/>
        </w:rPr>
      </w:pPr>
      <w:bookmarkStart w:id="16" w:name="_Toc31226"/>
      <w:r>
        <w:rPr>
          <w:rFonts w:hint="eastAsia" w:ascii="方正小标宋简体" w:hAnsi="方正小标宋简体" w:eastAsia="方正小标宋简体" w:cs="方正小标宋简体"/>
          <w:sz w:val="44"/>
          <w:szCs w:val="44"/>
        </w:rPr>
        <w:t>第一部分</w:t>
      </w:r>
      <w:r>
        <w:rPr>
          <w:rFonts w:hint="eastAsia" w:ascii="方正小标宋简体" w:hAnsi="方正小标宋简体" w:eastAsia="方正小标宋简体" w:cs="方正小标宋简体"/>
          <w:sz w:val="44"/>
          <w:szCs w:val="44"/>
          <w:lang w:eastAsia="zh-CN"/>
        </w:rPr>
        <w:t>单位</w:t>
      </w:r>
      <w:r>
        <w:rPr>
          <w:rFonts w:hint="eastAsia" w:ascii="方正小标宋简体" w:hAnsi="方正小标宋简体" w:eastAsia="方正小标宋简体" w:cs="方正小标宋简体"/>
          <w:sz w:val="44"/>
          <w:szCs w:val="44"/>
        </w:rPr>
        <w:t>概况</w:t>
      </w:r>
      <w:bookmarkEnd w:id="14"/>
      <w:bookmarkEnd w:id="15"/>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lang w:eastAsia="zh-CN"/>
        </w:rPr>
      </w:pPr>
      <w:bookmarkStart w:id="17" w:name="_Toc26689"/>
      <w:bookmarkStart w:id="18" w:name="_Toc15377197"/>
      <w:bookmarkStart w:id="19" w:name="_Toc15396600"/>
      <w:r>
        <w:rPr>
          <w:rFonts w:hint="eastAsia" w:ascii="黑体" w:hAnsi="黑体" w:eastAsia="黑体" w:cs="黑体"/>
          <w:sz w:val="32"/>
          <w:szCs w:val="32"/>
          <w:lang w:eastAsia="zh-CN"/>
        </w:rPr>
        <w:t>一、主要职责</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民革广元市委会机关是民革广元市委会的工作部门，其主要职责是：</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1、以坚持中国共产党领导多党合作和政治协商制度，继承和发扬孙中山爱国革命不断进步精神；</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2、认真履行参政党职责，切实加强参政议政、民主监督和参加中国共产党领导的政治协商工作；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3、以促进祖国和平统一为工作为重点，重视以孙中山爱国思想为纽带，团结海内外所联系人士，为祖国统一大业而努力；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4、以坚持共产党领导与发扬社会主义民主、体现政治联盟特点、体现进步性与广泛性相统一为原则，进一步把民革建设成为与中国共产党亲密合作、致力于建设中国特色社会主义的参政党。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5、代表与反映党员及所联系群众的具体利益和要求，积极协调关系，维护社会稳定，促进公平正义和社会和谐。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6、完成中共广元市委交办的其他任务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lang w:val="en-US" w:eastAsia="zh-CN"/>
        </w:rPr>
      </w:pPr>
      <w:bookmarkStart w:id="20" w:name="_Toc21064"/>
      <w:r>
        <w:rPr>
          <w:rFonts w:hint="eastAsia" w:ascii="黑体" w:hAnsi="黑体" w:eastAsia="黑体" w:cs="黑体"/>
          <w:sz w:val="32"/>
          <w:szCs w:val="32"/>
          <w:lang w:val="en-US" w:eastAsia="zh-CN"/>
        </w:rPr>
        <w:t>二、机构设置</w:t>
      </w:r>
      <w:bookmarkEnd w:id="20"/>
    </w:p>
    <w:bookmarkEnd w:id="18"/>
    <w:bookmarkEnd w:id="19"/>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olor w:val="auto"/>
          <w:kern w:val="0"/>
          <w:sz w:val="32"/>
          <w:szCs w:val="32"/>
          <w:highlight w:val="none"/>
        </w:rPr>
      </w:pPr>
      <w:r>
        <w:rPr>
          <w:rFonts w:hint="eastAsia" w:ascii="仿宋" w:hAnsi="仿宋" w:eastAsia="仿宋"/>
          <w:color w:val="auto"/>
          <w:sz w:val="32"/>
          <w:szCs w:val="32"/>
          <w:highlight w:val="none"/>
        </w:rPr>
        <w:t>中国国民党革命委员会广元市委员会是纳入市委统战部2022年单位预算编制范围的二级预算单位。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bookmarkStart w:id="21" w:name="_Toc15396602"/>
      <w:bookmarkStart w:id="22" w:name="_Toc15377204"/>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outlineLvl w:val="0"/>
        <w:rPr>
          <w:rFonts w:hint="eastAsia" w:ascii="方正小标宋简体" w:hAnsi="方正小标宋简体" w:eastAsia="方正小标宋简体" w:cs="方正小标宋简体"/>
          <w:sz w:val="44"/>
          <w:szCs w:val="44"/>
        </w:rPr>
      </w:pPr>
      <w:bookmarkStart w:id="23" w:name="_Toc26000"/>
      <w:r>
        <w:rPr>
          <w:rFonts w:hint="eastAsia" w:ascii="方正小标宋简体" w:hAnsi="方正小标宋简体" w:eastAsia="方正小标宋简体" w:cs="方正小标宋简体"/>
          <w:sz w:val="44"/>
          <w:szCs w:val="44"/>
        </w:rPr>
        <w:t>第二部分</w:t>
      </w:r>
      <w:r>
        <w:rPr>
          <w:rFonts w:hint="eastAsia" w:ascii="方正小标宋简体" w:hAnsi="方正小标宋简体" w:eastAsia="方正小标宋简体" w:cs="方正小标宋简体"/>
          <w:sz w:val="44"/>
          <w:szCs w:val="44"/>
          <w:lang w:val="en-US" w:eastAsia="zh-CN"/>
        </w:rPr>
        <w:t>2022年度</w:t>
      </w:r>
      <w:r>
        <w:rPr>
          <w:rFonts w:hint="eastAsia" w:ascii="方正小标宋简体" w:hAnsi="方正小标宋简体" w:eastAsia="方正小标宋简体" w:cs="方正小标宋简体"/>
          <w:sz w:val="44"/>
          <w:szCs w:val="44"/>
          <w:lang w:eastAsia="zh-CN"/>
        </w:rPr>
        <w:t>单位</w:t>
      </w:r>
      <w:r>
        <w:rPr>
          <w:rFonts w:hint="eastAsia" w:ascii="方正小标宋简体" w:hAnsi="方正小标宋简体" w:eastAsia="方正小标宋简体" w:cs="方正小标宋简体"/>
          <w:sz w:val="44"/>
          <w:szCs w:val="44"/>
        </w:rPr>
        <w:t>决算情况说明</w:t>
      </w:r>
      <w:bookmarkEnd w:id="21"/>
      <w:bookmarkEnd w:id="22"/>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rPr>
      </w:pPr>
      <w:bookmarkStart w:id="24" w:name="_Toc15377205"/>
      <w:bookmarkStart w:id="25" w:name="_Toc10188"/>
      <w:bookmarkStart w:id="26" w:name="_Toc15396603"/>
      <w:r>
        <w:rPr>
          <w:rFonts w:hint="eastAsia" w:ascii="黑体" w:hAnsi="黑体" w:eastAsia="黑体" w:cs="黑体"/>
          <w:sz w:val="32"/>
          <w:szCs w:val="32"/>
          <w:lang w:eastAsia="zh-CN"/>
        </w:rPr>
        <w:t>一、</w:t>
      </w:r>
      <w:r>
        <w:rPr>
          <w:rFonts w:hint="eastAsia" w:ascii="黑体" w:hAnsi="黑体" w:eastAsia="黑体" w:cs="黑体"/>
          <w:sz w:val="32"/>
          <w:szCs w:val="32"/>
        </w:rPr>
        <w:t>收入支出决算总体情况说明</w:t>
      </w:r>
      <w:bookmarkEnd w:id="24"/>
      <w:bookmarkEnd w:id="25"/>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103.26</w:t>
      </w:r>
      <w:r>
        <w:rPr>
          <w:rFonts w:hint="eastAsia" w:ascii="仿宋_GB2312" w:hAnsi="仿宋_GB2312" w:eastAsia="仿宋_GB2312" w:cs="仿宋_GB2312"/>
          <w:sz w:val="32"/>
          <w:szCs w:val="32"/>
        </w:rPr>
        <w:t>万元。与20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年相比，收、支总计各增加</w:t>
      </w:r>
      <w:r>
        <w:rPr>
          <w:rFonts w:hint="eastAsia" w:ascii="仿宋_GB2312" w:hAnsi="仿宋_GB2312" w:eastAsia="仿宋_GB2312" w:cs="仿宋_GB2312"/>
          <w:sz w:val="32"/>
          <w:szCs w:val="32"/>
          <w:lang w:val="en-US" w:eastAsia="zh-CN"/>
        </w:rPr>
        <w:t>12.7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14.02</w:t>
      </w:r>
      <w:r>
        <w:rPr>
          <w:rFonts w:hint="eastAsia" w:ascii="仿宋_GB2312" w:hAnsi="仿宋_GB2312" w:eastAsia="仿宋_GB2312" w:cs="仿宋_GB2312"/>
          <w:sz w:val="32"/>
          <w:szCs w:val="32"/>
        </w:rPr>
        <w:t>%。主要变动原因是</w:t>
      </w:r>
      <w:r>
        <w:rPr>
          <w:rFonts w:hint="eastAsia" w:ascii="仿宋_GB2312" w:hAnsi="仿宋_GB2312" w:eastAsia="仿宋_GB2312" w:cs="仿宋_GB2312"/>
          <w:sz w:val="32"/>
          <w:szCs w:val="32"/>
          <w:lang w:eastAsia="zh-CN"/>
        </w:rPr>
        <w:t>人员正常薪资变动。</w:t>
      </w:r>
    </w:p>
    <w:p>
      <w:pPr>
        <w:pStyle w:val="31"/>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080000" cy="3810000"/>
            <wp:effectExtent l="4445" t="4445" r="2095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rPr>
          <w:rFonts w:ascii="仿宋_GB2312" w:eastAsia="仿宋_GB2312"/>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pStyle w:val="27"/>
        <w:numPr>
          <w:ilvl w:val="0"/>
          <w:numId w:val="0"/>
        </w:numPr>
        <w:spacing w:line="600" w:lineRule="exact"/>
        <w:ind w:left="640" w:leftChars="0"/>
        <w:outlineLvl w:val="1"/>
        <w:rPr>
          <w:rFonts w:hint="eastAsia" w:ascii="黑体" w:hAnsi="黑体" w:eastAsia="黑体" w:cs="黑体"/>
          <w:kern w:val="2"/>
          <w:sz w:val="32"/>
          <w:szCs w:val="32"/>
          <w:lang w:val="en-US" w:eastAsia="zh-CN" w:bidi="ar-SA"/>
        </w:rPr>
      </w:pPr>
      <w:bookmarkStart w:id="27" w:name="_Toc23625"/>
      <w:bookmarkStart w:id="28" w:name="_Toc15377206"/>
      <w:bookmarkStart w:id="29" w:name="_Toc15396604"/>
      <w:r>
        <w:rPr>
          <w:rFonts w:hint="eastAsia" w:ascii="黑体" w:hAnsi="黑体" w:eastAsia="黑体" w:cs="黑体"/>
          <w:kern w:val="2"/>
          <w:sz w:val="32"/>
          <w:szCs w:val="32"/>
          <w:lang w:val="en-US" w:eastAsia="zh-CN" w:bidi="ar-SA"/>
        </w:rPr>
        <w:t>二、收入决算情况说明</w:t>
      </w:r>
      <w:bookmarkEnd w:id="27"/>
      <w:bookmarkEnd w:id="28"/>
      <w:bookmarkEnd w:id="29"/>
    </w:p>
    <w:p>
      <w:pPr>
        <w:spacing w:line="600" w:lineRule="exact"/>
        <w:ind w:firstLine="640" w:firstLineChars="200"/>
        <w:outlineLvl w:val="1"/>
        <w:rPr>
          <w:rFonts w:hint="eastAsia" w:ascii="仿宋_GB2312" w:hAnsi="仿宋_GB2312" w:eastAsia="仿宋_GB2312" w:cs="仿宋_GB2312"/>
          <w:kern w:val="2"/>
          <w:sz w:val="32"/>
          <w:szCs w:val="32"/>
          <w:lang w:val="en-US" w:eastAsia="zh-CN" w:bidi="ar-SA"/>
        </w:rPr>
      </w:pPr>
      <w:bookmarkStart w:id="30" w:name="_Toc27840"/>
      <w:bookmarkStart w:id="31" w:name="_Toc16112"/>
      <w:r>
        <w:rPr>
          <w:rFonts w:hint="eastAsia" w:ascii="仿宋_GB2312" w:hAnsi="仿宋_GB2312" w:eastAsia="仿宋_GB2312" w:cs="仿宋_GB2312"/>
          <w:kern w:val="2"/>
          <w:sz w:val="32"/>
          <w:szCs w:val="32"/>
          <w:lang w:val="en-US" w:eastAsia="zh-CN" w:bidi="ar-SA"/>
        </w:rPr>
        <w:t>2022年本年收入合计103.26万元，其中：一般公共预算财政拨款收入103.16万元，占99.90%；其他收入0.1万元，占0.1%。</w:t>
      </w:r>
      <w:bookmarkEnd w:id="30"/>
      <w:bookmarkEnd w:id="31"/>
    </w:p>
    <w:p>
      <w:pPr>
        <w:pStyle w:val="5"/>
        <w:outlineLvl w:val="9"/>
      </w:pPr>
      <w:r>
        <w:rPr>
          <w:rFonts w:hint="eastAsia" w:ascii="仿宋" w:hAnsi="仿宋" w:eastAsia="仿宋"/>
          <w:color w:val="auto"/>
          <w:sz w:val="32"/>
          <w:szCs w:val="32"/>
          <w:highlight w:val="none"/>
          <w:lang w:eastAsia="zh-CN"/>
        </w:rPr>
        <w:drawing>
          <wp:inline distT="0" distB="0" distL="114300" distR="114300">
            <wp:extent cx="5080000" cy="3810000"/>
            <wp:effectExtent l="4445" t="4445" r="20955" b="1460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outlineLvl w:val="1"/>
        <w:rPr>
          <w:rFonts w:hint="eastAsia" w:ascii="黑体" w:hAnsi="黑体" w:eastAsia="黑体" w:cs="黑体"/>
          <w:kern w:val="2"/>
          <w:sz w:val="32"/>
          <w:szCs w:val="32"/>
          <w:lang w:val="en-US" w:eastAsia="zh-CN" w:bidi="ar-SA"/>
        </w:rPr>
      </w:pPr>
      <w:bookmarkStart w:id="32" w:name="_Toc16137"/>
      <w:bookmarkStart w:id="33" w:name="_Toc402"/>
      <w:r>
        <w:rPr>
          <w:rFonts w:hint="eastAsia" w:ascii="仿宋_GB2312" w:hAnsi="仿宋_GB2312" w:eastAsia="仿宋_GB2312" w:cs="仿宋_GB2312"/>
          <w:kern w:val="2"/>
          <w:sz w:val="32"/>
          <w:szCs w:val="32"/>
          <w:lang w:val="en-US" w:eastAsia="zh-CN" w:bidi="ar-SA"/>
        </w:rPr>
        <w:t>（图2：收入决算结构图）（饼状图）</w:t>
      </w:r>
      <w:bookmarkEnd w:id="32"/>
      <w:bookmarkEnd w:id="33"/>
      <w:bookmarkStart w:id="34" w:name="_Toc15396605"/>
      <w:bookmarkStart w:id="35" w:name="_Toc15377207"/>
    </w:p>
    <w:p>
      <w:pPr>
        <w:spacing w:line="600" w:lineRule="exact"/>
        <w:ind w:firstLine="640" w:firstLineChars="200"/>
        <w:outlineLvl w:val="1"/>
        <w:rPr>
          <w:rFonts w:hint="eastAsia" w:ascii="黑体" w:hAnsi="黑体" w:eastAsia="黑体" w:cs="黑体"/>
          <w:kern w:val="2"/>
          <w:sz w:val="32"/>
          <w:szCs w:val="32"/>
          <w:lang w:val="en-US" w:eastAsia="zh-CN" w:bidi="ar-SA"/>
        </w:rPr>
      </w:pPr>
      <w:bookmarkStart w:id="36" w:name="_Toc31002"/>
      <w:r>
        <w:rPr>
          <w:rFonts w:hint="eastAsia" w:ascii="黑体" w:hAnsi="黑体" w:eastAsia="黑体" w:cs="黑体"/>
          <w:kern w:val="2"/>
          <w:sz w:val="32"/>
          <w:szCs w:val="32"/>
          <w:lang w:val="en-US" w:eastAsia="zh-CN" w:bidi="ar-SA"/>
        </w:rPr>
        <w:t>三、支出决算情况说明</w:t>
      </w:r>
      <w:bookmarkEnd w:id="34"/>
      <w:bookmarkEnd w:id="35"/>
      <w:bookmarkEnd w:id="36"/>
    </w:p>
    <w:p>
      <w:pPr>
        <w:spacing w:line="600" w:lineRule="exact"/>
        <w:ind w:firstLine="640" w:firstLineChars="200"/>
        <w:outlineLvl w:val="1"/>
        <w:rPr>
          <w:rFonts w:hint="eastAsia" w:ascii="仿宋" w:hAnsi="仿宋" w:eastAsia="仿宋"/>
          <w:color w:val="auto"/>
          <w:sz w:val="32"/>
          <w:szCs w:val="32"/>
          <w:highlight w:val="none"/>
        </w:rPr>
      </w:pPr>
      <w:bookmarkStart w:id="37" w:name="_Toc5800"/>
      <w:bookmarkStart w:id="38" w:name="_Toc21659"/>
      <w:r>
        <w:rPr>
          <w:rFonts w:hint="eastAsia" w:ascii="仿宋" w:hAnsi="仿宋" w:eastAsia="仿宋"/>
          <w:color w:val="auto"/>
          <w:sz w:val="32"/>
          <w:szCs w:val="32"/>
          <w:highlight w:val="none"/>
          <w:lang w:eastAsia="zh-CN"/>
        </w:rPr>
        <w:drawing>
          <wp:anchor distT="0" distB="0" distL="114300" distR="114300" simplePos="0" relativeHeight="251660288" behindDoc="0" locked="0" layoutInCell="1" allowOverlap="1">
            <wp:simplePos x="0" y="0"/>
            <wp:positionH relativeFrom="column">
              <wp:posOffset>41910</wp:posOffset>
            </wp:positionH>
            <wp:positionV relativeFrom="paragraph">
              <wp:posOffset>970915</wp:posOffset>
            </wp:positionV>
            <wp:extent cx="5303520" cy="1529715"/>
            <wp:effectExtent l="4445" t="4445" r="6985" b="889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_GB2312" w:hAnsi="仿宋_GB2312" w:eastAsia="仿宋_GB2312" w:cs="仿宋_GB2312"/>
          <w:kern w:val="2"/>
          <w:sz w:val="32"/>
          <w:szCs w:val="32"/>
          <w:lang w:val="en-US" w:eastAsia="zh-CN" w:bidi="ar-SA"/>
        </w:rPr>
        <w:t>2022年本年支出合计103.26万元，其中：基本支出81.97万元，占79.38%；项目支出21.29万元，占20.62%；</w:t>
      </w:r>
      <w:bookmarkEnd w:id="37"/>
      <w:bookmarkEnd w:id="38"/>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（图3：支出决算结构图）（饼状图）</w:t>
      </w:r>
    </w:p>
    <w:p>
      <w:pPr>
        <w:spacing w:line="600" w:lineRule="exact"/>
        <w:ind w:firstLine="640" w:firstLineChars="200"/>
        <w:outlineLvl w:val="1"/>
        <w:rPr>
          <w:rStyle w:val="18"/>
          <w:rFonts w:ascii="黑体" w:hAnsi="黑体" w:eastAsia="黑体"/>
          <w:b w:val="0"/>
          <w:color w:val="auto"/>
          <w:highlight w:val="none"/>
        </w:rPr>
      </w:pPr>
      <w:bookmarkStart w:id="39" w:name="_Toc15396606"/>
      <w:bookmarkStart w:id="40" w:name="_Toc10811"/>
      <w:bookmarkStart w:id="41" w:name="_Toc15377208"/>
      <w:r>
        <w:rPr>
          <w:rFonts w:hint="eastAsia" w:ascii="黑体" w:hAnsi="黑体" w:eastAsia="黑体"/>
          <w:color w:val="auto"/>
          <w:sz w:val="32"/>
          <w:szCs w:val="32"/>
          <w:highlight w:val="none"/>
        </w:rPr>
        <w:t>四、财</w:t>
      </w:r>
      <w:r>
        <w:rPr>
          <w:rStyle w:val="18"/>
          <w:rFonts w:hint="eastAsia" w:ascii="黑体" w:hAnsi="黑体" w:eastAsia="黑体"/>
          <w:b w:val="0"/>
          <w:color w:val="auto"/>
          <w:highlight w:val="none"/>
        </w:rPr>
        <w:t>政拨款收入支出决算总体情况说明</w:t>
      </w:r>
      <w:bookmarkEnd w:id="39"/>
      <w:bookmarkEnd w:id="40"/>
      <w:bookmarkEnd w:id="41"/>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103.16</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13.08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14.52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人员正常晋级调资。</w:t>
      </w:r>
    </w:p>
    <w:p>
      <w:r>
        <w:rPr>
          <w:rFonts w:hint="eastAsia" w:ascii="仿宋" w:hAnsi="仿宋" w:eastAsia="仿宋"/>
          <w:color w:val="auto"/>
          <w:sz w:val="32"/>
          <w:szCs w:val="32"/>
          <w:highlight w:val="none"/>
          <w:lang w:eastAsia="zh-CN"/>
        </w:rPr>
        <w:drawing>
          <wp:inline distT="0" distB="0" distL="114300" distR="114300">
            <wp:extent cx="4849495" cy="2008505"/>
            <wp:effectExtent l="4445" t="4445" r="22860" b="63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 w:hAnsi="仿宋" w:eastAsia="仿宋"/>
          <w:color w:val="auto"/>
          <w:sz w:val="32"/>
          <w:szCs w:val="32"/>
          <w:highlight w:val="none"/>
        </w:rPr>
        <w:t>（图4：财政拨款收、支决算总计变动情况）（柱状图）</w:t>
      </w:r>
    </w:p>
    <w:p>
      <w:pPr>
        <w:spacing w:line="600" w:lineRule="exact"/>
        <w:ind w:firstLine="640" w:firstLineChars="200"/>
        <w:outlineLvl w:val="1"/>
        <w:rPr>
          <w:rFonts w:hint="eastAsia" w:ascii="黑体" w:hAnsi="黑体" w:eastAsia="黑体" w:cs="黑体"/>
          <w:kern w:val="2"/>
          <w:sz w:val="32"/>
          <w:szCs w:val="32"/>
          <w:lang w:val="en-US" w:eastAsia="zh-CN" w:bidi="ar-SA"/>
        </w:rPr>
      </w:pPr>
      <w:bookmarkStart w:id="42" w:name="_Toc15396607"/>
      <w:bookmarkStart w:id="43" w:name="_Toc189"/>
      <w:bookmarkStart w:id="44" w:name="_Toc15377209"/>
      <w:r>
        <w:rPr>
          <w:rFonts w:hint="eastAsia" w:ascii="黑体" w:hAnsi="黑体" w:eastAsia="黑体" w:cs="黑体"/>
          <w:kern w:val="2"/>
          <w:sz w:val="32"/>
          <w:szCs w:val="32"/>
          <w:lang w:val="en-US" w:eastAsia="zh-CN" w:bidi="ar-SA"/>
        </w:rPr>
        <w:t>五、一般公共预算财政拨款支出决算情况说明</w:t>
      </w:r>
      <w:bookmarkEnd w:id="42"/>
      <w:bookmarkEnd w:id="43"/>
      <w:bookmarkEnd w:id="44"/>
    </w:p>
    <w:p>
      <w:pPr>
        <w:spacing w:line="600" w:lineRule="exact"/>
        <w:ind w:firstLine="640" w:firstLineChars="200"/>
        <w:outlineLvl w:val="1"/>
        <w:rPr>
          <w:rFonts w:hint="eastAsia" w:ascii="楷体_GB2312" w:hAnsi="楷体_GB2312" w:eastAsia="楷体_GB2312" w:cs="楷体_GB2312"/>
          <w:kern w:val="2"/>
          <w:sz w:val="32"/>
          <w:szCs w:val="32"/>
          <w:lang w:val="en-US" w:eastAsia="zh-CN" w:bidi="ar-SA"/>
        </w:rPr>
      </w:pPr>
      <w:bookmarkStart w:id="45" w:name="_Toc15377210"/>
      <w:bookmarkStart w:id="46" w:name="_Toc14277"/>
      <w:bookmarkStart w:id="47" w:name="_Toc1977"/>
      <w:r>
        <w:rPr>
          <w:rFonts w:hint="eastAsia" w:ascii="楷体_GB2312" w:hAnsi="楷体_GB2312" w:eastAsia="楷体_GB2312" w:cs="楷体_GB2312"/>
          <w:kern w:val="2"/>
          <w:sz w:val="32"/>
          <w:szCs w:val="32"/>
          <w:lang w:val="en-US" w:eastAsia="zh-CN" w:bidi="ar-SA"/>
        </w:rPr>
        <w:t>（一）一般公共预算财政拨款支出决算总体情况</w:t>
      </w:r>
      <w:bookmarkEnd w:id="45"/>
      <w:bookmarkEnd w:id="46"/>
      <w:bookmarkEnd w:id="47"/>
    </w:p>
    <w:p>
      <w:pPr>
        <w:spacing w:line="600" w:lineRule="exact"/>
        <w:ind w:firstLine="640" w:firstLineChars="200"/>
        <w:outlineLvl w:val="1"/>
        <w:rPr>
          <w:rFonts w:hint="eastAsia" w:ascii="仿宋_GB2312" w:hAnsi="仿宋_GB2312" w:eastAsia="仿宋_GB2312" w:cs="仿宋_GB2312"/>
          <w:kern w:val="2"/>
          <w:sz w:val="32"/>
          <w:szCs w:val="32"/>
          <w:lang w:val="en-US" w:eastAsia="zh-CN" w:bidi="ar-SA"/>
        </w:rPr>
      </w:pPr>
      <w:bookmarkStart w:id="48" w:name="_Toc22701"/>
      <w:bookmarkStart w:id="49" w:name="_Toc16792"/>
      <w:r>
        <w:rPr>
          <w:rFonts w:hint="eastAsia" w:ascii="仿宋_GB2312" w:hAnsi="仿宋_GB2312" w:eastAsia="仿宋_GB2312" w:cs="仿宋_GB2312"/>
          <w:kern w:val="2"/>
          <w:sz w:val="32"/>
          <w:szCs w:val="32"/>
          <w:lang w:val="en-US" w:eastAsia="zh-CN" w:bidi="ar-SA"/>
        </w:rPr>
        <w:t>2022年一般公共预算财政拨款支出103.16万元，占本年支出合计的100%。与2021年相比，一般公共预算财政拨款支出增加13.08万元，增长14.52%。主要变动原因是人员正常晋级调资。</w:t>
      </w:r>
      <w:bookmarkEnd w:id="48"/>
      <w:bookmarkEnd w:id="49"/>
    </w:p>
    <w:p>
      <w:pPr>
        <w:spacing w:line="600" w:lineRule="exact"/>
        <w:ind w:firstLine="640" w:firstLineChars="200"/>
        <w:outlineLvl w:val="9"/>
        <w:rPr>
          <w:rFonts w:hint="eastAsia" w:ascii="仿宋_GB2312" w:hAnsi="仿宋_GB2312" w:eastAsia="仿宋_GB2312" w:cs="仿宋_GB2312"/>
          <w:kern w:val="2"/>
          <w:sz w:val="32"/>
          <w:szCs w:val="32"/>
          <w:lang w:val="en-US" w:eastAsia="zh-CN" w:bidi="ar-SA"/>
        </w:rPr>
      </w:pPr>
    </w:p>
    <w:p>
      <w:pPr>
        <w:pStyle w:val="5"/>
        <w:outlineLvl w:val="9"/>
      </w:pPr>
      <w:r>
        <w:rPr>
          <w:rFonts w:hint="eastAsia" w:ascii="仿宋" w:hAnsi="仿宋" w:eastAsia="仿宋"/>
          <w:color w:val="auto"/>
          <w:sz w:val="32"/>
          <w:szCs w:val="32"/>
          <w:highlight w:val="none"/>
          <w:lang w:eastAsia="zh-CN"/>
        </w:rPr>
        <w:drawing>
          <wp:inline distT="0" distB="0" distL="114300" distR="114300">
            <wp:extent cx="4849495" cy="3512185"/>
            <wp:effectExtent l="4445" t="4445" r="22860" b="76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firstLineChars="200"/>
        <w:outlineLvl w:val="1"/>
        <w:rPr>
          <w:rFonts w:hint="eastAsia" w:ascii="仿宋_GB2312" w:hAnsi="仿宋_GB2312" w:eastAsia="仿宋_GB2312" w:cs="仿宋_GB2312"/>
          <w:kern w:val="2"/>
          <w:sz w:val="32"/>
          <w:szCs w:val="32"/>
          <w:lang w:val="en-US" w:eastAsia="zh-CN" w:bidi="ar-SA"/>
        </w:rPr>
      </w:pPr>
      <w:bookmarkStart w:id="50" w:name="_Toc25545"/>
      <w:bookmarkStart w:id="51" w:name="_Toc29501"/>
      <w:r>
        <w:rPr>
          <w:rFonts w:hint="eastAsia" w:ascii="仿宋_GB2312" w:hAnsi="仿宋_GB2312" w:eastAsia="仿宋_GB2312" w:cs="仿宋_GB2312"/>
          <w:kern w:val="2"/>
          <w:sz w:val="32"/>
          <w:szCs w:val="32"/>
          <w:lang w:val="en-US" w:eastAsia="zh-CN" w:bidi="ar-SA"/>
        </w:rPr>
        <w:t>（图5：一般公共预算财政拨款支出决算变动情况）（柱状图）</w:t>
      </w:r>
      <w:bookmarkEnd w:id="50"/>
      <w:bookmarkEnd w:id="51"/>
    </w:p>
    <w:p>
      <w:pPr>
        <w:spacing w:line="600" w:lineRule="exact"/>
        <w:ind w:firstLine="640" w:firstLineChars="200"/>
        <w:outlineLvl w:val="1"/>
        <w:rPr>
          <w:rFonts w:hint="eastAsia" w:ascii="楷体_GB2312" w:hAnsi="楷体_GB2312" w:eastAsia="楷体_GB2312" w:cs="楷体_GB2312"/>
          <w:kern w:val="2"/>
          <w:sz w:val="32"/>
          <w:szCs w:val="32"/>
          <w:lang w:val="en-US" w:eastAsia="zh-CN" w:bidi="ar-SA"/>
        </w:rPr>
      </w:pPr>
      <w:bookmarkStart w:id="52" w:name="_Toc31102"/>
      <w:bookmarkStart w:id="53" w:name="_Toc15377211"/>
      <w:bookmarkStart w:id="54" w:name="_Toc19550"/>
      <w:r>
        <w:rPr>
          <w:rFonts w:hint="eastAsia" w:ascii="楷体_GB2312" w:hAnsi="楷体_GB2312" w:eastAsia="楷体_GB2312" w:cs="楷体_GB2312"/>
          <w:kern w:val="2"/>
          <w:sz w:val="32"/>
          <w:szCs w:val="32"/>
          <w:lang w:val="en-US" w:eastAsia="zh-CN" w:bidi="ar-SA"/>
        </w:rPr>
        <w:t>（二）一般公共预算财政拨款支出决算结构情况</w:t>
      </w:r>
      <w:bookmarkEnd w:id="52"/>
      <w:bookmarkEnd w:id="53"/>
      <w:bookmarkEnd w:id="54"/>
    </w:p>
    <w:p>
      <w:pPr>
        <w:spacing w:line="600" w:lineRule="exact"/>
        <w:ind w:firstLine="640" w:firstLineChars="200"/>
        <w:outlineLvl w:val="1"/>
        <w:rPr>
          <w:rFonts w:ascii="仿宋" w:hAnsi="仿宋" w:eastAsia="仿宋"/>
          <w:color w:val="auto"/>
          <w:sz w:val="32"/>
          <w:szCs w:val="32"/>
          <w:highlight w:val="none"/>
        </w:rPr>
      </w:pPr>
      <w:bookmarkStart w:id="55" w:name="_Toc9341"/>
      <w:bookmarkStart w:id="56" w:name="_Toc16499"/>
      <w:r>
        <w:rPr>
          <w:rFonts w:hint="eastAsia" w:ascii="仿宋" w:hAnsi="仿宋" w:eastAsia="仿宋"/>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429260</wp:posOffset>
            </wp:positionH>
            <wp:positionV relativeFrom="paragraph">
              <wp:posOffset>1682115</wp:posOffset>
            </wp:positionV>
            <wp:extent cx="5080000" cy="1973580"/>
            <wp:effectExtent l="4445" t="4445" r="11430" b="12700"/>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_GB2312" w:hAnsi="仿宋_GB2312" w:eastAsia="仿宋_GB2312" w:cs="仿宋_GB2312"/>
          <w:kern w:val="2"/>
          <w:sz w:val="32"/>
          <w:szCs w:val="32"/>
          <w:lang w:val="en-US" w:eastAsia="zh-CN" w:bidi="ar-SA"/>
        </w:rPr>
        <w:t>2022年一般公共预算财政拨款支出103.16万元，主要用于以下方面：一般公共服务支出89.94万元，占87.18%；社会保障和就业支出5.28万元，占5.12%；卫生健康支出2.56万元，占2.48%；住房保障支出5.38万元，占5.22%。</w:t>
      </w:r>
      <w:bookmarkEnd w:id="55"/>
      <w:bookmarkEnd w:id="56"/>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spacing w:line="600" w:lineRule="exact"/>
        <w:ind w:firstLine="640" w:firstLineChars="200"/>
        <w:outlineLvl w:val="1"/>
        <w:rPr>
          <w:rFonts w:hint="eastAsia" w:ascii="楷体_GB2312" w:hAnsi="楷体_GB2312" w:eastAsia="楷体_GB2312" w:cs="楷体_GB2312"/>
          <w:kern w:val="2"/>
          <w:sz w:val="32"/>
          <w:szCs w:val="32"/>
          <w:lang w:val="en-US" w:eastAsia="zh-CN" w:bidi="ar-SA"/>
        </w:rPr>
      </w:pPr>
      <w:bookmarkStart w:id="57" w:name="_Toc15377212"/>
      <w:bookmarkStart w:id="58" w:name="_Toc3018"/>
      <w:bookmarkStart w:id="59" w:name="_Toc10380"/>
      <w:r>
        <w:rPr>
          <w:rFonts w:hint="eastAsia" w:ascii="楷体_GB2312" w:hAnsi="楷体_GB2312" w:eastAsia="楷体_GB2312" w:cs="楷体_GB2312"/>
          <w:kern w:val="2"/>
          <w:sz w:val="32"/>
          <w:szCs w:val="32"/>
          <w:lang w:val="en-US" w:eastAsia="zh-CN" w:bidi="ar-SA"/>
        </w:rPr>
        <w:t>（三）一般公共预算财政拨款支出决算具体情况</w:t>
      </w:r>
      <w:bookmarkEnd w:id="57"/>
      <w:bookmarkEnd w:id="58"/>
      <w:bookmarkEnd w:id="5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60" w:name="_Toc15377444"/>
      <w:bookmarkStart w:id="61" w:name="_Toc4679"/>
      <w:bookmarkStart w:id="62" w:name="_Toc15377213"/>
      <w:bookmarkStart w:id="63" w:name="_Toc15378460"/>
      <w:bookmarkStart w:id="64" w:name="_Toc24530"/>
      <w:r>
        <w:rPr>
          <w:rFonts w:hint="eastAsia" w:ascii="仿宋_GB2312" w:hAnsi="仿宋_GB2312" w:eastAsia="仿宋_GB2312" w:cs="仿宋_GB2312"/>
          <w:kern w:val="2"/>
          <w:sz w:val="32"/>
          <w:szCs w:val="32"/>
          <w:lang w:val="en-US" w:eastAsia="zh-CN" w:bidi="ar-SA"/>
        </w:rPr>
        <w:t>2022年一般公共预算支出决算数为103.16，完成预算100%。其中：</w:t>
      </w:r>
      <w:bookmarkEnd w:id="60"/>
      <w:bookmarkEnd w:id="61"/>
      <w:bookmarkEnd w:id="62"/>
      <w:bookmarkEnd w:id="63"/>
      <w:bookmarkEnd w:id="6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65" w:name="_Toc15743"/>
      <w:bookmarkStart w:id="66" w:name="_Toc25036"/>
      <w:r>
        <w:rPr>
          <w:rFonts w:hint="eastAsia" w:ascii="仿宋_GB2312" w:hAnsi="仿宋_GB2312" w:eastAsia="仿宋_GB2312" w:cs="仿宋_GB2312"/>
          <w:kern w:val="2"/>
          <w:sz w:val="32"/>
          <w:szCs w:val="32"/>
          <w:lang w:val="en-US" w:eastAsia="zh-CN" w:bidi="ar-SA"/>
        </w:rPr>
        <w:t>1.一般公共服务（类）民主党派及工商联事务（款）行政运行（项）：支出决算为68.66万元，完成预算100%，决算数与预算数持平。</w:t>
      </w:r>
      <w:bookmarkEnd w:id="65"/>
      <w:bookmarkEnd w:id="6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67" w:name="_Toc16846"/>
      <w:bookmarkStart w:id="68" w:name="_Toc25433"/>
      <w:r>
        <w:rPr>
          <w:rFonts w:hint="eastAsia" w:ascii="仿宋_GB2312" w:hAnsi="仿宋_GB2312" w:eastAsia="仿宋_GB2312" w:cs="仿宋_GB2312"/>
          <w:kern w:val="2"/>
          <w:sz w:val="32"/>
          <w:szCs w:val="32"/>
          <w:lang w:val="en-US" w:eastAsia="zh-CN" w:bidi="ar-SA"/>
        </w:rPr>
        <w:t>2.一般公共服务（类）民主党派及工商联事务（款）一般行政管理事务（项）：支出决算为21.29万元，完成预算100%，决算数与预算数持平。</w:t>
      </w:r>
      <w:bookmarkEnd w:id="67"/>
      <w:bookmarkEnd w:id="6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69" w:name="_Toc6152"/>
      <w:bookmarkStart w:id="70" w:name="_Toc4250"/>
      <w:r>
        <w:rPr>
          <w:rFonts w:hint="eastAsia" w:ascii="仿宋_GB2312" w:hAnsi="仿宋_GB2312" w:eastAsia="仿宋_GB2312" w:cs="仿宋_GB2312"/>
          <w:kern w:val="2"/>
          <w:sz w:val="32"/>
          <w:szCs w:val="32"/>
          <w:lang w:val="en-US" w:eastAsia="zh-CN" w:bidi="ar-SA"/>
        </w:rPr>
        <w:t>3.社会保障和就业（类）行政事业单位养老支出（款）机关事业单位基本养老保险缴费支出（项）：支出决算为5.12万元，完成预算100%，决算数与预算数持平。</w:t>
      </w:r>
      <w:bookmarkEnd w:id="69"/>
      <w:bookmarkEnd w:id="7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71" w:name="_Toc23064"/>
      <w:bookmarkStart w:id="72" w:name="_Toc19655"/>
      <w:r>
        <w:rPr>
          <w:rFonts w:hint="eastAsia" w:ascii="仿宋_GB2312" w:hAnsi="仿宋_GB2312" w:eastAsia="仿宋_GB2312" w:cs="仿宋_GB2312"/>
          <w:kern w:val="2"/>
          <w:sz w:val="32"/>
          <w:szCs w:val="32"/>
          <w:lang w:val="en-US" w:eastAsia="zh-CN" w:bidi="ar-SA"/>
        </w:rPr>
        <w:t>4.社会保障和就业（类）其他社会保障和就业支出（款）其他社会保障和就业支出（项）：支出决算为0.16万元，完成预算100%，决算数与预算数持平。</w:t>
      </w:r>
      <w:bookmarkEnd w:id="71"/>
      <w:bookmarkEnd w:id="7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73" w:name="_Toc16587"/>
      <w:bookmarkStart w:id="74" w:name="_Toc31155"/>
      <w:r>
        <w:rPr>
          <w:rFonts w:hint="eastAsia" w:ascii="仿宋_GB2312" w:hAnsi="仿宋_GB2312" w:eastAsia="仿宋_GB2312" w:cs="仿宋_GB2312"/>
          <w:kern w:val="2"/>
          <w:sz w:val="32"/>
          <w:szCs w:val="32"/>
          <w:lang w:val="en-US" w:eastAsia="zh-CN" w:bidi="ar-SA"/>
        </w:rPr>
        <w:t>5.卫生健康支出（类）行政事业单位医疗（款）行政单位医疗（项）：支出决算为2.56万元，完成预算100%，决算数与预算数持平。</w:t>
      </w:r>
      <w:bookmarkEnd w:id="73"/>
      <w:bookmarkEnd w:id="7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75" w:name="_Toc32041"/>
      <w:bookmarkStart w:id="76" w:name="_Toc24154"/>
      <w:r>
        <w:rPr>
          <w:rFonts w:hint="eastAsia" w:ascii="仿宋_GB2312" w:hAnsi="仿宋_GB2312" w:eastAsia="仿宋_GB2312" w:cs="仿宋_GB2312"/>
          <w:kern w:val="2"/>
          <w:sz w:val="32"/>
          <w:szCs w:val="32"/>
          <w:lang w:val="en-US" w:eastAsia="zh-CN" w:bidi="ar-SA"/>
        </w:rPr>
        <w:t>6.住房保障支出（类）住房改革支出（款）住房公积金（项）：支出决算为5.38万元，完成预算100%，决算数与预算数持平。</w:t>
      </w:r>
      <w:bookmarkEnd w:id="75"/>
      <w:bookmarkEnd w:id="7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kern w:val="2"/>
          <w:sz w:val="32"/>
          <w:szCs w:val="32"/>
          <w:lang w:val="en-US" w:eastAsia="zh-CN" w:bidi="ar-SA"/>
        </w:rPr>
      </w:pPr>
      <w:bookmarkStart w:id="77" w:name="_Toc15377214"/>
      <w:bookmarkStart w:id="78" w:name="_Toc32546"/>
      <w:bookmarkStart w:id="79" w:name="_Toc15396608"/>
      <w:r>
        <w:rPr>
          <w:rFonts w:hint="eastAsia" w:ascii="黑体" w:hAnsi="黑体" w:eastAsia="黑体" w:cs="黑体"/>
          <w:kern w:val="2"/>
          <w:sz w:val="32"/>
          <w:szCs w:val="32"/>
          <w:lang w:val="en-US" w:eastAsia="zh-CN" w:bidi="ar-SA"/>
        </w:rPr>
        <w:t>六、一般公共预算财政拨款基本支出决算情况说明</w:t>
      </w:r>
      <w:bookmarkEnd w:id="77"/>
      <w:bookmarkEnd w:id="78"/>
      <w:bookmarkEnd w:id="7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80" w:name="_Toc9498"/>
      <w:bookmarkStart w:id="81" w:name="_Toc990"/>
      <w:r>
        <w:rPr>
          <w:rFonts w:hint="eastAsia" w:ascii="仿宋_GB2312" w:hAnsi="仿宋_GB2312" w:eastAsia="仿宋_GB2312" w:cs="仿宋_GB2312"/>
          <w:kern w:val="2"/>
          <w:sz w:val="32"/>
          <w:szCs w:val="32"/>
          <w:lang w:val="en-US" w:eastAsia="zh-CN" w:bidi="ar-SA"/>
        </w:rPr>
        <w:t>2022年一般公共预算财政拨款基本支出81.88万元，其中：</w:t>
      </w:r>
      <w:bookmarkEnd w:id="80"/>
      <w:bookmarkEnd w:id="8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82" w:name="_Toc17530"/>
      <w:bookmarkStart w:id="83" w:name="_Toc31796"/>
      <w:r>
        <w:rPr>
          <w:rFonts w:hint="eastAsia" w:ascii="仿宋_GB2312" w:hAnsi="仿宋_GB2312" w:eastAsia="仿宋_GB2312" w:cs="仿宋_GB2312"/>
          <w:kern w:val="2"/>
          <w:sz w:val="32"/>
          <w:szCs w:val="32"/>
          <w:lang w:val="en-US" w:eastAsia="zh-CN" w:bidi="ar-SA"/>
        </w:rPr>
        <w:t>人员经费70.82万元，主要包括：基本工资、津贴补贴、奖金、机关事业单位基本养老保险缴费、职工基本医疗保险缴费、其他社会保障缴费、住房公积金。</w:t>
      </w:r>
      <w:bookmarkEnd w:id="82"/>
      <w:bookmarkEnd w:id="8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84" w:name="_Toc13845"/>
      <w:bookmarkStart w:id="85" w:name="_Toc2536"/>
      <w:r>
        <w:rPr>
          <w:rFonts w:hint="eastAsia" w:ascii="仿宋_GB2312" w:hAnsi="仿宋_GB2312" w:eastAsia="仿宋_GB2312" w:cs="仿宋_GB2312"/>
          <w:kern w:val="2"/>
          <w:sz w:val="32"/>
          <w:szCs w:val="32"/>
          <w:lang w:val="en-US" w:eastAsia="zh-CN" w:bidi="ar-SA"/>
        </w:rPr>
        <w:t>公用经费11.06万元，主要包括：办公费、印刷费、手续费、水费、电费、邮电费、物业管理费、差旅费、维修（护）费、会议费、公务接待费、工会经费、福利费、其他交通费用。</w:t>
      </w:r>
      <w:bookmarkEnd w:id="84"/>
      <w:bookmarkEnd w:id="8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kern w:val="2"/>
          <w:sz w:val="32"/>
          <w:szCs w:val="32"/>
          <w:lang w:val="en-US" w:eastAsia="zh-CN" w:bidi="ar-SA"/>
        </w:rPr>
      </w:pPr>
      <w:bookmarkStart w:id="86" w:name="_Toc15377215"/>
      <w:bookmarkStart w:id="87" w:name="_Toc15396609"/>
      <w:bookmarkStart w:id="88" w:name="_Toc15448"/>
      <w:r>
        <w:rPr>
          <w:rFonts w:hint="eastAsia" w:ascii="黑体" w:hAnsi="黑体" w:eastAsia="黑体" w:cs="黑体"/>
          <w:kern w:val="2"/>
          <w:sz w:val="32"/>
          <w:szCs w:val="32"/>
          <w:lang w:val="en-US" w:eastAsia="zh-CN" w:bidi="ar-SA"/>
        </w:rPr>
        <w:t>七、财政拨款“三公”经费支出决算情况说明</w:t>
      </w:r>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kern w:val="2"/>
          <w:sz w:val="32"/>
          <w:szCs w:val="32"/>
          <w:lang w:val="en-US" w:eastAsia="zh-CN" w:bidi="ar-SA"/>
        </w:rPr>
      </w:pPr>
      <w:bookmarkStart w:id="89" w:name="_Toc31115"/>
      <w:bookmarkStart w:id="90" w:name="_Toc6089"/>
      <w:bookmarkStart w:id="91" w:name="_Toc15377216"/>
      <w:r>
        <w:rPr>
          <w:rFonts w:hint="eastAsia" w:ascii="楷体_GB2312" w:hAnsi="楷体_GB2312" w:eastAsia="楷体_GB2312" w:cs="楷体_GB2312"/>
          <w:kern w:val="2"/>
          <w:sz w:val="32"/>
          <w:szCs w:val="32"/>
          <w:lang w:val="en-US" w:eastAsia="zh-CN" w:bidi="ar-SA"/>
        </w:rPr>
        <w:t>（一）“三公”经费财政拨款支出决算总体情况说明</w:t>
      </w:r>
      <w:bookmarkEnd w:id="89"/>
      <w:bookmarkEnd w:id="90"/>
      <w:bookmarkEnd w:id="9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92" w:name="_Toc9794"/>
      <w:bookmarkStart w:id="93" w:name="_Toc20210"/>
      <w:r>
        <w:rPr>
          <w:rFonts w:hint="eastAsia" w:ascii="仿宋_GB2312" w:hAnsi="仿宋_GB2312" w:eastAsia="仿宋_GB2312" w:cs="仿宋_GB2312"/>
          <w:kern w:val="2"/>
          <w:sz w:val="32"/>
          <w:szCs w:val="32"/>
          <w:lang w:val="en-US" w:eastAsia="zh-CN" w:bidi="ar-SA"/>
        </w:rPr>
        <w:t>2022年“三公”经费财政拨款支出决算为0.28万元，完成预算100%，较上年减少0.46万元，下降62.09%。决算数小于预算数的主要原因是厉行节约。</w:t>
      </w:r>
      <w:bookmarkEnd w:id="92"/>
      <w:bookmarkEnd w:id="9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kern w:val="2"/>
          <w:sz w:val="32"/>
          <w:szCs w:val="32"/>
          <w:lang w:val="en-US" w:eastAsia="zh-CN" w:bidi="ar-SA"/>
        </w:rPr>
      </w:pPr>
      <w:bookmarkStart w:id="94" w:name="_Toc28908"/>
      <w:bookmarkStart w:id="95" w:name="_Toc15377217"/>
      <w:bookmarkStart w:id="96" w:name="_Toc27963"/>
      <w:r>
        <w:rPr>
          <w:rFonts w:hint="eastAsia" w:ascii="楷体_GB2312" w:hAnsi="楷体_GB2312" w:eastAsia="楷体_GB2312" w:cs="楷体_GB2312"/>
          <w:kern w:val="2"/>
          <w:sz w:val="32"/>
          <w:szCs w:val="32"/>
          <w:lang w:val="en-US" w:eastAsia="zh-CN" w:bidi="ar-SA"/>
        </w:rPr>
        <w:t>（二）“三公”经费财政拨款支出决算具体情况说明</w:t>
      </w:r>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olor w:val="auto"/>
          <w:sz w:val="32"/>
          <w:szCs w:val="32"/>
          <w:highlight w:val="none"/>
        </w:rPr>
      </w:pPr>
      <w:bookmarkStart w:id="97" w:name="_Toc2273"/>
      <w:bookmarkStart w:id="98" w:name="_Toc17428"/>
      <w:r>
        <w:rPr>
          <w:rFonts w:hint="eastAsia" w:ascii="仿宋_GB2312" w:hAnsi="仿宋_GB2312" w:eastAsia="仿宋_GB2312" w:cs="仿宋_GB2312"/>
          <w:kern w:val="2"/>
          <w:sz w:val="32"/>
          <w:szCs w:val="32"/>
          <w:lang w:val="en-US" w:eastAsia="zh-CN" w:bidi="ar-SA"/>
        </w:rPr>
        <w:t>2022年“三公”经费财政拨款支出决算中，因公出国（境）费支出决算0万元，占0%；公务用车购置及运行维护费支出决算0万元，占0%；公务接待费支出决算0.28万元，占100%。具体情况如下：</w:t>
      </w:r>
      <w:bookmarkEnd w:id="97"/>
      <w:bookmarkEnd w:id="98"/>
    </w:p>
    <w:p>
      <w:r>
        <w:rPr>
          <w:rFonts w:hint="eastAsia" w:ascii="仿宋" w:hAnsi="仿宋" w:eastAsia="仿宋"/>
          <w:color w:val="auto"/>
          <w:sz w:val="32"/>
          <w:szCs w:val="32"/>
          <w:highlight w:val="none"/>
          <w:lang w:eastAsia="zh-CN"/>
        </w:rPr>
        <w:drawing>
          <wp:anchor distT="0" distB="0" distL="114300" distR="114300" simplePos="0" relativeHeight="251659264" behindDoc="1" locked="0" layoutInCell="1" allowOverlap="1">
            <wp:simplePos x="0" y="0"/>
            <wp:positionH relativeFrom="column">
              <wp:posOffset>276225</wp:posOffset>
            </wp:positionH>
            <wp:positionV relativeFrom="paragraph">
              <wp:posOffset>67310</wp:posOffset>
            </wp:positionV>
            <wp:extent cx="4793615" cy="2442845"/>
            <wp:effectExtent l="4445" t="4445" r="21590" b="10160"/>
            <wp:wrapTight wrapText="bothSides">
              <wp:wrapPolygon>
                <wp:start x="-20" y="-39"/>
                <wp:lineTo x="-20" y="21521"/>
                <wp:lineTo x="21526" y="21521"/>
                <wp:lineTo x="21526" y="-39"/>
                <wp:lineTo x="-20" y="-39"/>
              </wp:wrapPolygon>
            </wp:wrapTight>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99" w:name="_Toc23042"/>
      <w:bookmarkStart w:id="100" w:name="_Toc29550"/>
      <w:r>
        <w:rPr>
          <w:rFonts w:hint="eastAsia" w:ascii="仿宋_GB2312" w:hAnsi="仿宋_GB2312" w:eastAsia="仿宋_GB2312" w:cs="仿宋_GB2312"/>
          <w:kern w:val="2"/>
          <w:sz w:val="32"/>
          <w:szCs w:val="32"/>
          <w:lang w:val="en-US" w:eastAsia="zh-CN" w:bidi="ar-SA"/>
        </w:rPr>
        <w:t>1.因公出国（境）经费支出0万元，年初未安排预算。</w:t>
      </w:r>
      <w:bookmarkEnd w:id="99"/>
      <w:bookmarkEnd w:id="10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101" w:name="_Toc25636"/>
      <w:bookmarkStart w:id="102" w:name="_Toc9100"/>
      <w:r>
        <w:rPr>
          <w:rFonts w:hint="eastAsia" w:ascii="仿宋_GB2312" w:hAnsi="仿宋_GB2312" w:eastAsia="仿宋_GB2312" w:cs="仿宋_GB2312"/>
          <w:kern w:val="2"/>
          <w:sz w:val="32"/>
          <w:szCs w:val="32"/>
          <w:lang w:val="en-US" w:eastAsia="zh-CN" w:bidi="ar-SA"/>
        </w:rPr>
        <w:t>2.公务用车购置及运行维护费支出0万元，年初未安排预算。公务用车购置及运行维护费支出决算较2021年无变化。</w:t>
      </w:r>
      <w:bookmarkEnd w:id="101"/>
      <w:bookmarkEnd w:id="10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103" w:name="_Toc14426"/>
      <w:bookmarkStart w:id="104" w:name="_Toc1637"/>
      <w:r>
        <w:rPr>
          <w:rFonts w:hint="eastAsia" w:ascii="仿宋_GB2312" w:hAnsi="仿宋_GB2312" w:eastAsia="仿宋_GB2312" w:cs="仿宋_GB2312"/>
          <w:kern w:val="2"/>
          <w:sz w:val="32"/>
          <w:szCs w:val="32"/>
          <w:lang w:val="en-US" w:eastAsia="zh-CN" w:bidi="ar-SA"/>
        </w:rPr>
        <w:t>其中：公务用车购置支出0万元。截至2022年12月底，单位共有公务用车0辆。</w:t>
      </w:r>
      <w:bookmarkEnd w:id="103"/>
      <w:bookmarkEnd w:id="10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105" w:name="_Toc27935"/>
      <w:bookmarkStart w:id="106" w:name="_Toc12393"/>
      <w:r>
        <w:rPr>
          <w:rFonts w:hint="eastAsia" w:ascii="仿宋_GB2312" w:hAnsi="仿宋_GB2312" w:eastAsia="仿宋_GB2312" w:cs="仿宋_GB2312"/>
          <w:kern w:val="2"/>
          <w:sz w:val="32"/>
          <w:szCs w:val="32"/>
          <w:lang w:val="en-US" w:eastAsia="zh-CN" w:bidi="ar-SA"/>
        </w:rPr>
        <w:t>公务用车运行维护费支出0万元。</w:t>
      </w:r>
      <w:bookmarkEnd w:id="105"/>
      <w:bookmarkEnd w:id="10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107" w:name="_Toc30260"/>
      <w:bookmarkStart w:id="108" w:name="_Toc24307"/>
      <w:r>
        <w:rPr>
          <w:rFonts w:hint="eastAsia" w:ascii="仿宋_GB2312" w:hAnsi="仿宋_GB2312" w:eastAsia="仿宋_GB2312" w:cs="仿宋_GB2312"/>
          <w:kern w:val="2"/>
          <w:sz w:val="32"/>
          <w:szCs w:val="32"/>
          <w:lang w:val="en-US" w:eastAsia="zh-CN" w:bidi="ar-SA"/>
        </w:rPr>
        <w:t>3.公务接待费支出0.28万元，完成预算100%。公务接待费支出决算比2021年减少0.46万元，下降62.09%。主要原因是厉行节约。其中：</w:t>
      </w:r>
      <w:bookmarkEnd w:id="107"/>
      <w:bookmarkEnd w:id="10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仿宋_GB2312" w:hAnsi="仿宋_GB2312" w:eastAsia="仿宋_GB2312" w:cs="仿宋_GB2312"/>
          <w:kern w:val="2"/>
          <w:sz w:val="32"/>
          <w:szCs w:val="32"/>
          <w:lang w:val="en-US" w:eastAsia="zh-CN" w:bidi="ar-SA"/>
        </w:rPr>
      </w:pPr>
      <w:bookmarkStart w:id="109" w:name="_Toc23548"/>
      <w:bookmarkStart w:id="110" w:name="_Toc14009"/>
      <w:r>
        <w:rPr>
          <w:rFonts w:hint="eastAsia" w:ascii="仿宋_GB2312" w:hAnsi="仿宋_GB2312" w:eastAsia="仿宋_GB2312" w:cs="仿宋_GB2312"/>
          <w:kern w:val="2"/>
          <w:sz w:val="32"/>
          <w:szCs w:val="32"/>
          <w:lang w:val="en-US" w:eastAsia="zh-CN" w:bidi="ar-SA"/>
        </w:rPr>
        <w:t>国内公务接待支出0.28万元，完成预算100%。公务接待2批次，25人次（不包括陪同人员），共计支出0.28万元，具体内容包括：各地市州民革及民革四川省委来广考察调研。</w:t>
      </w:r>
      <w:bookmarkEnd w:id="109"/>
      <w:bookmarkEnd w:id="1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111" w:name="_Toc26408"/>
      <w:bookmarkStart w:id="112" w:name="_Toc9350"/>
      <w:r>
        <w:rPr>
          <w:rFonts w:hint="eastAsia" w:ascii="仿宋_GB2312" w:hAnsi="仿宋_GB2312" w:eastAsia="仿宋_GB2312" w:cs="仿宋_GB2312"/>
          <w:kern w:val="2"/>
          <w:sz w:val="32"/>
          <w:szCs w:val="32"/>
          <w:lang w:val="en-US" w:eastAsia="zh-CN" w:bidi="ar-SA"/>
        </w:rPr>
        <w:t>外事接待支出0万元。</w:t>
      </w:r>
      <w:bookmarkEnd w:id="111"/>
      <w:bookmarkEnd w:id="112"/>
      <w:bookmarkStart w:id="113" w:name="_Toc15396610"/>
      <w:bookmarkStart w:id="114" w:name="_Toc153772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kern w:val="2"/>
          <w:sz w:val="32"/>
          <w:szCs w:val="32"/>
          <w:lang w:val="en-US" w:eastAsia="zh-CN" w:bidi="ar-SA"/>
        </w:rPr>
      </w:pPr>
      <w:bookmarkStart w:id="115" w:name="_Toc9835"/>
      <w:r>
        <w:rPr>
          <w:rFonts w:hint="eastAsia" w:ascii="黑体" w:hAnsi="黑体" w:eastAsia="黑体" w:cs="黑体"/>
          <w:kern w:val="2"/>
          <w:sz w:val="32"/>
          <w:szCs w:val="32"/>
          <w:lang w:val="en-US" w:eastAsia="zh-CN" w:bidi="ar-SA"/>
        </w:rPr>
        <w:t>八、政府性基金预算支出决算情况说明</w:t>
      </w:r>
      <w:bookmarkEnd w:id="113"/>
      <w:bookmarkEnd w:id="114"/>
      <w:bookmarkEnd w:id="1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116" w:name="_Toc32478"/>
      <w:bookmarkStart w:id="117" w:name="_Toc12312"/>
      <w:r>
        <w:rPr>
          <w:rFonts w:hint="eastAsia" w:ascii="仿宋_GB2312" w:hAnsi="仿宋_GB2312" w:eastAsia="仿宋_GB2312" w:cs="仿宋_GB2312"/>
          <w:kern w:val="2"/>
          <w:sz w:val="32"/>
          <w:szCs w:val="32"/>
          <w:lang w:val="en-US" w:eastAsia="zh-CN" w:bidi="ar-SA"/>
        </w:rPr>
        <w:t>2022年政府性基金预算财政拨款支出0万元。</w:t>
      </w:r>
      <w:bookmarkEnd w:id="116"/>
      <w:bookmarkEnd w:id="1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kern w:val="2"/>
          <w:sz w:val="32"/>
          <w:szCs w:val="32"/>
          <w:lang w:val="en-US" w:eastAsia="zh-CN" w:bidi="ar-SA"/>
        </w:rPr>
      </w:pPr>
      <w:bookmarkStart w:id="118" w:name="_Toc15377219"/>
      <w:bookmarkStart w:id="119" w:name="_Toc15396611"/>
      <w:bookmarkStart w:id="120" w:name="_Toc18702"/>
      <w:r>
        <w:rPr>
          <w:rFonts w:hint="eastAsia" w:ascii="黑体" w:hAnsi="黑体" w:eastAsia="黑体" w:cs="黑体"/>
          <w:kern w:val="2"/>
          <w:sz w:val="32"/>
          <w:szCs w:val="32"/>
          <w:lang w:val="en-US" w:eastAsia="zh-CN" w:bidi="ar-SA"/>
        </w:rPr>
        <w:t>九、国有资本经营预算支出决算情况说明</w:t>
      </w:r>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121" w:name="_Toc26136"/>
      <w:bookmarkStart w:id="122" w:name="_Toc4221"/>
      <w:r>
        <w:rPr>
          <w:rFonts w:hint="eastAsia" w:ascii="仿宋_GB2312" w:hAnsi="仿宋_GB2312" w:eastAsia="仿宋_GB2312" w:cs="仿宋_GB2312"/>
          <w:kern w:val="2"/>
          <w:sz w:val="32"/>
          <w:szCs w:val="32"/>
          <w:lang w:val="en-US" w:eastAsia="zh-CN" w:bidi="ar-SA"/>
        </w:rPr>
        <w:t>2022年国有资本经营预算财政拨款支出0万元。</w:t>
      </w:r>
      <w:bookmarkEnd w:id="121"/>
      <w:bookmarkEnd w:id="1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kern w:val="2"/>
          <w:sz w:val="32"/>
          <w:szCs w:val="32"/>
          <w:lang w:val="en-US" w:eastAsia="zh-CN" w:bidi="ar-SA"/>
        </w:rPr>
      </w:pPr>
      <w:bookmarkStart w:id="123" w:name="_Toc15396612"/>
      <w:bookmarkStart w:id="124" w:name="_Toc15377221"/>
      <w:bookmarkStart w:id="125" w:name="_Toc31135"/>
      <w:r>
        <w:rPr>
          <w:rFonts w:hint="eastAsia" w:ascii="黑体" w:hAnsi="黑体" w:eastAsia="黑体" w:cs="黑体"/>
          <w:kern w:val="2"/>
          <w:sz w:val="32"/>
          <w:szCs w:val="32"/>
          <w:lang w:val="en-US" w:eastAsia="zh-CN" w:bidi="ar-SA"/>
        </w:rPr>
        <w:t>十、其他重要事项的情况说明</w:t>
      </w:r>
      <w:bookmarkEnd w:id="123"/>
      <w:bookmarkEnd w:id="124"/>
      <w:bookmarkEnd w:id="1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kern w:val="2"/>
          <w:sz w:val="32"/>
          <w:szCs w:val="32"/>
          <w:lang w:val="en-US" w:eastAsia="zh-CN" w:bidi="ar-SA"/>
        </w:rPr>
      </w:pPr>
      <w:bookmarkStart w:id="126" w:name="_Toc9926"/>
      <w:bookmarkStart w:id="127" w:name="_Toc9214"/>
      <w:bookmarkStart w:id="128" w:name="_Toc15377222"/>
      <w:r>
        <w:rPr>
          <w:rFonts w:hint="eastAsia" w:ascii="楷体_GB2312" w:hAnsi="楷体_GB2312" w:eastAsia="楷体_GB2312" w:cs="楷体_GB2312"/>
          <w:kern w:val="2"/>
          <w:sz w:val="32"/>
          <w:szCs w:val="32"/>
          <w:lang w:val="en-US" w:eastAsia="zh-CN" w:bidi="ar-SA"/>
        </w:rPr>
        <w:t>（一）机关运行经费支出情况</w:t>
      </w:r>
      <w:bookmarkEnd w:id="126"/>
      <w:bookmarkEnd w:id="127"/>
      <w:bookmarkEnd w:id="12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129" w:name="_Toc20923"/>
      <w:bookmarkStart w:id="130" w:name="_Toc12553"/>
      <w:r>
        <w:rPr>
          <w:rFonts w:hint="eastAsia" w:ascii="仿宋_GB2312" w:hAnsi="仿宋_GB2312" w:eastAsia="仿宋_GB2312" w:cs="仿宋_GB2312"/>
          <w:kern w:val="2"/>
          <w:sz w:val="32"/>
          <w:szCs w:val="32"/>
          <w:lang w:val="en-US" w:eastAsia="zh-CN" w:bidi="ar-SA"/>
        </w:rPr>
        <w:t>2022年，机关运行经费支出11.06万元，比2021年减少1.78万元，下降13.89%。主要原因是厉行节约</w:t>
      </w:r>
      <w:bookmarkEnd w:id="129"/>
      <w:bookmarkEnd w:id="13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kern w:val="2"/>
          <w:sz w:val="32"/>
          <w:szCs w:val="32"/>
          <w:lang w:val="en-US" w:eastAsia="zh-CN" w:bidi="ar-SA"/>
        </w:rPr>
      </w:pPr>
      <w:bookmarkStart w:id="131" w:name="_Toc15377223"/>
      <w:bookmarkStart w:id="132" w:name="_Toc16971"/>
      <w:bookmarkStart w:id="133" w:name="_Toc26505"/>
      <w:r>
        <w:rPr>
          <w:rFonts w:hint="eastAsia" w:ascii="楷体_GB2312" w:hAnsi="楷体_GB2312" w:eastAsia="楷体_GB2312" w:cs="楷体_GB2312"/>
          <w:kern w:val="2"/>
          <w:sz w:val="32"/>
          <w:szCs w:val="32"/>
          <w:lang w:val="en-US" w:eastAsia="zh-CN" w:bidi="ar-SA"/>
        </w:rPr>
        <w:t>（二）政府采购支出情况</w:t>
      </w:r>
      <w:bookmarkEnd w:id="131"/>
      <w:bookmarkEnd w:id="132"/>
      <w:bookmarkEnd w:id="13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134" w:name="_Toc3800"/>
      <w:bookmarkStart w:id="135" w:name="_Toc6139"/>
      <w:r>
        <w:rPr>
          <w:rFonts w:hint="eastAsia" w:ascii="仿宋_GB2312" w:hAnsi="仿宋_GB2312" w:eastAsia="仿宋_GB2312" w:cs="仿宋_GB2312"/>
          <w:kern w:val="2"/>
          <w:sz w:val="32"/>
          <w:szCs w:val="32"/>
          <w:lang w:val="en-US" w:eastAsia="zh-CN" w:bidi="ar-SA"/>
        </w:rPr>
        <w:t>2022年，0政府采购支出总额0万元，其中：政府采购货物支出0万元、政府采购工程支出0万元、政府采购服务支出0万元。授予中小企业合同金额0万元，占政府采购支出总额的0%，其中：授予小微企业合同金额0万元，占政府采购支出总额的0%。</w:t>
      </w:r>
      <w:bookmarkEnd w:id="134"/>
      <w:bookmarkEnd w:id="13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kern w:val="2"/>
          <w:sz w:val="32"/>
          <w:szCs w:val="32"/>
          <w:lang w:val="en-US" w:eastAsia="zh-CN" w:bidi="ar-SA"/>
        </w:rPr>
      </w:pPr>
      <w:bookmarkStart w:id="136" w:name="_Toc1092"/>
      <w:bookmarkStart w:id="137" w:name="_Toc15377224"/>
      <w:bookmarkStart w:id="138" w:name="_Toc14053"/>
      <w:r>
        <w:rPr>
          <w:rFonts w:hint="eastAsia" w:ascii="楷体_GB2312" w:hAnsi="楷体_GB2312" w:eastAsia="楷体_GB2312" w:cs="楷体_GB2312"/>
          <w:kern w:val="2"/>
          <w:sz w:val="32"/>
          <w:szCs w:val="32"/>
          <w:lang w:val="en-US" w:eastAsia="zh-CN" w:bidi="ar-SA"/>
        </w:rPr>
        <w:t>（三）国有资产占有使用情况</w:t>
      </w:r>
      <w:bookmarkEnd w:id="136"/>
      <w:bookmarkEnd w:id="137"/>
      <w:bookmarkEnd w:id="13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139" w:name="_Toc10641"/>
      <w:bookmarkStart w:id="140" w:name="_Toc3323"/>
      <w:r>
        <w:rPr>
          <w:rFonts w:hint="eastAsia" w:ascii="仿宋_GB2312" w:hAnsi="仿宋_GB2312" w:eastAsia="仿宋_GB2312" w:cs="仿宋_GB2312"/>
          <w:kern w:val="2"/>
          <w:sz w:val="32"/>
          <w:szCs w:val="32"/>
          <w:lang w:val="en-US" w:eastAsia="zh-CN" w:bidi="ar-SA"/>
        </w:rPr>
        <w:t>截至2022年12月31日，共有车辆0辆，其中：主要领导干部用车0辆、机要通信用车0辆、应急保障用车0辆、其他用车0辆。单价100万元以上专用设备0台（套）。</w:t>
      </w:r>
      <w:bookmarkEnd w:id="139"/>
      <w:bookmarkEnd w:id="14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kern w:val="2"/>
          <w:sz w:val="32"/>
          <w:szCs w:val="32"/>
          <w:lang w:val="en-US" w:eastAsia="zh-CN" w:bidi="ar-SA"/>
        </w:rPr>
      </w:pPr>
      <w:bookmarkStart w:id="141" w:name="_Toc30413"/>
      <w:bookmarkStart w:id="142" w:name="_Toc5443"/>
      <w:r>
        <w:rPr>
          <w:rFonts w:hint="eastAsia" w:ascii="楷体_GB2312" w:hAnsi="楷体_GB2312" w:eastAsia="楷体_GB2312" w:cs="楷体_GB2312"/>
          <w:kern w:val="2"/>
          <w:sz w:val="32"/>
          <w:szCs w:val="32"/>
          <w:lang w:val="en-US" w:eastAsia="zh-CN" w:bidi="ar-SA"/>
        </w:rPr>
        <w:t>（四）预算绩效管理情况</w:t>
      </w:r>
      <w:bookmarkEnd w:id="141"/>
      <w:bookmarkEnd w:id="14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kern w:val="2"/>
          <w:sz w:val="32"/>
          <w:szCs w:val="32"/>
          <w:lang w:val="en-US" w:eastAsia="zh-CN" w:bidi="ar-SA"/>
        </w:rPr>
      </w:pPr>
      <w:bookmarkStart w:id="143" w:name="_Toc10086"/>
      <w:bookmarkStart w:id="144" w:name="_Toc14970"/>
      <w:r>
        <w:rPr>
          <w:rFonts w:hint="eastAsia" w:ascii="仿宋_GB2312" w:hAnsi="仿宋_GB2312" w:eastAsia="仿宋_GB2312" w:cs="仿宋_GB2312"/>
          <w:kern w:val="2"/>
          <w:sz w:val="32"/>
          <w:szCs w:val="32"/>
          <w:lang w:val="en-US" w:eastAsia="zh-CN" w:bidi="ar-SA"/>
        </w:rPr>
        <w:t>根据预算绩效管理要求，本单位在2022年度预算编制阶段，组织对民主党派工作经费、市委换届经费项目等2个项目开展了预算事前绩效评估，对2个项目编制了绩效目标，预算执行过程中，选取2个项目开展绩效监控，组织对2个项目开展绩效自评，绩效自评表详见第四部分附件。</w:t>
      </w:r>
      <w:bookmarkEnd w:id="143"/>
      <w:bookmarkEnd w:id="144"/>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bookmarkStart w:id="145" w:name="_Toc15377225"/>
      <w:bookmarkStart w:id="146" w:name="_Toc15396613"/>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outlineLvl w:val="0"/>
        <w:rPr>
          <w:rFonts w:hint="eastAsia" w:ascii="方正小标宋简体" w:hAnsi="方正小标宋简体" w:eastAsia="方正小标宋简体" w:cs="方正小标宋简体"/>
          <w:sz w:val="44"/>
          <w:szCs w:val="44"/>
        </w:rPr>
      </w:pPr>
      <w:bookmarkStart w:id="147" w:name="_Toc14238"/>
      <w:r>
        <w:rPr>
          <w:rFonts w:hint="eastAsia" w:ascii="方正小标宋简体" w:hAnsi="方正小标宋简体" w:eastAsia="方正小标宋简体" w:cs="方正小标宋简体"/>
          <w:sz w:val="44"/>
          <w:szCs w:val="44"/>
          <w:lang w:eastAsia="zh-CN"/>
        </w:rPr>
        <w:t>第三部分</w:t>
      </w:r>
      <w:r>
        <w:rPr>
          <w:rFonts w:hint="eastAsia" w:ascii="方正小标宋简体" w:hAnsi="方正小标宋简体" w:eastAsia="方正小标宋简体" w:cs="方正小标宋简体"/>
          <w:sz w:val="44"/>
          <w:szCs w:val="44"/>
        </w:rPr>
        <w:t>名词解释</w:t>
      </w:r>
      <w:bookmarkEnd w:id="145"/>
      <w:bookmarkEnd w:id="146"/>
      <w:bookmarkEnd w:id="14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textAlignment w:val="auto"/>
        <w:outlineLvl w:val="1"/>
        <w:rPr>
          <w:rFonts w:hint="eastAsia" w:ascii="仿宋_GB2312" w:hAnsi="仿宋_GB2312" w:eastAsia="仿宋_GB2312" w:cs="仿宋_GB2312"/>
          <w:sz w:val="32"/>
          <w:szCs w:val="32"/>
        </w:rPr>
      </w:pPr>
      <w:bookmarkStart w:id="148" w:name="_Toc18636"/>
      <w:bookmarkStart w:id="149" w:name="_Toc15377226"/>
      <w:r>
        <w:rPr>
          <w:rFonts w:hint="eastAsia" w:ascii="仿宋_GB2312" w:hAnsi="仿宋_GB2312" w:eastAsia="仿宋_GB2312" w:cs="仿宋_GB2312"/>
          <w:sz w:val="32"/>
          <w:szCs w:val="32"/>
        </w:rPr>
        <w:t>财政拨款收入：指单位从同级财政部门取得的财政预算资金。</w:t>
      </w:r>
      <w:bookmarkEnd w:id="148"/>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其他收入：指单位取得的除上述收入以外的各项收入。主要是利息收入。</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一般公共服务（类）民主党派及工商联事务（款）行政运行（项）：指反映行政单位（包括实行公务员管理的事业单位）的基本支出。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一般公共服务（类）民主党派及工商联事务（款） 一般行政管理事务（项）：指反映行政单位（包括实行公务员管理的事业单位）未单独设置项级科目的其他项目支出。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社会保障和就业（类）行政事业单位养老支出（款）机关事业单位基本养老保险缴费支出（项）：指反映机关事业单位实施养老保险制度由单位缴纳的基本养老保险费支出。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社会保障和就业（类）其他社会保障和就业支出（款）其他社会保障和就业支出（项）：指反映除上述项目以外其他用于社会保障和就业方面的支出。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卫生健康支出（类）行政事业单位医疗（款）行政单位医疗（项）：指财政部门集中安排的事业单位基本医疗保险缴费经费，未参加医疗保险的事业单位的公费医疗经费，按国家规定享受离休人员待遇的医疗经费。</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住房保障支出（类）住房改革支出（款）住房公积金（项）：指反映行政事业单位按人力资源和社会保障部、财政部规定的基本工资和津贴补贴以及规定比例为职工缴纳的住房公积金。</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ascii="仿宋_GB2312" w:hAnsi="仿宋_GB2312" w:eastAsia="仿宋_GB2312" w:cs="仿宋_GB2312"/>
          <w:sz w:val="32"/>
          <w:szCs w:val="32"/>
        </w:rPr>
        <w:br w:type="page"/>
      </w:r>
      <w:bookmarkStart w:id="150" w:name="_Toc153966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outlineLvl w:val="0"/>
        <w:rPr>
          <w:rFonts w:hint="eastAsia" w:ascii="方正小标宋简体" w:hAnsi="方正小标宋简体" w:eastAsia="方正小标宋简体" w:cs="方正小标宋简体"/>
          <w:sz w:val="44"/>
          <w:szCs w:val="44"/>
        </w:rPr>
      </w:pPr>
      <w:bookmarkStart w:id="151" w:name="_Toc20130"/>
      <w:r>
        <w:rPr>
          <w:rFonts w:hint="eastAsia" w:ascii="方正小标宋简体" w:hAnsi="方正小标宋简体" w:eastAsia="方正小标宋简体" w:cs="方正小标宋简体"/>
          <w:sz w:val="44"/>
          <w:szCs w:val="44"/>
        </w:rPr>
        <w:t>第四部分附件</w:t>
      </w:r>
      <w:bookmarkEnd w:id="150"/>
      <w:bookmarkEnd w:id="15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eastAsia="zh-CN"/>
        </w:rPr>
      </w:pPr>
      <w:bookmarkStart w:id="152" w:name="_Toc15396618"/>
      <w:r>
        <w:rPr>
          <w:rFonts w:hint="eastAsia" w:ascii="仿宋_GB2312" w:hAnsi="仿宋_GB2312" w:eastAsia="仿宋_GB2312" w:cs="仿宋_GB2312"/>
          <w:sz w:val="32"/>
          <w:szCs w:val="32"/>
          <w:lang w:val="en-US" w:eastAsia="zh-CN"/>
        </w:rPr>
        <w:t>部门预算项目支出绩效自评表（2022年度）</w:t>
      </w:r>
      <w:r>
        <w:rPr>
          <w:rFonts w:hint="default" w:ascii="仿宋_GB2312" w:hAnsi="仿宋_GB2312" w:eastAsia="仿宋_GB2312" w:cs="仿宋_GB2312"/>
          <w:sz w:val="32"/>
          <w:szCs w:val="32"/>
          <w:lang w:eastAsia="zh-CN"/>
        </w:rPr>
        <w:t>见附件。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br w:type="page"/>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outlineLvl w:val="0"/>
        <w:rPr>
          <w:rFonts w:hint="eastAsia" w:ascii="方正小标宋简体" w:hAnsi="方正小标宋简体" w:eastAsia="方正小标宋简体" w:cs="方正小标宋简体"/>
          <w:sz w:val="44"/>
          <w:szCs w:val="44"/>
        </w:rPr>
      </w:pPr>
      <w:bookmarkStart w:id="153" w:name="_Toc22388"/>
      <w:r>
        <w:rPr>
          <w:rFonts w:hint="eastAsia" w:ascii="方正小标宋简体" w:hAnsi="方正小标宋简体" w:eastAsia="方正小标宋简体" w:cs="方正小标宋简体"/>
          <w:sz w:val="44"/>
          <w:szCs w:val="44"/>
        </w:rPr>
        <w:t>第五部分附表</w:t>
      </w:r>
      <w:bookmarkEnd w:id="149"/>
      <w:bookmarkEnd w:id="152"/>
      <w:bookmarkEnd w:id="153"/>
      <w:bookmarkStart w:id="154" w:name="_Toc153966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416" w:lineRule="auto"/>
        <w:textAlignment w:val="auto"/>
        <w:rPr>
          <w:rFonts w:hint="eastAsia"/>
        </w:rPr>
      </w:pPr>
      <w:bookmarkStart w:id="155" w:name="_Toc23219"/>
      <w:r>
        <w:rPr>
          <w:rFonts w:hint="eastAsia"/>
        </w:rPr>
        <w:t>一、收入支出决算总表</w:t>
      </w:r>
      <w:bookmarkEnd w:id="154"/>
      <w:bookmarkEnd w:id="155"/>
    </w:p>
    <w:p>
      <w:pPr>
        <w:pStyle w:val="4"/>
        <w:keepNext w:val="0"/>
        <w:keepLines w:val="0"/>
        <w:pageBreakBefore w:val="0"/>
        <w:widowControl w:val="0"/>
        <w:kinsoku/>
        <w:wordWrap/>
        <w:overflowPunct/>
        <w:topLinePunct w:val="0"/>
        <w:autoSpaceDE/>
        <w:autoSpaceDN/>
        <w:bidi w:val="0"/>
        <w:adjustRightInd/>
        <w:snapToGrid/>
        <w:spacing w:line="416" w:lineRule="auto"/>
        <w:textAlignment w:val="auto"/>
        <w:rPr>
          <w:rFonts w:hint="eastAsia"/>
        </w:rPr>
      </w:pPr>
      <w:bookmarkStart w:id="156" w:name="_Toc15396620"/>
      <w:bookmarkStart w:id="157" w:name="_Toc29124"/>
      <w:r>
        <w:rPr>
          <w:rFonts w:hint="eastAsia"/>
        </w:rPr>
        <w:t>二、收入决算表</w:t>
      </w:r>
      <w:bookmarkEnd w:id="156"/>
      <w:bookmarkEnd w:id="157"/>
    </w:p>
    <w:p>
      <w:pPr>
        <w:pStyle w:val="4"/>
        <w:keepNext w:val="0"/>
        <w:keepLines w:val="0"/>
        <w:pageBreakBefore w:val="0"/>
        <w:widowControl w:val="0"/>
        <w:kinsoku/>
        <w:wordWrap/>
        <w:overflowPunct/>
        <w:topLinePunct w:val="0"/>
        <w:autoSpaceDE/>
        <w:autoSpaceDN/>
        <w:bidi w:val="0"/>
        <w:adjustRightInd/>
        <w:snapToGrid/>
        <w:spacing w:line="416" w:lineRule="auto"/>
        <w:textAlignment w:val="auto"/>
        <w:rPr>
          <w:rFonts w:hint="eastAsia"/>
        </w:rPr>
      </w:pPr>
      <w:bookmarkStart w:id="158" w:name="_Toc15396621"/>
      <w:bookmarkStart w:id="159" w:name="_Toc7254"/>
      <w:r>
        <w:rPr>
          <w:rFonts w:hint="eastAsia"/>
        </w:rPr>
        <w:t>三、支出决算表</w:t>
      </w:r>
      <w:bookmarkEnd w:id="158"/>
      <w:bookmarkEnd w:id="159"/>
    </w:p>
    <w:p>
      <w:pPr>
        <w:pStyle w:val="4"/>
        <w:keepNext w:val="0"/>
        <w:keepLines w:val="0"/>
        <w:pageBreakBefore w:val="0"/>
        <w:widowControl w:val="0"/>
        <w:kinsoku/>
        <w:wordWrap/>
        <w:overflowPunct/>
        <w:topLinePunct w:val="0"/>
        <w:autoSpaceDE/>
        <w:autoSpaceDN/>
        <w:bidi w:val="0"/>
        <w:adjustRightInd/>
        <w:snapToGrid/>
        <w:spacing w:line="416" w:lineRule="auto"/>
        <w:textAlignment w:val="auto"/>
        <w:rPr>
          <w:rFonts w:hint="eastAsia"/>
        </w:rPr>
      </w:pPr>
      <w:bookmarkStart w:id="160" w:name="_Toc5829"/>
      <w:bookmarkStart w:id="161" w:name="_Toc15396622"/>
      <w:r>
        <w:rPr>
          <w:rFonts w:hint="eastAsia"/>
        </w:rPr>
        <w:t>四、财政拨款收入支出决算总表</w:t>
      </w:r>
      <w:bookmarkEnd w:id="160"/>
      <w:bookmarkEnd w:id="161"/>
    </w:p>
    <w:p>
      <w:pPr>
        <w:pStyle w:val="4"/>
        <w:keepNext w:val="0"/>
        <w:keepLines w:val="0"/>
        <w:pageBreakBefore w:val="0"/>
        <w:widowControl w:val="0"/>
        <w:kinsoku/>
        <w:wordWrap/>
        <w:overflowPunct/>
        <w:topLinePunct w:val="0"/>
        <w:autoSpaceDE/>
        <w:autoSpaceDN/>
        <w:bidi w:val="0"/>
        <w:adjustRightInd/>
        <w:snapToGrid/>
        <w:spacing w:line="416" w:lineRule="auto"/>
        <w:textAlignment w:val="auto"/>
        <w:rPr>
          <w:rFonts w:hint="eastAsia"/>
        </w:rPr>
      </w:pPr>
      <w:bookmarkStart w:id="162" w:name="_Toc7352"/>
      <w:bookmarkStart w:id="163" w:name="_Toc15396623"/>
      <w:r>
        <w:rPr>
          <w:rFonts w:hint="eastAsia"/>
        </w:rPr>
        <w:t>五、财政拨款支出决算明细表</w:t>
      </w:r>
      <w:bookmarkEnd w:id="162"/>
      <w:bookmarkEnd w:id="163"/>
      <w:bookmarkStart w:id="164" w:name="_Toc15396624"/>
    </w:p>
    <w:p>
      <w:pPr>
        <w:pStyle w:val="4"/>
        <w:keepNext w:val="0"/>
        <w:keepLines w:val="0"/>
        <w:pageBreakBefore w:val="0"/>
        <w:widowControl w:val="0"/>
        <w:kinsoku/>
        <w:wordWrap/>
        <w:overflowPunct/>
        <w:topLinePunct w:val="0"/>
        <w:autoSpaceDE/>
        <w:autoSpaceDN/>
        <w:bidi w:val="0"/>
        <w:adjustRightInd/>
        <w:snapToGrid/>
        <w:spacing w:line="416" w:lineRule="auto"/>
        <w:textAlignment w:val="auto"/>
        <w:rPr>
          <w:rFonts w:hint="eastAsia"/>
        </w:rPr>
      </w:pPr>
      <w:bookmarkStart w:id="165" w:name="_Toc16396"/>
      <w:r>
        <w:rPr>
          <w:rFonts w:hint="eastAsia"/>
        </w:rPr>
        <w:t>六、一般公共预算财政拨款支出决算表</w:t>
      </w:r>
      <w:bookmarkEnd w:id="164"/>
      <w:bookmarkEnd w:id="165"/>
    </w:p>
    <w:p>
      <w:pPr>
        <w:pStyle w:val="4"/>
        <w:keepNext w:val="0"/>
        <w:keepLines w:val="0"/>
        <w:pageBreakBefore w:val="0"/>
        <w:widowControl w:val="0"/>
        <w:kinsoku/>
        <w:wordWrap/>
        <w:overflowPunct/>
        <w:topLinePunct w:val="0"/>
        <w:autoSpaceDE/>
        <w:autoSpaceDN/>
        <w:bidi w:val="0"/>
        <w:adjustRightInd/>
        <w:snapToGrid/>
        <w:spacing w:line="416" w:lineRule="auto"/>
        <w:textAlignment w:val="auto"/>
        <w:rPr>
          <w:rFonts w:hint="eastAsia"/>
        </w:rPr>
      </w:pPr>
      <w:bookmarkStart w:id="166" w:name="_Toc14260"/>
      <w:bookmarkStart w:id="167" w:name="_Toc15396625"/>
      <w:r>
        <w:rPr>
          <w:rFonts w:hint="eastAsia"/>
        </w:rPr>
        <w:t>七、一般公共预算财政拨款支出决算明细表</w:t>
      </w:r>
      <w:bookmarkEnd w:id="166"/>
      <w:bookmarkEnd w:id="167"/>
    </w:p>
    <w:p>
      <w:pPr>
        <w:pStyle w:val="4"/>
        <w:keepNext w:val="0"/>
        <w:keepLines w:val="0"/>
        <w:pageBreakBefore w:val="0"/>
        <w:widowControl w:val="0"/>
        <w:kinsoku/>
        <w:wordWrap/>
        <w:overflowPunct/>
        <w:topLinePunct w:val="0"/>
        <w:autoSpaceDE/>
        <w:autoSpaceDN/>
        <w:bidi w:val="0"/>
        <w:adjustRightInd/>
        <w:snapToGrid/>
        <w:spacing w:line="416" w:lineRule="auto"/>
        <w:textAlignment w:val="auto"/>
        <w:rPr>
          <w:rFonts w:hint="eastAsia"/>
        </w:rPr>
      </w:pPr>
      <w:bookmarkStart w:id="168" w:name="_Toc26687"/>
      <w:bookmarkStart w:id="169" w:name="_Toc15396626"/>
      <w:r>
        <w:rPr>
          <w:rFonts w:hint="eastAsia"/>
        </w:rPr>
        <w:t>八、一般公共预算财政拨款基本支出决算表</w:t>
      </w:r>
      <w:bookmarkEnd w:id="168"/>
      <w:bookmarkEnd w:id="169"/>
    </w:p>
    <w:p>
      <w:pPr>
        <w:pStyle w:val="4"/>
        <w:keepNext w:val="0"/>
        <w:keepLines w:val="0"/>
        <w:pageBreakBefore w:val="0"/>
        <w:widowControl w:val="0"/>
        <w:kinsoku/>
        <w:wordWrap/>
        <w:overflowPunct/>
        <w:topLinePunct w:val="0"/>
        <w:autoSpaceDE/>
        <w:autoSpaceDN/>
        <w:bidi w:val="0"/>
        <w:adjustRightInd/>
        <w:snapToGrid/>
        <w:spacing w:line="416" w:lineRule="auto"/>
        <w:textAlignment w:val="auto"/>
        <w:rPr>
          <w:rFonts w:hint="eastAsia"/>
        </w:rPr>
      </w:pPr>
      <w:bookmarkStart w:id="170" w:name="_Toc6856"/>
      <w:bookmarkStart w:id="171" w:name="_Toc15396627"/>
      <w:r>
        <w:rPr>
          <w:rFonts w:hint="eastAsia"/>
        </w:rPr>
        <w:t>九、一般公共预算财政拨款项目支出决算表</w:t>
      </w:r>
      <w:bookmarkEnd w:id="170"/>
      <w:bookmarkEnd w:id="171"/>
    </w:p>
    <w:p>
      <w:pPr>
        <w:pStyle w:val="4"/>
        <w:keepNext w:val="0"/>
        <w:keepLines w:val="0"/>
        <w:pageBreakBefore w:val="0"/>
        <w:widowControl w:val="0"/>
        <w:kinsoku/>
        <w:wordWrap/>
        <w:overflowPunct/>
        <w:topLinePunct w:val="0"/>
        <w:autoSpaceDE/>
        <w:autoSpaceDN/>
        <w:bidi w:val="0"/>
        <w:adjustRightInd/>
        <w:snapToGrid/>
        <w:spacing w:line="416" w:lineRule="auto"/>
        <w:textAlignment w:val="auto"/>
        <w:rPr>
          <w:rFonts w:hint="eastAsia"/>
        </w:rPr>
      </w:pPr>
      <w:bookmarkStart w:id="172" w:name="_Toc15396628"/>
      <w:bookmarkStart w:id="173" w:name="_Toc22183"/>
      <w:r>
        <w:rPr>
          <w:rFonts w:hint="eastAsia"/>
        </w:rPr>
        <w:t>十、</w:t>
      </w:r>
      <w:bookmarkEnd w:id="172"/>
      <w:r>
        <w:rPr>
          <w:rFonts w:hint="eastAsia"/>
        </w:rPr>
        <w:t>政府性基金预算财政拨款收入支出决算表</w:t>
      </w:r>
      <w:bookmarkEnd w:id="173"/>
    </w:p>
    <w:p>
      <w:pPr>
        <w:pStyle w:val="4"/>
        <w:keepNext w:val="0"/>
        <w:keepLines w:val="0"/>
        <w:pageBreakBefore w:val="0"/>
        <w:widowControl w:val="0"/>
        <w:kinsoku/>
        <w:wordWrap/>
        <w:overflowPunct/>
        <w:topLinePunct w:val="0"/>
        <w:autoSpaceDE/>
        <w:autoSpaceDN/>
        <w:bidi w:val="0"/>
        <w:adjustRightInd/>
        <w:snapToGrid/>
        <w:spacing w:line="416" w:lineRule="auto"/>
        <w:textAlignment w:val="auto"/>
        <w:rPr>
          <w:rFonts w:hint="eastAsia"/>
        </w:rPr>
      </w:pPr>
      <w:bookmarkStart w:id="174" w:name="_Toc15396629"/>
      <w:bookmarkStart w:id="175" w:name="_Toc2251"/>
      <w:r>
        <w:rPr>
          <w:rFonts w:hint="eastAsia"/>
        </w:rPr>
        <w:t>十一、</w:t>
      </w:r>
      <w:bookmarkEnd w:id="174"/>
      <w:r>
        <w:rPr>
          <w:rFonts w:hint="eastAsia"/>
        </w:rPr>
        <w:t>国有资本经营预算</w:t>
      </w:r>
      <w:r>
        <w:rPr>
          <w:rFonts w:hint="eastAsia"/>
          <w:lang w:eastAsia="zh-CN"/>
        </w:rPr>
        <w:t>财政拨款收入</w:t>
      </w:r>
      <w:r>
        <w:rPr>
          <w:rFonts w:hint="eastAsia"/>
        </w:rPr>
        <w:t>支出决算表</w:t>
      </w:r>
      <w:bookmarkEnd w:id="175"/>
    </w:p>
    <w:p>
      <w:pPr>
        <w:pStyle w:val="4"/>
        <w:keepNext w:val="0"/>
        <w:keepLines w:val="0"/>
        <w:pageBreakBefore w:val="0"/>
        <w:widowControl w:val="0"/>
        <w:kinsoku/>
        <w:wordWrap/>
        <w:overflowPunct/>
        <w:topLinePunct w:val="0"/>
        <w:autoSpaceDE/>
        <w:autoSpaceDN/>
        <w:bidi w:val="0"/>
        <w:adjustRightInd/>
        <w:snapToGrid/>
        <w:spacing w:line="416" w:lineRule="auto"/>
        <w:textAlignment w:val="auto"/>
        <w:rPr>
          <w:rFonts w:hint="eastAsia"/>
        </w:rPr>
      </w:pPr>
      <w:bookmarkStart w:id="176" w:name="_Toc15396630"/>
      <w:bookmarkStart w:id="177" w:name="_Toc24714"/>
      <w:r>
        <w:rPr>
          <w:rFonts w:hint="eastAsia"/>
        </w:rPr>
        <w:t>十二、</w:t>
      </w:r>
      <w:bookmarkEnd w:id="176"/>
      <w:r>
        <w:rPr>
          <w:rFonts w:hint="eastAsia"/>
          <w:lang w:eastAsia="zh-CN"/>
        </w:rPr>
        <w:t>国有资本经营预算财政拨款支出决算表</w:t>
      </w:r>
      <w:bookmarkEnd w:id="177"/>
    </w:p>
    <w:p>
      <w:pPr>
        <w:pStyle w:val="4"/>
        <w:keepNext w:val="0"/>
        <w:keepLines w:val="0"/>
        <w:pageBreakBefore w:val="0"/>
        <w:widowControl w:val="0"/>
        <w:kinsoku/>
        <w:wordWrap/>
        <w:overflowPunct/>
        <w:topLinePunct w:val="0"/>
        <w:autoSpaceDE/>
        <w:autoSpaceDN/>
        <w:bidi w:val="0"/>
        <w:adjustRightInd/>
        <w:snapToGrid/>
        <w:spacing w:line="416" w:lineRule="auto"/>
        <w:textAlignment w:val="auto"/>
        <w:rPr>
          <w:rFonts w:hint="eastAsia"/>
          <w:lang w:eastAsia="zh-CN"/>
        </w:rPr>
      </w:pPr>
      <w:bookmarkStart w:id="178" w:name="_Toc15396631"/>
      <w:bookmarkStart w:id="179" w:name="_Toc28790"/>
      <w:r>
        <w:rPr>
          <w:rFonts w:hint="eastAsia"/>
        </w:rPr>
        <w:t>十三、</w:t>
      </w:r>
      <w:bookmarkEnd w:id="178"/>
      <w:r>
        <w:rPr>
          <w:rFonts w:hint="eastAsia"/>
          <w:lang w:eastAsia="zh-CN"/>
        </w:rPr>
        <w:t>财政拨款“三公”经费支出决算表</w:t>
      </w:r>
      <w:bookmarkEnd w:id="179"/>
    </w:p>
    <w:sectPr>
      <w:footerReference r:id="rId7" w:type="first"/>
      <w:footerReference r:id="rId6" w:type="default"/>
      <w:pgSz w:w="11906" w:h="16838"/>
      <w:pgMar w:top="2098" w:right="1474" w:bottom="1984" w:left="1587" w:header="851" w:footer="1531"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Georgia"/>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Georgia">
    <w:panose1 w:val="02040502050405020303"/>
    <w:charset w:val="00"/>
    <w:family w:val="auto"/>
    <w:pitch w:val="default"/>
    <w:sig w:usb0="00000287" w:usb1="00000000" w:usb2="00000000" w:usb3="00000000" w:csb0="2000009F"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vA/AhHQIAACsEAAAOAAAAZHJz&#10;L2Uyb0RvYy54bWytU82O0zAQviPxDpbvNGnRrq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G8D8CEdAgAAKwQAAA4AAAAAAAAAAQAgAAAANQ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wh4D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FsIeAxwCAAArBAAADgAAAAAAAAABACAAAAA1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GQA+L8aAgAAKwQAAA4AAAAAAAAAAQAgAAAANQEAAGRycy9lMm9Eb2MueG1sUEsFBgAA&#10;AAAGAAYAWQEAAME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8935F"/>
    <w:multiLevelType w:val="singleLevel"/>
    <w:tmpl w:val="B418935F"/>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3A62B5"/>
    <w:rsid w:val="0A2032A3"/>
    <w:rsid w:val="0B8A37D8"/>
    <w:rsid w:val="0D4106E0"/>
    <w:rsid w:val="0D941D88"/>
    <w:rsid w:val="0EB273D2"/>
    <w:rsid w:val="10C055FF"/>
    <w:rsid w:val="11073499"/>
    <w:rsid w:val="118107EC"/>
    <w:rsid w:val="11DD6519"/>
    <w:rsid w:val="12A165D1"/>
    <w:rsid w:val="137E0F8D"/>
    <w:rsid w:val="16BB723D"/>
    <w:rsid w:val="18015F3F"/>
    <w:rsid w:val="192B2966"/>
    <w:rsid w:val="1BE8440E"/>
    <w:rsid w:val="1D155CEE"/>
    <w:rsid w:val="20F57F95"/>
    <w:rsid w:val="240371BF"/>
    <w:rsid w:val="25711CC6"/>
    <w:rsid w:val="25C741E6"/>
    <w:rsid w:val="27842671"/>
    <w:rsid w:val="29FD04D3"/>
    <w:rsid w:val="2ABE7A3E"/>
    <w:rsid w:val="2CA234A8"/>
    <w:rsid w:val="2DF857E7"/>
    <w:rsid w:val="2EFA178C"/>
    <w:rsid w:val="30B46D73"/>
    <w:rsid w:val="319F7F4E"/>
    <w:rsid w:val="31C84E47"/>
    <w:rsid w:val="32A1308A"/>
    <w:rsid w:val="32C84B91"/>
    <w:rsid w:val="383D272C"/>
    <w:rsid w:val="39AE70AB"/>
    <w:rsid w:val="3C0C0783"/>
    <w:rsid w:val="3F447B14"/>
    <w:rsid w:val="3F9F3A96"/>
    <w:rsid w:val="41085755"/>
    <w:rsid w:val="422E0866"/>
    <w:rsid w:val="44DD0E3B"/>
    <w:rsid w:val="48BF60AB"/>
    <w:rsid w:val="493C27E9"/>
    <w:rsid w:val="496F39ED"/>
    <w:rsid w:val="499E1D04"/>
    <w:rsid w:val="49FF41D3"/>
    <w:rsid w:val="4BE068DB"/>
    <w:rsid w:val="4BF6002B"/>
    <w:rsid w:val="4ECE2238"/>
    <w:rsid w:val="51DB4B86"/>
    <w:rsid w:val="55333C3E"/>
    <w:rsid w:val="571667AF"/>
    <w:rsid w:val="58DE2787"/>
    <w:rsid w:val="5DCE0926"/>
    <w:rsid w:val="5FED7EE1"/>
    <w:rsid w:val="606B739C"/>
    <w:rsid w:val="62783BD8"/>
    <w:rsid w:val="64CA39A1"/>
    <w:rsid w:val="67A316B5"/>
    <w:rsid w:val="69630ADE"/>
    <w:rsid w:val="6C4A05C8"/>
    <w:rsid w:val="6CE32DDC"/>
    <w:rsid w:val="6D004028"/>
    <w:rsid w:val="6D3B1A89"/>
    <w:rsid w:val="71BF4EC2"/>
    <w:rsid w:val="726B5B54"/>
    <w:rsid w:val="72734D90"/>
    <w:rsid w:val="72A921D9"/>
    <w:rsid w:val="7412278C"/>
    <w:rsid w:val="763C56E6"/>
    <w:rsid w:val="76EF422D"/>
    <w:rsid w:val="77EA4C2D"/>
    <w:rsid w:val="7904082E"/>
    <w:rsid w:val="79E7B28D"/>
    <w:rsid w:val="7C2F05B1"/>
    <w:rsid w:val="7EB94388"/>
    <w:rsid w:val="7F9F20EE"/>
    <w:rsid w:val="9E3A10E2"/>
    <w:rsid w:val="DFDC32EB"/>
    <w:rsid w:val="F2E1F9D4"/>
    <w:rsid w:val="F7880819"/>
    <w:rsid w:val="F86F351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9"/>
    <w:semiHidden/>
    <w:unhideWhenUsed/>
    <w:qFormat/>
    <w:uiPriority w:val="99"/>
    <w:rPr>
      <w:sz w:val="18"/>
      <w:szCs w:val="18"/>
    </w:rPr>
  </w:style>
  <w:style w:type="paragraph" w:styleId="8">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styleId="12">
    <w:name w:val="Normal (Web)"/>
    <w:next w:val="2"/>
    <w:qFormat/>
    <w:uiPriority w:val="0"/>
    <w:pPr>
      <w:widowControl w:val="0"/>
      <w:spacing w:before="0" w:beforeAutospacing="1" w:after="0" w:afterAutospacing="1"/>
      <w:ind w:left="0" w:right="0"/>
      <w:jc w:val="left"/>
    </w:pPr>
    <w:rPr>
      <w:rFonts w:ascii="Calibri" w:hAnsi="Calibri" w:eastAsia="宋体" w:cs="Arial"/>
      <w:kern w:val="0"/>
      <w:sz w:val="24"/>
      <w:szCs w:val="24"/>
      <w:lang w:val="en-US" w:eastAsia="zh-CN" w:bidi="ar-SA"/>
    </w:r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9"/>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8"/>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4"/>
    <w:link w:val="7"/>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正文-啊"/>
    <w:basedOn w:val="1"/>
    <w:qFormat/>
    <w:uiPriority w:val="0"/>
    <w:pPr>
      <w:spacing w:beforeLines="100" w:line="276" w:lineRule="auto"/>
      <w:ind w:left="210" w:right="210" w:firstLine="600"/>
      <w:contextualSpacing/>
    </w:pPr>
    <w:rPr>
      <w:rFonts w:ascii="微软雅黑" w:hAnsi="微软雅黑"/>
      <w:color w:val="000000"/>
      <w:sz w:val="24"/>
      <w:szCs w:val="21"/>
    </w:rPr>
  </w:style>
  <w:style w:type="paragraph" w:customStyle="1" w:styleId="32">
    <w:name w:val="WPSOffice手动目录 1"/>
    <w:qFormat/>
    <w:uiPriority w:val="0"/>
    <w:pPr>
      <w:ind w:leftChars="0"/>
    </w:pPr>
    <w:rPr>
      <w:rFonts w:asciiTheme="minorHAnsi" w:hAnsiTheme="minorHAnsi" w:eastAsiaTheme="minorEastAsia" w:cstheme="minorBidi"/>
      <w:sz w:val="20"/>
      <w:szCs w:val="20"/>
    </w:rPr>
  </w:style>
  <w:style w:type="paragraph" w:customStyle="1" w:styleId="33">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2021年</c:v>
                </c:pt>
              </c:strCache>
            </c:strRef>
          </c:tx>
          <c:spPr>
            <a:solidFill>
              <a:schemeClr val="accent1"/>
            </a:solidFill>
            <a:ln>
              <a:noFill/>
            </a:ln>
            <a:effectLst/>
          </c:spPr>
          <c:invertIfNegative val="false"/>
          <c:dLbls>
            <c:delete val="true"/>
          </c:dLbls>
          <c:cat>
            <c:strRef>
              <c:f>Sheet1!$A$2</c:f>
              <c:strCache>
                <c:ptCount val="1"/>
                <c:pt idx="0">
                  <c:v>收、支总计</c:v>
                </c:pt>
              </c:strCache>
            </c:strRef>
          </c:cat>
          <c:val>
            <c:numRef>
              <c:f>Sheet1!$B$2</c:f>
              <c:numCache>
                <c:formatCode>General</c:formatCode>
                <c:ptCount val="1"/>
                <c:pt idx="0">
                  <c:v>90.56</c:v>
                </c:pt>
              </c:numCache>
            </c:numRef>
          </c:val>
        </c:ser>
        <c:ser>
          <c:idx val="1"/>
          <c:order val="1"/>
          <c:tx>
            <c:strRef>
              <c:f>Sheet1!$C$1</c:f>
              <c:strCache>
                <c:ptCount val="1"/>
                <c:pt idx="0">
                  <c:v>2022年</c:v>
                </c:pt>
              </c:strCache>
            </c:strRef>
          </c:tx>
          <c:spPr>
            <a:solidFill>
              <a:schemeClr val="accent2"/>
            </a:solidFill>
            <a:ln>
              <a:noFill/>
            </a:ln>
            <a:effectLst/>
          </c:spPr>
          <c:invertIfNegative val="false"/>
          <c:dLbls>
            <c:delete val="true"/>
          </c:dLbls>
          <c:cat>
            <c:strRef>
              <c:f>Sheet1!$A$2</c:f>
              <c:strCache>
                <c:ptCount val="1"/>
                <c:pt idx="0">
                  <c:v>收、支总计</c:v>
                </c:pt>
              </c:strCache>
            </c:strRef>
          </c:cat>
          <c:val>
            <c:numRef>
              <c:f>Sheet1!$C$2</c:f>
              <c:numCache>
                <c:formatCode>General</c:formatCode>
                <c:ptCount val="1"/>
                <c:pt idx="0">
                  <c:v>103.26</c:v>
                </c:pt>
              </c:numCache>
            </c:numRef>
          </c:val>
        </c:ser>
        <c:dLbls>
          <c:showLegendKey val="false"/>
          <c:showVal val="false"/>
          <c:showCatName val="false"/>
          <c:showSerName val="false"/>
          <c:showPercent val="false"/>
          <c:showBubbleSize val="false"/>
        </c:dLbls>
        <c:gapWidth val="219"/>
        <c:overlap val="-27"/>
        <c:axId val="534086918"/>
        <c:axId val="39077879"/>
      </c:barChart>
      <c:catAx>
        <c:axId val="534086918"/>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9077879"/>
        <c:crosses val="autoZero"/>
        <c:auto val="true"/>
        <c:lblAlgn val="ctr"/>
        <c:lblOffset val="100"/>
        <c:noMultiLvlLbl val="false"/>
      </c:catAx>
      <c:valAx>
        <c:axId val="39077879"/>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34086918"/>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列1</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manualLayout>
                  <c:x val="-0.0422033197360824"/>
                  <c:y val="-0.325766053924882"/>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delete val="true"/>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其他收入</c:v>
                </c:pt>
              </c:strCache>
            </c:strRef>
          </c:cat>
          <c:val>
            <c:numRef>
              <c:f>Sheet1!$B$2:$B$3</c:f>
              <c:numCache>
                <c:formatCode>0.00%</c:formatCode>
                <c:ptCount val="2"/>
                <c:pt idx="0">
                  <c:v>0.999</c:v>
                </c:pt>
                <c:pt idx="1">
                  <c:v>0.001</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列1</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manualLayout>
                  <c:x val="-0.101078319736082"/>
                  <c:y val="-0.368599387258215"/>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manualLayout>
                      <c:w val="0.13625"/>
                      <c:h val="0.157666666666667"/>
                    </c:manualLayout>
                  </c15:layout>
                </c:ext>
              </c:extLst>
            </c:dLbl>
            <c:dLbl>
              <c:idx val="1"/>
              <c:layout/>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0.7938</c:v>
                </c:pt>
                <c:pt idx="1">
                  <c:v>0.2062</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973940478978544"/>
          <c:y val="0.0439456212456529"/>
          <c:w val="0.898677708027247"/>
          <c:h val="0.78238946378175"/>
        </c:manualLayout>
      </c:layout>
      <c:barChart>
        <c:barDir val="col"/>
        <c:grouping val="clustered"/>
        <c:varyColors val="false"/>
        <c:ser>
          <c:idx val="0"/>
          <c:order val="0"/>
          <c:tx>
            <c:strRef>
              <c:f>Sheet1!$B$1</c:f>
              <c:strCache>
                <c:ptCount val="1"/>
                <c:pt idx="0">
                  <c:v>2021年</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false"/>
              <a:lstStyle/>
              <a:p>
                <a:pPr algn="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财政拨款收、支总计</c:v>
                </c:pt>
              </c:strCache>
            </c:strRef>
          </c:cat>
          <c:val>
            <c:numRef>
              <c:f>Sheet1!$B$2</c:f>
              <c:numCache>
                <c:formatCode>General</c:formatCode>
                <c:ptCount val="1"/>
                <c:pt idx="0">
                  <c:v>90.08</c:v>
                </c:pt>
              </c:numCache>
            </c:numRef>
          </c:val>
        </c:ser>
        <c:ser>
          <c:idx val="1"/>
          <c:order val="1"/>
          <c:tx>
            <c:strRef>
              <c:f>Sheet1!$C$1</c:f>
              <c:strCache>
                <c:ptCount val="1"/>
                <c:pt idx="0">
                  <c:v>2022年</c:v>
                </c:pt>
              </c:strCache>
            </c:strRef>
          </c:tx>
          <c:spPr>
            <a:solidFill>
              <a:schemeClr val="accent2"/>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财政拨款收、支总计</c:v>
                </c:pt>
              </c:strCache>
            </c:strRef>
          </c:cat>
          <c:val>
            <c:numRef>
              <c:f>Sheet1!$C$2</c:f>
              <c:numCache>
                <c:formatCode>General</c:formatCode>
                <c:ptCount val="1"/>
                <c:pt idx="0">
                  <c:v>103.16</c:v>
                </c:pt>
              </c:numCache>
            </c:numRef>
          </c:val>
        </c:ser>
        <c:dLbls>
          <c:showLegendKey val="false"/>
          <c:showVal val="false"/>
          <c:showCatName val="false"/>
          <c:showSerName val="false"/>
          <c:showPercent val="false"/>
          <c:showBubbleSize val="false"/>
        </c:dLbls>
        <c:gapWidth val="219"/>
        <c:overlap val="-27"/>
        <c:axId val="285782134"/>
        <c:axId val="873066091"/>
      </c:barChart>
      <c:catAx>
        <c:axId val="28578213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73066091"/>
        <c:crosses val="autoZero"/>
        <c:auto val="true"/>
        <c:lblAlgn val="ctr"/>
        <c:lblOffset val="100"/>
        <c:noMultiLvlLbl val="false"/>
      </c:catAx>
      <c:valAx>
        <c:axId val="873066091"/>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85782134"/>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691331641511954"/>
          <c:y val="0.00564440263405456"/>
          <c:w val="0.898677708027247"/>
          <c:h val="0.78238946378175"/>
        </c:manualLayout>
      </c:layout>
      <c:barChart>
        <c:barDir val="col"/>
        <c:grouping val="clustered"/>
        <c:varyColors val="false"/>
        <c:ser>
          <c:idx val="0"/>
          <c:order val="0"/>
          <c:tx>
            <c:strRef>
              <c:f>Sheet1!$B$1</c:f>
              <c:strCache>
                <c:ptCount val="1"/>
                <c:pt idx="0">
                  <c:v>2021年</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General</c:formatCode>
                <c:ptCount val="1"/>
                <c:pt idx="0">
                  <c:v>90.08</c:v>
                </c:pt>
              </c:numCache>
            </c:numRef>
          </c:val>
        </c:ser>
        <c:ser>
          <c:idx val="1"/>
          <c:order val="1"/>
          <c:tx>
            <c:strRef>
              <c:f>Sheet1!$C$1</c:f>
              <c:strCache>
                <c:ptCount val="1"/>
                <c:pt idx="0">
                  <c:v>2022年</c:v>
                </c:pt>
              </c:strCache>
            </c:strRef>
          </c:tx>
          <c:spPr>
            <a:solidFill>
              <a:schemeClr val="accent2"/>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103.16</c:v>
                </c:pt>
              </c:numCache>
            </c:numRef>
          </c:val>
        </c:ser>
        <c:dLbls>
          <c:showLegendKey val="false"/>
          <c:showVal val="false"/>
          <c:showCatName val="false"/>
          <c:showSerName val="false"/>
          <c:showPercent val="false"/>
          <c:showBubbleSize val="false"/>
        </c:dLbls>
        <c:gapWidth val="219"/>
        <c:overlap val="-27"/>
        <c:axId val="285782134"/>
        <c:axId val="873066091"/>
      </c:barChart>
      <c:catAx>
        <c:axId val="28578213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73066091"/>
        <c:crosses val="autoZero"/>
        <c:auto val="true"/>
        <c:lblAlgn val="ctr"/>
        <c:lblOffset val="100"/>
        <c:noMultiLvlLbl val="false"/>
      </c:catAx>
      <c:valAx>
        <c:axId val="873066091"/>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85782134"/>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列1</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0.00%</c:formatCode>
                <c:ptCount val="4"/>
                <c:pt idx="0">
                  <c:v>0.8718</c:v>
                </c:pt>
                <c:pt idx="1">
                  <c:v>0.0512</c:v>
                </c:pt>
                <c:pt idx="2">
                  <c:v>0.0248</c:v>
                </c:pt>
                <c:pt idx="3">
                  <c:v>0.0522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Lbls>
            <c:dLbl>
              <c:idx val="0"/>
              <c:layout>
                <c:manualLayout>
                  <c:x val="-6.55270634112844e-7"/>
                  <c:y val="-0.19330296545797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公务接待费支出</c:v>
                </c:pt>
              </c:strCache>
            </c:strRef>
          </c:cat>
          <c:val>
            <c:numRef>
              <c:f>Sheet1!$B$2</c:f>
              <c:numCache>
                <c:formatCode>General</c:formatCode>
                <c:ptCount val="1"/>
                <c:pt idx="0">
                  <c:v>100</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18</Pages>
  <Words>4323</Words>
  <Characters>4946</Characters>
  <Lines>61</Lines>
  <Paragraphs>17</Paragraphs>
  <TotalTime>12</TotalTime>
  <ScaleCrop>false</ScaleCrop>
  <LinksUpToDate>false</LinksUpToDate>
  <CharactersWithSpaces>4980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2020-08-06T01:49:00Z</dcterms:created>
  <dc:creator>曹颖</dc:creator>
  <cp:lastModifiedBy> </cp:lastModifiedBy>
  <cp:lastPrinted>2023-09-13T01:14:00Z</cp:lastPrinted>
  <dcterms:modified xsi:type="dcterms:W3CDTF">2023-10-24T16:23:09Z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FA39C2B3DA364291A9E82F7F487C3D52_13</vt:lpwstr>
  </property>
</Properties>
</file>