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8441"/>
      <w:bookmarkStart w:id="2" w:name="_Toc28755"/>
      <w:bookmarkStart w:id="3" w:name="_Toc15377193"/>
      <w:bookmarkStart w:id="4" w:name="_Toc15396597"/>
      <w:bookmarkStart w:id="5" w:name="_Toc15377425"/>
      <w:bookmarkStart w:id="6" w:name="_Toc153964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4177"/>
      <w:bookmarkStart w:id="8" w:name="_Toc15377194"/>
      <w:bookmarkStart w:id="9" w:name="_Toc15396598"/>
      <w:bookmarkStart w:id="10" w:name="_Toc15377426"/>
      <w:bookmarkStart w:id="11" w:name="_Toc15378442"/>
      <w:bookmarkStart w:id="12" w:name="_Toc1539647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计划生育协会</w:t>
      </w:r>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22442"/>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widowControl/>
        <w:jc w:val="center"/>
        <w:rPr>
          <w:rFonts w:hint="eastAsia" w:ascii="黑体" w:hAnsi="黑体" w:eastAsia="黑体"/>
          <w:color w:val="auto"/>
          <w:sz w:val="48"/>
          <w:szCs w:val="48"/>
          <w:highlight w:val="none"/>
        </w:rPr>
        <w:sectPr>
          <w:headerReference r:id="rId3"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0"/>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77889"/>
        <w15:color w:val="DBDBDB"/>
        <w:docPartObj>
          <w:docPartGallery w:val="Table of Contents"/>
          <w:docPartUnique/>
        </w:docPartObj>
      </w:sdtPr>
      <w:sdtEndPr>
        <w:rPr>
          <w:rFonts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0"/>
            <w:keepNext w:val="0"/>
            <w:keepLines w:val="0"/>
            <w:pageBreakBefore w:val="0"/>
            <w:tabs>
              <w:tab w:val="right" w:leader="dot" w:pos="8306"/>
            </w:tabs>
            <w:kinsoku/>
            <w:wordWrap/>
            <w:overflowPunct/>
            <w:topLinePunct w:val="0"/>
            <w:autoSpaceDE/>
            <w:autoSpaceDN/>
            <w:bidi w:val="0"/>
            <w:spacing w:line="380" w:lineRule="exact"/>
            <w:textAlignment w:val="auto"/>
            <w:rPr>
              <w:b/>
            </w:rPr>
          </w:pPr>
          <w:r>
            <w:fldChar w:fldCharType="begin"/>
          </w:r>
          <w:r>
            <w:instrText xml:space="preserve">TOC \o "1-2" \h \u </w:instrText>
          </w:r>
          <w:r>
            <w:fldChar w:fldCharType="separate"/>
          </w:r>
          <w:r>
            <w:rPr>
              <w:b/>
            </w:rPr>
            <w:fldChar w:fldCharType="begin"/>
          </w:r>
          <w:r>
            <w:rPr>
              <w:b/>
            </w:rPr>
            <w:instrText xml:space="preserve"> HYPERLINK \l _Toc1589 </w:instrText>
          </w:r>
          <w:r>
            <w:rPr>
              <w:b/>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_Toc1589 \h </w:instrText>
          </w:r>
          <w:r>
            <w:rPr>
              <w:b/>
            </w:rPr>
            <w:fldChar w:fldCharType="separate"/>
          </w:r>
          <w:r>
            <w:rPr>
              <w:b/>
            </w:rPr>
            <w:t>1</w:t>
          </w:r>
          <w:r>
            <w:rPr>
              <w:b/>
            </w:rPr>
            <w:fldChar w:fldCharType="end"/>
          </w:r>
          <w:r>
            <w:rPr>
              <w:b/>
            </w:rP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_Toc4009 </w:instrText>
          </w:r>
          <w:r>
            <w:fldChar w:fldCharType="separate"/>
          </w:r>
          <w:r>
            <w:rPr>
              <w:rFonts w:hint="eastAsia" w:ascii="黑体" w:hAnsi="黑体" w:eastAsia="黑体"/>
              <w:bCs w:val="0"/>
              <w:lang w:eastAsia="zh-CN"/>
            </w:rPr>
            <w:t xml:space="preserve">一、 </w:t>
          </w:r>
          <w:r>
            <w:rPr>
              <w:rFonts w:hint="eastAsia" w:ascii="黑体" w:hAnsi="黑体" w:eastAsia="黑体"/>
              <w:bCs w:val="0"/>
              <w:highlight w:val="none"/>
              <w:lang w:eastAsia="zh-CN"/>
            </w:rPr>
            <w:t>主要职责</w:t>
          </w:r>
          <w:r>
            <w:tab/>
          </w:r>
          <w:r>
            <w:fldChar w:fldCharType="begin"/>
          </w:r>
          <w:r>
            <w:instrText xml:space="preserve"> PAGEREF _Toc4009 \h </w:instrText>
          </w:r>
          <w:r>
            <w:fldChar w:fldCharType="separate"/>
          </w:r>
          <w:r>
            <w:t>1</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_Toc21841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_Toc21841 \h </w:instrText>
          </w:r>
          <w:r>
            <w:fldChar w:fldCharType="separate"/>
          </w:r>
          <w:r>
            <w:t>1</w:t>
          </w:r>
          <w:r>
            <w:fldChar w:fldCharType="end"/>
          </w:r>
          <w:r>
            <w:fldChar w:fldCharType="end"/>
          </w:r>
        </w:p>
        <w:p>
          <w:pPr>
            <w:pStyle w:val="30"/>
            <w:keepNext w:val="0"/>
            <w:keepLines w:val="0"/>
            <w:pageBreakBefore w:val="0"/>
            <w:tabs>
              <w:tab w:val="right" w:leader="dot" w:pos="8306"/>
            </w:tabs>
            <w:kinsoku/>
            <w:wordWrap/>
            <w:overflowPunct/>
            <w:topLinePunct w:val="0"/>
            <w:autoSpaceDE/>
            <w:autoSpaceDN/>
            <w:bidi w:val="0"/>
            <w:spacing w:line="380" w:lineRule="exact"/>
            <w:textAlignment w:val="auto"/>
            <w:rPr>
              <w:b/>
            </w:rPr>
          </w:pPr>
          <w:r>
            <w:rPr>
              <w:b/>
            </w:rPr>
            <w:fldChar w:fldCharType="begin"/>
          </w:r>
          <w:r>
            <w:rPr>
              <w:b/>
            </w:rPr>
            <w:instrText xml:space="preserve"> HYPERLINK \l _Toc6144 </w:instrText>
          </w:r>
          <w:r>
            <w:rPr>
              <w:b/>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_Toc6144 \h </w:instrText>
          </w:r>
          <w:r>
            <w:rPr>
              <w:b/>
            </w:rPr>
            <w:fldChar w:fldCharType="separate"/>
          </w:r>
          <w:r>
            <w:rPr>
              <w:b/>
            </w:rPr>
            <w:t>1</w:t>
          </w:r>
          <w:r>
            <w:rPr>
              <w:b/>
            </w:rPr>
            <w:fldChar w:fldCharType="end"/>
          </w:r>
          <w:r>
            <w:rPr>
              <w:b/>
            </w:rP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_Toc10220 </w:instrText>
          </w:r>
          <w: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_Toc10220 \h </w:instrText>
          </w:r>
          <w:r>
            <w:fldChar w:fldCharType="separate"/>
          </w:r>
          <w:r>
            <w:t>1</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_Toc30576 </w:instrText>
          </w:r>
          <w: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_Toc30576 \h </w:instrText>
          </w:r>
          <w:r>
            <w:fldChar w:fldCharType="separate"/>
          </w:r>
          <w:r>
            <w:t>2</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_Toc13883 </w:instrText>
          </w:r>
          <w: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_Toc13883 \h </w:instrText>
          </w:r>
          <w:r>
            <w:fldChar w:fldCharType="separate"/>
          </w:r>
          <w:r>
            <w:t>2</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_Toc32434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_Toc32434 \h </w:instrText>
          </w:r>
          <w:r>
            <w:fldChar w:fldCharType="separate"/>
          </w:r>
          <w:r>
            <w:t>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_Toc22608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_Toc22608 \h </w:instrText>
          </w:r>
          <w:r>
            <w:fldChar w:fldCharType="separate"/>
          </w:r>
          <w:r>
            <w:t>4</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_Toc16942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_Toc16942 \h </w:instrText>
          </w:r>
          <w:r>
            <w:fldChar w:fldCharType="separate"/>
          </w:r>
          <w:r>
            <w:t>6</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_Toc7543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_Toc7543 \h </w:instrText>
          </w:r>
          <w:r>
            <w:fldChar w:fldCharType="separate"/>
          </w:r>
          <w:r>
            <w:t>6</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_Toc32130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_Toc32130 \h </w:instrText>
          </w:r>
          <w:r>
            <w:fldChar w:fldCharType="separate"/>
          </w:r>
          <w:r>
            <w:t>8</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_Toc26201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_Toc26201 \h </w:instrText>
          </w:r>
          <w:r>
            <w:fldChar w:fldCharType="separate"/>
          </w:r>
          <w:r>
            <w:t>8</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_Toc13531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_Toc13531 \h </w:instrText>
          </w:r>
          <w:r>
            <w:fldChar w:fldCharType="separate"/>
          </w:r>
          <w:r>
            <w:t>8</w:t>
          </w:r>
          <w:r>
            <w:fldChar w:fldCharType="end"/>
          </w:r>
          <w:r>
            <w:fldChar w:fldCharType="end"/>
          </w:r>
        </w:p>
        <w:p>
          <w:pPr>
            <w:pStyle w:val="30"/>
            <w:keepNext w:val="0"/>
            <w:keepLines w:val="0"/>
            <w:pageBreakBefore w:val="0"/>
            <w:tabs>
              <w:tab w:val="right" w:leader="dot" w:pos="8306"/>
            </w:tabs>
            <w:kinsoku/>
            <w:wordWrap/>
            <w:overflowPunct/>
            <w:topLinePunct w:val="0"/>
            <w:autoSpaceDE/>
            <w:autoSpaceDN/>
            <w:bidi w:val="0"/>
            <w:spacing w:line="380" w:lineRule="exact"/>
            <w:textAlignment w:val="auto"/>
            <w:rPr>
              <w:b/>
            </w:rPr>
          </w:pPr>
          <w:r>
            <w:rPr>
              <w:b/>
            </w:rPr>
            <w:fldChar w:fldCharType="begin"/>
          </w:r>
          <w:r>
            <w:rPr>
              <w:b/>
            </w:rPr>
            <w:instrText xml:space="preserve"> HYPERLINK \l _Toc624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_Toc624 \h </w:instrText>
          </w:r>
          <w:r>
            <w:rPr>
              <w:b/>
            </w:rPr>
            <w:fldChar w:fldCharType="separate"/>
          </w:r>
          <w:r>
            <w:rPr>
              <w:b/>
            </w:rPr>
            <w:t>10</w:t>
          </w:r>
          <w:r>
            <w:rPr>
              <w:b/>
            </w:rPr>
            <w:fldChar w:fldCharType="end"/>
          </w:r>
          <w:r>
            <w:rPr>
              <w:b/>
            </w:rPr>
            <w:fldChar w:fldCharType="end"/>
          </w:r>
        </w:p>
        <w:p>
          <w:pPr>
            <w:pStyle w:val="30"/>
            <w:keepNext w:val="0"/>
            <w:keepLines w:val="0"/>
            <w:pageBreakBefore w:val="0"/>
            <w:tabs>
              <w:tab w:val="right" w:leader="dot" w:pos="8306"/>
            </w:tabs>
            <w:kinsoku/>
            <w:wordWrap/>
            <w:overflowPunct/>
            <w:topLinePunct w:val="0"/>
            <w:autoSpaceDE/>
            <w:autoSpaceDN/>
            <w:bidi w:val="0"/>
            <w:spacing w:line="380" w:lineRule="exact"/>
            <w:textAlignment w:val="auto"/>
            <w:rPr>
              <w:b/>
            </w:rPr>
          </w:pPr>
          <w:r>
            <w:rPr>
              <w:b/>
            </w:rPr>
            <w:fldChar w:fldCharType="begin"/>
          </w:r>
          <w:r>
            <w:rPr>
              <w:b/>
            </w:rPr>
            <w:instrText xml:space="preserve"> HYPERLINK \l _Toc12756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_Toc12756 \h </w:instrText>
          </w:r>
          <w:r>
            <w:rPr>
              <w:b/>
            </w:rPr>
            <w:fldChar w:fldCharType="separate"/>
          </w:r>
          <w:r>
            <w:rPr>
              <w:b/>
            </w:rPr>
            <w:t>23</w:t>
          </w:r>
          <w:r>
            <w:rPr>
              <w:b/>
            </w:rPr>
            <w:fldChar w:fldCharType="end"/>
          </w:r>
          <w:r>
            <w:rPr>
              <w:b/>
            </w:rP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_Toc20722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_Toc20722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_Toc19112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_Toc19112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_Toc31623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_Toc31623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_Toc25937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_Toc25937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_Toc28526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_Toc28526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_Toc1179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_Toc1179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_Toc19643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bookmarkStart w:id="102" w:name="_GoBack"/>
          <w:bookmarkEnd w:id="102"/>
          <w:r>
            <w:tab/>
          </w:r>
          <w:r>
            <w:fldChar w:fldCharType="begin"/>
          </w:r>
          <w:r>
            <w:instrText xml:space="preserve"> PAGEREF _Toc19643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_Toc14036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_Toc14036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_Toc25806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_Toc25806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_Toc15107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_Toc15107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_Toc26923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_Toc26923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_Toc6346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_Toc6346 \h </w:instrText>
          </w:r>
          <w:r>
            <w:fldChar w:fldCharType="separate"/>
          </w:r>
          <w:r>
            <w:t>23</w:t>
          </w:r>
          <w:r>
            <w:fldChar w:fldCharType="end"/>
          </w:r>
          <w:r>
            <w:fldChar w:fldCharType="end"/>
          </w:r>
        </w:p>
        <w:p>
          <w:pPr>
            <w:pStyle w:val="31"/>
            <w:keepNext w:val="0"/>
            <w:keepLines w:val="0"/>
            <w:pageBreakBefore w:val="0"/>
            <w:tabs>
              <w:tab w:val="right" w:leader="dot" w:pos="8306"/>
            </w:tabs>
            <w:kinsoku/>
            <w:wordWrap/>
            <w:overflowPunct/>
            <w:topLinePunct w:val="0"/>
            <w:autoSpaceDE/>
            <w:autoSpaceDN/>
            <w:bidi w:val="0"/>
            <w:spacing w:line="380" w:lineRule="exact"/>
            <w:textAlignment w:val="auto"/>
          </w:pPr>
          <w:r>
            <w:fldChar w:fldCharType="begin"/>
          </w:r>
          <w:r>
            <w:instrText xml:space="preserve"> HYPERLINK \l _Toc13912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_Toc13912 \h </w:instrText>
          </w:r>
          <w:r>
            <w:fldChar w:fldCharType="separate"/>
          </w:r>
          <w:r>
            <w:t>23</w:t>
          </w:r>
          <w:r>
            <w:fldChar w:fldCharType="end"/>
          </w:r>
          <w:r>
            <w:fldChar w:fldCharType="end"/>
          </w:r>
        </w:p>
        <w:p>
          <w:pPr>
            <w:pStyle w:val="11"/>
            <w:keepNext w:val="0"/>
            <w:keepLines w:val="0"/>
            <w:pageBreakBefore w:val="0"/>
            <w:kinsoku/>
            <w:wordWrap/>
            <w:overflowPunct/>
            <w:topLinePunct w:val="0"/>
            <w:autoSpaceDE/>
            <w:autoSpaceDN/>
            <w:bidi w:val="0"/>
            <w:adjustRightInd w:val="0"/>
            <w:snapToGrid w:val="0"/>
            <w:spacing w:line="380" w:lineRule="exact"/>
            <w:jc w:val="left"/>
            <w:textAlignment w:val="auto"/>
            <w:rPr>
              <w:rFonts w:hint="eastAsia" w:ascii="黑体" w:hAnsi="黑体" w:eastAsia="黑体"/>
              <w:b w:val="0"/>
              <w:color w:val="auto"/>
              <w:highlight w:val="none"/>
            </w:rPr>
          </w:pPr>
          <w:r>
            <w:rPr>
              <w:b/>
            </w:rPr>
            <w:fldChar w:fldCharType="end"/>
          </w:r>
          <w:bookmarkStart w:id="15" w:name="_Toc15377196"/>
          <w:bookmarkStart w:id="16" w:name="_Toc15396599"/>
        </w:p>
      </w:sdtContent>
    </w:sdt>
    <w:p>
      <w:pPr>
        <w:pStyle w:val="5"/>
        <w:rPr>
          <w:rFonts w:hint="eastAsia" w:ascii="黑体" w:hAnsi="黑体" w:eastAsia="黑体"/>
          <w:b w:val="0"/>
          <w:color w:val="auto"/>
          <w:highlight w:val="none"/>
        </w:rPr>
      </w:pPr>
    </w:p>
    <w:p>
      <w:pPr>
        <w:pStyle w:val="2"/>
        <w:pageBreakBefore w:val="0"/>
        <w:kinsoku/>
        <w:wordWrap/>
        <w:overflowPunct/>
        <w:topLinePunct w:val="0"/>
        <w:autoSpaceDE/>
        <w:autoSpaceDN/>
        <w:bidi w:val="0"/>
        <w:adjustRightInd/>
        <w:snapToGrid/>
        <w:spacing w:before="0" w:after="0" w:line="680" w:lineRule="exact"/>
        <w:jc w:val="both"/>
        <w:textAlignment w:val="auto"/>
        <w:outlineLvl w:val="9"/>
        <w:rPr>
          <w:rFonts w:hint="eastAsia" w:ascii="黑体" w:hAnsi="黑体" w:eastAsia="黑体"/>
          <w:b w:val="0"/>
          <w:color w:val="auto"/>
          <w:highlight w:val="none"/>
        </w:rPr>
        <w:sectPr>
          <w:footerReference r:id="rId5" w:type="first"/>
          <w:footerReference r:id="rId4" w:type="default"/>
          <w:pgSz w:w="11906" w:h="16838"/>
          <w:pgMar w:top="1440" w:right="1800" w:bottom="1440" w:left="1800" w:header="851" w:footer="992" w:gutter="0"/>
          <w:pgNumType w:fmt="decimal" w:start="1"/>
          <w:cols w:space="425" w:num="1"/>
          <w:docGrid w:type="lines" w:linePitch="312" w:charSpace="0"/>
        </w:sectPr>
      </w:pPr>
    </w:p>
    <w:p>
      <w:pPr>
        <w:pStyle w:val="2"/>
        <w:pageBreakBefore w:val="0"/>
        <w:kinsoku/>
        <w:wordWrap/>
        <w:overflowPunct/>
        <w:topLinePunct w:val="0"/>
        <w:autoSpaceDE/>
        <w:autoSpaceDN/>
        <w:bidi w:val="0"/>
        <w:adjustRightInd/>
        <w:snapToGrid/>
        <w:spacing w:before="0" w:after="0" w:line="680" w:lineRule="exact"/>
        <w:jc w:val="center"/>
        <w:textAlignment w:val="auto"/>
        <w:rPr>
          <w:rStyle w:val="16"/>
          <w:rFonts w:ascii="黑体" w:hAnsi="黑体" w:eastAsia="黑体"/>
          <w:b/>
          <w:bCs w:val="0"/>
          <w:color w:val="auto"/>
          <w:highlight w:val="none"/>
        </w:rPr>
      </w:pPr>
      <w:bookmarkStart w:id="17" w:name="_Toc1589"/>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15"/>
      <w:bookmarkEnd w:id="16"/>
      <w:bookmarkEnd w:id="17"/>
    </w:p>
    <w:p>
      <w:pPr>
        <w:pageBreakBefore w:val="0"/>
        <w:widowControl/>
        <w:kinsoku/>
        <w:wordWrap/>
        <w:overflowPunct/>
        <w:topLinePunct w:val="0"/>
        <w:autoSpaceDE/>
        <w:autoSpaceDN/>
        <w:bidi w:val="0"/>
        <w:adjustRightInd/>
        <w:snapToGrid/>
        <w:spacing w:line="680" w:lineRule="exact"/>
        <w:jc w:val="left"/>
        <w:textAlignment w:val="auto"/>
        <w:rPr>
          <w:rFonts w:ascii="黑体" w:eastAsia="黑体"/>
          <w:color w:val="auto"/>
          <w:sz w:val="32"/>
          <w:szCs w:val="32"/>
          <w:highlight w:val="none"/>
        </w:rPr>
      </w:pPr>
    </w:p>
    <w:p>
      <w:pPr>
        <w:pStyle w:val="3"/>
        <w:keepNext/>
        <w:keepLines/>
        <w:pageBreakBefore w:val="0"/>
        <w:widowControl w:val="0"/>
        <w:numPr>
          <w:ilvl w:val="0"/>
          <w:numId w:val="1"/>
        </w:numPr>
        <w:kinsoku/>
        <w:wordWrap/>
        <w:overflowPunct/>
        <w:topLinePunct w:val="0"/>
        <w:autoSpaceDE/>
        <w:autoSpaceDN/>
        <w:bidi w:val="0"/>
        <w:adjustRightInd/>
        <w:snapToGrid/>
        <w:spacing w:before="0" w:after="0" w:line="576" w:lineRule="exact"/>
        <w:ind w:firstLine="640" w:firstLineChars="200"/>
        <w:textAlignment w:val="auto"/>
        <w:rPr>
          <w:rStyle w:val="17"/>
          <w:rFonts w:hint="eastAsia" w:ascii="黑体" w:hAnsi="黑体" w:eastAsia="黑体"/>
          <w:b w:val="0"/>
          <w:bCs w:val="0"/>
          <w:color w:val="auto"/>
          <w:highlight w:val="none"/>
          <w:lang w:eastAsia="zh-CN"/>
        </w:rPr>
      </w:pPr>
      <w:bookmarkStart w:id="18" w:name="_Toc4009"/>
      <w:bookmarkStart w:id="19" w:name="_Toc15396600"/>
      <w:bookmarkStart w:id="20" w:name="_Toc15377197"/>
      <w:r>
        <w:rPr>
          <w:rStyle w:val="17"/>
          <w:rFonts w:hint="eastAsia" w:ascii="黑体" w:hAnsi="黑体" w:eastAsia="黑体"/>
          <w:b w:val="0"/>
          <w:bCs w:val="0"/>
          <w:color w:val="auto"/>
          <w:highlight w:val="none"/>
          <w:lang w:eastAsia="zh-CN"/>
        </w:rPr>
        <w:t>主要职责</w:t>
      </w:r>
      <w:bookmarkEnd w:id="18"/>
    </w:p>
    <w:p>
      <w:pPr>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lang w:eastAsia="zh-CN"/>
        </w:rPr>
      </w:pPr>
      <w:r>
        <w:rPr>
          <w:rFonts w:hint="eastAsia" w:ascii="仿宋_GB2312" w:hAnsi="仿宋_GB2312" w:eastAsia="仿宋_GB2312"/>
          <w:sz w:val="32"/>
          <w:szCs w:val="32"/>
        </w:rPr>
        <w:t>广元市计划生育协会是协助党和政府做好人口和计划生育工作的群众团体，是党和政府联系育龄群众的桥梁和纽带，</w:t>
      </w:r>
      <w:r>
        <w:rPr>
          <w:rFonts w:hint="eastAsia" w:ascii="仿宋_GB2312" w:hAnsi="仿宋_GB2312" w:eastAsia="仿宋_GB2312" w:cs="仿宋_GB2312"/>
          <w:bCs/>
          <w:kern w:val="0"/>
          <w:sz w:val="32"/>
          <w:szCs w:val="32"/>
        </w:rPr>
        <w:t>是协助政府落实计划生育基本国策、促进人口长期均衡发展与家庭和谐幸福的重要力量。</w:t>
      </w:r>
      <w:r>
        <w:rPr>
          <w:rFonts w:hint="eastAsia" w:ascii="仿宋_GB2312" w:hAnsi="宋体" w:eastAsia="仿宋_GB2312"/>
          <w:sz w:val="32"/>
          <w:szCs w:val="32"/>
        </w:rPr>
        <w:t>做好宣传教育、生殖健康咨询服务、优生优育指导、计划生育家庭帮扶、权益维护和家庭健康促进等各项工作是各级计划生育协会的主要职责。</w:t>
      </w:r>
    </w:p>
    <w:p>
      <w:pPr>
        <w:pStyle w:val="3"/>
        <w:pageBreakBefore w:val="0"/>
        <w:numPr>
          <w:ilvl w:val="0"/>
          <w:numId w:val="0"/>
        </w:numPr>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b w:val="0"/>
          <w:color w:val="auto"/>
          <w:highlight w:val="none"/>
          <w:lang w:val="en-US" w:eastAsia="zh-CN"/>
        </w:rPr>
      </w:pPr>
      <w:bookmarkStart w:id="21" w:name="_Toc21841"/>
      <w:r>
        <w:rPr>
          <w:rFonts w:hint="eastAsia" w:ascii="黑体" w:hAnsi="黑体" w:eastAsia="黑体"/>
          <w:b w:val="0"/>
          <w:color w:val="auto"/>
          <w:highlight w:val="none"/>
          <w:lang w:val="en-US" w:eastAsia="zh-CN"/>
        </w:rPr>
        <w:t>二、机构设置</w:t>
      </w:r>
      <w:bookmarkEnd w:id="21"/>
    </w:p>
    <w:bookmarkEnd w:id="19"/>
    <w:bookmarkEnd w:id="20"/>
    <w:p>
      <w:pPr>
        <w:keepNext w:val="0"/>
        <w:keepLines w:val="0"/>
        <w:pageBreakBefore w:val="0"/>
        <w:widowControl/>
        <w:kinsoku/>
        <w:wordWrap/>
        <w:overflowPunct/>
        <w:topLinePunct w:val="0"/>
        <w:autoSpaceDE/>
        <w:autoSpaceDN/>
        <w:bidi w:val="0"/>
        <w:adjustRightInd/>
        <w:snapToGrid/>
        <w:spacing w:line="576" w:lineRule="exact"/>
        <w:ind w:firstLine="664" w:firstLineChars="200"/>
        <w:jc w:val="left"/>
        <w:textAlignment w:val="auto"/>
        <w:rPr>
          <w:rFonts w:ascii="仿宋" w:hAnsi="仿宋" w:eastAsia="仿宋"/>
          <w:color w:val="auto"/>
          <w:kern w:val="0"/>
          <w:sz w:val="32"/>
          <w:szCs w:val="32"/>
          <w:highlight w:val="none"/>
        </w:rPr>
      </w:pPr>
      <w:r>
        <w:rPr>
          <w:rFonts w:hint="eastAsia" w:ascii="仿宋_GB2312" w:hAnsi="Calibri" w:eastAsia="仿宋_GB2312"/>
          <w:spacing w:val="6"/>
          <w:sz w:val="32"/>
          <w:szCs w:val="32"/>
          <w:lang w:eastAsia="zh-CN"/>
        </w:rPr>
        <w:t>广元市计划生育协会属于广元市卫生健康委员会下属的二级预算单位，下设独立编制机构</w:t>
      </w:r>
      <w:r>
        <w:rPr>
          <w:rFonts w:hint="eastAsia" w:ascii="仿宋_GB2312" w:hAnsi="Calibri" w:eastAsia="仿宋_GB2312"/>
          <w:spacing w:val="6"/>
          <w:sz w:val="32"/>
          <w:szCs w:val="32"/>
          <w:lang w:val="en-US" w:eastAsia="zh-CN"/>
        </w:rPr>
        <w:t>1个，其中行政机构0个，参照公务员法管理的事业机构1个，其他事业机构0个。</w:t>
      </w:r>
      <w:r>
        <w:rPr>
          <w:rStyle w:val="24"/>
          <w:rFonts w:hint="eastAsia"/>
          <w:sz w:val="32"/>
          <w:szCs w:val="32"/>
          <w:lang w:val="en-US" w:eastAsia="zh-CN"/>
        </w:rPr>
        <w:t>纳入2022年度单位决算编制范围的独立编制机构包括：1.</w:t>
      </w:r>
      <w:r>
        <w:rPr>
          <w:rFonts w:hint="eastAsia" w:ascii="仿宋_GB2312" w:hAnsi="Calibri" w:eastAsia="仿宋_GB2312"/>
          <w:spacing w:val="6"/>
          <w:sz w:val="32"/>
          <w:szCs w:val="32"/>
          <w:lang w:eastAsia="zh-CN"/>
        </w:rPr>
        <w:t>广元市计划生育协会</w:t>
      </w:r>
      <w:r>
        <w:rPr>
          <w:rStyle w:val="24"/>
          <w:rFonts w:hint="eastAsia"/>
          <w:sz w:val="32"/>
          <w:szCs w:val="32"/>
          <w:lang w:val="en-US" w:eastAsia="zh-CN"/>
        </w:rPr>
        <w:t>。</w:t>
      </w:r>
    </w:p>
    <w:p>
      <w:pPr>
        <w:pStyle w:val="2"/>
        <w:ind w:right="440"/>
        <w:jc w:val="center"/>
        <w:rPr>
          <w:rStyle w:val="16"/>
          <w:rFonts w:ascii="黑体" w:hAnsi="黑体" w:eastAsia="黑体"/>
          <w:b w:val="0"/>
          <w:bCs/>
          <w:color w:val="auto"/>
          <w:highlight w:val="none"/>
        </w:rPr>
      </w:pPr>
      <w:bookmarkStart w:id="22" w:name="_Toc15377204"/>
      <w:bookmarkStart w:id="23" w:name="_Toc15396602"/>
      <w:bookmarkStart w:id="24" w:name="_Toc614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22"/>
      <w:bookmarkEnd w:id="23"/>
      <w:bookmarkEnd w:id="24"/>
    </w:p>
    <w:p>
      <w:pPr>
        <w:rPr>
          <w:color w:val="auto"/>
          <w:highlight w:val="none"/>
        </w:rPr>
      </w:pP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25" w:name="_Toc15377205"/>
      <w:bookmarkStart w:id="26" w:name="_Toc15396603"/>
      <w:bookmarkStart w:id="27" w:name="_Toc10220"/>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25"/>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214.85</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1.35</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0.62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项目支出减少。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pPr>
      <w:r>
        <w:drawing>
          <wp:inline distT="0" distB="0" distL="114300" distR="114300">
            <wp:extent cx="4572000" cy="2743835"/>
            <wp:effectExtent l="4445" t="4445" r="14605" b="13970"/>
            <wp:docPr id="109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28" w:name="_Toc15377206"/>
      <w:bookmarkStart w:id="29" w:name="_Toc30576"/>
      <w:bookmarkStart w:id="30" w:name="_Toc15396604"/>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28"/>
      <w:bookmarkEnd w:id="29"/>
      <w:bookmarkEnd w:id="30"/>
    </w:p>
    <w:p>
      <w:pPr>
        <w:spacing w:line="600" w:lineRule="exact"/>
        <w:ind w:firstLine="640" w:firstLineChars="200"/>
        <w:outlineLvl w:val="1"/>
        <w:rPr>
          <w:rFonts w:ascii="仿宋" w:hAnsi="仿宋" w:eastAsia="仿宋"/>
          <w:color w:val="auto"/>
          <w:sz w:val="32"/>
          <w:szCs w:val="32"/>
          <w:highlight w:val="none"/>
        </w:rPr>
      </w:pPr>
      <w:bookmarkStart w:id="31" w:name="_Toc1369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178.65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178.56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99.95</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0.09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仿宋" w:hAnsi="仿宋" w:eastAsia="仿宋"/>
          <w:color w:val="auto"/>
          <w:sz w:val="32"/>
          <w:szCs w:val="32"/>
          <w:highlight w:val="none"/>
        </w:rPr>
      </w:pPr>
      <w:r>
        <w:drawing>
          <wp:inline distT="0" distB="0" distL="114300" distR="114300">
            <wp:extent cx="4572000" cy="2743200"/>
            <wp:effectExtent l="4445" t="4445" r="1460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26"/>
        <w:numPr>
          <w:ilvl w:val="0"/>
          <w:numId w:val="2"/>
        </w:numPr>
        <w:spacing w:line="600" w:lineRule="exact"/>
        <w:ind w:firstLineChars="0"/>
        <w:outlineLvl w:val="1"/>
        <w:rPr>
          <w:rStyle w:val="17"/>
          <w:rFonts w:ascii="黑体" w:hAnsi="黑体" w:eastAsia="黑体"/>
          <w:b w:val="0"/>
          <w:color w:val="auto"/>
          <w:highlight w:val="none"/>
        </w:rPr>
      </w:pPr>
      <w:bookmarkStart w:id="32" w:name="_Toc13883"/>
      <w:bookmarkStart w:id="33" w:name="_Toc15396605"/>
      <w:bookmarkStart w:id="34" w:name="_Toc15377207"/>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32"/>
      <w:bookmarkEnd w:id="33"/>
      <w:bookmarkEnd w:id="34"/>
    </w:p>
    <w:p>
      <w:pPr>
        <w:spacing w:line="600" w:lineRule="exact"/>
        <w:ind w:firstLine="640" w:firstLineChars="200"/>
        <w:outlineLvl w:val="1"/>
        <w:rPr>
          <w:rFonts w:ascii="仿宋" w:hAnsi="仿宋" w:eastAsia="仿宋"/>
          <w:color w:val="auto"/>
          <w:sz w:val="32"/>
          <w:szCs w:val="32"/>
          <w:highlight w:val="none"/>
        </w:rPr>
      </w:pPr>
      <w:bookmarkStart w:id="35" w:name="_Toc31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197.71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176.28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89.16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21.43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10.84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5"/>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ascii="仿宋" w:hAnsi="仿宋" w:eastAsia="仿宋"/>
          <w:color w:val="auto"/>
          <w:sz w:val="32"/>
          <w:szCs w:val="32"/>
          <w:highlight w:val="none"/>
          <w:shd w:val="pct10" w:color="auto" w:fill="FFFFFF"/>
        </w:rPr>
      </w:pPr>
      <w:r>
        <w:drawing>
          <wp:inline distT="0" distB="0" distL="114300" distR="114300">
            <wp:extent cx="4572000" cy="2743200"/>
            <wp:effectExtent l="4445" t="4445" r="14605"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17"/>
          <w:rFonts w:ascii="黑体" w:hAnsi="黑体" w:eastAsia="黑体"/>
          <w:b w:val="0"/>
          <w:color w:val="auto"/>
          <w:highlight w:val="none"/>
        </w:rPr>
      </w:pPr>
      <w:bookmarkStart w:id="36" w:name="_Toc15396606"/>
      <w:bookmarkStart w:id="37" w:name="_Toc32434"/>
      <w:bookmarkStart w:id="38" w:name="_Toc15377208"/>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36"/>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198.10</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12.16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6.54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_GB2312" w:eastAsia="仿宋_GB2312"/>
          <w:color w:val="auto"/>
          <w:sz w:val="32"/>
          <w:szCs w:val="32"/>
          <w:highlight w:val="none"/>
          <w:lang w:eastAsia="zh-CN"/>
        </w:rPr>
        <w:t>机关人数增加，</w:t>
      </w:r>
      <w:r>
        <w:rPr>
          <w:rFonts w:hint="eastAsia" w:ascii="仿宋_GB2312" w:eastAsia="仿宋_GB2312"/>
          <w:color w:val="auto"/>
          <w:sz w:val="32"/>
          <w:szCs w:val="32"/>
          <w:highlight w:val="none"/>
          <w:lang w:val="en-US" w:eastAsia="zh-CN"/>
        </w:rPr>
        <w:t>2021年8人在岗，2022年9人在岗。</w:t>
      </w:r>
    </w:p>
    <w:p>
      <w:pPr>
        <w:pStyle w:val="5"/>
        <w:rPr>
          <w:rFonts w:ascii="仿宋" w:hAnsi="仿宋" w:eastAsia="仿宋"/>
          <w:color w:val="auto"/>
          <w:sz w:val="32"/>
          <w:szCs w:val="32"/>
          <w:highlight w:val="none"/>
        </w:rP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17"/>
          <w:rFonts w:ascii="黑体" w:hAnsi="黑体" w:eastAsia="黑体"/>
          <w:b w:val="0"/>
          <w:color w:val="auto"/>
          <w:highlight w:val="none"/>
        </w:rPr>
      </w:pPr>
      <w:bookmarkStart w:id="39" w:name="_Toc15377209"/>
      <w:bookmarkStart w:id="40" w:name="_Toc22608"/>
      <w:bookmarkStart w:id="41"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3"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pacing w:line="600" w:lineRule="exact"/>
        <w:ind w:firstLine="640" w:firstLineChars="200"/>
        <w:rPr>
          <w:rFonts w:hint="default"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190.24</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96.22</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23.85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14.33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相比于</w:t>
      </w:r>
      <w:r>
        <w:rPr>
          <w:rFonts w:hint="eastAsia" w:ascii="仿宋" w:hAnsi="仿宋" w:eastAsia="仿宋"/>
          <w:color w:val="auto"/>
          <w:sz w:val="32"/>
          <w:szCs w:val="32"/>
          <w:highlight w:val="none"/>
          <w:lang w:val="en-US" w:eastAsia="zh-CN"/>
        </w:rPr>
        <w:t>2021年，2022年多1名工作人员在岗，工资福利支出增加。</w:t>
      </w:r>
    </w:p>
    <w:p>
      <w:pPr>
        <w:pStyle w:val="5"/>
        <w:keepNext w:val="0"/>
        <w:keepLines w:val="0"/>
        <w:pageBreakBefore w:val="0"/>
        <w:widowControl w:val="0"/>
        <w:kinsoku/>
        <w:wordWrap/>
        <w:overflowPunct/>
        <w:topLinePunct w:val="0"/>
        <w:autoSpaceDE/>
        <w:autoSpaceDN/>
        <w:bidi w:val="0"/>
        <w:adjustRightInd/>
        <w:snapToGrid/>
        <w:jc w:val="center"/>
        <w:textAlignment w:val="auto"/>
        <w:rPr>
          <w:rFonts w:hint="eastAsia"/>
          <w:lang w:eastAsia="zh-CN"/>
        </w:rPr>
      </w:pPr>
      <w:r>
        <w:drawing>
          <wp:inline distT="0" distB="0" distL="114300" distR="114300">
            <wp:extent cx="4572000" cy="2057400"/>
            <wp:effectExtent l="4445" t="4445" r="5080" b="508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3" w:firstLineChars="200"/>
        <w:outlineLvl w:val="2"/>
        <w:rPr>
          <w:rFonts w:ascii="仿宋" w:hAnsi="仿宋" w:eastAsia="仿宋"/>
          <w:b/>
          <w:color w:val="auto"/>
          <w:sz w:val="32"/>
          <w:szCs w:val="32"/>
          <w:highlight w:val="none"/>
        </w:rPr>
      </w:pPr>
      <w:bookmarkStart w:id="43" w:name="_Toc15377211"/>
      <w:r>
        <w:rPr>
          <w:rFonts w:hint="eastAsia" w:ascii="仿宋" w:hAnsi="仿宋" w:eastAsia="仿宋"/>
          <w:b/>
          <w:color w:val="auto"/>
          <w:sz w:val="32"/>
          <w:szCs w:val="32"/>
          <w:highlight w:val="none"/>
        </w:rPr>
        <w:t>（二）一般公共预算财政拨款支出决算结构情况</w:t>
      </w:r>
      <w:bookmarkEnd w:id="4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190.24</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13.92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7.32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162.47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85.40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13.85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ascii="仿宋" w:hAnsi="仿宋" w:eastAsia="仿宋"/>
          <w:color w:val="auto"/>
          <w:sz w:val="32"/>
          <w:szCs w:val="32"/>
          <w:highlight w:val="none"/>
        </w:rPr>
      </w:pPr>
      <w:r>
        <w:drawing>
          <wp:inline distT="0" distB="0" distL="114300" distR="114300">
            <wp:extent cx="4572000" cy="2743200"/>
            <wp:effectExtent l="4445" t="4445" r="14605" b="1460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3"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3" w:firstLineChars="200"/>
        <w:outlineLvl w:val="1"/>
        <w:rPr>
          <w:rFonts w:ascii="仿宋" w:hAnsi="仿宋" w:eastAsia="仿宋"/>
          <w:color w:val="auto"/>
          <w:sz w:val="32"/>
          <w:szCs w:val="32"/>
          <w:highlight w:val="none"/>
        </w:rPr>
      </w:pPr>
      <w:bookmarkStart w:id="45" w:name="_Toc15378460"/>
      <w:bookmarkStart w:id="46" w:name="_Toc15377444"/>
      <w:bookmarkStart w:id="47" w:name="_Toc15377213"/>
      <w:bookmarkStart w:id="48" w:name="_Toc19767"/>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190.24万元</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96.03</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45"/>
      <w:bookmarkEnd w:id="46"/>
      <w:bookmarkEnd w:id="47"/>
      <w:bookmarkEnd w:id="4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1.</w:t>
      </w:r>
      <w:r>
        <w:rPr>
          <w:rStyle w:val="14"/>
          <w:rFonts w:hint="eastAsia" w:ascii="仿宋" w:hAnsi="仿宋" w:eastAsia="仿宋"/>
          <w:bCs/>
          <w:color w:val="auto"/>
          <w:sz w:val="32"/>
          <w:szCs w:val="32"/>
          <w:highlight w:val="none"/>
        </w:rPr>
        <w:t>社会保障和就业（类</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Cs/>
          <w:color w:val="000000"/>
          <w:sz w:val="32"/>
          <w:szCs w:val="32"/>
        </w:rPr>
        <w:t>行政事业单位养老支出（款）机关事业单位基本养老保险缴费支出（项）</w:t>
      </w:r>
      <w:r>
        <w:rPr>
          <w:rStyle w:val="14"/>
          <w:rFonts w:hint="eastAsia" w:ascii="仿宋" w:hAnsi="仿宋" w:eastAsia="仿宋"/>
          <w:bCs/>
          <w:color w:val="000000"/>
          <w:sz w:val="32"/>
          <w:szCs w:val="32"/>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10.07</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pPr>
      <w:r>
        <w:rPr>
          <w:rStyle w:val="14"/>
          <w:rFonts w:hint="eastAsia" w:ascii="仿宋" w:hAnsi="仿宋" w:eastAsia="仿宋"/>
          <w:bCs/>
          <w:color w:val="auto"/>
          <w:sz w:val="32"/>
          <w:szCs w:val="32"/>
          <w:highlight w:val="none"/>
          <w:lang w:val="en-US" w:eastAsia="zh-CN"/>
        </w:rPr>
        <w:t>2</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社会保障和就业（类</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Cs/>
          <w:color w:val="000000"/>
          <w:sz w:val="32"/>
          <w:szCs w:val="32"/>
        </w:rPr>
        <w:t>行政事业单位养老支出（款）机关事业单位</w:t>
      </w:r>
      <w:r>
        <w:rPr>
          <w:rStyle w:val="14"/>
          <w:rFonts w:hint="eastAsia" w:ascii="仿宋" w:hAnsi="仿宋" w:eastAsia="仿宋"/>
          <w:bCs/>
          <w:color w:val="000000"/>
          <w:sz w:val="32"/>
          <w:szCs w:val="32"/>
          <w:lang w:eastAsia="zh-CN"/>
        </w:rPr>
        <w:t>职业年金</w:t>
      </w:r>
      <w:r>
        <w:rPr>
          <w:rStyle w:val="14"/>
          <w:rFonts w:hint="eastAsia" w:ascii="仿宋" w:hAnsi="仿宋" w:eastAsia="仿宋"/>
          <w:bCs/>
          <w:color w:val="000000"/>
          <w:sz w:val="32"/>
          <w:szCs w:val="32"/>
        </w:rPr>
        <w:t>缴费支出（项）</w:t>
      </w:r>
      <w:r>
        <w:rPr>
          <w:rStyle w:val="14"/>
          <w:rFonts w:hint="eastAsia" w:ascii="仿宋" w:hAnsi="仿宋" w:eastAsia="仿宋"/>
          <w:bCs/>
          <w:color w:val="000000"/>
          <w:sz w:val="32"/>
          <w:szCs w:val="32"/>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3.85</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3</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4"/>
          <w:rFonts w:hint="eastAsia" w:ascii="仿宋" w:hAnsi="仿宋" w:eastAsia="仿宋"/>
          <w:bCs/>
          <w:color w:val="auto"/>
          <w:sz w:val="32"/>
          <w:szCs w:val="32"/>
          <w:highlight w:val="none"/>
        </w:rPr>
        <w:t>（类）</w:t>
      </w:r>
      <w:r>
        <w:rPr>
          <w:rStyle w:val="14"/>
          <w:rFonts w:hint="eastAsia" w:ascii="仿宋" w:hAnsi="仿宋" w:eastAsia="仿宋"/>
          <w:bCs/>
          <w:color w:val="auto"/>
          <w:sz w:val="32"/>
          <w:szCs w:val="32"/>
          <w:highlight w:val="none"/>
          <w:lang w:eastAsia="zh-CN"/>
        </w:rPr>
        <w:t>卫生健康管理事务</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其他卫生健康管理事务支出</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6.44</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4</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4"/>
          <w:rFonts w:hint="eastAsia" w:ascii="仿宋" w:hAnsi="仿宋" w:eastAsia="仿宋"/>
          <w:bCs/>
          <w:color w:val="auto"/>
          <w:sz w:val="32"/>
          <w:szCs w:val="32"/>
          <w:highlight w:val="none"/>
        </w:rPr>
        <w:t>（类）</w:t>
      </w:r>
      <w:r>
        <w:rPr>
          <w:rStyle w:val="14"/>
          <w:rFonts w:hint="eastAsia" w:ascii="仿宋" w:hAnsi="仿宋" w:eastAsia="仿宋"/>
          <w:bCs/>
          <w:color w:val="auto"/>
          <w:sz w:val="32"/>
          <w:szCs w:val="32"/>
          <w:highlight w:val="none"/>
          <w:lang w:eastAsia="zh-CN"/>
        </w:rPr>
        <w:t>计划生育事务</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计划生育机构</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14.72</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Style w:val="14"/>
          <w:rFonts w:hint="eastAsia" w:ascii="仿宋" w:hAnsi="仿宋" w:eastAsia="仿宋"/>
          <w:b w:val="0"/>
          <w:bCs/>
          <w:color w:val="000000"/>
          <w:sz w:val="32"/>
          <w:szCs w:val="32"/>
        </w:rPr>
      </w:pPr>
      <w:r>
        <w:rPr>
          <w:rStyle w:val="14"/>
          <w:rFonts w:hint="eastAsia" w:ascii="仿宋" w:hAnsi="仿宋" w:eastAsia="仿宋"/>
          <w:bCs/>
          <w:color w:val="auto"/>
          <w:sz w:val="32"/>
          <w:szCs w:val="32"/>
          <w:highlight w:val="none"/>
          <w:lang w:val="en-US" w:eastAsia="zh-CN"/>
        </w:rPr>
        <w:t>5</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4"/>
          <w:rFonts w:hint="eastAsia" w:ascii="仿宋" w:hAnsi="仿宋" w:eastAsia="仿宋"/>
          <w:bCs/>
          <w:color w:val="auto"/>
          <w:sz w:val="32"/>
          <w:szCs w:val="32"/>
          <w:highlight w:val="none"/>
        </w:rPr>
        <w:t>（类）</w:t>
      </w:r>
      <w:r>
        <w:rPr>
          <w:rStyle w:val="14"/>
          <w:rFonts w:hint="eastAsia" w:ascii="仿宋" w:hAnsi="仿宋" w:eastAsia="仿宋"/>
          <w:bCs/>
          <w:color w:val="auto"/>
          <w:sz w:val="32"/>
          <w:szCs w:val="32"/>
          <w:highlight w:val="none"/>
          <w:lang w:eastAsia="zh-CN"/>
        </w:rPr>
        <w:t>计划生育事务</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其他计划生育事务支出</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136.28</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94.55</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000000"/>
          <w:sz w:val="32"/>
          <w:szCs w:val="32"/>
        </w:rPr>
        <w:t>决算数小于预算数的主要原因是市本级计划生育切块项目资金跨年度实施</w:t>
      </w:r>
    </w:p>
    <w:p>
      <w:pPr>
        <w:pStyle w:val="5"/>
        <w:keepNext w:val="0"/>
        <w:keepLines w:val="0"/>
        <w:pageBreakBefore w:val="0"/>
        <w:widowControl w:val="0"/>
        <w:kinsoku/>
        <w:wordWrap/>
        <w:overflowPunct/>
        <w:topLinePunct w:val="0"/>
        <w:autoSpaceDE/>
        <w:autoSpaceDN/>
        <w:bidi w:val="0"/>
        <w:adjustRightInd/>
        <w:snapToGrid/>
        <w:ind w:firstLine="643" w:firstLineChars="200"/>
        <w:textAlignment w:val="auto"/>
      </w:pPr>
      <w:r>
        <w:rPr>
          <w:rStyle w:val="14"/>
          <w:rFonts w:hint="eastAsia" w:ascii="仿宋" w:hAnsi="仿宋" w:eastAsia="仿宋"/>
          <w:bCs/>
          <w:color w:val="auto"/>
          <w:sz w:val="32"/>
          <w:szCs w:val="32"/>
          <w:highlight w:val="none"/>
          <w:lang w:val="en-US" w:eastAsia="zh-CN"/>
        </w:rPr>
        <w:t>6</w:t>
      </w:r>
      <w:r>
        <w:rPr>
          <w:rStyle w:val="14"/>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4"/>
          <w:rFonts w:hint="eastAsia" w:ascii="仿宋" w:hAnsi="仿宋" w:eastAsia="仿宋"/>
          <w:bCs/>
          <w:color w:val="auto"/>
          <w:sz w:val="32"/>
          <w:szCs w:val="32"/>
          <w:highlight w:val="none"/>
        </w:rPr>
        <w:t>（类）</w:t>
      </w:r>
      <w:r>
        <w:rPr>
          <w:rStyle w:val="14"/>
          <w:rFonts w:hint="eastAsia" w:ascii="仿宋" w:hAnsi="仿宋" w:eastAsia="仿宋"/>
          <w:bCs/>
          <w:color w:val="auto"/>
          <w:sz w:val="32"/>
          <w:szCs w:val="32"/>
          <w:highlight w:val="none"/>
          <w:lang w:eastAsia="zh-CN"/>
        </w:rPr>
        <w:t>行政事业单位医疗</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事业单位医疗</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5.03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color w:val="auto"/>
          <w:sz w:val="32"/>
          <w:szCs w:val="32"/>
          <w:highlight w:val="none"/>
        </w:rPr>
      </w:pPr>
      <w:r>
        <w:rPr>
          <w:rStyle w:val="14"/>
          <w:rFonts w:hint="eastAsia" w:ascii="仿宋" w:hAnsi="仿宋" w:eastAsia="仿宋" w:cstheme="minorBidi"/>
          <w:bCs/>
          <w:color w:val="auto"/>
          <w:kern w:val="0"/>
          <w:sz w:val="32"/>
          <w:szCs w:val="32"/>
          <w:highlight w:val="none"/>
          <w:lang w:val="en-US" w:eastAsia="zh-CN" w:bidi="ar-SA"/>
        </w:rPr>
        <w:t>7.住</w:t>
      </w:r>
      <w:r>
        <w:rPr>
          <w:rFonts w:hint="eastAsia" w:ascii="仿宋" w:hAnsi="仿宋" w:eastAsia="仿宋"/>
          <w:b/>
          <w:bCs/>
          <w:color w:val="auto"/>
          <w:sz w:val="32"/>
          <w:szCs w:val="32"/>
          <w:highlight w:val="none"/>
        </w:rPr>
        <w:t>房保障</w:t>
      </w:r>
      <w:r>
        <w:rPr>
          <w:rStyle w:val="14"/>
          <w:rFonts w:hint="eastAsia" w:ascii="仿宋" w:hAnsi="仿宋" w:eastAsia="仿宋"/>
          <w:bCs/>
          <w:color w:val="auto"/>
          <w:sz w:val="32"/>
          <w:szCs w:val="32"/>
          <w:highlight w:val="none"/>
        </w:rPr>
        <w:t>（类）</w:t>
      </w:r>
      <w:r>
        <w:rPr>
          <w:rStyle w:val="14"/>
          <w:rFonts w:hint="eastAsia" w:ascii="仿宋" w:hAnsi="仿宋" w:eastAsia="仿宋"/>
          <w:bCs/>
          <w:color w:val="auto"/>
          <w:sz w:val="32"/>
          <w:szCs w:val="32"/>
          <w:highlight w:val="none"/>
          <w:lang w:eastAsia="zh-CN"/>
        </w:rPr>
        <w:t>住房改革支出</w:t>
      </w:r>
      <w:r>
        <w:rPr>
          <w:rStyle w:val="14"/>
          <w:rFonts w:hint="eastAsia" w:ascii="仿宋" w:hAnsi="仿宋" w:eastAsia="仿宋"/>
          <w:bCs/>
          <w:color w:val="auto"/>
          <w:sz w:val="32"/>
          <w:szCs w:val="32"/>
          <w:highlight w:val="none"/>
        </w:rPr>
        <w:t>（款）</w:t>
      </w:r>
      <w:r>
        <w:rPr>
          <w:rStyle w:val="14"/>
          <w:rFonts w:hint="eastAsia" w:ascii="仿宋" w:hAnsi="仿宋" w:eastAsia="仿宋"/>
          <w:bCs/>
          <w:color w:val="auto"/>
          <w:sz w:val="32"/>
          <w:szCs w:val="32"/>
          <w:highlight w:val="none"/>
          <w:lang w:eastAsia="zh-CN"/>
        </w:rPr>
        <w:t>住房公积金</w:t>
      </w:r>
      <w:r>
        <w:rPr>
          <w:rStyle w:val="14"/>
          <w:rFonts w:hint="eastAsia" w:ascii="仿宋" w:hAnsi="仿宋" w:eastAsia="仿宋"/>
          <w:bCs/>
          <w:color w:val="auto"/>
          <w:sz w:val="32"/>
          <w:szCs w:val="32"/>
          <w:highlight w:val="none"/>
        </w:rPr>
        <w:t>（项）</w:t>
      </w:r>
      <w:r>
        <w:rPr>
          <w:rFonts w:hint="eastAsia" w:ascii="仿宋" w:hAnsi="仿宋" w:eastAsia="仿宋"/>
          <w:color w:val="auto"/>
          <w:sz w:val="32"/>
          <w:szCs w:val="32"/>
          <w:highlight w:val="none"/>
          <w:lang w:val="en-US" w:eastAsia="zh-CN"/>
        </w:rPr>
        <w:t>13.85</w:t>
      </w:r>
      <w:r>
        <w:rPr>
          <w:rFonts w:hint="eastAsia" w:ascii="仿宋" w:hAnsi="仿宋" w:eastAsia="仿宋"/>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17"/>
          <w:color w:val="auto"/>
          <w:highlight w:val="none"/>
        </w:rPr>
      </w:pPr>
      <w:bookmarkStart w:id="49" w:name="_Toc15377214"/>
      <w:bookmarkStart w:id="50" w:name="_Toc15396608"/>
      <w:bookmarkStart w:id="51" w:name="_Toc16942"/>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49"/>
      <w:bookmarkEnd w:id="50"/>
      <w:bookmarkEnd w:id="51"/>
      <w:r>
        <w:rPr>
          <w:rStyle w:val="17"/>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174.24</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162.46</w:t>
      </w:r>
      <w:r>
        <w:rPr>
          <w:rFonts w:hint="eastAsia" w:ascii="仿宋" w:hAnsi="仿宋" w:eastAsia="仿宋"/>
          <w:color w:val="auto"/>
          <w:sz w:val="32"/>
          <w:szCs w:val="32"/>
          <w:highlight w:val="none"/>
        </w:rPr>
        <w:t>万元，主要包括：基本工资、津贴补贴、奖金、机关事业单位基本养老保险缴费、职业年金缴费、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、住房公积金、其他工资福利支出、生活补助。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11.78</w:t>
      </w:r>
      <w:r>
        <w:rPr>
          <w:rFonts w:hint="eastAsia" w:ascii="仿宋" w:hAnsi="仿宋" w:eastAsia="仿宋"/>
          <w:color w:val="auto"/>
          <w:sz w:val="32"/>
          <w:szCs w:val="32"/>
          <w:highlight w:val="none"/>
        </w:rPr>
        <w:t>元，主要包括：办公费、手续费、差旅费、工会经费、福利费、其他交通费</w:t>
      </w:r>
      <w:r>
        <w:rPr>
          <w:rFonts w:hint="eastAsia" w:ascii="仿宋" w:hAnsi="仿宋" w:eastAsia="仿宋"/>
          <w:color w:val="auto"/>
          <w:sz w:val="32"/>
          <w:szCs w:val="32"/>
          <w:highlight w:val="none"/>
          <w:lang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17"/>
          <w:rFonts w:ascii="黑体" w:hAnsi="黑体" w:eastAsia="黑体"/>
          <w:b w:val="0"/>
          <w:color w:val="auto"/>
          <w:highlight w:val="none"/>
        </w:rPr>
      </w:pPr>
      <w:bookmarkStart w:id="52" w:name="_Toc15396609"/>
      <w:bookmarkStart w:id="53" w:name="_Toc15377215"/>
      <w:bookmarkStart w:id="54" w:name="_Toc7543"/>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52"/>
      <w:bookmarkEnd w:id="53"/>
      <w:bookmarkEnd w:id="54"/>
    </w:p>
    <w:p>
      <w:pPr>
        <w:spacing w:line="600" w:lineRule="exact"/>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0.09</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较上年增加</w:t>
      </w:r>
      <w:r>
        <w:rPr>
          <w:rFonts w:hint="eastAsia" w:ascii="仿宋" w:hAnsi="仿宋" w:eastAsia="仿宋"/>
          <w:color w:val="auto"/>
          <w:sz w:val="32"/>
          <w:szCs w:val="32"/>
          <w:highlight w:val="none"/>
          <w:lang w:val="en-US" w:eastAsia="zh-CN"/>
        </w:rPr>
        <w:t>0.09万元。</w:t>
      </w:r>
      <w:r>
        <w:rPr>
          <w:rFonts w:hint="eastAsia" w:ascii="仿宋" w:hAnsi="仿宋" w:eastAsia="仿宋"/>
          <w:color w:val="auto"/>
          <w:sz w:val="32"/>
          <w:szCs w:val="32"/>
          <w:highlight w:val="none"/>
        </w:rPr>
        <w:t>决算数与预算数持平</w:t>
      </w:r>
      <w:r>
        <w:rPr>
          <w:rFonts w:hint="eastAsia" w:ascii="仿宋" w:hAnsi="仿宋" w:eastAsia="仿宋"/>
          <w:color w:val="auto"/>
          <w:sz w:val="32"/>
          <w:szCs w:val="32"/>
          <w:highlight w:val="none"/>
          <w:lang w:eastAsia="zh-CN"/>
        </w:rPr>
        <w:t>的原因是科学合理编制预算，严格按照预算数执行</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6" w:name="_Toc15377217"/>
      <w:r>
        <w:rPr>
          <w:rFonts w:hint="eastAsia" w:ascii="仿宋" w:hAnsi="仿宋" w:eastAsia="仿宋"/>
          <w:b/>
          <w:color w:val="auto"/>
          <w:sz w:val="32"/>
          <w:szCs w:val="32"/>
          <w:highlight w:val="none"/>
        </w:rPr>
        <w:t>（二）“三公”经费财政拨款支出决算具体情况说明</w:t>
      </w:r>
      <w:bookmarkEnd w:id="56"/>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5"/>
        <w:keepNext w:val="0"/>
        <w:keepLines w:val="0"/>
        <w:pageBreakBefore w:val="0"/>
        <w:widowControl w:val="0"/>
        <w:kinsoku/>
        <w:wordWrap/>
        <w:overflowPunct/>
        <w:topLinePunct w:val="0"/>
        <w:autoSpaceDE/>
        <w:autoSpaceDN/>
        <w:bidi w:val="0"/>
        <w:adjustRightInd/>
        <w:snapToGrid/>
        <w:spacing w:beforeLines="0"/>
        <w:jc w:val="center"/>
        <w:textAlignment w:val="auto"/>
      </w:pPr>
      <w:r>
        <w:drawing>
          <wp:inline distT="0" distB="0" distL="114300" distR="114300">
            <wp:extent cx="4572000" cy="2743200"/>
            <wp:effectExtent l="4445" t="4445" r="14605" b="1460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pStyle w:val="5"/>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 w:hAnsi="仿宋" w:eastAsia="仿宋"/>
          <w:b/>
          <w:color w:val="auto"/>
          <w:sz w:val="32"/>
          <w:szCs w:val="32"/>
          <w:highlight w:val="none"/>
          <w:lang w:val="en-US" w:eastAsia="zh-CN"/>
        </w:rPr>
        <w:t>年初未安排预算，因公出国</w:t>
      </w:r>
      <w:r>
        <w:rPr>
          <w:rFonts w:hint="eastAsia" w:ascii="仿宋_GB2312" w:eastAsia="仿宋_GB2312"/>
          <w:b/>
          <w:color w:val="auto"/>
          <w:sz w:val="32"/>
          <w:szCs w:val="32"/>
          <w:highlight w:val="none"/>
        </w:rPr>
        <w:t>（境）</w:t>
      </w:r>
      <w:r>
        <w:rPr>
          <w:rFonts w:hint="eastAsia" w:ascii="仿宋" w:hAnsi="仿宋" w:eastAsia="仿宋"/>
          <w:b/>
          <w:color w:val="auto"/>
          <w:sz w:val="32"/>
          <w:szCs w:val="32"/>
          <w:highlight w:val="none"/>
          <w:lang w:val="en-US" w:eastAsia="zh-CN"/>
        </w:rPr>
        <w:t>支出决算</w:t>
      </w:r>
      <w:r>
        <w:rPr>
          <w:rFonts w:hint="eastAsia" w:ascii="仿宋" w:hAnsi="仿宋" w:eastAsia="仿宋"/>
          <w:b/>
          <w:color w:val="000000" w:themeColor="text1"/>
          <w:sz w:val="32"/>
          <w:szCs w:val="32"/>
          <w:highlight w:val="none"/>
          <w:lang w:val="en-US" w:eastAsia="zh-CN"/>
          <w14:textFill>
            <w14:solidFill>
              <w14:schemeClr w14:val="tx1"/>
            </w14:solidFill>
          </w14:textFill>
        </w:rPr>
        <w:t>较2021年</w:t>
      </w:r>
      <w:r>
        <w:rPr>
          <w:rFonts w:hint="eastAsia" w:ascii="仿宋" w:hAnsi="仿宋" w:eastAsia="仿宋"/>
          <w:b/>
          <w:color w:val="auto"/>
          <w:sz w:val="32"/>
          <w:szCs w:val="32"/>
          <w:highlight w:val="none"/>
          <w:lang w:val="en-US" w:eastAsia="zh-CN"/>
        </w:rPr>
        <w:t>无变化</w:t>
      </w:r>
      <w:r>
        <w:rPr>
          <w:rFonts w:hint="eastAsia" w:ascii="仿宋_GB2312" w:eastAsia="仿宋_GB2312"/>
          <w:color w:val="auto"/>
          <w:sz w:val="32"/>
          <w:szCs w:val="32"/>
          <w:highlight w:val="none"/>
        </w:rPr>
        <w:t>。</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万元。公务用车购置及运行维护费支出决算与2021年</w:t>
      </w:r>
      <w:r>
        <w:rPr>
          <w:rFonts w:hint="eastAsia" w:ascii="仿宋_GB2312" w:eastAsia="仿宋_GB2312"/>
          <w:color w:val="auto"/>
          <w:sz w:val="32"/>
          <w:szCs w:val="32"/>
          <w:highlight w:val="none"/>
          <w:lang w:eastAsia="zh-CN"/>
        </w:rPr>
        <w:t>相比</w:t>
      </w:r>
      <w:r>
        <w:rPr>
          <w:rFonts w:hint="eastAsia" w:ascii="仿宋_GB2312" w:eastAsia="仿宋_GB2312"/>
          <w:color w:val="auto"/>
          <w:sz w:val="32"/>
          <w:szCs w:val="32"/>
          <w:highlight w:val="none"/>
        </w:rPr>
        <w:t>无变化。主要原因是单位未购置公务用车。</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rPr>
        <w:t>0万元。全年按规定更新购置公务用车0辆。截至2022年12月底，单位共有公务用车0辆。</w:t>
      </w:r>
    </w:p>
    <w:p>
      <w:pPr>
        <w:spacing w:line="600" w:lineRule="exact"/>
        <w:ind w:firstLine="640"/>
        <w:rPr>
          <w:rFonts w:hint="eastAsia" w:ascii="仿宋_GB2312" w:eastAsia="仿宋_GB2312"/>
          <w:b/>
          <w:color w:val="auto"/>
          <w:sz w:val="32"/>
          <w:szCs w:val="32"/>
          <w:highlight w:val="none"/>
          <w:lang w:val="en-US" w:eastAsia="zh-CN"/>
        </w:rPr>
      </w:pPr>
      <w:r>
        <w:rPr>
          <w:rFonts w:hint="eastAsia" w:ascii="仿宋_GB2312" w:eastAsia="仿宋_GB2312"/>
          <w:color w:val="auto"/>
          <w:sz w:val="32"/>
          <w:szCs w:val="32"/>
          <w:highlight w:val="none"/>
        </w:rPr>
        <w:t>公务用车运行维护费支出0万元</w:t>
      </w:r>
      <w:r>
        <w:rPr>
          <w:rFonts w:hint="eastAsia" w:ascii="仿宋_GB2312" w:eastAsia="仿宋_GB2312"/>
          <w:color w:val="auto"/>
          <w:sz w:val="32"/>
          <w:szCs w:val="32"/>
          <w:highlight w:val="none"/>
          <w:lang w:eastAsia="zh-CN"/>
        </w:rPr>
        <w:t>。</w:t>
      </w:r>
    </w:p>
    <w:p>
      <w:pPr>
        <w:spacing w:line="600" w:lineRule="exact"/>
        <w:ind w:firstLine="640"/>
        <w:rPr>
          <w:rFonts w:hint="eastAsia" w:ascii="仿宋_GB2312" w:eastAsia="仿宋_GB2312"/>
          <w:color w:val="auto"/>
          <w:sz w:val="32"/>
          <w:szCs w:val="32"/>
          <w:highlight w:val="none"/>
          <w:lang w:val="en-US" w:eastAsia="zh-CN"/>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万元。主要</w:t>
      </w:r>
      <w:r>
        <w:rPr>
          <w:rFonts w:hint="eastAsia" w:ascii="仿宋_GB2312" w:eastAsia="仿宋_GB2312"/>
          <w:color w:val="auto"/>
          <w:sz w:val="32"/>
          <w:szCs w:val="32"/>
          <w:highlight w:val="none"/>
          <w:lang w:val="en-US" w:eastAsia="zh-CN"/>
        </w:rPr>
        <w:t>原因是2021年无公务接待支出。其中：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接待南充市计生协学习考察工作的</w:t>
      </w:r>
      <w:r>
        <w:rPr>
          <w:rFonts w:hint="eastAsia" w:ascii="仿宋_GB2312" w:eastAsia="仿宋_GB2312"/>
          <w:color w:val="auto"/>
          <w:sz w:val="32"/>
          <w:szCs w:val="32"/>
          <w:highlight w:val="none"/>
        </w:rPr>
        <w:t>交通费、用餐费等。国内公务接待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人次，共计支出</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南充市计生协学习考察计生协改革、暖心家园建设等工作，接待费用</w:t>
      </w:r>
      <w:r>
        <w:rPr>
          <w:rFonts w:hint="eastAsia" w:ascii="仿宋_GB2312" w:eastAsia="仿宋_GB2312"/>
          <w:color w:val="auto"/>
          <w:sz w:val="32"/>
          <w:szCs w:val="32"/>
          <w:highlight w:val="none"/>
          <w:lang w:val="en-US" w:eastAsia="zh-CN"/>
        </w:rPr>
        <w:t>0.09万元</w:t>
      </w:r>
      <w:r>
        <w:rPr>
          <w:rFonts w:hint="eastAsia" w:ascii="仿宋_GB2312" w:eastAsia="仿宋_GB2312"/>
          <w:color w:val="auto"/>
          <w:sz w:val="32"/>
          <w:szCs w:val="32"/>
          <w:highlight w:val="none"/>
        </w:rPr>
        <w:t>。</w:t>
      </w:r>
    </w:p>
    <w:p>
      <w:pPr>
        <w:spacing w:line="600" w:lineRule="exact"/>
        <w:ind w:firstLine="643"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17"/>
          <w:rFonts w:ascii="黑体" w:hAnsi="黑体" w:eastAsia="黑体"/>
          <w:color w:val="auto"/>
          <w:highlight w:val="none"/>
        </w:rPr>
      </w:pPr>
      <w:bookmarkStart w:id="57" w:name="_Toc15396610"/>
      <w:bookmarkStart w:id="58" w:name="_Toc15377218"/>
      <w:bookmarkStart w:id="59" w:name="_Toc32130"/>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5"/>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lang w:val="en-US" w:eastAsia="zh-CN"/>
        </w:rPr>
      </w:pPr>
      <w:r>
        <w:rPr>
          <w:rFonts w:hint="eastAsia"/>
          <w:color w:val="auto"/>
          <w:sz w:val="32"/>
          <w:szCs w:val="32"/>
          <w:highlight w:val="none"/>
          <w:lang w:val="en-US" w:eastAsia="zh-CN"/>
        </w:rPr>
        <w:t>2022年本单位未在政府性基金预算拨款安排“三公经费”支出。</w:t>
      </w:r>
    </w:p>
    <w:p>
      <w:pPr>
        <w:numPr>
          <w:ilvl w:val="0"/>
          <w:numId w:val="3"/>
        </w:numPr>
        <w:spacing w:line="600" w:lineRule="exact"/>
        <w:ind w:firstLine="640"/>
        <w:outlineLvl w:val="1"/>
        <w:rPr>
          <w:rStyle w:val="17"/>
          <w:rFonts w:ascii="黑体" w:hAnsi="黑体" w:eastAsia="黑体"/>
          <w:b w:val="0"/>
          <w:color w:val="auto"/>
          <w:highlight w:val="none"/>
        </w:rPr>
      </w:pPr>
      <w:bookmarkStart w:id="60" w:name="_Toc15396611"/>
      <w:bookmarkStart w:id="61" w:name="_Toc15377219"/>
      <w:bookmarkStart w:id="62" w:name="_Toc26201"/>
      <w:r>
        <w:rPr>
          <w:rStyle w:val="17"/>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7"/>
          <w:rFonts w:hint="eastAsia" w:ascii="黑体" w:hAnsi="黑体" w:eastAsia="黑体"/>
          <w:b w:val="0"/>
          <w:color w:val="auto"/>
          <w:highlight w:val="none"/>
        </w:rPr>
      </w:pPr>
      <w:bookmarkStart w:id="63" w:name="_Toc15396612"/>
      <w:bookmarkStart w:id="64" w:name="_Toc15377221"/>
      <w:bookmarkStart w:id="65" w:name="_Toc13531"/>
      <w:r>
        <w:rPr>
          <w:rStyle w:val="17"/>
          <w:rFonts w:hint="eastAsia" w:ascii="黑体" w:hAnsi="黑体" w:eastAsia="黑体"/>
          <w:b w:val="0"/>
          <w:color w:val="auto"/>
          <w:highlight w:val="none"/>
        </w:rPr>
        <w:t>其他重要事项的情况说明</w:t>
      </w:r>
      <w:bookmarkEnd w:id="63"/>
      <w:bookmarkEnd w:id="64"/>
      <w:bookmarkEnd w:id="65"/>
    </w:p>
    <w:p>
      <w:pPr>
        <w:spacing w:line="600" w:lineRule="exact"/>
        <w:ind w:firstLine="643"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 w:hAnsi="仿宋" w:eastAsia="仿宋"/>
          <w:color w:val="000000"/>
          <w:sz w:val="32"/>
          <w:szCs w:val="32"/>
        </w:rPr>
        <w:t>广元市计划生育协会</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11.78</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0.27</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2.35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机关人数增加，</w:t>
      </w:r>
      <w:r>
        <w:rPr>
          <w:rFonts w:hint="eastAsia" w:ascii="仿宋_GB2312" w:eastAsia="仿宋_GB2312"/>
          <w:color w:val="auto"/>
          <w:sz w:val="32"/>
          <w:szCs w:val="32"/>
          <w:highlight w:val="none"/>
          <w:lang w:val="en-US" w:eastAsia="zh-CN"/>
        </w:rPr>
        <w:t>2021年8人在岗，2022年9人在岗。</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7" w:name="_Toc15377223"/>
      <w:r>
        <w:rPr>
          <w:rFonts w:hint="eastAsia" w:ascii="仿宋" w:hAnsi="仿宋" w:eastAsia="仿宋"/>
          <w:b/>
          <w:color w:val="auto"/>
          <w:sz w:val="32"/>
          <w:szCs w:val="32"/>
          <w:highlight w:val="none"/>
        </w:rPr>
        <w:t>（二）政府采购支出情况</w:t>
      </w:r>
      <w:bookmarkEnd w:id="6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 w:hAnsi="仿宋" w:eastAsia="仿宋"/>
          <w:color w:val="000000"/>
          <w:sz w:val="32"/>
          <w:szCs w:val="32"/>
        </w:rPr>
        <w:t>广元市计划生育协会</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8" w:name="_Toc15377224"/>
      <w:r>
        <w:rPr>
          <w:rFonts w:hint="eastAsia" w:ascii="仿宋" w:hAnsi="仿宋" w:eastAsia="仿宋"/>
          <w:b/>
          <w:color w:val="auto"/>
          <w:sz w:val="32"/>
          <w:szCs w:val="32"/>
          <w:highlight w:val="none"/>
        </w:rPr>
        <w:t>（三）国有资产占有使用情况</w:t>
      </w:r>
      <w:bookmarkEnd w:id="68"/>
    </w:p>
    <w:p>
      <w:pPr>
        <w:autoSpaceDE w:val="0"/>
        <w:autoSpaceDN w:val="0"/>
        <w:adjustRightInd w:val="0"/>
        <w:spacing w:line="600" w:lineRule="exact"/>
        <w:ind w:firstLine="640" w:firstLineChars="200"/>
        <w:jc w:val="left"/>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广元市计划生育协会</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单价</w:t>
      </w:r>
      <w:r>
        <w:rPr>
          <w:rFonts w:hint="eastAsia" w:ascii="仿宋_GB2312" w:eastAsia="仿宋_GB2312"/>
          <w:color w:val="auto"/>
          <w:sz w:val="32"/>
          <w:szCs w:val="32"/>
          <w:highlight w:val="none"/>
          <w:lang w:val="en-US" w:eastAsia="zh-CN"/>
        </w:rPr>
        <w:t>100万以上专用设备0台。</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5"/>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根据预算绩效管理要求，本单位在202</w:t>
      </w:r>
      <w:r>
        <w:rPr>
          <w:rFonts w:hint="eastAsia" w:hAnsi="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年度预算编制阶段，对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部门整体支出绩效</w:t>
      </w:r>
      <w:r>
        <w:rPr>
          <w:rFonts w:hint="eastAsia" w:ascii="仿宋_GB2312" w:hAnsi="仿宋_GB2312" w:eastAsia="仿宋_GB2312" w:cs="仿宋_GB2312"/>
          <w:color w:val="000000" w:themeColor="text1"/>
          <w:sz w:val="32"/>
          <w:szCs w:val="32"/>
          <w:highlight w:val="none"/>
          <w14:textFill>
            <w14:solidFill>
              <w14:schemeClr w14:val="tx1"/>
            </w14:solidFill>
          </w14:textFill>
        </w:rPr>
        <w:t>开展了预算事前绩效评估，编制了绩效目标，预算执行过程中开展绩效监控，组织对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部门整体支出绩效</w:t>
      </w:r>
      <w:r>
        <w:rPr>
          <w:rFonts w:hint="eastAsia" w:ascii="仿宋_GB2312" w:hAnsi="仿宋_GB2312" w:eastAsia="仿宋_GB2312" w:cs="仿宋_GB2312"/>
          <w:color w:val="000000" w:themeColor="text1"/>
          <w:sz w:val="32"/>
          <w:szCs w:val="32"/>
          <w:highlight w:val="none"/>
          <w14:textFill>
            <w14:solidFill>
              <w14:schemeClr w14:val="tx1"/>
            </w14:solidFill>
          </w14:textFill>
        </w:rPr>
        <w:t>开展绩效自评，绩效自评表详见</w:t>
      </w:r>
      <w:r>
        <w:rPr>
          <w:rFonts w:hint="eastAsia" w:hAnsi="仿宋_GB2312" w:cs="仿宋_GB2312"/>
          <w:color w:val="000000" w:themeColor="text1"/>
          <w:sz w:val="32"/>
          <w:szCs w:val="32"/>
          <w:highlight w:val="none"/>
          <w:lang w:eastAsia="zh-CN"/>
          <w14:textFill>
            <w14:solidFill>
              <w14:schemeClr w14:val="tx1"/>
            </w14:solidFill>
          </w14:textFill>
        </w:rPr>
        <w:t>第四部分</w:t>
      </w:r>
      <w:r>
        <w:rPr>
          <w:rFonts w:hint="eastAsia" w:ascii="仿宋_GB2312" w:hAnsi="仿宋_GB2312" w:eastAsia="仿宋_GB2312" w:cs="仿宋_GB2312"/>
          <w:color w:val="000000" w:themeColor="text1"/>
          <w:sz w:val="32"/>
          <w:szCs w:val="32"/>
          <w:highlight w:val="none"/>
          <w14:textFill>
            <w14:solidFill>
              <w14:schemeClr w14:val="tx1"/>
            </w14:solidFill>
          </w14:textFill>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6"/>
          <w:rFonts w:ascii="黑体" w:hAnsi="黑体" w:eastAsia="黑体"/>
          <w:b w:val="0"/>
          <w:color w:val="auto"/>
          <w:highlight w:val="none"/>
        </w:rPr>
      </w:pPr>
      <w:bookmarkStart w:id="69" w:name="_Toc15377225"/>
      <w:bookmarkStart w:id="70" w:name="_Toc15396613"/>
      <w:bookmarkStart w:id="71" w:name="_Toc624"/>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69"/>
      <w:bookmarkEnd w:id="70"/>
      <w:bookmarkEnd w:id="71"/>
    </w:p>
    <w:p>
      <w:pPr>
        <w:spacing w:line="600" w:lineRule="exact"/>
        <w:jc w:val="left"/>
        <w:rPr>
          <w:rFonts w:ascii="宋体"/>
          <w:b/>
          <w:color w:val="auto"/>
          <w:sz w:val="44"/>
          <w:szCs w:val="44"/>
          <w:highlight w:val="none"/>
        </w:rPr>
      </w:pPr>
    </w:p>
    <w:p>
      <w:pPr>
        <w:pStyle w:val="25"/>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5"/>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hAnsi="仿宋_GB2312" w:eastAsia="仿宋_GB2312" w:cs="仿宋_GB2312"/>
          <w:color w:val="auto"/>
          <w:kern w:val="2"/>
          <w:sz w:val="32"/>
          <w:szCs w:val="32"/>
        </w:rPr>
        <w:t>银行利息收入、上级补助收入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5"/>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年末结转和结余：指单位按有关规定结转到下年或以后年度继续使用的资金。</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5.社会保障和就业支出（类）行政事业单位养老支出（款）机关事业单位基本养老保险缴费支出（项）2080505：指反映机关事业单位实施养老保险制度由单位缴纳的基本养老保险费支出。</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6.社会保障和就业</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行政事业单位养老支出（款）机关事业单位</w:t>
      </w:r>
      <w:r>
        <w:rPr>
          <w:rFonts w:hint="eastAsia" w:ascii="仿宋_GB2312" w:eastAsia="仿宋_GB2312"/>
          <w:color w:val="auto"/>
          <w:sz w:val="32"/>
          <w:szCs w:val="32"/>
          <w:highlight w:val="none"/>
          <w:lang w:eastAsia="zh-CN"/>
        </w:rPr>
        <w:t>职业年金</w:t>
      </w:r>
      <w:r>
        <w:rPr>
          <w:rFonts w:hint="eastAsia" w:ascii="仿宋_GB2312" w:eastAsia="仿宋_GB2312"/>
          <w:color w:val="auto"/>
          <w:sz w:val="32"/>
          <w:szCs w:val="32"/>
          <w:highlight w:val="none"/>
        </w:rPr>
        <w:t>缴费支出（项）208050</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：指反映机关事业单位实施养老保险制度由单位</w:t>
      </w:r>
      <w:r>
        <w:rPr>
          <w:rFonts w:hint="eastAsia" w:ascii="仿宋_GB2312" w:eastAsia="仿宋_GB2312"/>
          <w:color w:val="auto"/>
          <w:sz w:val="32"/>
          <w:szCs w:val="32"/>
          <w:highlight w:val="none"/>
          <w:lang w:eastAsia="zh-CN"/>
        </w:rPr>
        <w:t>实际</w:t>
      </w:r>
      <w:r>
        <w:rPr>
          <w:rFonts w:hint="eastAsia" w:ascii="仿宋_GB2312" w:eastAsia="仿宋_GB2312"/>
          <w:color w:val="auto"/>
          <w:sz w:val="32"/>
          <w:szCs w:val="32"/>
          <w:highlight w:val="none"/>
        </w:rPr>
        <w:t>缴纳的</w:t>
      </w:r>
      <w:r>
        <w:rPr>
          <w:rFonts w:hint="eastAsia" w:ascii="仿宋_GB2312" w:eastAsia="仿宋_GB2312"/>
          <w:color w:val="auto"/>
          <w:sz w:val="32"/>
          <w:szCs w:val="32"/>
          <w:highlight w:val="none"/>
          <w:lang w:eastAsia="zh-CN"/>
        </w:rPr>
        <w:t>职业年金</w:t>
      </w:r>
      <w:r>
        <w:rPr>
          <w:rFonts w:hint="eastAsia" w:ascii="仿宋_GB2312" w:eastAsia="仿宋_GB2312"/>
          <w:color w:val="auto"/>
          <w:sz w:val="32"/>
          <w:szCs w:val="32"/>
          <w:highlight w:val="none"/>
        </w:rPr>
        <w:t>支出。</w:t>
      </w:r>
    </w:p>
    <w:p>
      <w:pPr>
        <w:pStyle w:val="25"/>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7.卫生健康支出（类）</w:t>
      </w:r>
      <w:r>
        <w:rPr>
          <w:rFonts w:hint="eastAsia" w:ascii="仿宋_GB2312" w:eastAsia="仿宋_GB2312"/>
          <w:color w:val="auto"/>
          <w:sz w:val="32"/>
          <w:szCs w:val="32"/>
          <w:highlight w:val="none"/>
          <w:lang w:eastAsia="zh-CN"/>
        </w:rPr>
        <w:t>卫生健康管理事务</w:t>
      </w:r>
      <w:r>
        <w:rPr>
          <w:rFonts w:hint="eastAsia" w:ascii="仿宋_GB2312" w:eastAsia="仿宋_GB2312"/>
          <w:color w:val="auto"/>
          <w:sz w:val="32"/>
          <w:szCs w:val="32"/>
          <w:highlight w:val="none"/>
        </w:rPr>
        <w:t>（款）其他</w:t>
      </w:r>
      <w:r>
        <w:rPr>
          <w:rFonts w:hint="eastAsia" w:ascii="仿宋_GB2312" w:eastAsia="仿宋_GB2312"/>
          <w:color w:val="auto"/>
          <w:sz w:val="32"/>
          <w:szCs w:val="32"/>
          <w:highlight w:val="none"/>
          <w:lang w:eastAsia="zh-CN"/>
        </w:rPr>
        <w:t>卫生健康管理</w:t>
      </w:r>
      <w:r>
        <w:rPr>
          <w:rFonts w:hint="eastAsia" w:ascii="仿宋_GB2312" w:eastAsia="仿宋_GB2312"/>
          <w:color w:val="auto"/>
          <w:sz w:val="32"/>
          <w:szCs w:val="32"/>
          <w:highlight w:val="none"/>
        </w:rPr>
        <w:t>事务支出（项）2100</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99：指反映除上述项目以外其他用于</w:t>
      </w:r>
      <w:r>
        <w:rPr>
          <w:rFonts w:hint="eastAsia" w:ascii="仿宋_GB2312" w:eastAsia="仿宋_GB2312"/>
          <w:color w:val="auto"/>
          <w:sz w:val="32"/>
          <w:szCs w:val="32"/>
          <w:highlight w:val="none"/>
          <w:lang w:eastAsia="zh-CN"/>
        </w:rPr>
        <w:t>卫生健康</w:t>
      </w:r>
      <w:r>
        <w:rPr>
          <w:rFonts w:hint="eastAsia" w:ascii="仿宋_GB2312" w:eastAsia="仿宋_GB2312"/>
          <w:color w:val="auto"/>
          <w:sz w:val="32"/>
          <w:szCs w:val="32"/>
          <w:highlight w:val="none"/>
        </w:rPr>
        <w:t>管理事务方面的支出</w:t>
      </w:r>
      <w:r>
        <w:rPr>
          <w:rFonts w:hint="eastAsia" w:ascii="仿宋_GB2312" w:eastAsia="仿宋_GB2312"/>
          <w:color w:val="auto"/>
          <w:sz w:val="32"/>
          <w:szCs w:val="32"/>
          <w:highlight w:val="none"/>
          <w:lang w:eastAsia="zh-CN"/>
        </w:rPr>
        <w:t>。</w:t>
      </w:r>
    </w:p>
    <w:p>
      <w:pPr>
        <w:pStyle w:val="25"/>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卫生健康支出（类）</w:t>
      </w:r>
      <w:r>
        <w:rPr>
          <w:rFonts w:hint="eastAsia" w:ascii="仿宋_GB2312" w:eastAsia="仿宋_GB2312"/>
          <w:color w:val="auto"/>
          <w:sz w:val="32"/>
          <w:szCs w:val="32"/>
          <w:highlight w:val="none"/>
          <w:lang w:eastAsia="zh-CN"/>
        </w:rPr>
        <w:t>计划生育事务</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eastAsia="zh-CN"/>
        </w:rPr>
        <w:t>计划生育机构</w:t>
      </w:r>
      <w:r>
        <w:rPr>
          <w:rFonts w:hint="eastAsia" w:ascii="仿宋_GB2312" w:eastAsia="仿宋_GB2312"/>
          <w:color w:val="auto"/>
          <w:sz w:val="32"/>
          <w:szCs w:val="32"/>
          <w:highlight w:val="none"/>
        </w:rPr>
        <w:t>（项）2100</w:t>
      </w:r>
      <w:r>
        <w:rPr>
          <w:rFonts w:hint="eastAsia" w:ascii="仿宋_GB2312" w:eastAsia="仿宋_GB2312"/>
          <w:color w:val="auto"/>
          <w:sz w:val="32"/>
          <w:szCs w:val="32"/>
          <w:highlight w:val="none"/>
          <w:lang w:val="en-US" w:eastAsia="zh-CN"/>
        </w:rPr>
        <w:t>716</w:t>
      </w:r>
      <w:r>
        <w:rPr>
          <w:rFonts w:hint="eastAsia" w:ascii="仿宋_GB2312" w:eastAsia="仿宋_GB2312"/>
          <w:color w:val="auto"/>
          <w:sz w:val="32"/>
          <w:szCs w:val="32"/>
          <w:highlight w:val="none"/>
        </w:rPr>
        <w:t>：指反映</w:t>
      </w:r>
      <w:r>
        <w:rPr>
          <w:rFonts w:hint="eastAsia" w:ascii="仿宋_GB2312" w:eastAsia="仿宋_GB2312"/>
          <w:color w:val="auto"/>
          <w:sz w:val="32"/>
          <w:szCs w:val="32"/>
          <w:highlight w:val="none"/>
          <w:lang w:eastAsia="zh-CN"/>
        </w:rPr>
        <w:t>卫生健康部门所属计划生育机构</w:t>
      </w:r>
      <w:r>
        <w:rPr>
          <w:rFonts w:hint="eastAsia" w:ascii="仿宋_GB2312" w:eastAsia="仿宋_GB2312"/>
          <w:color w:val="auto"/>
          <w:sz w:val="32"/>
          <w:szCs w:val="32"/>
          <w:highlight w:val="none"/>
        </w:rPr>
        <w:t>的支出</w:t>
      </w:r>
      <w:r>
        <w:rPr>
          <w:rFonts w:hint="eastAsia" w:ascii="仿宋_GB2312" w:eastAsia="仿宋_GB2312"/>
          <w:color w:val="auto"/>
          <w:sz w:val="32"/>
          <w:szCs w:val="32"/>
          <w:highlight w:val="none"/>
          <w:lang w:eastAsia="zh-CN"/>
        </w:rPr>
        <w:t>。</w:t>
      </w:r>
    </w:p>
    <w:p>
      <w:pPr>
        <w:pStyle w:val="25"/>
        <w:spacing w:line="560" w:lineRule="exact"/>
        <w:ind w:firstLine="640" w:firstLineChars="200"/>
        <w:rPr>
          <w:rFonts w:hint="eastAsia" w:ascii="仿宋_GB2312" w:eastAsia="仿宋_GB2312"/>
          <w:color w:val="auto"/>
          <w:sz w:val="32"/>
          <w:szCs w:val="32"/>
          <w:highlight w:val="none"/>
          <w:lang w:eastAsia="zh-CN"/>
        </w:rPr>
      </w:pP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卫生健康支出（类）计划生育事务（款）其他计划生育事务支出（项）2100799：指反映除上述项目以外其他用于计划生育管理事务方面的支出。</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卫生健康支出（类）行政事业单位医疗（款）事业单位医疗（项）2101102：指反映财政部门安排的事业单位基本医疗保险缴费经费，未参加医疗保险的事业单位的公费医疗经费，按国家规定享受离休人员待遇的医疗经费。</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.住房保障支出（类）住房改革支出（款）住房公积金（项）2210201：指反映行政事业单位按人力资源和社会保障部、财政部规定的基本工资和津贴补贴以及规定比例为职工缴纳的住房公积金。</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.基本支出：指为保障机构正常运转、完成日常工作任务而发生的人员支出和公用支出。</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.项目支出：指在基本支出之外为完成特定行政任务和事业发展目标所发生的支出。</w:t>
      </w:r>
    </w:p>
    <w:p>
      <w:pPr>
        <w:pStyle w:val="25"/>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72" w:name="_Toc15377226"/>
    </w:p>
    <w:p>
      <w:pPr>
        <w:pStyle w:val="25"/>
        <w:spacing w:line="560" w:lineRule="exact"/>
        <w:ind w:firstLine="640" w:firstLineChars="200"/>
        <w:jc w:val="center"/>
        <w:rPr>
          <w:rStyle w:val="16"/>
          <w:rFonts w:hint="eastAsia" w:ascii="黑体" w:hAnsi="黑体" w:eastAsia="黑体"/>
          <w:b w:val="0"/>
          <w:color w:val="auto"/>
          <w:highlight w:val="none"/>
        </w:rPr>
      </w:pPr>
      <w:r>
        <w:rPr>
          <w:rFonts w:hint="eastAsia" w:ascii="仿宋_GB2312" w:eastAsia="仿宋_GB2312"/>
          <w:color w:val="auto"/>
          <w:sz w:val="32"/>
          <w:szCs w:val="32"/>
          <w:highlight w:val="none"/>
        </w:rPr>
        <w:br w:type="page"/>
      </w:r>
      <w:bookmarkStart w:id="73" w:name="_Toc15396614"/>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73"/>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660"/>
        <w:gridCol w:w="355"/>
        <w:gridCol w:w="318"/>
        <w:gridCol w:w="512"/>
        <w:gridCol w:w="1131"/>
        <w:gridCol w:w="396"/>
        <w:gridCol w:w="212"/>
        <w:gridCol w:w="567"/>
        <w:gridCol w:w="418"/>
        <w:gridCol w:w="871"/>
        <w:gridCol w:w="577"/>
        <w:gridCol w:w="577"/>
        <w:gridCol w:w="1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黑体" w:hAnsi="宋体" w:eastAsia="黑体" w:cs="黑体"/>
                <w:b/>
                <w:bCs/>
                <w:i w:val="0"/>
                <w:iCs w:val="0"/>
                <w:color w:val="000000"/>
                <w:sz w:val="30"/>
                <w:szCs w:val="30"/>
                <w:u w:val="none"/>
              </w:rPr>
            </w:pPr>
            <w:bookmarkStart w:id="74"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65"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5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578" w:type="pct"/>
            <w:gridSpan w:val="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实施单位 </w:t>
            </w:r>
          </w:p>
        </w:tc>
        <w:tc>
          <w:tcPr>
            <w:tcW w:w="19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9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0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项目年度目标</w:t>
            </w:r>
          </w:p>
        </w:tc>
        <w:tc>
          <w:tcPr>
            <w:tcW w:w="19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59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20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9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严格按照年度目标执行，工资及时发放到位</w:t>
            </w:r>
            <w:r>
              <w:rPr>
                <w:rFonts w:hint="eastAsia" w:ascii="宋体" w:hAnsi="宋体" w:cs="宋体"/>
                <w:i w:val="0"/>
                <w:iCs w:val="0"/>
                <w:color w:val="000000"/>
                <w:kern w:val="0"/>
                <w:sz w:val="18"/>
                <w:szCs w:val="18"/>
                <w:u w:val="none"/>
                <w:lang w:val="en-US" w:eastAsia="zh-CN" w:bidi="ar"/>
              </w:rPr>
              <w:t>，无结余资金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65"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每月工资及时发放到位，无结余资金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108.07</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144.81</w:t>
            </w:r>
          </w:p>
        </w:tc>
        <w:tc>
          <w:tcPr>
            <w:tcW w:w="9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144.81</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108.07</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144.81</w:t>
            </w:r>
          </w:p>
        </w:tc>
        <w:tc>
          <w:tcPr>
            <w:tcW w:w="9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144.81</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9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9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39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9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3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3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严格按照年度目标执行，工资及时发放到位</w:t>
            </w:r>
            <w:r>
              <w:rPr>
                <w:rFonts w:hint="eastAsia" w:ascii="宋体" w:hAnsi="宋体" w:cs="宋体"/>
                <w:i w:val="0"/>
                <w:iCs w:val="0"/>
                <w:color w:val="000000"/>
                <w:kern w:val="0"/>
                <w:sz w:val="18"/>
                <w:szCs w:val="18"/>
                <w:u w:val="none"/>
                <w:lang w:val="en-US" w:eastAsia="zh-CN" w:bidi="ar"/>
              </w:rPr>
              <w:t>，无结余资金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7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项目负责人：李万明</w:t>
            </w:r>
          </w:p>
        </w:tc>
        <w:tc>
          <w:tcPr>
            <w:tcW w:w="22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财务负责人：王波</w:t>
            </w:r>
          </w:p>
        </w:tc>
      </w:tr>
    </w:tbl>
    <w:p>
      <w:pPr>
        <w:spacing w:line="600" w:lineRule="exact"/>
        <w:jc w:val="center"/>
        <w:outlineLvl w:val="9"/>
        <w:rPr>
          <w:rFonts w:hint="eastAsia" w:ascii="黑体" w:hAnsi="黑体" w:eastAsia="黑体"/>
          <w:color w:val="auto"/>
          <w:sz w:val="44"/>
          <w:szCs w:val="44"/>
          <w:highlight w:val="none"/>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66"/>
        <w:gridCol w:w="996"/>
        <w:gridCol w:w="1079"/>
        <w:gridCol w:w="396"/>
        <w:gridCol w:w="95"/>
        <w:gridCol w:w="725"/>
        <w:gridCol w:w="396"/>
        <w:gridCol w:w="846"/>
        <w:gridCol w:w="486"/>
        <w:gridCol w:w="486"/>
        <w:gridCol w:w="13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53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65"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实施单位 </w:t>
            </w:r>
          </w:p>
        </w:tc>
        <w:tc>
          <w:tcPr>
            <w:tcW w:w="183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3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9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eastAsia="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预算编制科学合理，减少结余资金</w:t>
            </w:r>
          </w:p>
        </w:tc>
        <w:tc>
          <w:tcPr>
            <w:tcW w:w="183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严格执行相关政策，无结余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严格执行相关政策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w:t>
            </w:r>
          </w:p>
        </w:tc>
        <w:tc>
          <w:tcPr>
            <w:tcW w:w="9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w:t>
            </w:r>
          </w:p>
        </w:tc>
        <w:tc>
          <w:tcPr>
            <w:tcW w:w="9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科目调整次数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4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次</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90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90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eastAsia="宋体" w:cs="宋体"/>
                <w:i w:val="0"/>
                <w:iCs w:val="0"/>
                <w:color w:val="000000"/>
                <w:kern w:val="0"/>
                <w:sz w:val="18"/>
                <w:szCs w:val="18"/>
                <w:u w:val="none"/>
                <w:lang w:val="en-US" w:eastAsia="zh-CN" w:bidi="ar"/>
              </w:rPr>
              <w:t>政策执行较好，年度无结余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项目负责人：李万明</w:t>
            </w:r>
          </w:p>
        </w:tc>
        <w:tc>
          <w:tcPr>
            <w:tcW w:w="256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财务负责人：王波</w:t>
            </w:r>
          </w:p>
        </w:tc>
      </w:tr>
    </w:tbl>
    <w:p>
      <w:pPr>
        <w:pStyle w:val="5"/>
        <w:rPr>
          <w:rFonts w:hint="eastAsia"/>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tbl>
      <w:tblPr>
        <w:tblStyle w:val="12"/>
        <w:tblW w:w="500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24"/>
        <w:gridCol w:w="870"/>
        <w:gridCol w:w="1150"/>
        <w:gridCol w:w="396"/>
        <w:gridCol w:w="783"/>
        <w:gridCol w:w="396"/>
        <w:gridCol w:w="846"/>
        <w:gridCol w:w="236"/>
        <w:gridCol w:w="341"/>
        <w:gridCol w:w="577"/>
        <w:gridCol w:w="1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6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5"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3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9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eastAsia="zh-CN"/>
              </w:rPr>
            </w:pPr>
            <w:r>
              <w:rPr>
                <w:rFonts w:hint="eastAsia" w:ascii="宋体" w:hAnsi="宋体" w:eastAsia="宋体" w:cs="宋体"/>
                <w:i w:val="0"/>
                <w:iCs w:val="0"/>
                <w:color w:val="000000"/>
                <w:kern w:val="0"/>
                <w:sz w:val="18"/>
                <w:szCs w:val="18"/>
                <w:u w:val="none"/>
                <w:lang w:val="en-US" w:eastAsia="zh-CN" w:bidi="ar"/>
              </w:rPr>
              <w:t>及时、足额发放，无结余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6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每次及时、足额发放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4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iCs/>
                <w:color w:val="000000"/>
                <w:sz w:val="16"/>
                <w:szCs w:val="16"/>
                <w:u w:val="none"/>
                <w:lang w:eastAsia="zh-CN"/>
              </w:rPr>
            </w:pPr>
            <w:r>
              <w:rPr>
                <w:rFonts w:hint="eastAsia" w:ascii="宋体" w:hAnsi="宋体" w:eastAsia="宋体" w:cs="宋体"/>
                <w:i w:val="0"/>
                <w:iCs w:val="0"/>
                <w:color w:val="000000"/>
                <w:sz w:val="18"/>
                <w:szCs w:val="18"/>
                <w:u w:val="none"/>
                <w:lang w:eastAsia="zh-CN"/>
              </w:rPr>
              <w:t>预算编制合理，执行较好，退休费用及时足额支出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项目负责人：李万明</w:t>
            </w:r>
          </w:p>
        </w:tc>
        <w:tc>
          <w:tcPr>
            <w:tcW w:w="264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财务负责人：王波</w:t>
            </w:r>
          </w:p>
        </w:tc>
      </w:tr>
    </w:tbl>
    <w:p>
      <w:pPr>
        <w:spacing w:line="600" w:lineRule="exact"/>
        <w:jc w:val="both"/>
        <w:outlineLvl w:val="9"/>
        <w:rPr>
          <w:rFonts w:hint="eastAsia" w:ascii="黑体" w:hAnsi="黑体" w:eastAsia="黑体"/>
          <w:color w:val="auto"/>
          <w:sz w:val="44"/>
          <w:szCs w:val="44"/>
          <w:highlight w:val="none"/>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3"/>
        <w:gridCol w:w="941"/>
        <w:gridCol w:w="891"/>
        <w:gridCol w:w="1185"/>
        <w:gridCol w:w="397"/>
        <w:gridCol w:w="833"/>
        <w:gridCol w:w="397"/>
        <w:gridCol w:w="842"/>
        <w:gridCol w:w="128"/>
        <w:gridCol w:w="453"/>
        <w:gridCol w:w="590"/>
        <w:gridCol w:w="11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569" w:type="pct"/>
            <w:gridSpan w:val="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29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eastAsia="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预算编制科学合理，减少结余资金</w:t>
            </w:r>
          </w:p>
        </w:tc>
        <w:tc>
          <w:tcPr>
            <w:tcW w:w="18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val="0"/>
                <w:iCs w:val="0"/>
                <w:color w:val="000000"/>
                <w:sz w:val="18"/>
                <w:szCs w:val="18"/>
                <w:u w:val="none"/>
                <w:lang w:eastAsia="zh-CN"/>
              </w:rPr>
            </w:pPr>
            <w:r>
              <w:rPr>
                <w:rFonts w:hint="eastAsia" w:ascii="宋体" w:hAnsi="宋体" w:eastAsia="宋体" w:cs="宋体"/>
                <w:i w:val="0"/>
                <w:iCs w:val="0"/>
                <w:color w:val="000000"/>
                <w:kern w:val="0"/>
                <w:sz w:val="18"/>
                <w:szCs w:val="18"/>
                <w:u w:val="none"/>
                <w:lang w:val="en-US" w:eastAsia="zh-CN" w:bidi="ar"/>
              </w:rPr>
              <w:t>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严格把握政策，资金执行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0.92</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0.92</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0.92</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0.92</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0.92</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0.92</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绩效指标（90分）</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一级指标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二级指标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指标性质</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度量单位</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完成值</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权重</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得分</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sz w:val="18"/>
                <w:szCs w:val="18"/>
                <w:u w:val="none"/>
              </w:rPr>
            </w:pPr>
          </w:p>
        </w:tc>
        <w:tc>
          <w:tcPr>
            <w:tcW w:w="5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产出指标</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数量指标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次</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kern w:val="0"/>
                <w:sz w:val="18"/>
                <w:szCs w:val="18"/>
                <w:u w:val="none"/>
                <w:lang w:val="en-US" w:eastAsia="zh-CN" w:bidi="ar"/>
              </w:rPr>
            </w:pPr>
            <w:r>
              <w:rPr>
                <w:rFonts w:hint="eastAsia" w:ascii="宋体" w:hAnsi="宋体" w:eastAsia="宋体" w:cs="宋体"/>
                <w:i w:val="0"/>
                <w:iCs w:val="0"/>
                <w:color w:val="000000"/>
                <w:spacing w:val="-11"/>
                <w:kern w:val="0"/>
                <w:sz w:val="18"/>
                <w:szCs w:val="18"/>
                <w:u w:val="none"/>
                <w:lang w:val="en-US" w:eastAsia="zh-CN" w:bidi="ar"/>
              </w:rPr>
              <w:t>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22.5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pacing w:val="-11"/>
                <w:sz w:val="18"/>
                <w:szCs w:val="18"/>
                <w:u w:val="none"/>
                <w:lang w:val="en-US" w:eastAsia="zh-CN"/>
              </w:rPr>
            </w:pPr>
            <w:r>
              <w:rPr>
                <w:rFonts w:hint="eastAsia" w:ascii="宋体" w:hAnsi="宋体" w:eastAsia="宋体" w:cs="宋体"/>
                <w:i w:val="0"/>
                <w:iCs w:val="0"/>
                <w:color w:val="000000"/>
                <w:spacing w:val="-11"/>
                <w:sz w:val="18"/>
                <w:szCs w:val="18"/>
                <w:u w:val="none"/>
                <w:lang w:val="en-US" w:eastAsia="zh-CN"/>
              </w:rPr>
              <w:t>22.5</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pacing w:val="-11"/>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sz w:val="18"/>
                <w:szCs w:val="18"/>
                <w:u w:val="none"/>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足额保障率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pacing w:val="-11"/>
                <w:kern w:val="0"/>
                <w:sz w:val="18"/>
                <w:szCs w:val="18"/>
                <w:u w:val="none"/>
                <w:lang w:val="en-US" w:eastAsia="zh-CN" w:bidi="ar"/>
              </w:rPr>
            </w:pPr>
            <w:r>
              <w:rPr>
                <w:rFonts w:hint="eastAsia" w:ascii="宋体" w:hAnsi="宋体" w:eastAsia="宋体" w:cs="宋体"/>
                <w:i w:val="0"/>
                <w:iCs w:val="0"/>
                <w:color w:val="000000"/>
                <w:spacing w:val="-11"/>
                <w:kern w:val="0"/>
                <w:sz w:val="18"/>
                <w:szCs w:val="18"/>
                <w:u w:val="none"/>
                <w:lang w:val="en-US" w:eastAsia="zh-CN" w:bidi="ar"/>
              </w:rPr>
              <w:t>100%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22.5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pacing w:val="-11"/>
                <w:sz w:val="18"/>
                <w:szCs w:val="18"/>
                <w:u w:val="none"/>
                <w:lang w:val="en-US" w:eastAsia="zh-CN"/>
              </w:rPr>
            </w:pPr>
            <w:r>
              <w:rPr>
                <w:rFonts w:hint="eastAsia" w:ascii="宋体" w:hAnsi="宋体" w:eastAsia="宋体" w:cs="宋体"/>
                <w:i w:val="0"/>
                <w:iCs w:val="0"/>
                <w:color w:val="000000"/>
                <w:spacing w:val="-11"/>
                <w:sz w:val="18"/>
                <w:szCs w:val="18"/>
                <w:u w:val="none"/>
                <w:lang w:val="en-US" w:eastAsia="zh-CN"/>
              </w:rPr>
              <w:t>22.5</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pacing w:val="-11"/>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sz w:val="18"/>
                <w:szCs w:val="18"/>
                <w:u w:val="none"/>
              </w:rPr>
            </w:pPr>
          </w:p>
        </w:tc>
        <w:tc>
          <w:tcPr>
            <w:tcW w:w="5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时效指标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按时发放率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pacing w:val="-11"/>
                <w:kern w:val="0"/>
                <w:sz w:val="18"/>
                <w:szCs w:val="18"/>
                <w:u w:val="none"/>
                <w:lang w:val="en-US" w:eastAsia="zh-CN" w:bidi="ar"/>
              </w:rPr>
            </w:pPr>
            <w:r>
              <w:rPr>
                <w:rFonts w:hint="eastAsia" w:ascii="宋体" w:hAnsi="宋体" w:eastAsia="宋体" w:cs="宋体"/>
                <w:i w:val="0"/>
                <w:iCs w:val="0"/>
                <w:color w:val="000000"/>
                <w:spacing w:val="-11"/>
                <w:kern w:val="0"/>
                <w:sz w:val="18"/>
                <w:szCs w:val="18"/>
                <w:u w:val="none"/>
                <w:lang w:val="en-US" w:eastAsia="zh-CN" w:bidi="ar"/>
              </w:rPr>
              <w:t>100%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22.5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pacing w:val="-11"/>
                <w:sz w:val="18"/>
                <w:szCs w:val="18"/>
                <w:u w:val="none"/>
                <w:lang w:val="en-US" w:eastAsia="zh-CN"/>
              </w:rPr>
            </w:pPr>
            <w:r>
              <w:rPr>
                <w:rFonts w:hint="eastAsia" w:ascii="宋体" w:hAnsi="宋体" w:eastAsia="宋体" w:cs="宋体"/>
                <w:i w:val="0"/>
                <w:iCs w:val="0"/>
                <w:color w:val="000000"/>
                <w:spacing w:val="-11"/>
                <w:sz w:val="18"/>
                <w:szCs w:val="18"/>
                <w:u w:val="none"/>
                <w:lang w:val="en-US" w:eastAsia="zh-CN"/>
              </w:rPr>
              <w:t>22.5</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pacing w:val="-11"/>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效益指标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经济效益指标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结余率（计算方法为：结余数/预算数）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pacing w:val="-11"/>
                <w:kern w:val="0"/>
                <w:sz w:val="18"/>
                <w:szCs w:val="18"/>
                <w:u w:val="none"/>
                <w:lang w:val="en-US" w:eastAsia="zh-CN" w:bidi="ar"/>
              </w:rPr>
            </w:pPr>
            <w:r>
              <w:rPr>
                <w:rFonts w:hint="eastAsia" w:ascii="宋体" w:hAnsi="宋体" w:eastAsia="宋体" w:cs="宋体"/>
                <w:i w:val="0"/>
                <w:iCs w:val="0"/>
                <w:color w:val="000000"/>
                <w:spacing w:val="-11"/>
                <w:kern w:val="0"/>
                <w:sz w:val="18"/>
                <w:szCs w:val="18"/>
                <w:u w:val="none"/>
                <w:lang w:val="en-US" w:eastAsia="zh-CN" w:bidi="ar"/>
              </w:rPr>
              <w:t>0</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22.5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pacing w:val="-11"/>
                <w:sz w:val="18"/>
                <w:szCs w:val="18"/>
                <w:u w:val="none"/>
                <w:lang w:val="en-US" w:eastAsia="zh-CN"/>
              </w:rPr>
            </w:pPr>
            <w:r>
              <w:rPr>
                <w:rFonts w:hint="eastAsia" w:ascii="宋体" w:hAnsi="宋体" w:eastAsia="宋体" w:cs="宋体"/>
                <w:i w:val="0"/>
                <w:iCs w:val="0"/>
                <w:color w:val="000000"/>
                <w:spacing w:val="-11"/>
                <w:sz w:val="18"/>
                <w:szCs w:val="18"/>
                <w:u w:val="none"/>
                <w:lang w:val="en-US" w:eastAsia="zh-CN"/>
              </w:rPr>
              <w:t>22.5</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pacing w:val="-11"/>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pacing w:val="-11"/>
                <w:sz w:val="18"/>
                <w:szCs w:val="18"/>
                <w:u w:val="none"/>
              </w:rPr>
            </w:pPr>
            <w:r>
              <w:rPr>
                <w:rFonts w:ascii="宋体" w:hAnsi="宋体" w:eastAsia="宋体" w:cs="宋体"/>
                <w:i w:val="0"/>
                <w:iCs w:val="0"/>
                <w:color w:val="000000"/>
                <w:spacing w:val="-11"/>
                <w:kern w:val="0"/>
                <w:sz w:val="18"/>
                <w:szCs w:val="18"/>
                <w:u w:val="none"/>
                <w:lang w:val="en-US" w:eastAsia="zh-CN" w:bidi="ar"/>
              </w:rPr>
              <w:t>合计</w:t>
            </w:r>
          </w:p>
        </w:tc>
        <w:tc>
          <w:tcPr>
            <w:tcW w:w="3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000000"/>
                <w:spacing w:val="-11"/>
                <w:sz w:val="18"/>
                <w:szCs w:val="18"/>
                <w:u w:val="none"/>
                <w:lang w:val="en-US"/>
              </w:rPr>
            </w:pPr>
            <w:r>
              <w:rPr>
                <w:rFonts w:hint="eastAsia" w:ascii="宋体" w:hAnsi="宋体" w:eastAsia="宋体" w:cs="宋体"/>
                <w:i w:val="0"/>
                <w:iCs w:val="0"/>
                <w:color w:val="000000"/>
                <w:spacing w:val="-11"/>
                <w:kern w:val="0"/>
                <w:sz w:val="18"/>
                <w:szCs w:val="18"/>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default" w:ascii="宋体" w:hAnsi="宋体" w:eastAsia="宋体" w:cs="宋体"/>
                <w:i w:val="0"/>
                <w:iCs w:val="0"/>
                <w:color w:val="000000"/>
                <w:spacing w:val="-11"/>
                <w:sz w:val="18"/>
                <w:szCs w:val="18"/>
                <w:u w:val="none"/>
                <w:lang w:val="en-US" w:eastAsia="zh-CN"/>
              </w:rPr>
            </w:pPr>
            <w:r>
              <w:rPr>
                <w:rFonts w:hint="eastAsia" w:ascii="宋体" w:hAnsi="宋体" w:eastAsia="宋体" w:cs="宋体"/>
                <w:i w:val="0"/>
                <w:iCs w:val="0"/>
                <w:color w:val="000000"/>
                <w:spacing w:val="-11"/>
                <w:sz w:val="18"/>
                <w:szCs w:val="18"/>
                <w:u w:val="none"/>
                <w:lang w:val="en-US" w:eastAsia="zh-CN"/>
              </w:rPr>
              <w:t>100</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pacing w:val="-11"/>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9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资金执行效率高，无科目调整</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9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9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项目负责人：李万明</w:t>
            </w:r>
          </w:p>
        </w:tc>
        <w:tc>
          <w:tcPr>
            <w:tcW w:w="259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财务负责人：王波</w:t>
            </w:r>
          </w:p>
        </w:tc>
      </w:tr>
    </w:tbl>
    <w:p>
      <w:pPr>
        <w:pStyle w:val="5"/>
        <w:keepNext w:val="0"/>
        <w:keepLines w:val="0"/>
        <w:pageBreakBefore w:val="0"/>
        <w:kinsoku/>
        <w:wordWrap/>
        <w:overflowPunct/>
        <w:topLinePunct w:val="0"/>
        <w:autoSpaceDE/>
        <w:autoSpaceDN/>
        <w:bidi w:val="0"/>
        <w:adjustRightInd/>
        <w:snapToGrid/>
        <w:spacing w:line="300" w:lineRule="exact"/>
        <w:rPr>
          <w:rFonts w:hint="eastAsia"/>
        </w:rPr>
      </w:pPr>
    </w:p>
    <w:p>
      <w:pPr>
        <w:pStyle w:val="5"/>
        <w:keepNext w:val="0"/>
        <w:keepLines w:val="0"/>
        <w:pageBreakBefore w:val="0"/>
        <w:kinsoku/>
        <w:wordWrap/>
        <w:overflowPunct/>
        <w:topLinePunct w:val="0"/>
        <w:autoSpaceDE/>
        <w:autoSpaceDN/>
        <w:bidi w:val="0"/>
        <w:adjustRightInd/>
        <w:snapToGrid/>
        <w:spacing w:line="300" w:lineRule="exact"/>
        <w:rPr>
          <w:rFonts w:hint="eastAsia"/>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35"/>
        <w:gridCol w:w="751"/>
        <w:gridCol w:w="1295"/>
        <w:gridCol w:w="396"/>
        <w:gridCol w:w="768"/>
        <w:gridCol w:w="396"/>
        <w:gridCol w:w="846"/>
        <w:gridCol w:w="174"/>
        <w:gridCol w:w="402"/>
        <w:gridCol w:w="576"/>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00" w:type="pct"/>
            <w:gridSpan w:val="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2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1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单位日常运转保障到位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把握资金执行情况，保障单位日常经费开支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7.06</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7.06</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7.06</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7.06</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单位日常运转保障到位，年末无结余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项目负责人：李万明</w:t>
            </w:r>
          </w:p>
        </w:tc>
        <w:tc>
          <w:tcPr>
            <w:tcW w:w="258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财务负责人：王波</w:t>
            </w:r>
          </w:p>
        </w:tc>
      </w:tr>
    </w:tbl>
    <w:p>
      <w:pPr>
        <w:pStyle w:val="5"/>
        <w:keepNext w:val="0"/>
        <w:keepLines w:val="0"/>
        <w:pageBreakBefore w:val="0"/>
        <w:kinsoku/>
        <w:wordWrap/>
        <w:overflowPunct/>
        <w:topLinePunct w:val="0"/>
        <w:autoSpaceDE/>
        <w:autoSpaceDN/>
        <w:bidi w:val="0"/>
        <w:adjustRightInd/>
        <w:snapToGrid/>
        <w:spacing w:line="300" w:lineRule="exact"/>
        <w:rPr>
          <w:rFonts w:hint="eastAsia"/>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31"/>
        <w:gridCol w:w="864"/>
        <w:gridCol w:w="1206"/>
        <w:gridCol w:w="396"/>
        <w:gridCol w:w="762"/>
        <w:gridCol w:w="396"/>
        <w:gridCol w:w="846"/>
        <w:gridCol w:w="227"/>
        <w:gridCol w:w="349"/>
        <w:gridCol w:w="576"/>
        <w:gridCol w:w="12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31" w:type="pct"/>
            <w:gridSpan w:val="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23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8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完成年初预算，年末无结余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把握资金执行情况，保障经费正常开支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9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lang w:eastAsia="zh-CN"/>
              </w:rPr>
              <w:t>完成年初预算，</w:t>
            </w:r>
            <w:r>
              <w:rPr>
                <w:rFonts w:hint="eastAsia" w:ascii="宋体" w:hAnsi="宋体" w:cs="宋体"/>
                <w:i w:val="0"/>
                <w:iCs w:val="0"/>
                <w:color w:val="000000"/>
                <w:sz w:val="18"/>
                <w:szCs w:val="18"/>
                <w:u w:val="none"/>
                <w:lang w:eastAsia="zh-CN"/>
              </w:rPr>
              <w:t>日常运转保障较好，</w:t>
            </w:r>
            <w:r>
              <w:rPr>
                <w:rFonts w:hint="eastAsia" w:ascii="宋体" w:hAnsi="宋体" w:eastAsia="宋体" w:cs="宋体"/>
                <w:i w:val="0"/>
                <w:iCs w:val="0"/>
                <w:color w:val="000000"/>
                <w:sz w:val="18"/>
                <w:szCs w:val="18"/>
                <w:u w:val="none"/>
                <w:lang w:eastAsia="zh-CN"/>
              </w:rPr>
              <w:t>年末无结余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cs="宋体"/>
                <w:i w:val="0"/>
                <w:iCs w:val="0"/>
                <w:color w:val="000000"/>
                <w:sz w:val="18"/>
                <w:szCs w:val="18"/>
                <w:u w:val="none"/>
                <w:lang w:eastAsia="zh-CN"/>
              </w:rPr>
            </w:pPr>
            <w:r>
              <w:rPr>
                <w:rFonts w:hint="eastAsia" w:ascii="宋体" w:hAnsi="宋体" w:cs="宋体"/>
                <w:i w:val="0"/>
                <w:iCs w:val="0"/>
                <w:color w:val="000000"/>
                <w:sz w:val="18"/>
                <w:szCs w:val="18"/>
                <w:u w:val="none"/>
                <w:lang w:val="en-US" w:eastAsia="zh-CN"/>
              </w:rPr>
              <w:t>项目负责人：李万明</w:t>
            </w:r>
          </w:p>
        </w:tc>
        <w:tc>
          <w:tcPr>
            <w:tcW w:w="257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cs="宋体"/>
                <w:i w:val="0"/>
                <w:iCs w:val="0"/>
                <w:color w:val="000000"/>
                <w:sz w:val="18"/>
                <w:szCs w:val="18"/>
                <w:u w:val="none"/>
                <w:lang w:eastAsia="zh-CN"/>
              </w:rPr>
            </w:pPr>
            <w:r>
              <w:rPr>
                <w:rFonts w:hint="eastAsia" w:ascii="宋体" w:hAnsi="宋体" w:cs="宋体"/>
                <w:i w:val="0"/>
                <w:iCs w:val="0"/>
                <w:color w:val="000000"/>
                <w:sz w:val="18"/>
                <w:szCs w:val="18"/>
                <w:u w:val="none"/>
                <w:lang w:val="en-US" w:eastAsia="zh-CN"/>
              </w:rPr>
              <w:t>财务负责人：王波</w:t>
            </w:r>
          </w:p>
        </w:tc>
      </w:tr>
    </w:tbl>
    <w:p>
      <w:pPr>
        <w:pStyle w:val="5"/>
        <w:keepNext w:val="0"/>
        <w:keepLines w:val="0"/>
        <w:pageBreakBefore w:val="0"/>
        <w:kinsoku/>
        <w:wordWrap/>
        <w:overflowPunct/>
        <w:topLinePunct w:val="0"/>
        <w:autoSpaceDE/>
        <w:autoSpaceDN/>
        <w:bidi w:val="0"/>
        <w:adjustRightInd/>
        <w:snapToGrid/>
        <w:spacing w:line="300" w:lineRule="exact"/>
        <w:rPr>
          <w:rFonts w:hint="eastAsia"/>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03"/>
        <w:gridCol w:w="838"/>
        <w:gridCol w:w="1126"/>
        <w:gridCol w:w="398"/>
        <w:gridCol w:w="781"/>
        <w:gridCol w:w="757"/>
        <w:gridCol w:w="849"/>
        <w:gridCol w:w="167"/>
        <w:gridCol w:w="319"/>
        <w:gridCol w:w="396"/>
        <w:gridCol w:w="13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51080022T000005196550-计划生育补助经费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596" w:type="pct"/>
            <w:gridSpan w:val="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1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22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中国计生协下拨地方计生协综合改革试点、沟通之道等项目资金、上年财政结转资金、职工代扣保险等</w:t>
            </w:r>
          </w:p>
        </w:tc>
        <w:tc>
          <w:tcPr>
            <w:tcW w:w="17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黑体" w:eastAsia="黑体" w:cs="黑体"/>
                <w:i w:val="0"/>
                <w:iCs w:val="0"/>
                <w:color w:val="000000"/>
                <w:sz w:val="18"/>
                <w:szCs w:val="18"/>
                <w:u w:val="none"/>
                <w:lang w:eastAsia="zh-CN"/>
              </w:rPr>
            </w:pPr>
            <w:r>
              <w:rPr>
                <w:rFonts w:hint="eastAsia" w:ascii="宋体" w:hAnsi="宋体" w:eastAsia="宋体" w:cs="宋体"/>
                <w:i w:val="0"/>
                <w:iCs w:val="0"/>
                <w:color w:val="000000"/>
                <w:kern w:val="0"/>
                <w:sz w:val="18"/>
                <w:szCs w:val="18"/>
                <w:u w:val="none"/>
                <w:lang w:val="en-US" w:eastAsia="zh-CN" w:bidi="ar"/>
              </w:rPr>
              <w:t>已完成项目实施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项目实施较好，取得预期效果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1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12.84</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12.84</w:t>
            </w:r>
          </w:p>
        </w:tc>
        <w:tc>
          <w:tcPr>
            <w:tcW w:w="11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12.84</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12.84</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12.84</w:t>
            </w:r>
          </w:p>
        </w:tc>
        <w:tc>
          <w:tcPr>
            <w:tcW w:w="11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12.84</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11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完成中国计生协项目</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23</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2022</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职工各类保险 </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计生特殊家庭</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元/户</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33</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1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96</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lang w:eastAsia="zh-CN"/>
              </w:rPr>
              <w:t>项目实施较好，取得预期效果</w:t>
            </w:r>
            <w:r>
              <w:rPr>
                <w:rFonts w:hint="eastAsia" w:ascii="宋体" w:hAnsi="宋体" w:cs="宋体"/>
                <w:i w:val="0"/>
                <w:iCs w:val="0"/>
                <w:color w:val="000000"/>
                <w:sz w:val="18"/>
                <w:szCs w:val="18"/>
                <w:u w:val="none"/>
                <w:lang w:eastAsia="zh-CN"/>
              </w:rPr>
              <w:t>，职工保险按时缴纳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项目负责人：李万明</w:t>
            </w:r>
          </w:p>
        </w:tc>
        <w:tc>
          <w:tcPr>
            <w:tcW w:w="26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财务负责人：王波</w:t>
            </w:r>
          </w:p>
        </w:tc>
      </w:tr>
    </w:tbl>
    <w:p>
      <w:pPr>
        <w:pStyle w:val="5"/>
        <w:keepNext w:val="0"/>
        <w:keepLines w:val="0"/>
        <w:pageBreakBefore w:val="0"/>
        <w:kinsoku/>
        <w:wordWrap/>
        <w:overflowPunct/>
        <w:topLinePunct w:val="0"/>
        <w:autoSpaceDE/>
        <w:autoSpaceDN/>
        <w:bidi w:val="0"/>
        <w:adjustRightInd/>
        <w:snapToGrid/>
        <w:spacing w:line="300" w:lineRule="exact"/>
        <w:rPr>
          <w:rFonts w:hint="eastAsia"/>
        </w:rPr>
      </w:pPr>
    </w:p>
    <w:p>
      <w:pPr>
        <w:pStyle w:val="5"/>
        <w:rPr>
          <w:rFonts w:hint="eastAsia"/>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67"/>
        <w:gridCol w:w="894"/>
        <w:gridCol w:w="1191"/>
        <w:gridCol w:w="396"/>
        <w:gridCol w:w="828"/>
        <w:gridCol w:w="396"/>
        <w:gridCol w:w="846"/>
        <w:gridCol w:w="311"/>
        <w:gridCol w:w="175"/>
        <w:gridCol w:w="486"/>
        <w:gridCol w:w="13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51080022T000005638788-计划生育配套资金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68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1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ascii="宋体" w:hAnsi="宋体" w:eastAsia="宋体" w:cs="宋体"/>
                <w:i w:val="0"/>
                <w:iCs w:val="0"/>
                <w:color w:val="000000"/>
                <w:kern w:val="0"/>
                <w:sz w:val="18"/>
                <w:szCs w:val="18"/>
                <w:u w:val="none"/>
                <w:lang w:val="en-US" w:eastAsia="zh-CN" w:bidi="ar"/>
              </w:rPr>
              <w:t>严格执行相关政策，预算编制科学合理，</w:t>
            </w:r>
            <w:r>
              <w:rPr>
                <w:rFonts w:hint="eastAsia" w:ascii="宋体" w:hAnsi="宋体" w:eastAsia="宋体" w:cs="宋体"/>
                <w:i w:val="0"/>
                <w:iCs w:val="0"/>
                <w:color w:val="000000"/>
                <w:kern w:val="0"/>
                <w:sz w:val="18"/>
                <w:szCs w:val="18"/>
                <w:u w:val="none"/>
                <w:lang w:val="en-US" w:eastAsia="zh-CN" w:bidi="ar"/>
              </w:rPr>
              <w:t>减少资金结余</w:t>
            </w:r>
          </w:p>
        </w:tc>
        <w:tc>
          <w:tcPr>
            <w:tcW w:w="18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eastAsia="zh-CN"/>
              </w:rPr>
            </w:pPr>
            <w:r>
              <w:rPr>
                <w:rFonts w:hint="eastAsia" w:ascii="宋体" w:hAnsi="宋体" w:eastAsia="宋体" w:cs="宋体"/>
                <w:i w:val="0"/>
                <w:iCs w:val="0"/>
                <w:color w:val="000000"/>
                <w:kern w:val="0"/>
                <w:sz w:val="18"/>
                <w:szCs w:val="18"/>
                <w:u w:val="none"/>
                <w:lang w:val="en-US" w:eastAsia="zh-CN" w:bidi="ar"/>
              </w:rPr>
              <w:t>年末无资金结余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严格控制资金执行进度，把握资金使用效益发挥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eastAsia="zh-CN"/>
              </w:rPr>
              <w:t>产出指标</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eastAsia="zh-CN"/>
              </w:rPr>
              <w:t>数量指标</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eastAsia="zh-CN"/>
              </w:rPr>
              <w:t>科目调整</w:t>
            </w:r>
            <w:r>
              <w:rPr>
                <w:rFonts w:hint="eastAsia" w:ascii="宋体" w:hAnsi="宋体" w:eastAsia="宋体" w:cs="宋体"/>
                <w:i w:val="0"/>
                <w:iCs w:val="0"/>
                <w:color w:val="000000"/>
                <w:sz w:val="18"/>
                <w:szCs w:val="18"/>
                <w:u w:val="none"/>
                <w:lang w:eastAsia="zh-CN"/>
              </w:rPr>
              <w:t>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次</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kern w:val="2"/>
                <w:sz w:val="16"/>
                <w:szCs w:val="16"/>
                <w:u w:val="none"/>
                <w:lang w:val="en-US" w:eastAsia="zh-CN" w:bidi="ar-SA"/>
              </w:rPr>
            </w:pPr>
            <w:r>
              <w:rPr>
                <w:rFonts w:hint="eastAsia" w:ascii="宋体" w:hAnsi="宋体" w:cs="宋体"/>
                <w:i/>
                <w:iCs/>
                <w:color w:val="000000"/>
                <w:sz w:val="16"/>
                <w:szCs w:val="16"/>
                <w:u w:val="none"/>
                <w:lang w:val="en-US" w:eastAsia="zh-CN"/>
              </w:rPr>
              <w:t>0</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val="en-US" w:eastAsia="zh-CN"/>
              </w:rPr>
              <w:t>90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val="en-US" w:eastAsia="zh-CN"/>
              </w:rPr>
              <w:t>90</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eastAsia="宋体" w:cs="宋体"/>
                <w:i w:val="0"/>
                <w:iCs w:val="0"/>
                <w:color w:val="000000"/>
                <w:kern w:val="0"/>
                <w:sz w:val="18"/>
                <w:szCs w:val="18"/>
                <w:u w:val="none"/>
                <w:lang w:val="en-US" w:eastAsia="zh-CN" w:bidi="ar"/>
              </w:rPr>
              <w:t>资金执行较好，年末无结余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项目负责人：李万明</w:t>
            </w:r>
          </w:p>
        </w:tc>
        <w:tc>
          <w:tcPr>
            <w:tcW w:w="256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财务负责人：王波</w:t>
            </w:r>
          </w:p>
        </w:tc>
      </w:tr>
    </w:tbl>
    <w:p>
      <w:pPr>
        <w:pStyle w:val="5"/>
        <w:rPr>
          <w:rFonts w:hint="eastAsia"/>
        </w:rPr>
      </w:pPr>
    </w:p>
    <w:p>
      <w:pPr>
        <w:pStyle w:val="5"/>
        <w:rPr>
          <w:rFonts w:hint="eastAsia"/>
        </w:rPr>
      </w:pPr>
    </w:p>
    <w:p>
      <w:pPr>
        <w:pStyle w:val="5"/>
        <w:rPr>
          <w:rFonts w:hint="eastAsia"/>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63"/>
        <w:gridCol w:w="893"/>
        <w:gridCol w:w="1190"/>
        <w:gridCol w:w="396"/>
        <w:gridCol w:w="824"/>
        <w:gridCol w:w="396"/>
        <w:gridCol w:w="846"/>
        <w:gridCol w:w="130"/>
        <w:gridCol w:w="356"/>
        <w:gridCol w:w="486"/>
        <w:gridCol w:w="13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57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2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严格执行相关政策，及时足额发放，预算编制科学合理，减少结余资金</w:t>
            </w:r>
          </w:p>
        </w:tc>
        <w:tc>
          <w:tcPr>
            <w:tcW w:w="18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eastAsia="zh-CN"/>
              </w:rPr>
            </w:pPr>
            <w:r>
              <w:rPr>
                <w:rFonts w:hint="eastAsia" w:ascii="宋体" w:hAnsi="宋体" w:eastAsia="宋体" w:cs="宋体"/>
                <w:i w:val="0"/>
                <w:iCs w:val="0"/>
                <w:color w:val="000000"/>
                <w:kern w:val="0"/>
                <w:sz w:val="18"/>
                <w:szCs w:val="18"/>
                <w:u w:val="none"/>
                <w:lang w:val="en-US" w:eastAsia="zh-CN" w:bidi="ar"/>
              </w:rPr>
              <w:t>及时足额发放到位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产出指标</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数量指标</w:t>
            </w:r>
          </w:p>
        </w:tc>
        <w:tc>
          <w:tcPr>
            <w:tcW w:w="7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按时发放率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sz w:val="16"/>
                <w:szCs w:val="16"/>
                <w:u w:val="none"/>
                <w:lang w:val="en-US" w:eastAsia="zh-CN"/>
              </w:rPr>
            </w:pPr>
            <w:r>
              <w:rPr>
                <w:rFonts w:hint="eastAsia" w:ascii="宋体" w:hAnsi="宋体" w:eastAsia="宋体" w:cs="宋体"/>
                <w:i/>
                <w:iCs/>
                <w:color w:val="000000"/>
                <w:sz w:val="16"/>
                <w:szCs w:val="16"/>
                <w:u w:val="none"/>
                <w:lang w:val="en-US" w:eastAsia="zh-CN"/>
              </w:rPr>
              <w:t>100%</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及时足额发放到位</w:t>
            </w:r>
            <w:r>
              <w:rPr>
                <w:rFonts w:hint="eastAsia" w:ascii="宋体" w:hAnsi="宋体" w:cs="宋体"/>
                <w:i w:val="0"/>
                <w:iCs w:val="0"/>
                <w:color w:val="000000"/>
                <w:kern w:val="0"/>
                <w:sz w:val="18"/>
                <w:szCs w:val="18"/>
                <w:u w:val="none"/>
                <w:lang w:val="en-US" w:eastAsia="zh-CN" w:bidi="ar"/>
              </w:rPr>
              <w:t>，年末无结余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项目负责人：李万明</w:t>
            </w:r>
          </w:p>
        </w:tc>
        <w:tc>
          <w:tcPr>
            <w:tcW w:w="255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财务负责人：王波</w:t>
            </w:r>
          </w:p>
        </w:tc>
      </w:tr>
    </w:tbl>
    <w:p>
      <w:pPr>
        <w:pStyle w:val="5"/>
        <w:rPr>
          <w:rFonts w:hint="eastAsia"/>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pStyle w:val="5"/>
        <w:rPr>
          <w:rFonts w:hint="eastAsia" w:ascii="黑体" w:hAnsi="黑体" w:eastAsia="黑体"/>
          <w:color w:val="auto"/>
          <w:sz w:val="44"/>
          <w:szCs w:val="44"/>
          <w:highlight w:val="none"/>
        </w:r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112"/>
        <w:gridCol w:w="942"/>
        <w:gridCol w:w="1238"/>
        <w:gridCol w:w="396"/>
        <w:gridCol w:w="884"/>
        <w:gridCol w:w="396"/>
        <w:gridCol w:w="667"/>
        <w:gridCol w:w="487"/>
        <w:gridCol w:w="397"/>
        <w:gridCol w:w="1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51080023T000008613072-2022年市级计划生育切块资金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391"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13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广元市计划生育协会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ascii="宋体" w:hAnsi="宋体" w:eastAsia="宋体" w:cs="宋体"/>
                <w:i w:val="0"/>
                <w:iCs w:val="0"/>
                <w:color w:val="000000"/>
                <w:kern w:val="0"/>
                <w:sz w:val="18"/>
                <w:szCs w:val="18"/>
                <w:u w:val="none"/>
                <w:lang w:val="en-US" w:eastAsia="zh-CN" w:bidi="ar"/>
              </w:rPr>
              <w:t>严格执行相关政策，及时</w:t>
            </w:r>
            <w:r>
              <w:rPr>
                <w:rFonts w:hint="eastAsia" w:ascii="宋体" w:hAnsi="宋体" w:eastAsia="宋体" w:cs="宋体"/>
                <w:i w:val="0"/>
                <w:iCs w:val="0"/>
                <w:color w:val="000000"/>
                <w:kern w:val="0"/>
                <w:sz w:val="18"/>
                <w:szCs w:val="18"/>
                <w:u w:val="none"/>
                <w:lang w:val="en-US" w:eastAsia="zh-CN" w:bidi="ar"/>
              </w:rPr>
              <w:t>支出</w:t>
            </w:r>
            <w:r>
              <w:rPr>
                <w:rFonts w:ascii="宋体" w:hAnsi="宋体" w:eastAsia="宋体" w:cs="宋体"/>
                <w:i w:val="0"/>
                <w:iCs w:val="0"/>
                <w:color w:val="000000"/>
                <w:kern w:val="0"/>
                <w:sz w:val="18"/>
                <w:szCs w:val="18"/>
                <w:u w:val="none"/>
                <w:lang w:val="en-US" w:eastAsia="zh-CN" w:bidi="ar"/>
              </w:rPr>
              <w:t>，</w:t>
            </w:r>
            <w:r>
              <w:rPr>
                <w:rFonts w:hint="eastAsia" w:ascii="宋体" w:hAnsi="宋体" w:eastAsia="宋体" w:cs="宋体"/>
                <w:i w:val="0"/>
                <w:iCs w:val="0"/>
                <w:color w:val="000000"/>
                <w:sz w:val="18"/>
                <w:szCs w:val="18"/>
                <w:u w:val="none"/>
                <w:lang w:eastAsia="zh-CN"/>
              </w:rPr>
              <w:t>发挥效益</w:t>
            </w:r>
          </w:p>
        </w:tc>
        <w:tc>
          <w:tcPr>
            <w:tcW w:w="17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未在2022年度使用切块资金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0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未在2022年度使用切块资金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8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eastAsia="zh-CN"/>
              </w:rPr>
              <w:t>产出指标</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eastAsia="zh-CN"/>
              </w:rPr>
              <w:t>数量指标</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eastAsia="zh-CN"/>
              </w:rPr>
              <w:t>足额使用</w:t>
            </w:r>
            <w:r>
              <w:rPr>
                <w:rFonts w:hint="eastAsia" w:ascii="宋体" w:hAnsi="宋体" w:eastAsia="宋体" w:cs="宋体"/>
                <w:i w:val="0"/>
                <w:iCs w:val="0"/>
                <w:color w:val="000000"/>
                <w:sz w:val="18"/>
                <w:szCs w:val="18"/>
                <w:u w:val="none"/>
                <w:lang w:eastAsia="zh-CN"/>
              </w:rPr>
              <w:t>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val="en-US" w:eastAsia="zh-CN"/>
              </w:rPr>
              <w:t>=</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val="en-US" w:eastAsia="zh-CN"/>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val="en-US" w:eastAsia="zh-CN"/>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iCs/>
                <w:color w:val="000000"/>
                <w:kern w:val="2"/>
                <w:sz w:val="16"/>
                <w:szCs w:val="16"/>
                <w:u w:val="none"/>
                <w:lang w:val="en-US" w:eastAsia="zh-CN" w:bidi="ar-SA"/>
              </w:rPr>
            </w:pPr>
            <w:r>
              <w:rPr>
                <w:rFonts w:hint="eastAsia" w:ascii="宋体" w:hAnsi="宋体" w:cs="宋体"/>
                <w:i/>
                <w:iCs/>
                <w:color w:val="000000"/>
                <w:sz w:val="16"/>
                <w:szCs w:val="16"/>
                <w:u w:val="none"/>
                <w:lang w:val="en-US" w:eastAsia="zh-CN"/>
              </w:rPr>
              <w:t>0</w:t>
            </w:r>
            <w:r>
              <w:rPr>
                <w:rFonts w:hint="eastAsia" w:ascii="宋体" w:hAnsi="宋体" w:eastAsia="宋体" w:cs="宋体"/>
                <w:i/>
                <w:iCs/>
                <w:color w:val="000000"/>
                <w:sz w:val="16"/>
                <w:szCs w:val="16"/>
                <w:u w:val="none"/>
                <w:lang w:val="en-US" w:eastAsia="zh-CN"/>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lang w:val="en-US" w:eastAsia="zh-CN"/>
              </w:rPr>
              <w:t>90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0</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4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83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计划生育切块资金跨年度使用，资金执行率有待加强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资金下达较晚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及时对接上级主管部门，资金下达后及时支出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0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项目负责人：李万明</w:t>
            </w:r>
          </w:p>
        </w:tc>
        <w:tc>
          <w:tcPr>
            <w:tcW w:w="249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财务负责人：王波</w:t>
            </w:r>
          </w:p>
        </w:tc>
      </w:tr>
    </w:tbl>
    <w:p>
      <w:pPr>
        <w:pStyle w:val="5"/>
        <w:rPr>
          <w:rFonts w:hint="eastAsia" w:ascii="黑体" w:hAnsi="黑体" w:eastAsia="黑体"/>
          <w:color w:val="auto"/>
          <w:sz w:val="44"/>
          <w:szCs w:val="44"/>
          <w:highlight w:val="none"/>
        </w:rPr>
      </w:pPr>
    </w:p>
    <w:p>
      <w:pPr>
        <w:pStyle w:val="5"/>
        <w:rPr>
          <w:rFonts w:hint="eastAsia" w:ascii="黑体" w:hAnsi="黑体" w:eastAsia="黑体"/>
          <w:color w:val="auto"/>
          <w:sz w:val="44"/>
          <w:szCs w:val="44"/>
          <w:highlight w:val="none"/>
        </w:rPr>
      </w:pPr>
    </w:p>
    <w:p>
      <w:pPr>
        <w:pStyle w:val="5"/>
        <w:rPr>
          <w:rFonts w:hint="eastAsia" w:ascii="黑体" w:hAnsi="黑体" w:eastAsia="黑体"/>
          <w:color w:val="auto"/>
          <w:sz w:val="44"/>
          <w:szCs w:val="44"/>
          <w:highlight w:val="none"/>
        </w:rPr>
      </w:pPr>
    </w:p>
    <w:p>
      <w:pPr>
        <w:spacing w:line="600" w:lineRule="exact"/>
        <w:jc w:val="center"/>
        <w:outlineLvl w:val="0"/>
        <w:rPr>
          <w:rFonts w:hint="eastAsia" w:ascii="仿宋" w:hAnsi="仿宋" w:eastAsia="仿宋"/>
          <w:b w:val="0"/>
          <w:color w:val="auto"/>
          <w:highlight w:val="none"/>
        </w:rPr>
      </w:pPr>
      <w:bookmarkStart w:id="75" w:name="_Toc12756"/>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72"/>
      <w:bookmarkEnd w:id="74"/>
      <w:bookmarkEnd w:id="75"/>
      <w:bookmarkStart w:id="76" w:name="_Toc15396619"/>
    </w:p>
    <w:p>
      <w:pPr>
        <w:pStyle w:val="3"/>
        <w:rPr>
          <w:rFonts w:ascii="仿宋" w:hAnsi="仿宋" w:eastAsia="仿宋"/>
          <w:color w:val="auto"/>
          <w:highlight w:val="none"/>
        </w:rPr>
      </w:pPr>
      <w:bookmarkStart w:id="77" w:name="_Toc20722"/>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76"/>
      <w:bookmarkEnd w:id="77"/>
    </w:p>
    <w:p>
      <w:pPr>
        <w:pStyle w:val="3"/>
        <w:rPr>
          <w:rFonts w:ascii="仿宋" w:hAnsi="仿宋" w:eastAsia="仿宋"/>
          <w:color w:val="auto"/>
          <w:highlight w:val="none"/>
        </w:rPr>
      </w:pPr>
      <w:bookmarkStart w:id="78" w:name="_Toc19112"/>
      <w:bookmarkStart w:id="79" w:name="_Toc15396620"/>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78"/>
      <w:bookmarkEnd w:id="79"/>
    </w:p>
    <w:p>
      <w:pPr>
        <w:pStyle w:val="3"/>
        <w:rPr>
          <w:rFonts w:ascii="仿宋" w:hAnsi="仿宋" w:eastAsia="仿宋"/>
          <w:color w:val="auto"/>
          <w:highlight w:val="none"/>
        </w:rPr>
      </w:pPr>
      <w:bookmarkStart w:id="80" w:name="_Toc15396621"/>
      <w:bookmarkStart w:id="81" w:name="_Toc31623"/>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80"/>
      <w:bookmarkEnd w:id="81"/>
    </w:p>
    <w:p>
      <w:pPr>
        <w:pStyle w:val="3"/>
        <w:rPr>
          <w:rFonts w:ascii="仿宋" w:hAnsi="仿宋" w:eastAsia="仿宋"/>
          <w:b w:val="0"/>
          <w:color w:val="auto"/>
          <w:highlight w:val="none"/>
        </w:rPr>
      </w:pPr>
      <w:bookmarkStart w:id="82" w:name="_Toc25937"/>
      <w:bookmarkStart w:id="83" w:name="_Toc15396622"/>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82"/>
      <w:bookmarkEnd w:id="83"/>
    </w:p>
    <w:p>
      <w:pPr>
        <w:pStyle w:val="3"/>
        <w:rPr>
          <w:rStyle w:val="17"/>
          <w:rFonts w:ascii="仿宋" w:hAnsi="仿宋" w:eastAsia="仿宋"/>
          <w:b w:val="0"/>
          <w:bCs w:val="0"/>
          <w:color w:val="auto"/>
          <w:highlight w:val="none"/>
        </w:rPr>
      </w:pPr>
      <w:bookmarkStart w:id="84" w:name="_Toc15396623"/>
      <w:bookmarkStart w:id="85" w:name="_Toc28526"/>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84"/>
      <w:bookmarkEnd w:id="85"/>
      <w:bookmarkStart w:id="86" w:name="_Toc15396624"/>
    </w:p>
    <w:p>
      <w:pPr>
        <w:pStyle w:val="3"/>
        <w:rPr>
          <w:rFonts w:ascii="仿宋" w:hAnsi="仿宋" w:eastAsia="仿宋"/>
          <w:color w:val="auto"/>
          <w:highlight w:val="none"/>
        </w:rPr>
      </w:pPr>
      <w:bookmarkStart w:id="87" w:name="_Toc1179"/>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86"/>
      <w:bookmarkEnd w:id="87"/>
    </w:p>
    <w:p>
      <w:pPr>
        <w:pStyle w:val="3"/>
        <w:rPr>
          <w:rFonts w:ascii="仿宋" w:hAnsi="仿宋" w:eastAsia="仿宋"/>
          <w:color w:val="auto"/>
          <w:highlight w:val="none"/>
        </w:rPr>
      </w:pPr>
      <w:bookmarkStart w:id="88" w:name="_Toc15396625"/>
      <w:bookmarkStart w:id="89" w:name="_Toc19643"/>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88"/>
      <w:bookmarkEnd w:id="89"/>
    </w:p>
    <w:p>
      <w:pPr>
        <w:pStyle w:val="3"/>
        <w:rPr>
          <w:rFonts w:ascii="仿宋" w:hAnsi="仿宋" w:eastAsia="仿宋"/>
          <w:color w:val="auto"/>
          <w:highlight w:val="none"/>
        </w:rPr>
      </w:pPr>
      <w:bookmarkStart w:id="90" w:name="_Toc15396626"/>
      <w:bookmarkStart w:id="91" w:name="_Toc14036"/>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90"/>
      <w:bookmarkEnd w:id="91"/>
    </w:p>
    <w:p>
      <w:pPr>
        <w:pStyle w:val="3"/>
        <w:rPr>
          <w:rFonts w:ascii="仿宋" w:hAnsi="仿宋" w:eastAsia="仿宋"/>
          <w:color w:val="auto"/>
          <w:highlight w:val="none"/>
        </w:rPr>
      </w:pPr>
      <w:bookmarkStart w:id="92" w:name="_Toc15396627"/>
      <w:bookmarkStart w:id="93" w:name="_Toc25806"/>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92"/>
      <w:bookmarkEnd w:id="93"/>
    </w:p>
    <w:p>
      <w:pPr>
        <w:pStyle w:val="3"/>
        <w:rPr>
          <w:rFonts w:ascii="仿宋" w:hAnsi="仿宋" w:eastAsia="仿宋"/>
          <w:color w:val="auto"/>
          <w:highlight w:val="none"/>
        </w:rPr>
      </w:pPr>
      <w:bookmarkStart w:id="94" w:name="_Toc15396628"/>
      <w:bookmarkStart w:id="95" w:name="_Toc15107"/>
      <w:r>
        <w:rPr>
          <w:rStyle w:val="17"/>
          <w:rFonts w:hint="eastAsia" w:ascii="仿宋" w:hAnsi="仿宋" w:eastAsia="仿宋"/>
          <w:b w:val="0"/>
          <w:bCs w:val="0"/>
          <w:color w:val="auto"/>
          <w:highlight w:val="none"/>
        </w:rPr>
        <w:t>十、</w:t>
      </w:r>
      <w:bookmarkEnd w:id="94"/>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95"/>
    </w:p>
    <w:p>
      <w:pPr>
        <w:pStyle w:val="3"/>
        <w:rPr>
          <w:rFonts w:ascii="仿宋" w:hAnsi="仿宋" w:eastAsia="仿宋"/>
          <w:color w:val="auto"/>
          <w:highlight w:val="none"/>
        </w:rPr>
      </w:pPr>
      <w:bookmarkStart w:id="96" w:name="_Toc15396629"/>
      <w:bookmarkStart w:id="97" w:name="_Toc26923"/>
      <w:r>
        <w:rPr>
          <w:rStyle w:val="17"/>
          <w:rFonts w:hint="eastAsia" w:ascii="仿宋" w:hAnsi="仿宋" w:eastAsia="仿宋"/>
          <w:b w:val="0"/>
          <w:bCs w:val="0"/>
          <w:color w:val="auto"/>
          <w:highlight w:val="none"/>
        </w:rPr>
        <w:t>十一、</w:t>
      </w:r>
      <w:bookmarkEnd w:id="96"/>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97"/>
    </w:p>
    <w:p>
      <w:pPr>
        <w:pStyle w:val="3"/>
        <w:rPr>
          <w:rFonts w:ascii="仿宋" w:hAnsi="仿宋" w:eastAsia="仿宋"/>
          <w:color w:val="auto"/>
          <w:highlight w:val="none"/>
        </w:rPr>
      </w:pPr>
      <w:bookmarkStart w:id="98" w:name="_Toc15396630"/>
      <w:bookmarkStart w:id="99" w:name="_Toc6346"/>
      <w:r>
        <w:rPr>
          <w:rStyle w:val="17"/>
          <w:rFonts w:hint="eastAsia" w:ascii="仿宋" w:hAnsi="仿宋" w:eastAsia="仿宋"/>
          <w:b w:val="0"/>
          <w:bCs w:val="0"/>
          <w:color w:val="auto"/>
          <w:highlight w:val="none"/>
        </w:rPr>
        <w:t>十二、</w:t>
      </w:r>
      <w:bookmarkEnd w:id="98"/>
      <w:r>
        <w:rPr>
          <w:rStyle w:val="17"/>
          <w:rFonts w:hint="eastAsia" w:ascii="仿宋" w:hAnsi="仿宋" w:eastAsia="仿宋"/>
          <w:b w:val="0"/>
          <w:bCs w:val="0"/>
          <w:color w:val="auto"/>
          <w:highlight w:val="none"/>
          <w:lang w:eastAsia="zh-CN"/>
        </w:rPr>
        <w:t>国有资本经营预算财政拨款支出决算表</w:t>
      </w:r>
      <w:bookmarkEnd w:id="99"/>
    </w:p>
    <w:p>
      <w:pPr>
        <w:pStyle w:val="3"/>
        <w:rPr>
          <w:rFonts w:hint="eastAsia" w:eastAsia="仿宋"/>
          <w:color w:val="auto"/>
          <w:highlight w:val="none"/>
          <w:lang w:eastAsia="zh-CN"/>
        </w:rPr>
      </w:pPr>
      <w:bookmarkStart w:id="100" w:name="_Toc15396631"/>
      <w:bookmarkStart w:id="101" w:name="_Toc13912"/>
      <w:r>
        <w:rPr>
          <w:rStyle w:val="17"/>
          <w:rFonts w:hint="eastAsia" w:ascii="仿宋" w:hAnsi="仿宋" w:eastAsia="仿宋"/>
          <w:b w:val="0"/>
          <w:bCs w:val="0"/>
          <w:color w:val="auto"/>
          <w:highlight w:val="none"/>
        </w:rPr>
        <w:t>十三、</w:t>
      </w:r>
      <w:bookmarkEnd w:id="100"/>
      <w:r>
        <w:rPr>
          <w:rStyle w:val="17"/>
          <w:rFonts w:hint="eastAsia" w:ascii="仿宋" w:hAnsi="仿宋" w:eastAsia="仿宋"/>
          <w:b w:val="0"/>
          <w:bCs w:val="0"/>
          <w:color w:val="auto"/>
          <w:highlight w:val="none"/>
          <w:lang w:eastAsia="zh-CN"/>
        </w:rPr>
        <w:t>财政拨款“三公”经费支出决算表</w:t>
      </w:r>
      <w:bookmarkEnd w:id="101"/>
    </w:p>
    <w:sectPr>
      <w:footerReference r:id="rId7" w:type="first"/>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F90CE6-E42C-4F0E-B1C1-FF6446203E5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8D02ED3-9FC2-4FB2-B536-D454D5E73125}"/>
  </w:font>
  <w:font w:name="Cambria">
    <w:panose1 w:val="02040503050406030204"/>
    <w:charset w:val="00"/>
    <w:family w:val="roman"/>
    <w:pitch w:val="default"/>
    <w:sig w:usb0="E00002FF" w:usb1="400004FF" w:usb2="00000000" w:usb3="00000000" w:csb0="2000019F" w:csb1="00000000"/>
    <w:embedRegular r:id="rId3" w:fontKey="{BAC71A5D-5290-4EA0-9E3F-BADA941048DE}"/>
  </w:font>
  <w:font w:name="仿宋_GB2312">
    <w:panose1 w:val="02010609030101010101"/>
    <w:charset w:val="86"/>
    <w:family w:val="modern"/>
    <w:pitch w:val="default"/>
    <w:sig w:usb0="00000001" w:usb1="080E0000" w:usb2="00000000" w:usb3="00000000" w:csb0="00040000" w:csb1="00000000"/>
    <w:embedRegular r:id="rId4" w:fontKey="{FA86A5EA-6456-4D88-B0A7-D7A2445F7805}"/>
  </w:font>
  <w:font w:name="仿宋">
    <w:panose1 w:val="02010609060101010101"/>
    <w:charset w:val="86"/>
    <w:family w:val="auto"/>
    <w:pitch w:val="default"/>
    <w:sig w:usb0="800002BF" w:usb1="38CF7CFA" w:usb2="00000016" w:usb3="00000000" w:csb0="00040001" w:csb1="00000000"/>
    <w:embedRegular r:id="rId5" w:fontKey="{84EE0DC7-CA0E-4E55-91B8-4BBC3FD93E37}"/>
  </w:font>
  <w:font w:name="方正小标宋简体">
    <w:panose1 w:val="03000509000000000000"/>
    <w:charset w:val="86"/>
    <w:family w:val="script"/>
    <w:pitch w:val="default"/>
    <w:sig w:usb0="00000001" w:usb1="080E0000" w:usb2="00000000" w:usb3="00000000" w:csb0="00040000" w:csb1="00000000"/>
    <w:embedRegular r:id="rId6" w:fontKey="{F8826CE4-1DBC-4281-8913-E11E26103668}"/>
  </w:font>
  <w:font w:name="微软雅黑">
    <w:panose1 w:val="020B0503020204020204"/>
    <w:charset w:val="86"/>
    <w:family w:val="auto"/>
    <w:pitch w:val="default"/>
    <w:sig w:usb0="80000287" w:usb1="280F3C52" w:usb2="00000016" w:usb3="00000000" w:csb0="0004001F" w:csb1="00000000"/>
    <w:embedRegular r:id="rId7" w:fontKey="{96378680-88D9-4BF0-91F0-598447371E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  \* MERGEFORMAT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sz w:val="30"/>
                              <w:szCs w:val="3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  \* MERGEFORMAT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sz w:val="30"/>
                        <w:szCs w:val="30"/>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  \* MERGEFORMAT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sz w:val="30"/>
                              <w:szCs w:val="3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  \* MERGEFORMAT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sz w:val="30"/>
                        <w:szCs w:val="30"/>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31B9"/>
    <w:rsid w:val="00F45853"/>
    <w:rsid w:val="00F602DF"/>
    <w:rsid w:val="00F754A1"/>
    <w:rsid w:val="00F81FD9"/>
    <w:rsid w:val="00F841AA"/>
    <w:rsid w:val="00F84A94"/>
    <w:rsid w:val="00F87E96"/>
    <w:rsid w:val="00FA23E8"/>
    <w:rsid w:val="00FD3CC1"/>
    <w:rsid w:val="00FF1E02"/>
    <w:rsid w:val="00FF30B4"/>
    <w:rsid w:val="015B15B5"/>
    <w:rsid w:val="02E81F94"/>
    <w:rsid w:val="04B01DF7"/>
    <w:rsid w:val="05146A7B"/>
    <w:rsid w:val="053A62B5"/>
    <w:rsid w:val="084B7649"/>
    <w:rsid w:val="0A2032A3"/>
    <w:rsid w:val="0B8A37D8"/>
    <w:rsid w:val="0C0D3381"/>
    <w:rsid w:val="106F10E2"/>
    <w:rsid w:val="10C055FF"/>
    <w:rsid w:val="118107EC"/>
    <w:rsid w:val="11DD6519"/>
    <w:rsid w:val="16BB723D"/>
    <w:rsid w:val="177B5642"/>
    <w:rsid w:val="17DB1190"/>
    <w:rsid w:val="18015F3F"/>
    <w:rsid w:val="1BE8440E"/>
    <w:rsid w:val="1D155CEE"/>
    <w:rsid w:val="1E4C2D74"/>
    <w:rsid w:val="20F57F95"/>
    <w:rsid w:val="21C63061"/>
    <w:rsid w:val="22120F99"/>
    <w:rsid w:val="238B01BB"/>
    <w:rsid w:val="240371BF"/>
    <w:rsid w:val="252444A9"/>
    <w:rsid w:val="256B13EC"/>
    <w:rsid w:val="25711CC6"/>
    <w:rsid w:val="25C741E6"/>
    <w:rsid w:val="27842671"/>
    <w:rsid w:val="29FD04D3"/>
    <w:rsid w:val="2A6A48BA"/>
    <w:rsid w:val="2ABE7A3E"/>
    <w:rsid w:val="2BB53436"/>
    <w:rsid w:val="2CA234A8"/>
    <w:rsid w:val="2EFA178C"/>
    <w:rsid w:val="2F1B5EF5"/>
    <w:rsid w:val="30B46D73"/>
    <w:rsid w:val="30B57E5B"/>
    <w:rsid w:val="319C62DF"/>
    <w:rsid w:val="319F7F4E"/>
    <w:rsid w:val="35F01C4A"/>
    <w:rsid w:val="383D272C"/>
    <w:rsid w:val="39111E53"/>
    <w:rsid w:val="39AE70AB"/>
    <w:rsid w:val="3C0C0783"/>
    <w:rsid w:val="3CC30F2F"/>
    <w:rsid w:val="3D3B124C"/>
    <w:rsid w:val="3F437C7E"/>
    <w:rsid w:val="3F9F3A96"/>
    <w:rsid w:val="41085755"/>
    <w:rsid w:val="42C64770"/>
    <w:rsid w:val="42F06635"/>
    <w:rsid w:val="43C46D85"/>
    <w:rsid w:val="455A0C2D"/>
    <w:rsid w:val="4693223C"/>
    <w:rsid w:val="473A5C50"/>
    <w:rsid w:val="48BF60AB"/>
    <w:rsid w:val="493C27E9"/>
    <w:rsid w:val="496F39ED"/>
    <w:rsid w:val="49D97E23"/>
    <w:rsid w:val="49FF41D3"/>
    <w:rsid w:val="4BE068DB"/>
    <w:rsid w:val="4BF6002B"/>
    <w:rsid w:val="4ECE2238"/>
    <w:rsid w:val="4F72350F"/>
    <w:rsid w:val="51DB4B86"/>
    <w:rsid w:val="523B78D6"/>
    <w:rsid w:val="54414F42"/>
    <w:rsid w:val="55333C3E"/>
    <w:rsid w:val="584A0389"/>
    <w:rsid w:val="5AF90F5C"/>
    <w:rsid w:val="5F792C6F"/>
    <w:rsid w:val="623D0BC7"/>
    <w:rsid w:val="6396428A"/>
    <w:rsid w:val="64CA39A1"/>
    <w:rsid w:val="653A7312"/>
    <w:rsid w:val="69630ADE"/>
    <w:rsid w:val="6C4A05C8"/>
    <w:rsid w:val="6D1A184F"/>
    <w:rsid w:val="6D3B1A89"/>
    <w:rsid w:val="6EDC3D8E"/>
    <w:rsid w:val="714863A1"/>
    <w:rsid w:val="71BF4EC2"/>
    <w:rsid w:val="72734D90"/>
    <w:rsid w:val="7412278C"/>
    <w:rsid w:val="7904082E"/>
    <w:rsid w:val="790F6B0E"/>
    <w:rsid w:val="79E7B28D"/>
    <w:rsid w:val="7B682675"/>
    <w:rsid w:val="7E123C6D"/>
    <w:rsid w:val="7F0F1615"/>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2"/>
    <w:qFormat/>
    <w:uiPriority w:val="9"/>
    <w:rPr>
      <w:rFonts w:ascii="Times New Roman" w:hAnsi="Times New Roman"/>
      <w:b/>
      <w:bCs/>
      <w:kern w:val="44"/>
      <w:sz w:val="44"/>
      <w:szCs w:val="44"/>
    </w:rPr>
  </w:style>
  <w:style w:type="character" w:customStyle="1" w:styleId="17">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4"/>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5"/>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 w:type="paragraph" w:customStyle="1" w:styleId="3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6032;&#24314;%20XLS%20&#24037;&#20316;&#3492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26032;&#24314;%20XLS%20&#24037;&#20316;&#3492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6032;&#24314;%20XLS%20&#24037;&#20316;&#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6032;&#24314;%20XLS%20&#24037;&#20316;&#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6032;&#24314;%20XLS%20&#24037;&#20316;&#349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6032;&#24314;%20XLS%20&#24037;&#20316;&#34920;.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strator\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'[新建 XLS 工作表.xls]Sheet1'!$C$35</c:f>
              <c:strCache>
                <c:ptCount val="1"/>
                <c:pt idx="0">
                  <c:v>收、支决算总计（万元）</c:v>
                </c:pt>
              </c:strCache>
            </c:strRef>
          </c:tx>
          <c:spPr>
            <a:solidFill>
              <a:schemeClr val="accent1"/>
            </a:solidFill>
            <a:ln>
              <a:noFill/>
            </a:ln>
            <a:effectLst/>
          </c:spPr>
          <c:invertIfNegative val="0"/>
          <c:dLbls>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216.2</a:t>
                    </a:r>
                    <a:r>
                      <a:rPr lang="en-US" altLang="zh-CN"/>
                      <a:t>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'[新建 XLS 工作表.xls]Sheet1'!$B$36:$B$37</c:f>
              <c:strCache>
                <c:ptCount val="2"/>
                <c:pt idx="0">
                  <c:v>2022年</c:v>
                </c:pt>
                <c:pt idx="1">
                  <c:v>2021年</c:v>
                </c:pt>
              </c:strCache>
            </c:strRef>
          </c:cat>
          <c:val>
            <c:numRef>
              <c:f>'[新建 XLS 工作表.xls]Sheet1'!$C$36:$C$37</c:f>
              <c:numCache>
                <c:formatCode>General</c:formatCode>
                <c:ptCount val="2"/>
                <c:pt idx="0">
                  <c:v>214.85</c:v>
                </c:pt>
                <c:pt idx="1">
                  <c:v>216.2</c:v>
                </c:pt>
              </c:numCache>
            </c:numRef>
          </c:val>
        </c:ser>
        <c:dLbls>
          <c:showLegendKey val="0"/>
          <c:showVal val="1"/>
          <c:showCatName val="0"/>
          <c:showSerName val="0"/>
          <c:showPercent val="0"/>
          <c:showBubbleSize val="0"/>
        </c:dLbls>
        <c:gapWidth val="219"/>
        <c:overlap val="-27"/>
        <c:axId val="945823533"/>
        <c:axId val="411875666"/>
      </c:barChart>
      <c:catAx>
        <c:axId val="945823533"/>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11875666"/>
        <c:crosses val="autoZero"/>
        <c:auto val="1"/>
        <c:lblAlgn val="ctr"/>
        <c:lblOffset val="100"/>
        <c:noMultiLvlLbl val="0"/>
      </c:catAx>
      <c:valAx>
        <c:axId val="41187566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1270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582353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本年收入</a:t>
            </a:r>
          </a:p>
        </c:rich>
      </c:tx>
      <c:layout/>
      <c:overlay val="0"/>
      <c:spPr>
        <a:noFill/>
        <a:ln>
          <a:noFill/>
        </a:ln>
        <a:effectLst/>
      </c:spPr>
    </c:title>
    <c:autoTitleDeleted val="0"/>
    <c:plotArea>
      <c:layout/>
      <c:pieChart>
        <c:varyColors val="1"/>
        <c:ser>
          <c:idx val="0"/>
          <c:order val="0"/>
          <c:tx>
            <c:strRef>
              <c:f>'[新建 XLS 工作表.xls]Sheet1'!$D$71</c:f>
              <c:strCache>
                <c:ptCount val="1"/>
                <c:pt idx="0">
                  <c:v>本年收入（万元）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6">
                  <a:lumMod val="40000"/>
                  <a:lumOff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工作表.xls]Sheet1'!$C$72:$C$73</c:f>
              <c:strCache>
                <c:ptCount val="2"/>
                <c:pt idx="0">
                  <c:v>一般公共预算财政拨款收入</c:v>
                </c:pt>
                <c:pt idx="1">
                  <c:v>其他收入</c:v>
                </c:pt>
              </c:strCache>
            </c:strRef>
          </c:cat>
          <c:val>
            <c:numRef>
              <c:f>'[新建 XLS 工作表.xls]Sheet1'!$D$72:$D$73</c:f>
              <c:numCache>
                <c:formatCode>0.00%</c:formatCode>
                <c:ptCount val="2"/>
                <c:pt idx="0">
                  <c:v>0.9995</c:v>
                </c:pt>
                <c:pt idx="1">
                  <c:v>0.0005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'[新建 XLS 工作表.xls]Sheet1'!$J$71</c:f>
              <c:strCache>
                <c:ptCount val="1"/>
                <c:pt idx="0">
                  <c:v>本年支出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6">
                  <a:lumMod val="40000"/>
                  <a:lumOff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工作表.xls]Sheet1'!$I$72:$I$73</c:f>
              <c:strCache>
                <c:ptCount val="2"/>
                <c:pt idx="0">
                  <c:v>基本支出</c:v>
                </c:pt>
                <c:pt idx="1">
                  <c:v>项目支出</c:v>
                </c:pt>
              </c:strCache>
            </c:strRef>
          </c:cat>
          <c:val>
            <c:numRef>
              <c:f>'[新建 XLS 工作表.xls]Sheet1'!$J$72:$J$73</c:f>
              <c:numCache>
                <c:formatCode>0.00%</c:formatCode>
                <c:ptCount val="2"/>
                <c:pt idx="0">
                  <c:v>0.8916</c:v>
                </c:pt>
                <c:pt idx="1">
                  <c:v>0.1084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'[新建 XLS 工作表.xls]Sheet1'!$G$35</c:f>
              <c:strCache>
                <c:ptCount val="1"/>
                <c:pt idx="0">
                  <c:v>财政拨款收、支决算总计（万元）</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198.1</a:t>
                    </a:r>
                    <a:r>
                      <a:rPr lang="en-US" altLang="zh-CN"/>
                      <a:t>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工作表.xls]Sheet1'!$F$36:$F$37</c:f>
              <c:strCache>
                <c:ptCount val="2"/>
                <c:pt idx="0">
                  <c:v>2022年</c:v>
                </c:pt>
                <c:pt idx="1">
                  <c:v>2021年</c:v>
                </c:pt>
              </c:strCache>
            </c:strRef>
          </c:cat>
          <c:val>
            <c:numRef>
              <c:f>'[新建 XLS 工作表.xls]Sheet1'!$G$36:$G$37</c:f>
              <c:numCache>
                <c:formatCode>General</c:formatCode>
                <c:ptCount val="2"/>
                <c:pt idx="0">
                  <c:v>198.1</c:v>
                </c:pt>
                <c:pt idx="1">
                  <c:v>185.94</c:v>
                </c:pt>
              </c:numCache>
            </c:numRef>
          </c:val>
        </c:ser>
        <c:dLbls>
          <c:showLegendKey val="0"/>
          <c:showVal val="1"/>
          <c:showCatName val="0"/>
          <c:showSerName val="0"/>
          <c:showPercent val="0"/>
          <c:showBubbleSize val="0"/>
        </c:dLbls>
        <c:gapWidth val="219"/>
        <c:overlap val="-27"/>
        <c:axId val="51612404"/>
        <c:axId val="152165237"/>
      </c:barChart>
      <c:catAx>
        <c:axId val="5161240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2165237"/>
        <c:crosses val="autoZero"/>
        <c:auto val="1"/>
        <c:lblAlgn val="ctr"/>
        <c:lblOffset val="100"/>
        <c:noMultiLvlLbl val="0"/>
      </c:catAx>
      <c:valAx>
        <c:axId val="15216523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16124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'[新建 XLS 工作表.xls]Sheet1'!$K$35</c:f>
              <c:strCache>
                <c:ptCount val="1"/>
                <c:pt idx="0">
                  <c:v>一般公共预算财政拨款支出（万元）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工作表.xls]Sheet1'!$J$36:$J$37</c:f>
              <c:strCache>
                <c:ptCount val="2"/>
                <c:pt idx="0">
                  <c:v>2022年</c:v>
                </c:pt>
                <c:pt idx="1">
                  <c:v>2021年</c:v>
                </c:pt>
              </c:strCache>
            </c:strRef>
          </c:cat>
          <c:val>
            <c:numRef>
              <c:f>'[新建 XLS 工作表.xls]Sheet1'!$K$36:$K$37</c:f>
              <c:numCache>
                <c:formatCode>General</c:formatCode>
                <c:ptCount val="2"/>
                <c:pt idx="0">
                  <c:v>190.24</c:v>
                </c:pt>
                <c:pt idx="1">
                  <c:v>166.39</c:v>
                </c:pt>
              </c:numCache>
            </c:numRef>
          </c:val>
        </c:ser>
        <c:dLbls>
          <c:showLegendKey val="0"/>
          <c:showVal val="1"/>
          <c:showCatName val="0"/>
          <c:showSerName val="0"/>
          <c:showPercent val="0"/>
          <c:showBubbleSize val="0"/>
        </c:dLbls>
        <c:gapWidth val="219"/>
        <c:overlap val="-27"/>
        <c:axId val="275879458"/>
        <c:axId val="889714896"/>
      </c:barChart>
      <c:catAx>
        <c:axId val="27587945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9714896"/>
        <c:crosses val="autoZero"/>
        <c:auto val="1"/>
        <c:lblAlgn val="ctr"/>
        <c:lblOffset val="100"/>
        <c:noMultiLvlLbl val="0"/>
      </c:catAx>
      <c:valAx>
        <c:axId val="889714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587945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'[新建 XLS 工作表.xls]Sheet1'!$Q$72</c:f>
              <c:strCache>
                <c:ptCount val="1"/>
                <c:pt idx="0">
                  <c:v>一般公共预算财政拨款支出</c:v>
                </c:pt>
              </c:strCache>
            </c:strRef>
          </c:tx>
          <c:spPr/>
          <c:explosion val="0"/>
          <c:dPt>
            <c:idx val="0"/>
            <c:bubble3D val="0"/>
            <c:spPr>
              <a:solidFill>
                <a:schemeClr val="accent2">
                  <a:lumMod val="60000"/>
                  <a:lumOff val="40000"/>
                </a:schemeClr>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6">
                  <a:lumMod val="60000"/>
                  <a:lumOff val="40000"/>
                </a:schemeClr>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7.3</a:t>
                    </a:r>
                    <a:r>
                      <a:rPr lang="en-US" altLang="zh-CN"/>
                      <a:t>2</a:t>
                    </a:r>
                    <a:r>
                      <a:t>%</a:t>
                    </a:r>
                  </a:p>
                </c:rich>
              </c:tx>
              <c:dLblPos val="bestFit"/>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7.2</a:t>
                    </a:r>
                    <a:r>
                      <a:rPr lang="en-US" altLang="zh-CN"/>
                      <a:t>8</a:t>
                    </a:r>
                    <a:r>
                      <a:t>%</a:t>
                    </a:r>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工作表.xls]Sheet1'!$P$73:$P$75</c:f>
              <c:strCache>
                <c:ptCount val="3"/>
                <c:pt idx="0">
                  <c:v>社会保障和就业支出</c:v>
                </c:pt>
                <c:pt idx="1">
                  <c:v>卫生健康支出</c:v>
                </c:pt>
                <c:pt idx="2">
                  <c:v>住房保障支出</c:v>
                </c:pt>
              </c:strCache>
            </c:strRef>
          </c:cat>
          <c:val>
            <c:numRef>
              <c:f>'[新建 XLS 工作表.xls]Sheet1'!$Q$73:$Q$75</c:f>
              <c:numCache>
                <c:formatCode>0.00%</c:formatCode>
                <c:ptCount val="3"/>
                <c:pt idx="0">
                  <c:v>0.0731</c:v>
                </c:pt>
                <c:pt idx="1">
                  <c:v>0.854</c:v>
                </c:pt>
                <c:pt idx="2">
                  <c:v>0.0729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'[新建 XLS 工作表.xls]Sheet1'!$Q$78</c:f>
              <c:strCache>
                <c:ptCount val="1"/>
                <c:pt idx="0">
                  <c:v>“三公”经费财政拨款支出</c:v>
                </c:pt>
              </c:strCache>
            </c:strRef>
          </c:tx>
          <c:spPr/>
          <c:explosion val="0"/>
          <c:dPt>
            <c:idx val="0"/>
            <c:bubble3D val="0"/>
            <c:spPr>
              <a:solidFill>
                <a:schemeClr val="accent6">
                  <a:lumMod val="60000"/>
                  <a:lumOff val="40000"/>
                </a:schemeClr>
              </a:solidFill>
              <a:ln w="19050">
                <a:solidFill>
                  <a:schemeClr val="lt1"/>
                </a:solidFill>
              </a:ln>
              <a:effectLst/>
            </c:spPr>
          </c:dPt>
          <c:dPt>
            <c:idx val="1"/>
            <c:bubble3D val="0"/>
            <c:spPr>
              <a:solidFill>
                <a:schemeClr val="accent2">
                  <a:lumMod val="60000"/>
                  <a:lumOff val="40000"/>
                </a:schemeClr>
              </a:solidFill>
              <a:ln w="19050">
                <a:solidFill>
                  <a:schemeClr val="lt1"/>
                </a:solidFill>
              </a:ln>
              <a:effectLst/>
            </c:spPr>
          </c:dPt>
          <c:dPt>
            <c:idx val="2"/>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工作表.xls]Sheet1'!$P$79:$P$81</c:f>
              <c:strCache>
                <c:ptCount val="3"/>
                <c:pt idx="0">
                  <c:v>因公出国（境）费支出</c:v>
                </c:pt>
                <c:pt idx="1">
                  <c:v>公务用车购置及运行维护费支出</c:v>
                </c:pt>
                <c:pt idx="2">
                  <c:v>公务接待费支出</c:v>
                </c:pt>
              </c:strCache>
            </c:strRef>
          </c:cat>
          <c:val>
            <c:numRef>
              <c:f>'[新建 XLS 工作表.xls]Sheet1'!$Q$79:$Q$81</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鲁西西</cp:lastModifiedBy>
  <cp:lastPrinted>2023-09-23T08:54:00Z</cp:lastPrinted>
  <dcterms:modified xsi:type="dcterms:W3CDTF">2023-10-18T07:20:51Z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