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0"/>
          <w:left w:val="none" w:color="auto" w:sz="0" w:space="0"/>
          <w:bottom w:val="none" w:color="auto" w:sz="0" w:space="0"/>
          <w:right w:val="none" w:color="auto" w:sz="0" w:space="0"/>
          <w:between w:val="none" w:color="auto" w:sz="0" w:space="0"/>
        </w:pBdr>
        <w:adjustRightInd w:val="0"/>
        <w:snapToGrid w:val="0"/>
        <w:spacing w:line="1000" w:lineRule="exact"/>
        <w:jc w:val="center"/>
        <w:outlineLvl w:val="0"/>
        <w:rPr>
          <w:rFonts w:hint="eastAsia" w:ascii="方正小标宋简体" w:hAnsi="方正小标宋简体" w:eastAsia="方正小标宋简体" w:cs="方正小标宋简体"/>
          <w:sz w:val="72"/>
          <w:szCs w:val="72"/>
        </w:rPr>
      </w:pPr>
      <w:bookmarkStart w:id="0" w:name="_Toc15396603"/>
      <w:bookmarkStart w:id="1" w:name="_Toc15377205"/>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2</w:t>
      </w:r>
      <w:r>
        <w:rPr>
          <w:rFonts w:hint="eastAsia" w:ascii="方正小标宋简体" w:hAnsi="方正小标宋简体" w:eastAsia="方正小标宋简体" w:cs="方正小标宋简体"/>
          <w:sz w:val="72"/>
          <w:szCs w:val="72"/>
        </w:rPr>
        <w:t>年度</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1000" w:lineRule="exact"/>
        <w:jc w:val="center"/>
        <w:outlineLvl w:val="0"/>
        <w:rPr>
          <w:rFonts w:hint="eastAsia" w:ascii="方正小标宋简体" w:hAnsi="方正小标宋简体" w:eastAsia="方正小标宋简体" w:cs="方正小标宋简体"/>
          <w:sz w:val="72"/>
          <w:szCs w:val="72"/>
        </w:rPr>
      </w:pPr>
      <w:bookmarkStart w:id="2" w:name="_Toc15377194"/>
      <w:bookmarkStart w:id="3" w:name="_Toc15396476"/>
      <w:bookmarkStart w:id="4" w:name="_Toc15377426"/>
      <w:bookmarkStart w:id="5" w:name="_Toc15378442"/>
      <w:bookmarkStart w:id="6" w:name="_Toc15396598"/>
      <w:r>
        <w:rPr>
          <w:rFonts w:hint="eastAsia" w:ascii="方正小标宋简体" w:hAnsi="方正小标宋简体" w:eastAsia="方正小标宋简体" w:cs="方正小标宋简体"/>
          <w:sz w:val="72"/>
          <w:szCs w:val="72"/>
        </w:rPr>
        <w:t>广元市</w:t>
      </w:r>
      <w:bookmarkStart w:id="7" w:name="_Toc15306268"/>
      <w:r>
        <w:rPr>
          <w:rFonts w:hint="eastAsia" w:ascii="方正小标宋简体" w:hAnsi="方正小标宋简体" w:eastAsia="方正小标宋简体" w:cs="方正小标宋简体"/>
          <w:sz w:val="72"/>
          <w:szCs w:val="72"/>
        </w:rPr>
        <w:t>社会科学界联合会</w:t>
      </w:r>
      <w:r>
        <w:rPr>
          <w:rFonts w:hint="eastAsia" w:ascii="方正小标宋简体" w:hAnsi="方正小标宋简体" w:eastAsia="方正小标宋简体" w:cs="方正小标宋简体"/>
          <w:sz w:val="72"/>
          <w:szCs w:val="72"/>
          <w:lang w:eastAsia="zh-CN"/>
        </w:rPr>
        <w:t>单位</w:t>
      </w:r>
      <w:r>
        <w:rPr>
          <w:rFonts w:hint="eastAsia" w:ascii="方正小标宋简体" w:hAnsi="方正小标宋简体" w:eastAsia="方正小标宋简体" w:cs="方正小标宋简体"/>
          <w:sz w:val="72"/>
          <w:szCs w:val="72"/>
        </w:rPr>
        <w:t>决算</w:t>
      </w:r>
      <w:bookmarkEnd w:id="2"/>
      <w:bookmarkEnd w:id="3"/>
      <w:bookmarkEnd w:id="4"/>
      <w:bookmarkEnd w:id="5"/>
      <w:bookmarkEnd w:id="6"/>
      <w:bookmarkEnd w:id="7"/>
    </w:p>
    <w:p>
      <w:pPr>
        <w:widowControl/>
        <w:pBdr>
          <w:top w:val="none" w:color="auto" w:sz="0" w:space="0"/>
          <w:left w:val="none" w:color="auto" w:sz="0" w:space="0"/>
          <w:bottom w:val="none" w:color="auto" w:sz="0" w:space="0"/>
          <w:right w:val="none" w:color="auto" w:sz="0" w:space="0"/>
          <w:between w:val="none" w:color="auto" w:sz="0" w:space="0"/>
        </w:pBdr>
        <w:jc w:val="center"/>
        <w:rPr>
          <w:rFonts w:ascii="黑体" w:hAnsi="黑体" w:eastAsia="黑体" w:cstheme="minorBidi"/>
          <w:color w:val="auto"/>
          <w:sz w:val="28"/>
          <w:szCs w:val="28"/>
          <w:highlight w:val="none"/>
        </w:rPr>
      </w:pPr>
      <w:r>
        <w:rPr>
          <w:rFonts w:ascii="方正小标宋简体" w:hAnsi="宋体" w:eastAsia="方正小标宋简体"/>
          <w:sz w:val="36"/>
          <w:szCs w:val="36"/>
        </w:rPr>
        <w:br w:type="page"/>
      </w: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8"/>
        <w:pBdr>
          <w:top w:val="none" w:color="auto" w:sz="0" w:space="0"/>
          <w:left w:val="none" w:color="auto" w:sz="0" w:space="0"/>
          <w:bottom w:val="none" w:color="auto" w:sz="0" w:space="0"/>
          <w:right w:val="none" w:color="auto" w:sz="0" w:space="0"/>
          <w:between w:val="none" w:color="auto" w:sz="0" w:space="0"/>
        </w:pBdr>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17</w:t>
      </w:r>
      <w:bookmarkStart w:id="57" w:name="_GoBack"/>
      <w:bookmarkEnd w:id="57"/>
      <w:r>
        <w:rPr>
          <w:rFonts w:hint="eastAsia"/>
          <w:color w:val="auto"/>
          <w:highlight w:val="none"/>
        </w:rPr>
        <w:t>日</w:t>
      </w:r>
    </w:p>
    <w:p>
      <w:pPr>
        <w:pBdr>
          <w:top w:val="none" w:color="auto" w:sz="0" w:space="0"/>
          <w:left w:val="none" w:color="auto" w:sz="0" w:space="0"/>
          <w:bottom w:val="none" w:color="auto" w:sz="0" w:space="0"/>
          <w:right w:val="none" w:color="auto" w:sz="0" w:space="0"/>
          <w:between w:val="none" w:color="auto" w:sz="0" w:space="0"/>
        </w:pBdr>
        <w:rPr>
          <w:color w:val="auto"/>
          <w:highlight w:val="none"/>
        </w:rPr>
      </w:pP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jc w:val="left"/>
        <w:textAlignment w:val="auto"/>
        <w:rPr>
          <w:rFonts w:hint="default" w:eastAsia="方正仿宋简体" w:cs="Times New Roman"/>
          <w:sz w:val="28"/>
          <w:szCs w:val="28"/>
          <w:lang w:val="en-US"/>
        </w:rPr>
      </w:pPr>
      <w:r>
        <w:rPr>
          <w:rFonts w:hint="eastAsia" w:eastAsia="方正仿宋简体" w:cs="Times New Roman"/>
          <w:sz w:val="28"/>
          <w:szCs w:val="28"/>
        </w:rPr>
        <w:t xml:space="preserve">第一部分 </w:t>
      </w:r>
      <w:r>
        <w:rPr>
          <w:rFonts w:hint="eastAsia" w:eastAsia="方正仿宋简体" w:cs="Times New Roman"/>
          <w:sz w:val="28"/>
          <w:szCs w:val="28"/>
          <w:lang w:eastAsia="zh-CN"/>
        </w:rPr>
        <w:t>单位</w:t>
      </w:r>
      <w:r>
        <w:rPr>
          <w:rFonts w:hint="eastAsia" w:eastAsia="方正仿宋简体" w:cs="Times New Roman"/>
          <w:sz w:val="28"/>
          <w:szCs w:val="28"/>
        </w:rPr>
        <w:t>概况</w:t>
      </w:r>
      <w:r>
        <w:rPr>
          <w:rFonts w:hint="eastAsia" w:eastAsia="方正仿宋简体"/>
          <w:sz w:val="28"/>
          <w:szCs w:val="28"/>
          <w:lang w:eastAsia="zh-CN"/>
        </w:rPr>
        <w:t>……………………………………………………</w:t>
      </w:r>
      <w:r>
        <w:rPr>
          <w:rFonts w:hint="eastAsia" w:eastAsia="方正仿宋简体"/>
          <w:sz w:val="28"/>
          <w:szCs w:val="28"/>
          <w:lang w:val="en-US" w:eastAsia="zh-CN"/>
        </w:rPr>
        <w:t>4</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eastAsia" w:eastAsia="方正仿宋简体"/>
          <w:sz w:val="28"/>
          <w:szCs w:val="28"/>
          <w:lang w:val="en-US" w:eastAsia="zh-CN"/>
        </w:rPr>
      </w:pPr>
      <w:r>
        <w:rPr>
          <w:rFonts w:hint="eastAsia" w:ascii="Times New Roman" w:hAnsi="Times New Roman" w:eastAsia="宋体" w:cs="Times New Roman"/>
          <w:sz w:val="28"/>
          <w:szCs w:val="28"/>
        </w:rPr>
        <w:t>一、</w:t>
      </w:r>
      <w:r>
        <w:rPr>
          <w:rFonts w:hint="eastAsia" w:ascii="Times New Roman" w:hAnsi="Times New Roman" w:eastAsia="宋体" w:cs="Times New Roman"/>
          <w:sz w:val="28"/>
          <w:szCs w:val="28"/>
          <w:lang w:eastAsia="zh-CN"/>
        </w:rPr>
        <w:t>主要职责</w:t>
      </w:r>
      <w:r>
        <w:rPr>
          <w:rFonts w:hint="eastAsia" w:eastAsia="方正仿宋简体"/>
          <w:sz w:val="28"/>
          <w:szCs w:val="28"/>
          <w:lang w:eastAsia="zh-CN"/>
        </w:rPr>
        <w:t>………………………………………………………</w:t>
      </w:r>
      <w:r>
        <w:rPr>
          <w:rFonts w:hint="eastAsia" w:eastAsia="方正仿宋简体"/>
          <w:sz w:val="28"/>
          <w:szCs w:val="28"/>
          <w:lang w:val="en-US" w:eastAsia="zh-CN"/>
        </w:rPr>
        <w:t>4</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eastAsia" w:eastAsia="方正仿宋简体"/>
          <w:sz w:val="28"/>
          <w:szCs w:val="28"/>
          <w:lang w:val="en-US" w:eastAsia="zh-CN"/>
        </w:rPr>
      </w:pPr>
      <w:r>
        <w:rPr>
          <w:rFonts w:hint="eastAsia" w:eastAsia="方正仿宋简体"/>
          <w:sz w:val="28"/>
          <w:szCs w:val="28"/>
          <w:lang w:val="en-US" w:eastAsia="zh-CN"/>
        </w:rPr>
        <w:t>二、</w:t>
      </w:r>
      <w:r>
        <w:rPr>
          <w:rFonts w:hint="eastAsia" w:eastAsia="方正仿宋简体"/>
          <w:sz w:val="28"/>
          <w:szCs w:val="28"/>
          <w:lang w:eastAsia="zh-CN"/>
        </w:rPr>
        <w:t>机构设置………………………………………………………</w:t>
      </w:r>
      <w:r>
        <w:rPr>
          <w:rFonts w:hint="eastAsia" w:eastAsia="方正仿宋简体"/>
          <w:sz w:val="28"/>
          <w:szCs w:val="28"/>
          <w:lang w:val="en-US" w:eastAsia="zh-CN"/>
        </w:rPr>
        <w:t>5</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lang w:val="en-US" w:eastAsia="zh-CN"/>
        </w:rPr>
      </w:pPr>
      <w:r>
        <w:rPr>
          <w:rFonts w:hint="eastAsia" w:eastAsia="方正仿宋简体"/>
          <w:sz w:val="28"/>
          <w:szCs w:val="28"/>
          <w:lang w:eastAsia="zh-CN"/>
        </w:rPr>
        <w:t>二、机构设置………………………………………………………</w:t>
      </w:r>
      <w:r>
        <w:rPr>
          <w:rFonts w:hint="eastAsia" w:eastAsia="方正仿宋简体"/>
          <w:sz w:val="28"/>
          <w:szCs w:val="28"/>
          <w:lang w:val="en-US" w:eastAsia="zh-CN"/>
        </w:rPr>
        <w:t>6</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jc w:val="left"/>
        <w:textAlignment w:val="auto"/>
        <w:rPr>
          <w:rFonts w:hint="default" w:eastAsia="方正仿宋简体" w:cs="Times New Roman"/>
          <w:sz w:val="28"/>
          <w:szCs w:val="28"/>
          <w:lang w:val="en-US" w:eastAsia="zh-CN"/>
        </w:rPr>
      </w:pPr>
      <w:r>
        <w:rPr>
          <w:rFonts w:hint="eastAsia" w:eastAsia="方正仿宋简体" w:cs="Times New Roman"/>
          <w:sz w:val="28"/>
          <w:szCs w:val="28"/>
          <w:lang w:eastAsia="zh-CN"/>
        </w:rPr>
        <w:t>第二部分</w:t>
      </w:r>
      <w:r>
        <w:rPr>
          <w:rFonts w:hint="eastAsia" w:eastAsia="方正仿宋简体" w:cs="Times New Roman"/>
          <w:sz w:val="28"/>
          <w:szCs w:val="28"/>
          <w:lang w:val="en-US" w:eastAsia="zh-CN"/>
        </w:rPr>
        <w:t xml:space="preserve"> 2022年度</w:t>
      </w:r>
      <w:r>
        <w:rPr>
          <w:rFonts w:hint="eastAsia" w:eastAsia="方正仿宋简体" w:cs="Times New Roman"/>
          <w:sz w:val="28"/>
          <w:szCs w:val="28"/>
          <w:lang w:eastAsia="zh-CN"/>
        </w:rPr>
        <w:t>单位决算情况说明</w:t>
      </w:r>
      <w:r>
        <w:rPr>
          <w:rFonts w:hint="eastAsia" w:eastAsia="方正仿宋简体"/>
          <w:sz w:val="28"/>
          <w:szCs w:val="28"/>
          <w:lang w:eastAsia="zh-CN"/>
        </w:rPr>
        <w:t>………………………………</w:t>
      </w:r>
      <w:r>
        <w:rPr>
          <w:rFonts w:hint="eastAsia" w:eastAsia="方正仿宋简体"/>
          <w:sz w:val="28"/>
          <w:szCs w:val="28"/>
          <w:lang w:val="en-US" w:eastAsia="zh-CN"/>
        </w:rPr>
        <w:t>7</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360" w:lineRule="auto"/>
        <w:ind w:left="0" w:leftChars="0" w:firstLine="560" w:firstLineChars="200"/>
        <w:jc w:val="left"/>
        <w:textAlignment w:val="auto"/>
        <w:rPr>
          <w:rFonts w:hint="default" w:ascii="仿宋" w:hAnsi="仿宋" w:eastAsia="方正仿宋简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一、收入支出决算总体情况说明</w:t>
      </w:r>
      <w:r>
        <w:rPr>
          <w:rFonts w:hint="eastAsia" w:eastAsia="方正仿宋简体"/>
          <w:sz w:val="28"/>
          <w:szCs w:val="28"/>
          <w:lang w:eastAsia="zh-CN"/>
        </w:rPr>
        <w:t>…………………………………</w:t>
      </w:r>
      <w:r>
        <w:rPr>
          <w:rFonts w:hint="eastAsia" w:ascii="仿宋" w:hAnsi="仿宋" w:eastAsia="方正仿宋简体" w:cs="Times New Roman"/>
          <w:kern w:val="2"/>
          <w:sz w:val="28"/>
          <w:szCs w:val="28"/>
          <w:lang w:val="en-US" w:eastAsia="zh-CN" w:bidi="ar-SA"/>
        </w:rPr>
        <w:t>7</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二、收入决算情况说明</w:t>
      </w:r>
      <w:r>
        <w:rPr>
          <w:rFonts w:hint="eastAsia" w:eastAsia="方正仿宋简体"/>
          <w:sz w:val="28"/>
          <w:szCs w:val="28"/>
          <w:lang w:eastAsia="zh-CN"/>
        </w:rPr>
        <w:t>……………………………………………</w:t>
      </w:r>
      <w:r>
        <w:rPr>
          <w:rFonts w:hint="eastAsia" w:eastAsia="方正仿宋简体"/>
          <w:sz w:val="28"/>
          <w:szCs w:val="28"/>
          <w:lang w:val="en-US" w:eastAsia="zh-CN"/>
        </w:rPr>
        <w:t>8</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eastAsia"/>
          <w:lang w:val="en-US" w:eastAsia="zh-CN"/>
        </w:rPr>
      </w:pPr>
      <w:r>
        <w:rPr>
          <w:rFonts w:hint="eastAsia" w:ascii="Times New Roman" w:hAnsi="Times New Roman" w:eastAsia="宋体" w:cs="Times New Roman"/>
          <w:kern w:val="2"/>
          <w:sz w:val="28"/>
          <w:szCs w:val="28"/>
          <w:lang w:val="en-US" w:eastAsia="zh-CN" w:bidi="ar-SA"/>
        </w:rPr>
        <w:t>四、财政拨款收入支出决算总体情况说明</w:t>
      </w:r>
      <w:r>
        <w:rPr>
          <w:rFonts w:hint="eastAsia" w:eastAsia="方正仿宋简体"/>
          <w:sz w:val="28"/>
          <w:szCs w:val="28"/>
          <w:lang w:eastAsia="zh-CN"/>
        </w:rPr>
        <w:t>………………………</w:t>
      </w:r>
      <w:r>
        <w:rPr>
          <w:rFonts w:hint="eastAsia" w:eastAsia="方正仿宋简体"/>
          <w:sz w:val="28"/>
          <w:szCs w:val="28"/>
          <w:lang w:val="en-US" w:eastAsia="zh-CN"/>
        </w:rPr>
        <w:t>8</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五、一般公共预算财政拨款支出决算情况说明</w:t>
      </w:r>
      <w:r>
        <w:rPr>
          <w:rFonts w:hint="eastAsia" w:eastAsia="方正仿宋简体"/>
          <w:sz w:val="28"/>
          <w:szCs w:val="28"/>
          <w:lang w:eastAsia="zh-CN"/>
        </w:rPr>
        <w:t>…………………</w:t>
      </w:r>
      <w:r>
        <w:rPr>
          <w:rFonts w:hint="eastAsia" w:eastAsia="方正仿宋简体"/>
          <w:sz w:val="28"/>
          <w:szCs w:val="28"/>
          <w:lang w:val="en-US" w:eastAsia="zh-CN"/>
        </w:rPr>
        <w:t>9</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eastAsia="方正仿宋简体"/>
          <w:sz w:val="28"/>
          <w:szCs w:val="28"/>
          <w:lang w:eastAsia="zh-CN"/>
        </w:rPr>
      </w:pPr>
      <w:r>
        <w:rPr>
          <w:rFonts w:hint="eastAsia" w:ascii="Times New Roman" w:hAnsi="Times New Roman" w:eastAsia="宋体" w:cs="Times New Roman"/>
          <w:kern w:val="2"/>
          <w:sz w:val="28"/>
          <w:szCs w:val="28"/>
          <w:lang w:val="en-US" w:eastAsia="zh-CN" w:bidi="ar-SA"/>
        </w:rPr>
        <w:t>六、一般公共预算财政拨款基本支出决算情况说明</w:t>
      </w:r>
      <w:r>
        <w:rPr>
          <w:rFonts w:hint="eastAsia" w:eastAsia="方正仿宋简体"/>
          <w:sz w:val="28"/>
          <w:szCs w:val="28"/>
          <w:lang w:eastAsia="zh-CN"/>
        </w:rPr>
        <w:t>…………</w:t>
      </w:r>
      <w:r>
        <w:rPr>
          <w:rFonts w:hint="default" w:eastAsia="方正仿宋简体"/>
          <w:sz w:val="28"/>
          <w:szCs w:val="28"/>
          <w:lang w:eastAsia="zh-CN"/>
        </w:rPr>
        <w:t>11</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七、财政拨款“三公”经费支出决算情况说明</w:t>
      </w:r>
      <w:r>
        <w:rPr>
          <w:rFonts w:hint="eastAsia" w:eastAsia="方正仿宋简体"/>
          <w:sz w:val="28"/>
          <w:szCs w:val="28"/>
          <w:lang w:eastAsia="zh-CN"/>
        </w:rPr>
        <w:t>…………………</w:t>
      </w:r>
      <w:r>
        <w:rPr>
          <w:rFonts w:hint="eastAsia" w:eastAsia="方正仿宋简体"/>
          <w:sz w:val="28"/>
          <w:szCs w:val="28"/>
          <w:lang w:val="en-US" w:eastAsia="zh-CN"/>
        </w:rPr>
        <w:t>11</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360" w:lineRule="auto"/>
        <w:ind w:left="0" w:leftChars="0" w:firstLine="560" w:firstLineChars="200"/>
        <w:jc w:val="left"/>
        <w:textAlignment w:val="auto"/>
        <w:rPr>
          <w:rFonts w:hint="default" w:ascii="仿宋" w:hAnsi="仿宋" w:eastAsia="方正仿宋简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八、政府性基金预算支出决算情况说明</w:t>
      </w:r>
      <w:r>
        <w:rPr>
          <w:rFonts w:hint="eastAsia" w:eastAsia="方正仿宋简体"/>
          <w:sz w:val="28"/>
          <w:szCs w:val="28"/>
          <w:lang w:eastAsia="zh-CN"/>
        </w:rPr>
        <w:t>…………………………</w:t>
      </w:r>
      <w:r>
        <w:rPr>
          <w:rFonts w:hint="eastAsia" w:ascii="仿宋" w:hAnsi="仿宋" w:eastAsia="方正仿宋简体" w:cs="Times New Roman"/>
          <w:kern w:val="2"/>
          <w:sz w:val="28"/>
          <w:szCs w:val="28"/>
          <w:lang w:val="en-US" w:eastAsia="zh-CN" w:bidi="ar-SA"/>
        </w:rPr>
        <w:t>12</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360" w:lineRule="auto"/>
        <w:ind w:left="0" w:leftChars="0" w:firstLine="560" w:firstLineChars="200"/>
        <w:jc w:val="left"/>
        <w:textAlignment w:val="auto"/>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九、国有资本经营预算支出决算情况说明</w:t>
      </w:r>
      <w:r>
        <w:rPr>
          <w:rFonts w:hint="eastAsia" w:eastAsia="方正仿宋简体"/>
          <w:sz w:val="28"/>
          <w:szCs w:val="28"/>
          <w:lang w:eastAsia="zh-CN"/>
        </w:rPr>
        <w:t>………………………</w:t>
      </w:r>
      <w:r>
        <w:rPr>
          <w:rFonts w:hint="eastAsia" w:eastAsia="方正仿宋简体"/>
          <w:sz w:val="28"/>
          <w:szCs w:val="28"/>
          <w:lang w:val="en-US" w:eastAsia="zh-CN"/>
        </w:rPr>
        <w:t>12</w:t>
      </w:r>
    </w:p>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十、其他重要事项的情况说明</w:t>
      </w:r>
      <w:r>
        <w:rPr>
          <w:rFonts w:hint="eastAsia" w:eastAsia="方正仿宋简体"/>
          <w:sz w:val="28"/>
          <w:szCs w:val="28"/>
          <w:lang w:eastAsia="zh-CN"/>
        </w:rPr>
        <w:t>……………………………………</w:t>
      </w:r>
      <w:r>
        <w:rPr>
          <w:rFonts w:hint="eastAsia" w:eastAsia="方正仿宋简体"/>
          <w:sz w:val="28"/>
          <w:szCs w:val="28"/>
          <w:lang w:val="en-US" w:eastAsia="zh-CN"/>
        </w:rPr>
        <w:t>12</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eastAsia="方正仿宋简体" w:cs="Times New Roman"/>
          <w:sz w:val="28"/>
          <w:szCs w:val="28"/>
          <w:lang w:val="en-US" w:eastAsia="zh-CN"/>
        </w:rPr>
      </w:pPr>
      <w:r>
        <w:rPr>
          <w:rFonts w:hint="eastAsia" w:eastAsia="方正仿宋简体" w:cs="Times New Roman"/>
          <w:sz w:val="28"/>
          <w:szCs w:val="28"/>
          <w:lang w:val="en-US" w:eastAsia="zh-CN"/>
        </w:rPr>
        <w:t>第三部分 名词解释</w:t>
      </w:r>
      <w:r>
        <w:rPr>
          <w:rFonts w:hint="eastAsia" w:eastAsia="方正仿宋简体"/>
          <w:sz w:val="28"/>
          <w:szCs w:val="28"/>
          <w:lang w:eastAsia="zh-CN"/>
        </w:rPr>
        <w:t>……………………………………………</w:t>
      </w:r>
      <w:r>
        <w:rPr>
          <w:rFonts w:hint="eastAsia" w:eastAsia="方正仿宋简体"/>
          <w:sz w:val="28"/>
          <w:szCs w:val="28"/>
          <w:lang w:val="en-US" w:eastAsia="zh-CN"/>
        </w:rPr>
        <w:t>13</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eastAsia="方正仿宋简体"/>
          <w:sz w:val="28"/>
          <w:szCs w:val="28"/>
          <w:lang w:val="en-US" w:eastAsia="zh-CN"/>
        </w:rPr>
      </w:pPr>
      <w:r>
        <w:rPr>
          <w:rFonts w:hint="eastAsia" w:eastAsia="方正仿宋简体" w:cs="Times New Roman"/>
          <w:sz w:val="28"/>
          <w:szCs w:val="28"/>
          <w:lang w:val="en-US" w:eastAsia="zh-CN"/>
        </w:rPr>
        <w:t>第四部分 附件</w:t>
      </w:r>
      <w:r>
        <w:rPr>
          <w:rFonts w:hint="eastAsia" w:eastAsia="方正仿宋简体"/>
          <w:sz w:val="28"/>
          <w:szCs w:val="28"/>
          <w:lang w:eastAsia="zh-CN"/>
        </w:rPr>
        <w:t>……………………………………………………</w:t>
      </w:r>
      <w:r>
        <w:rPr>
          <w:rFonts w:hint="eastAsia" w:eastAsia="方正仿宋简体"/>
          <w:sz w:val="28"/>
          <w:szCs w:val="28"/>
          <w:lang w:val="en-US" w:eastAsia="zh-CN"/>
        </w:rPr>
        <w:t>15</w:t>
      </w:r>
    </w:p>
    <w:p>
      <w:pPr>
        <w:pStyle w:val="8"/>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before="0" w:line="360" w:lineRule="auto"/>
        <w:ind w:firstLine="560" w:firstLineChars="200"/>
        <w:jc w:val="left"/>
        <w:textAlignment w:val="auto"/>
        <w:rPr>
          <w:rFonts w:hint="default" w:eastAsia="方正仿宋简体"/>
          <w:sz w:val="28"/>
          <w:szCs w:val="28"/>
          <w:lang w:val="en-US" w:eastAsia="zh-CN"/>
        </w:rPr>
      </w:pPr>
      <w:r>
        <w:rPr>
          <w:rFonts w:hint="eastAsia" w:eastAsia="方正仿宋简体"/>
          <w:sz w:val="28"/>
          <w:szCs w:val="28"/>
          <w:lang w:val="en-US" w:eastAsia="zh-CN"/>
        </w:rPr>
        <w:t>第五部分 附表</w:t>
      </w:r>
      <w:r>
        <w:rPr>
          <w:rFonts w:hint="eastAsia" w:eastAsia="方正仿宋简体"/>
          <w:sz w:val="28"/>
          <w:szCs w:val="28"/>
          <w:lang w:eastAsia="zh-CN"/>
        </w:rPr>
        <w:t>…………………………………………………………</w:t>
      </w:r>
      <w:r>
        <w:rPr>
          <w:rFonts w:hint="eastAsia" w:eastAsia="方正仿宋简体"/>
          <w:sz w:val="28"/>
          <w:szCs w:val="28"/>
          <w:lang w:val="en-US" w:eastAsia="zh-CN"/>
        </w:rPr>
        <w:t>21</w:t>
      </w:r>
    </w:p>
    <w:p>
      <w:pPr>
        <w:pStyle w:val="3"/>
        <w:keepNext/>
        <w:keepLines/>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0" w:line="576" w:lineRule="exact"/>
        <w:jc w:val="center"/>
        <w:textAlignment w:val="auto"/>
        <w:rPr>
          <w:rFonts w:hint="eastAsia" w:ascii="仿宋_GB2312" w:hAnsi="仿宋_GB2312" w:eastAsia="仿宋_GB2312" w:cs="仿宋_GB2312"/>
          <w:bCs w:val="0"/>
        </w:rPr>
      </w:pPr>
      <w:bookmarkStart w:id="8" w:name="_Toc15377196"/>
      <w:bookmarkStart w:id="9" w:name="_Toc15396599"/>
      <w:r>
        <w:rPr>
          <w:rFonts w:hint="eastAsia" w:ascii="黑体" w:hAnsi="黑体" w:eastAsia="黑体"/>
          <w:b w:val="0"/>
        </w:rPr>
        <w:t xml:space="preserve">第一部分 </w:t>
      </w:r>
      <w:r>
        <w:rPr>
          <w:rStyle w:val="15"/>
          <w:rFonts w:hint="eastAsia" w:ascii="黑体" w:hAnsi="黑体" w:eastAsia="黑体"/>
          <w:b w:val="0"/>
          <w:bCs w:val="0"/>
          <w:lang w:val="en-US" w:eastAsia="zh-CN"/>
        </w:rPr>
        <w:t>单位</w:t>
      </w:r>
      <w:r>
        <w:rPr>
          <w:rStyle w:val="15"/>
          <w:rFonts w:hint="eastAsia" w:ascii="黑体" w:hAnsi="黑体" w:eastAsia="黑体"/>
          <w:b w:val="0"/>
          <w:bCs w:val="0"/>
        </w:rPr>
        <w:t>概况</w:t>
      </w:r>
      <w:bookmarkEnd w:id="8"/>
      <w:bookmarkEnd w:id="9"/>
      <w:bookmarkStart w:id="10" w:name="_Toc15396600"/>
      <w:bookmarkStart w:id="11" w:name="_Toc15377197"/>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2" w:firstLineChars="200"/>
        <w:rPr>
          <w:rStyle w:val="16"/>
          <w:rFonts w:hint="eastAsia" w:ascii="仿宋_GB2312" w:hAnsi="仿宋_GB2312" w:eastAsia="仿宋_GB2312" w:cs="仿宋_GB2312"/>
          <w:b/>
          <w:bCs w:val="0"/>
        </w:rPr>
      </w:pPr>
      <w:r>
        <w:rPr>
          <w:rFonts w:hint="eastAsia" w:ascii="黑体" w:hAnsi="黑体" w:eastAsia="黑体" w:cs="黑体"/>
          <w:bCs w:val="0"/>
        </w:rPr>
        <w:t>一、基</w:t>
      </w:r>
      <w:r>
        <w:rPr>
          <w:rStyle w:val="16"/>
          <w:rFonts w:hint="eastAsia" w:ascii="黑体" w:hAnsi="黑体" w:eastAsia="黑体" w:cs="黑体"/>
          <w:b/>
          <w:bCs w:val="0"/>
        </w:rPr>
        <w:t>本职能及主要工作</w:t>
      </w:r>
      <w:bookmarkEnd w:id="10"/>
      <w:bookmarkEnd w:id="11"/>
      <w:bookmarkStart w:id="12" w:name="_Toc15378445"/>
      <w:bookmarkStart w:id="13" w:name="_Toc15377198"/>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rPr>
          <w:rFonts w:hint="eastAsia" w:ascii="楷体_GB2312" w:hAnsi="楷体_GB2312" w:eastAsia="楷体_GB2312" w:cs="楷体_GB2312"/>
        </w:rPr>
      </w:pPr>
      <w:r>
        <w:rPr>
          <w:rFonts w:hint="eastAsia" w:ascii="仿宋_GB2312" w:hAnsi="仿宋_GB2312" w:eastAsia="仿宋_GB2312" w:cs="仿宋_GB2312"/>
        </w:rPr>
        <w:t>　　</w:t>
      </w:r>
      <w:r>
        <w:rPr>
          <w:rFonts w:hint="eastAsia" w:ascii="楷体_GB2312" w:hAnsi="楷体_GB2312" w:eastAsia="楷体_GB2312" w:cs="楷体_GB2312"/>
        </w:rPr>
        <w:t>（一）主要职能</w:t>
      </w:r>
      <w:bookmarkEnd w:id="12"/>
      <w:bookmarkEnd w:id="13"/>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bookmarkStart w:id="14" w:name="_Toc15377199"/>
      <w:bookmarkStart w:id="15" w:name="_Toc15378446"/>
      <w:r>
        <w:rPr>
          <w:rFonts w:hint="eastAsia" w:ascii="仿宋" w:hAnsi="仿宋" w:eastAsia="仿宋" w:cs="仿宋"/>
          <w:b w:val="0"/>
          <w:bCs w:val="0"/>
          <w:lang w:val="en-US" w:eastAsia="zh-CN"/>
        </w:rPr>
        <w:t>1.团结和组织全市社会科学工作者坚持以习近平新时代中国特色社会主义思想为指导，增强“四个意识”、坚定“四个自信”、自觉做到“两个维护”，坚决贯彻党的路线、方针、政策，巩固马克思主义在意识形态领域的指导地位。</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2.组织全市社会科学工作者围绕中心、服务大局，为党委、政府的科学决策提供咨询服务，加强新型智库建设。</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3.编制全市社会科学课题规划，负责全市社科规划项目的申报和管理工作。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4.负责开展社会科学优秀成果的评奖工作，安排部分获奖成果的出版、宣传和推广工作。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5.负责新申报的市级社会科学学会、协会、研究会的资格审查；指导和管理全市性社会科学社会团体、县区社科联、高校社科联的工作。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6.组织开展学术交流、调查研究、决策咨询等活动。</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7.组织开展理论研究，推动和资助学科发展，扶持、培养优秀社会科学人才。</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8.依照《四川省科学技术普及条例》，编制全市社会科学普及规划，组织开展社会科学普及工作。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9.指导社会科学普及基地建设，开展学术研究和应用对策研究。</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10.参与推荐社科界创新人才、社会科学学术技术带头人及后备人选的工作。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（二）广元市社会科学界联合会2022年重点工作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1.围绕党的二十大、省第十二次党代会、国家“十四五”哲学社会科学发展规划等内容，开展学习和研究，做好理论阐释工作。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2.围绕省委市委全会和经济工作会议精神，发布2022年市级课题</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3.围绕社科普及集中宣传活动，开展社科宣传普及，指导省市级社科普及基地常态化开展活动，编印社科普及读物</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4.加强学会建设，督促学会按章程开展活动，建立政治学习制度，强化对所办论坛、讲座、刊物等的导向管理，并按相关规定报批。</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5.做好市社科联换届工作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6.加强社科人才队伍建设，举办1期社科人才专题培训班。</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7.下大力气继续做好传统历史文化研究的相关组织工作，创新推出一批接地气、见实效的研究成果。</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8.组织蜀道文化、武则天历史名人文化、民俗文化等重点课题联合攻关，争取完成省级社科课题1项。</w:t>
      </w:r>
    </w:p>
    <w:p>
      <w:pPr>
        <w:pStyle w:val="4"/>
        <w:pBdr>
          <w:top w:val="none" w:color="auto" w:sz="0" w:space="0"/>
          <w:left w:val="none" w:color="auto" w:sz="0" w:space="0"/>
          <w:bottom w:val="none" w:color="auto" w:sz="0" w:space="0"/>
          <w:right w:val="none" w:color="auto" w:sz="0" w:space="0"/>
          <w:between w:val="none" w:color="auto" w:sz="0" w:space="0"/>
        </w:pBdr>
        <w:spacing w:before="0" w:after="0" w:line="576" w:lineRule="exact"/>
        <w:ind w:left="0" w:leftChars="0" w:firstLine="64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9.继续协助做好旺苍红军城红色文化省级社科普及基地申报工作。</w:t>
      </w:r>
    </w:p>
    <w:p>
      <w:pPr>
        <w:widowControl/>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10.推出一批优秀的社科类学会和基地。</w:t>
      </w:r>
    </w:p>
    <w:p>
      <w:pPr>
        <w:pBdr>
          <w:top w:val="none" w:color="auto" w:sz="0" w:space="0"/>
          <w:left w:val="none" w:color="auto" w:sz="0" w:space="0"/>
          <w:bottom w:val="none" w:color="auto" w:sz="0" w:space="0"/>
          <w:right w:val="none" w:color="auto" w:sz="0" w:space="0"/>
          <w:between w:val="none" w:color="auto" w:sz="0" w:space="0"/>
        </w:pBdr>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（二）机构设置</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80" w:lineRule="exact"/>
        <w:ind w:firstLine="640" w:firstLineChars="200"/>
        <w:rPr>
          <w:rFonts w:hint="eastAsia" w:ascii="仿宋" w:hAnsi="仿宋" w:eastAsia="仿宋" w:cs="仿宋"/>
          <w:kern w:val="0"/>
          <w:sz w:val="32"/>
          <w:szCs w:val="32"/>
          <w:lang w:val="zh-CN" w:eastAsia="zh-CN" w:bidi="ar-SA"/>
        </w:rPr>
      </w:pPr>
      <w:r>
        <w:rPr>
          <w:rFonts w:hint="eastAsia" w:ascii="仿宋" w:hAnsi="仿宋" w:eastAsia="仿宋" w:cs="仿宋"/>
          <w:kern w:val="0"/>
          <w:sz w:val="32"/>
          <w:szCs w:val="32"/>
          <w:lang w:val="en-US" w:eastAsia="zh-CN" w:bidi="ar-SA"/>
        </w:rPr>
        <w:t>广元市社会科学界联合会</w:t>
      </w:r>
      <w:r>
        <w:rPr>
          <w:rFonts w:hint="default" w:ascii="仿宋" w:hAnsi="仿宋" w:eastAsia="仿宋" w:cs="仿宋"/>
          <w:kern w:val="0"/>
          <w:sz w:val="32"/>
          <w:szCs w:val="32"/>
          <w:lang w:eastAsia="zh-CN" w:bidi="ar-SA"/>
        </w:rPr>
        <w:t>属于中共广元市委宣传部二级预算单位，</w:t>
      </w:r>
      <w:r>
        <w:rPr>
          <w:rFonts w:hint="eastAsia" w:ascii="仿宋" w:hAnsi="仿宋" w:eastAsia="仿宋" w:cs="仿宋"/>
          <w:kern w:val="0"/>
          <w:sz w:val="32"/>
          <w:szCs w:val="32"/>
          <w:lang w:val="en-US" w:eastAsia="zh-CN" w:bidi="ar-SA"/>
        </w:rPr>
        <w:t>部门预算包括本级预算单位1个,其中参照公务员法管理的事业单位1个。</w:t>
      </w:r>
      <w:r>
        <w:rPr>
          <w:rFonts w:hint="eastAsia" w:ascii="仿宋" w:hAnsi="仿宋" w:eastAsia="仿宋" w:cs="仿宋"/>
          <w:kern w:val="0"/>
          <w:sz w:val="32"/>
          <w:szCs w:val="32"/>
          <w:lang w:val="zh-CN" w:eastAsia="zh-CN" w:bidi="ar-SA"/>
        </w:rPr>
        <w:t>在编人员</w:t>
      </w:r>
      <w:r>
        <w:rPr>
          <w:rFonts w:hint="eastAsia" w:ascii="仿宋" w:hAnsi="仿宋" w:eastAsia="仿宋" w:cs="仿宋"/>
          <w:kern w:val="0"/>
          <w:sz w:val="32"/>
          <w:szCs w:val="32"/>
          <w:lang w:val="en-US" w:eastAsia="zh-CN" w:bidi="ar-SA"/>
        </w:rPr>
        <w:t>6</w:t>
      </w:r>
      <w:r>
        <w:rPr>
          <w:rFonts w:hint="eastAsia" w:ascii="仿宋" w:hAnsi="仿宋" w:eastAsia="仿宋" w:cs="仿宋"/>
          <w:kern w:val="0"/>
          <w:sz w:val="32"/>
          <w:szCs w:val="32"/>
          <w:lang w:val="zh-CN" w:eastAsia="zh-CN" w:bidi="ar-SA"/>
        </w:rPr>
        <w:t>人，其中事业编制</w:t>
      </w:r>
      <w:r>
        <w:rPr>
          <w:rFonts w:hint="eastAsia" w:ascii="仿宋" w:hAnsi="仿宋" w:eastAsia="仿宋" w:cs="仿宋"/>
          <w:kern w:val="0"/>
          <w:sz w:val="32"/>
          <w:szCs w:val="32"/>
          <w:lang w:val="en-US" w:eastAsia="zh-CN" w:bidi="ar-SA"/>
        </w:rPr>
        <w:t>6</w:t>
      </w:r>
      <w:r>
        <w:rPr>
          <w:rFonts w:hint="eastAsia" w:ascii="仿宋" w:hAnsi="仿宋" w:eastAsia="仿宋" w:cs="仿宋"/>
          <w:kern w:val="0"/>
          <w:sz w:val="32"/>
          <w:szCs w:val="32"/>
          <w:lang w:val="zh-CN" w:eastAsia="zh-CN" w:bidi="ar-SA"/>
        </w:rPr>
        <w:t>人。在职实有人数</w:t>
      </w:r>
      <w:r>
        <w:rPr>
          <w:rFonts w:hint="eastAsia" w:ascii="仿宋" w:hAnsi="仿宋" w:eastAsia="仿宋" w:cs="仿宋"/>
          <w:kern w:val="0"/>
          <w:sz w:val="32"/>
          <w:szCs w:val="32"/>
          <w:lang w:val="en-US" w:eastAsia="zh-CN" w:bidi="ar-SA"/>
        </w:rPr>
        <w:t>7</w:t>
      </w:r>
      <w:r>
        <w:rPr>
          <w:rFonts w:hint="eastAsia" w:ascii="仿宋" w:hAnsi="仿宋" w:eastAsia="仿宋" w:cs="仿宋"/>
          <w:kern w:val="0"/>
          <w:sz w:val="32"/>
          <w:szCs w:val="32"/>
          <w:lang w:val="zh-CN" w:eastAsia="zh-CN" w:bidi="ar-SA"/>
        </w:rPr>
        <w:t>人，退休人员</w:t>
      </w:r>
      <w:r>
        <w:rPr>
          <w:rFonts w:hint="eastAsia" w:ascii="仿宋" w:hAnsi="仿宋" w:eastAsia="仿宋" w:cs="仿宋"/>
          <w:kern w:val="0"/>
          <w:sz w:val="32"/>
          <w:szCs w:val="32"/>
          <w:lang w:val="en-US" w:eastAsia="zh-CN" w:bidi="ar-SA"/>
        </w:rPr>
        <w:t>1</w:t>
      </w:r>
      <w:r>
        <w:rPr>
          <w:rFonts w:hint="eastAsia" w:ascii="仿宋" w:hAnsi="仿宋" w:eastAsia="仿宋" w:cs="仿宋"/>
          <w:kern w:val="0"/>
          <w:sz w:val="32"/>
          <w:szCs w:val="32"/>
          <w:lang w:val="zh-CN" w:eastAsia="zh-CN" w:bidi="ar-SA"/>
        </w:rPr>
        <w:t>人。</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80" w:lineRule="exact"/>
        <w:ind w:firstLine="640" w:firstLineChars="200"/>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br w:type="page"/>
      </w:r>
      <w:bookmarkEnd w:id="14"/>
      <w:bookmarkEnd w:id="15"/>
      <w:bookmarkStart w:id="16" w:name="_Toc15396602"/>
      <w:bookmarkStart w:id="17" w:name="_Toc15377204"/>
    </w:p>
    <w:p>
      <w:pPr>
        <w:pStyle w:val="3"/>
        <w:pBdr>
          <w:top w:val="none" w:color="auto" w:sz="0" w:space="0"/>
          <w:left w:val="none" w:color="auto" w:sz="0" w:space="0"/>
          <w:bottom w:val="none" w:color="auto" w:sz="0" w:space="0"/>
          <w:right w:val="none" w:color="auto" w:sz="0" w:space="0"/>
          <w:between w:val="none" w:color="auto" w:sz="0" w:space="0"/>
        </w:pBdr>
        <w:ind w:right="440"/>
        <w:jc w:val="center"/>
        <w:rPr>
          <w:sz w:val="32"/>
          <w:szCs w:val="32"/>
        </w:rPr>
      </w:pPr>
      <w:r>
        <w:rPr>
          <w:rFonts w:hint="eastAsia" w:ascii="黑体" w:hAnsi="黑体" w:eastAsia="黑体"/>
          <w:b w:val="0"/>
        </w:rPr>
        <w:t>第二部分 202</w:t>
      </w:r>
      <w:r>
        <w:rPr>
          <w:rFonts w:hint="eastAsia" w:ascii="黑体" w:hAnsi="黑体" w:eastAsia="黑体"/>
          <w:b w:val="0"/>
          <w:lang w:val="en-US" w:eastAsia="zh-CN"/>
        </w:rPr>
        <w:t>2</w:t>
      </w:r>
      <w:r>
        <w:rPr>
          <w:rFonts w:hint="eastAsia" w:ascii="黑体" w:hAnsi="黑体" w:eastAsia="黑体"/>
          <w:b w:val="0"/>
        </w:rPr>
        <w:t>年度</w:t>
      </w:r>
      <w:r>
        <w:rPr>
          <w:rStyle w:val="15"/>
          <w:rFonts w:hint="eastAsia" w:ascii="黑体" w:hAnsi="黑体" w:eastAsia="黑体"/>
          <w:b w:val="0"/>
          <w:bCs/>
        </w:rPr>
        <w:t>部门决算情况说明</w:t>
      </w:r>
      <w:bookmarkEnd w:id="16"/>
      <w:bookmarkEnd w:id="17"/>
    </w:p>
    <w:p>
      <w:pPr>
        <w:pStyle w:val="18"/>
        <w:pBdr>
          <w:top w:val="none" w:color="auto" w:sz="0" w:space="0"/>
          <w:left w:val="none" w:color="auto" w:sz="0" w:space="0"/>
          <w:bottom w:val="none" w:color="auto" w:sz="0" w:space="0"/>
          <w:right w:val="none" w:color="auto" w:sz="0" w:space="0"/>
          <w:between w:val="none" w:color="auto" w:sz="0" w:space="0"/>
        </w:pBdr>
        <w:spacing w:line="576" w:lineRule="exact"/>
        <w:ind w:firstLine="640"/>
        <w:outlineLvl w:val="1"/>
        <w:rPr>
          <w:rStyle w:val="16"/>
          <w:rFonts w:hint="eastAsia" w:ascii="仿宋_GB2312" w:hAnsi="仿宋_GB2312" w:eastAsia="仿宋_GB2312" w:cs="仿宋_GB2312"/>
        </w:rPr>
      </w:pPr>
      <w:r>
        <w:rPr>
          <w:rFonts w:hint="eastAsia" w:ascii="仿宋_GB2312" w:hAnsi="仿宋_GB2312" w:eastAsia="仿宋_GB2312" w:cs="仿宋_GB2312"/>
          <w:b/>
          <w:bCs/>
          <w:sz w:val="32"/>
          <w:szCs w:val="32"/>
        </w:rPr>
        <w:t>一、收</w:t>
      </w:r>
      <w:r>
        <w:rPr>
          <w:rStyle w:val="16"/>
          <w:rFonts w:hint="eastAsia" w:ascii="仿宋_GB2312" w:hAnsi="仿宋_GB2312" w:eastAsia="仿宋_GB2312" w:cs="仿宋_GB2312"/>
        </w:rPr>
        <w:t>入支出决算总体情况说明</w:t>
      </w:r>
      <w:bookmarkEnd w:id="0"/>
      <w:bookmarkEnd w:id="1"/>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年度收、支总计</w:t>
      </w:r>
      <w:r>
        <w:rPr>
          <w:rFonts w:hint="eastAsia" w:ascii="仿宋" w:hAnsi="仿宋" w:eastAsia="仿宋" w:cs="仿宋"/>
          <w:sz w:val="32"/>
          <w:szCs w:val="32"/>
          <w:lang w:val="en-US" w:eastAsia="zh-CN"/>
        </w:rPr>
        <w:t>184.13</w:t>
      </w:r>
      <w:r>
        <w:rPr>
          <w:rFonts w:hint="eastAsia" w:ascii="仿宋" w:hAnsi="仿宋" w:eastAsia="仿宋" w:cs="仿宋"/>
          <w:sz w:val="32"/>
          <w:szCs w:val="32"/>
        </w:rPr>
        <w:t>万元。与202</w:t>
      </w:r>
      <w:r>
        <w:rPr>
          <w:rFonts w:hint="eastAsia" w:ascii="仿宋" w:hAnsi="仿宋" w:eastAsia="仿宋" w:cs="仿宋"/>
          <w:sz w:val="32"/>
          <w:szCs w:val="32"/>
          <w:lang w:val="en-US" w:eastAsia="zh-CN"/>
        </w:rPr>
        <w:t>1</w:t>
      </w:r>
      <w:r>
        <w:rPr>
          <w:rFonts w:hint="eastAsia" w:ascii="仿宋" w:hAnsi="仿宋" w:eastAsia="仿宋" w:cs="仿宋"/>
          <w:sz w:val="32"/>
          <w:szCs w:val="32"/>
        </w:rPr>
        <w:t>年相比，收、支总计减少</w:t>
      </w:r>
      <w:r>
        <w:rPr>
          <w:rFonts w:hint="eastAsia" w:ascii="仿宋" w:hAnsi="仿宋" w:eastAsia="仿宋" w:cs="仿宋"/>
          <w:sz w:val="32"/>
          <w:szCs w:val="32"/>
          <w:lang w:val="en-US" w:eastAsia="zh-CN"/>
        </w:rPr>
        <w:t>42.9</w:t>
      </w:r>
      <w:r>
        <w:rPr>
          <w:rFonts w:hint="eastAsia" w:ascii="仿宋" w:hAnsi="仿宋" w:eastAsia="仿宋" w:cs="仿宋"/>
          <w:sz w:val="32"/>
          <w:szCs w:val="32"/>
        </w:rPr>
        <w:t>万元，下降</w:t>
      </w:r>
      <w:r>
        <w:rPr>
          <w:rFonts w:hint="eastAsia" w:ascii="仿宋" w:hAnsi="仿宋" w:eastAsia="仿宋" w:cs="仿宋"/>
          <w:sz w:val="32"/>
          <w:szCs w:val="32"/>
          <w:lang w:val="en-US" w:eastAsia="zh-CN"/>
        </w:rPr>
        <w:t>18.9</w:t>
      </w:r>
      <w:r>
        <w:rPr>
          <w:rFonts w:hint="eastAsia" w:ascii="仿宋" w:hAnsi="仿宋" w:eastAsia="仿宋" w:cs="仿宋"/>
          <w:sz w:val="32"/>
          <w:szCs w:val="32"/>
        </w:rPr>
        <w:t>%。主要变动原因是</w:t>
      </w:r>
      <w:r>
        <w:rPr>
          <w:rFonts w:hint="eastAsia" w:ascii="仿宋" w:hAnsi="仿宋" w:eastAsia="仿宋" w:cs="仿宋"/>
          <w:sz w:val="32"/>
          <w:szCs w:val="32"/>
          <w:lang w:val="en-US" w:eastAsia="zh-CN"/>
        </w:rPr>
        <w:t>本年度项目</w:t>
      </w:r>
      <w:r>
        <w:rPr>
          <w:rFonts w:hint="eastAsia" w:ascii="仿宋" w:hAnsi="仿宋" w:eastAsia="仿宋" w:cs="仿宋"/>
          <w:sz w:val="32"/>
          <w:szCs w:val="32"/>
        </w:rPr>
        <w:t>资金减少。</w:t>
      </w:r>
    </w:p>
    <w:p>
      <w:pPr>
        <w:pStyle w:val="2"/>
        <w:pBdr>
          <w:top w:val="none" w:color="auto" w:sz="0" w:space="0"/>
          <w:left w:val="none" w:color="auto" w:sz="0" w:space="0"/>
          <w:bottom w:val="none" w:color="auto" w:sz="0" w:space="0"/>
          <w:right w:val="none" w:color="auto" w:sz="0" w:space="0"/>
          <w:between w:val="none" w:color="auto" w:sz="0" w:space="0"/>
        </w:pBdr>
        <w:rPr>
          <w:rFonts w:hint="eastAsia"/>
        </w:rPr>
      </w:pPr>
      <w:r>
        <w:drawing>
          <wp:inline distT="0" distB="0" distL="114300" distR="114300">
            <wp:extent cx="4531995" cy="2067560"/>
            <wp:effectExtent l="4445" t="4445" r="16510" b="23495"/>
            <wp:docPr id="30"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18"/>
        <w:pBdr>
          <w:top w:val="none" w:color="auto" w:sz="0" w:space="0"/>
          <w:left w:val="none" w:color="auto" w:sz="0" w:space="0"/>
          <w:bottom w:val="none" w:color="auto" w:sz="0" w:space="0"/>
          <w:right w:val="none" w:color="auto" w:sz="0" w:space="0"/>
          <w:between w:val="none" w:color="auto" w:sz="0" w:space="0"/>
        </w:pBdr>
        <w:spacing w:line="576" w:lineRule="exact"/>
        <w:ind w:firstLine="640"/>
        <w:outlineLvl w:val="1"/>
        <w:rPr>
          <w:rStyle w:val="16"/>
          <w:rFonts w:ascii="黑体" w:hAnsi="黑体" w:eastAsia="黑体"/>
          <w:b w:val="0"/>
        </w:rPr>
      </w:pPr>
      <w:bookmarkStart w:id="18" w:name="_Toc15396604"/>
      <w:bookmarkStart w:id="19" w:name="_Toc15377206"/>
      <w:r>
        <w:rPr>
          <w:rFonts w:hint="eastAsia" w:ascii="黑体" w:hAnsi="黑体" w:eastAsia="黑体"/>
          <w:sz w:val="32"/>
          <w:szCs w:val="32"/>
        </w:rPr>
        <w:t>二、收</w:t>
      </w:r>
      <w:r>
        <w:rPr>
          <w:rStyle w:val="16"/>
          <w:rFonts w:hint="eastAsia" w:ascii="黑体" w:hAnsi="黑体" w:eastAsia="黑体"/>
          <w:b w:val="0"/>
        </w:rPr>
        <w:t>入决算情况说明</w:t>
      </w:r>
      <w:bookmarkEnd w:id="18"/>
      <w:bookmarkEnd w:id="19"/>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outlineLvl w:val="1"/>
        <w:rPr>
          <w:rFonts w:hint="eastAsia" w:ascii="仿宋_GB2312" w:hAnsi="仿宋_GB2312" w:eastAsia="仿宋_GB2312" w:cs="仿宋_GB2312"/>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年本年收入合计</w:t>
      </w:r>
      <w:r>
        <w:rPr>
          <w:rFonts w:hint="eastAsia" w:ascii="仿宋" w:hAnsi="仿宋" w:eastAsia="仿宋" w:cs="仿宋"/>
          <w:sz w:val="32"/>
          <w:szCs w:val="32"/>
          <w:lang w:val="en-US" w:eastAsia="zh-CN"/>
        </w:rPr>
        <w:t>184.08</w:t>
      </w:r>
      <w:r>
        <w:rPr>
          <w:rFonts w:hint="eastAsia" w:ascii="仿宋" w:hAnsi="仿宋" w:eastAsia="仿宋" w:cs="仿宋"/>
          <w:sz w:val="32"/>
          <w:szCs w:val="32"/>
        </w:rPr>
        <w:t>万元，其中：一般公共预算财政拨款收入</w:t>
      </w:r>
      <w:r>
        <w:rPr>
          <w:rFonts w:hint="eastAsia" w:ascii="仿宋" w:hAnsi="仿宋" w:eastAsia="仿宋" w:cs="仿宋"/>
          <w:sz w:val="32"/>
          <w:szCs w:val="32"/>
          <w:lang w:val="en-US" w:eastAsia="zh-CN"/>
        </w:rPr>
        <w:t>184.05</w:t>
      </w:r>
      <w:r>
        <w:rPr>
          <w:rFonts w:hint="eastAsia" w:ascii="仿宋" w:hAnsi="仿宋" w:eastAsia="仿宋" w:cs="仿宋"/>
          <w:sz w:val="32"/>
          <w:szCs w:val="32"/>
        </w:rPr>
        <w:t>万元，占99.99%；其他收入0.0</w:t>
      </w:r>
      <w:r>
        <w:rPr>
          <w:rFonts w:hint="eastAsia" w:ascii="仿宋" w:hAnsi="仿宋" w:eastAsia="仿宋" w:cs="仿宋"/>
          <w:sz w:val="32"/>
          <w:szCs w:val="32"/>
          <w:lang w:val="en-US" w:eastAsia="zh-CN"/>
        </w:rPr>
        <w:t>3</w:t>
      </w:r>
      <w:r>
        <w:rPr>
          <w:rFonts w:hint="eastAsia" w:ascii="仿宋" w:hAnsi="仿宋" w:eastAsia="仿宋" w:cs="仿宋"/>
          <w:sz w:val="32"/>
          <w:szCs w:val="32"/>
        </w:rPr>
        <w:t>万元，占0.01%。</w:t>
      </w:r>
    </w:p>
    <w:p>
      <w:pPr>
        <w:pStyle w:val="14"/>
        <w:pBdr>
          <w:top w:val="none" w:color="auto" w:sz="0" w:space="0"/>
          <w:left w:val="none" w:color="auto" w:sz="0" w:space="0"/>
          <w:bottom w:val="none" w:color="auto" w:sz="0" w:space="0"/>
          <w:right w:val="none" w:color="auto" w:sz="0" w:space="0"/>
          <w:between w:val="none" w:color="auto" w:sz="0" w:space="0"/>
        </w:pBdr>
      </w:pPr>
      <w:r>
        <w:drawing>
          <wp:inline distT="0" distB="0" distL="114300" distR="114300">
            <wp:extent cx="3712210" cy="2275205"/>
            <wp:effectExtent l="4445" t="4445" r="17145" b="6350"/>
            <wp:docPr id="102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Bdr>
          <w:top w:val="none" w:color="auto" w:sz="0" w:space="0"/>
          <w:left w:val="none" w:color="auto" w:sz="0" w:space="0"/>
          <w:bottom w:val="none" w:color="auto" w:sz="0" w:space="0"/>
          <w:right w:val="none" w:color="auto" w:sz="0" w:space="0"/>
          <w:between w:val="none" w:color="auto" w:sz="0" w:space="0"/>
        </w:pBdr>
        <w:rPr>
          <w:rFonts w:hint="eastAsia"/>
        </w:rPr>
      </w:pPr>
    </w:p>
    <w:p>
      <w:pPr>
        <w:pStyle w:val="18"/>
        <w:pBdr>
          <w:top w:val="none" w:color="auto" w:sz="0" w:space="0"/>
          <w:left w:val="none" w:color="auto" w:sz="0" w:space="0"/>
          <w:bottom w:val="none" w:color="auto" w:sz="0" w:space="0"/>
          <w:right w:val="none" w:color="auto" w:sz="0" w:space="0"/>
          <w:between w:val="none" w:color="auto" w:sz="0" w:space="0"/>
        </w:pBdr>
        <w:spacing w:line="576" w:lineRule="exact"/>
        <w:ind w:left="0" w:leftChars="0" w:firstLine="640" w:firstLineChars="200"/>
        <w:outlineLvl w:val="1"/>
        <w:rPr>
          <w:rStyle w:val="16"/>
          <w:rFonts w:ascii="黑体" w:hAnsi="黑体" w:eastAsia="黑体"/>
          <w:b w:val="0"/>
        </w:rPr>
      </w:pPr>
      <w:bookmarkStart w:id="20" w:name="_Toc15377207"/>
      <w:bookmarkStart w:id="21" w:name="_Toc15396605"/>
      <w:r>
        <w:rPr>
          <w:rFonts w:hint="eastAsia" w:ascii="黑体" w:hAnsi="黑体" w:eastAsia="黑体"/>
          <w:sz w:val="32"/>
          <w:szCs w:val="32"/>
        </w:rPr>
        <w:t>三、支</w:t>
      </w:r>
      <w:r>
        <w:rPr>
          <w:rStyle w:val="16"/>
          <w:rFonts w:hint="eastAsia" w:ascii="黑体" w:hAnsi="黑体" w:eastAsia="黑体"/>
          <w:b w:val="0"/>
        </w:rPr>
        <w:t>出决算情况说明</w:t>
      </w:r>
      <w:bookmarkEnd w:id="20"/>
      <w:bookmarkEnd w:id="21"/>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outlineLvl w:val="1"/>
        <w:rPr>
          <w:rFonts w:ascii="仿宋" w:hAnsi="仿宋" w:eastAsia="仿宋"/>
          <w:color w:val="auto"/>
          <w:sz w:val="32"/>
          <w:szCs w:val="32"/>
          <w:highlight w:val="none"/>
          <w:shd w:val="pct10" w:color="auto" w:fill="FFFFFF"/>
        </w:rPr>
      </w:pPr>
      <w:r>
        <w:rPr>
          <w:rFonts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年本年支出合计</w:t>
      </w:r>
      <w:r>
        <w:rPr>
          <w:rFonts w:hint="eastAsia" w:ascii="仿宋" w:hAnsi="仿宋" w:eastAsia="仿宋"/>
          <w:sz w:val="32"/>
          <w:szCs w:val="32"/>
          <w:lang w:val="en-US" w:eastAsia="zh-CN"/>
        </w:rPr>
        <w:t>184.13</w:t>
      </w:r>
      <w:r>
        <w:rPr>
          <w:rFonts w:hint="eastAsia" w:ascii="仿宋" w:hAnsi="仿宋" w:eastAsia="仿宋"/>
          <w:sz w:val="32"/>
          <w:szCs w:val="32"/>
        </w:rPr>
        <w:t>万元，其中：基本支出</w:t>
      </w:r>
      <w:r>
        <w:rPr>
          <w:rFonts w:hint="eastAsia" w:ascii="仿宋" w:hAnsi="仿宋" w:eastAsia="仿宋"/>
          <w:sz w:val="32"/>
          <w:szCs w:val="32"/>
          <w:lang w:val="en-US" w:eastAsia="zh-CN"/>
        </w:rPr>
        <w:t>151.75</w:t>
      </w:r>
      <w:r>
        <w:rPr>
          <w:rFonts w:hint="eastAsia" w:ascii="仿宋" w:hAnsi="仿宋" w:eastAsia="仿宋"/>
          <w:sz w:val="32"/>
          <w:szCs w:val="32"/>
        </w:rPr>
        <w:t>万元，占</w:t>
      </w:r>
      <w:r>
        <w:rPr>
          <w:rFonts w:hint="eastAsia" w:ascii="仿宋" w:hAnsi="仿宋" w:eastAsia="仿宋"/>
          <w:sz w:val="32"/>
          <w:szCs w:val="32"/>
          <w:lang w:val="en-US" w:eastAsia="zh-CN"/>
        </w:rPr>
        <w:t>82.41</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32.38</w:t>
      </w:r>
      <w:r>
        <w:rPr>
          <w:rFonts w:hint="eastAsia" w:ascii="仿宋" w:hAnsi="仿宋" w:eastAsia="仿宋"/>
          <w:sz w:val="32"/>
          <w:szCs w:val="32"/>
        </w:rPr>
        <w:t>万元，占</w:t>
      </w:r>
      <w:r>
        <w:rPr>
          <w:rFonts w:hint="eastAsia" w:ascii="仿宋" w:hAnsi="仿宋" w:eastAsia="仿宋"/>
          <w:sz w:val="32"/>
          <w:szCs w:val="32"/>
          <w:lang w:val="en-US" w:eastAsia="zh-CN"/>
        </w:rPr>
        <w:t>17.59</w:t>
      </w:r>
      <w:r>
        <w:rPr>
          <w:rFonts w:ascii="仿宋" w:hAnsi="仿宋" w:eastAsia="仿宋"/>
          <w:sz w:val="32"/>
          <w:szCs w:val="32"/>
        </w:rPr>
        <w:t>%</w:t>
      </w:r>
      <w:r>
        <w:rPr>
          <w:rFonts w:hint="eastAsia" w:ascii="仿宋" w:hAnsi="仿宋" w:eastAsia="仿宋"/>
          <w:sz w:val="32"/>
          <w:szCs w:val="32"/>
        </w:rPr>
        <w:t>。</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Fonts w:hint="eastAsia" w:ascii="仿宋" w:hAnsi="仿宋" w:eastAsia="仿宋"/>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93"/>
        <w:rPr>
          <w:rFonts w:hint="eastAsia" w:ascii="黑体" w:hAnsi="黑体" w:eastAsia="黑体"/>
          <w:sz w:val="32"/>
          <w:szCs w:val="32"/>
        </w:rPr>
      </w:pPr>
      <w:bookmarkStart w:id="22" w:name="_Toc15396606"/>
      <w:bookmarkStart w:id="23" w:name="_Toc15377208"/>
      <w:r>
        <w:drawing>
          <wp:inline distT="0" distB="0" distL="114300" distR="114300">
            <wp:extent cx="4426585" cy="2562225"/>
            <wp:effectExtent l="4445" t="4445" r="7620" b="5080"/>
            <wp:docPr id="31"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ascii="黑体" w:hAnsi="黑体" w:eastAsia="黑体"/>
          <w:b w:val="0"/>
        </w:rPr>
      </w:pPr>
      <w:r>
        <w:rPr>
          <w:rFonts w:hint="eastAsia" w:ascii="黑体" w:hAnsi="黑体" w:eastAsia="黑体"/>
          <w:sz w:val="32"/>
          <w:szCs w:val="32"/>
        </w:rPr>
        <w:t>四、财</w:t>
      </w:r>
      <w:r>
        <w:rPr>
          <w:rStyle w:val="16"/>
          <w:rFonts w:hint="eastAsia" w:ascii="黑体" w:hAnsi="黑体" w:eastAsia="黑体"/>
          <w:b w:val="0"/>
        </w:rPr>
        <w:t>政拨款收入支出决算总体情况说明</w:t>
      </w:r>
      <w:bookmarkEnd w:id="22"/>
      <w:bookmarkEnd w:id="23"/>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sz w:val="32"/>
          <w:szCs w:val="32"/>
          <w:highlight w:val="yellow"/>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年财政拨款收、支总计</w:t>
      </w:r>
      <w:r>
        <w:rPr>
          <w:rFonts w:hint="eastAsia" w:ascii="仿宋" w:hAnsi="仿宋" w:eastAsia="仿宋"/>
          <w:sz w:val="32"/>
          <w:szCs w:val="32"/>
          <w:lang w:val="en-US" w:eastAsia="zh-CN"/>
        </w:rPr>
        <w:t>184.10</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年相比，财政拨款收、支总计</w:t>
      </w:r>
      <w:r>
        <w:rPr>
          <w:rFonts w:hint="eastAsia" w:ascii="仿宋" w:hAnsi="仿宋" w:eastAsia="仿宋"/>
          <w:sz w:val="32"/>
          <w:szCs w:val="32"/>
          <w:lang w:val="en-US" w:eastAsia="zh-CN"/>
        </w:rPr>
        <w:t>减少4.78</w:t>
      </w:r>
      <w:r>
        <w:rPr>
          <w:rFonts w:hint="eastAsia" w:ascii="仿宋" w:hAnsi="仿宋" w:eastAsia="仿宋"/>
          <w:sz w:val="32"/>
          <w:szCs w:val="32"/>
        </w:rPr>
        <w:t>万元，</w:t>
      </w:r>
      <w:r>
        <w:rPr>
          <w:rFonts w:hint="eastAsia" w:ascii="仿宋" w:hAnsi="仿宋" w:eastAsia="仿宋"/>
          <w:sz w:val="32"/>
          <w:szCs w:val="32"/>
          <w:lang w:val="en-US" w:eastAsia="zh-CN"/>
        </w:rPr>
        <w:t>减少2.5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s="仿宋"/>
          <w:sz w:val="32"/>
          <w:szCs w:val="32"/>
        </w:rPr>
        <w:t>主要变动原因是</w:t>
      </w:r>
      <w:r>
        <w:rPr>
          <w:rFonts w:hint="eastAsia" w:ascii="仿宋" w:hAnsi="仿宋" w:eastAsia="仿宋" w:cs="仿宋"/>
          <w:sz w:val="32"/>
          <w:szCs w:val="32"/>
          <w:lang w:val="en-US" w:eastAsia="zh-CN"/>
        </w:rPr>
        <w:t>本年度项目</w:t>
      </w:r>
      <w:r>
        <w:rPr>
          <w:rFonts w:hint="eastAsia" w:ascii="仿宋" w:hAnsi="仿宋" w:eastAsia="仿宋" w:cs="仿宋"/>
          <w:sz w:val="32"/>
          <w:szCs w:val="32"/>
        </w:rPr>
        <w:t>资金减少。</w:t>
      </w:r>
    </w:p>
    <w:p>
      <w:pPr>
        <w:pStyle w:val="2"/>
        <w:pBdr>
          <w:top w:val="none" w:color="auto" w:sz="0" w:space="0"/>
          <w:left w:val="none" w:color="auto" w:sz="0" w:space="0"/>
          <w:bottom w:val="none" w:color="auto" w:sz="0" w:space="0"/>
          <w:right w:val="none" w:color="auto" w:sz="0" w:space="0"/>
          <w:between w:val="none" w:color="auto" w:sz="0" w:space="0"/>
        </w:pBdr>
        <w:jc w:val="both"/>
        <w:rPr>
          <w:rFonts w:hint="eastAsia"/>
        </w:rPr>
      </w:pPr>
      <w:r>
        <w:drawing>
          <wp:inline distT="0" distB="0" distL="114300" distR="114300">
            <wp:extent cx="4655185" cy="2315845"/>
            <wp:effectExtent l="4445" t="4445" r="7620" b="22860"/>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576" w:lineRule="exact"/>
        <w:outlineLvl w:val="1"/>
        <w:rPr>
          <w:rFonts w:hint="eastAsia" w:ascii="黑体" w:hAnsi="黑体" w:eastAsia="黑体"/>
          <w:sz w:val="32"/>
          <w:szCs w:val="32"/>
        </w:rPr>
      </w:pPr>
      <w:bookmarkStart w:id="24" w:name="_Toc15396607"/>
      <w:bookmarkStart w:id="25" w:name="_Toc15377209"/>
    </w:p>
    <w:p>
      <w:pPr>
        <w:pStyle w:val="2"/>
        <w:pBdr>
          <w:top w:val="none" w:color="auto" w:sz="0" w:space="0"/>
          <w:left w:val="none" w:color="auto" w:sz="0" w:space="0"/>
          <w:bottom w:val="none" w:color="auto" w:sz="0" w:space="0"/>
          <w:right w:val="none" w:color="auto" w:sz="0" w:space="0"/>
          <w:between w:val="none" w:color="auto" w:sz="0" w:space="0"/>
        </w:pBdr>
        <w:rPr>
          <w:rFonts w:hint="eastAsia"/>
        </w:rPr>
      </w:pP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ascii="黑体" w:hAnsi="黑体" w:eastAsia="黑体"/>
          <w:b w:val="0"/>
        </w:rPr>
      </w:pPr>
      <w:r>
        <w:rPr>
          <w:rFonts w:hint="eastAsia" w:ascii="黑体" w:hAnsi="黑体" w:eastAsia="黑体"/>
          <w:sz w:val="32"/>
          <w:szCs w:val="32"/>
        </w:rPr>
        <w:t>五、</w:t>
      </w:r>
      <w:r>
        <w:rPr>
          <w:rFonts w:hint="eastAsia" w:ascii="黑体" w:hAnsi="黑体" w:eastAsia="黑体"/>
          <w:b/>
          <w:sz w:val="32"/>
          <w:szCs w:val="32"/>
        </w:rPr>
        <w:t>一</w:t>
      </w:r>
      <w:r>
        <w:rPr>
          <w:rStyle w:val="16"/>
          <w:rFonts w:hint="eastAsia" w:ascii="黑体" w:hAnsi="黑体" w:eastAsia="黑体"/>
          <w:b w:val="0"/>
        </w:rPr>
        <w:t>般公共预算财政拨款支出决算情况说明</w:t>
      </w:r>
      <w:bookmarkEnd w:id="24"/>
      <w:bookmarkEnd w:id="25"/>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ascii="仿宋" w:hAnsi="仿宋" w:eastAsia="仿宋"/>
          <w:b/>
          <w:sz w:val="32"/>
          <w:szCs w:val="32"/>
        </w:rPr>
      </w:pPr>
      <w:bookmarkStart w:id="26" w:name="_Toc15377210"/>
      <w:r>
        <w:rPr>
          <w:rFonts w:hint="eastAsia" w:ascii="仿宋" w:hAnsi="仿宋" w:eastAsia="仿宋"/>
          <w:b/>
          <w:sz w:val="32"/>
          <w:szCs w:val="32"/>
        </w:rPr>
        <w:t>（一）一般公共预算财政拨款支出决算总体情况</w:t>
      </w:r>
      <w:bookmarkEnd w:id="26"/>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184.10</w:t>
      </w:r>
      <w:r>
        <w:rPr>
          <w:rFonts w:hint="eastAsia" w:ascii="仿宋" w:hAnsi="仿宋" w:eastAsia="仿宋"/>
          <w:sz w:val="32"/>
          <w:szCs w:val="32"/>
        </w:rPr>
        <w:t>万元，占本年支出合计的</w:t>
      </w:r>
      <w:r>
        <w:rPr>
          <w:rFonts w:hint="eastAsia" w:ascii="仿宋" w:hAnsi="仿宋" w:eastAsia="仿宋"/>
          <w:sz w:val="32"/>
          <w:szCs w:val="32"/>
          <w:lang w:val="en-US" w:eastAsia="zh-CN"/>
        </w:rPr>
        <w:t>99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年相比，一般公共预算财政拨款支出增加</w:t>
      </w:r>
      <w:r>
        <w:rPr>
          <w:rFonts w:hint="eastAsia" w:ascii="仿宋" w:hAnsi="仿宋" w:eastAsia="仿宋"/>
          <w:sz w:val="32"/>
          <w:szCs w:val="32"/>
          <w:lang w:val="en-US" w:eastAsia="zh-CN"/>
        </w:rPr>
        <w:t>1.44</w:t>
      </w:r>
      <w:r>
        <w:rPr>
          <w:rFonts w:hint="eastAsia" w:ascii="仿宋" w:hAnsi="仿宋" w:eastAsia="仿宋"/>
          <w:sz w:val="32"/>
          <w:szCs w:val="32"/>
        </w:rPr>
        <w:t>万元，增长</w:t>
      </w:r>
      <w:r>
        <w:rPr>
          <w:rFonts w:hint="eastAsia" w:ascii="仿宋" w:hAnsi="仿宋" w:eastAsia="仿宋"/>
          <w:sz w:val="32"/>
          <w:szCs w:val="32"/>
          <w:lang w:val="en-US" w:eastAsia="zh-CN"/>
        </w:rPr>
        <w:t>0.79</w:t>
      </w:r>
      <w:r>
        <w:rPr>
          <w:rFonts w:ascii="仿宋" w:hAnsi="仿宋" w:eastAsia="仿宋"/>
          <w:sz w:val="32"/>
          <w:szCs w:val="32"/>
        </w:rPr>
        <w:t>%</w:t>
      </w:r>
      <w:r>
        <w:rPr>
          <w:rFonts w:hint="eastAsia" w:ascii="仿宋" w:hAnsi="仿宋" w:eastAsia="仿宋"/>
          <w:sz w:val="32"/>
          <w:szCs w:val="32"/>
        </w:rPr>
        <w:t>。主要变动原因是人员</w:t>
      </w:r>
      <w:r>
        <w:rPr>
          <w:rFonts w:hint="eastAsia" w:ascii="仿宋" w:hAnsi="仿宋" w:eastAsia="仿宋"/>
          <w:sz w:val="32"/>
          <w:szCs w:val="32"/>
          <w:lang w:val="en-US" w:eastAsia="zh-CN"/>
        </w:rPr>
        <w:t>变动，人员经费和公用经费增加</w:t>
      </w:r>
      <w:r>
        <w:rPr>
          <w:rFonts w:hint="eastAsia" w:ascii="仿宋" w:hAnsi="仿宋" w:eastAsia="仿宋"/>
          <w:sz w:val="32"/>
          <w:szCs w:val="32"/>
        </w:rPr>
        <w:t>。</w:t>
      </w:r>
    </w:p>
    <w:p>
      <w:pPr>
        <w:pStyle w:val="2"/>
        <w:pBdr>
          <w:top w:val="none" w:color="auto" w:sz="0" w:space="0"/>
          <w:left w:val="none" w:color="auto" w:sz="0" w:space="0"/>
          <w:bottom w:val="none" w:color="auto" w:sz="0" w:space="0"/>
          <w:right w:val="none" w:color="auto" w:sz="0" w:space="0"/>
          <w:between w:val="none" w:color="auto" w:sz="0" w:space="0"/>
        </w:pBdr>
        <w:spacing w:before="93"/>
        <w:rPr>
          <w:rFonts w:hint="eastAsia" w:ascii="仿宋" w:hAnsi="仿宋" w:eastAsia="仿宋"/>
          <w:sz w:val="32"/>
          <w:szCs w:val="32"/>
        </w:rPr>
      </w:pPr>
      <w:r>
        <w:drawing>
          <wp:inline distT="0" distB="0" distL="114300" distR="114300">
            <wp:extent cx="4578350" cy="2077085"/>
            <wp:effectExtent l="5080" t="4445" r="7620" b="13970"/>
            <wp:docPr id="33"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ascii="仿宋" w:hAnsi="仿宋" w:eastAsia="仿宋"/>
          <w:b/>
          <w:sz w:val="32"/>
          <w:szCs w:val="32"/>
        </w:rPr>
      </w:pPr>
      <w:bookmarkStart w:id="27" w:name="_Toc15377211"/>
      <w:r>
        <w:rPr>
          <w:rFonts w:hint="eastAsia" w:ascii="仿宋" w:hAnsi="仿宋" w:eastAsia="仿宋"/>
          <w:b/>
          <w:sz w:val="32"/>
          <w:szCs w:val="32"/>
        </w:rPr>
        <w:t>（二）一般公共预算财政拨款支出决算结构情况</w:t>
      </w:r>
      <w:bookmarkEnd w:id="27"/>
    </w:p>
    <w:p>
      <w:pPr>
        <w:pBdr>
          <w:top w:val="none" w:color="auto" w:sz="0" w:space="0"/>
          <w:left w:val="none" w:color="auto" w:sz="0" w:space="0"/>
          <w:bottom w:val="none" w:color="auto" w:sz="0" w:space="0"/>
          <w:right w:val="none" w:color="auto" w:sz="0" w:space="0"/>
          <w:between w:val="none" w:color="auto" w:sz="0" w:space="0"/>
        </w:pBdr>
        <w:spacing w:line="600" w:lineRule="exact"/>
        <w:ind w:firstLine="640"/>
        <w:rPr>
          <w:rFonts w:hint="eastAsia" w:ascii="仿宋_GB2312" w:hAnsi="仿宋_GB2312" w:eastAsia="仿宋_GB2312" w:cs="仿宋_GB2312"/>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年一般公共预算财政拨款支出</w:t>
      </w:r>
      <w:r>
        <w:rPr>
          <w:rFonts w:hint="eastAsia" w:ascii="仿宋" w:hAnsi="仿宋" w:eastAsia="仿宋" w:cs="仿宋"/>
          <w:sz w:val="32"/>
          <w:szCs w:val="32"/>
          <w:lang w:val="en-US" w:eastAsia="zh-CN"/>
        </w:rPr>
        <w:t>184.1</w:t>
      </w:r>
      <w:r>
        <w:rPr>
          <w:rFonts w:hint="eastAsia" w:ascii="仿宋" w:hAnsi="仿宋" w:eastAsia="仿宋" w:cs="仿宋"/>
          <w:sz w:val="32"/>
          <w:szCs w:val="32"/>
        </w:rPr>
        <w:t>万元，主要用于以下方面:</w:t>
      </w:r>
      <w:r>
        <w:rPr>
          <w:rFonts w:hint="eastAsia" w:ascii="仿宋" w:hAnsi="仿宋" w:eastAsia="仿宋" w:cs="仿宋"/>
          <w:b/>
          <w:sz w:val="32"/>
          <w:szCs w:val="32"/>
        </w:rPr>
        <w:t>一般公共服务</w:t>
      </w:r>
      <w:r>
        <w:rPr>
          <w:rFonts w:hint="eastAsia" w:ascii="仿宋" w:hAnsi="仿宋" w:eastAsia="仿宋" w:cs="仿宋"/>
          <w:b/>
          <w:bCs/>
          <w:sz w:val="32"/>
          <w:szCs w:val="32"/>
        </w:rPr>
        <w:t>支出</w:t>
      </w:r>
      <w:r>
        <w:rPr>
          <w:rFonts w:hint="eastAsia" w:ascii="仿宋" w:hAnsi="仿宋" w:eastAsia="仿宋" w:cs="仿宋"/>
          <w:sz w:val="32"/>
          <w:szCs w:val="32"/>
          <w:lang w:val="en-US" w:eastAsia="zh-CN"/>
        </w:rPr>
        <w:t>161.94</w:t>
      </w:r>
      <w:r>
        <w:rPr>
          <w:rFonts w:hint="eastAsia" w:ascii="仿宋" w:hAnsi="仿宋" w:eastAsia="仿宋" w:cs="仿宋"/>
          <w:sz w:val="32"/>
          <w:szCs w:val="32"/>
        </w:rPr>
        <w:t>万元，占</w:t>
      </w:r>
      <w:r>
        <w:rPr>
          <w:rFonts w:hint="eastAsia" w:ascii="仿宋" w:hAnsi="仿宋" w:eastAsia="仿宋" w:cs="仿宋"/>
          <w:sz w:val="32"/>
          <w:szCs w:val="32"/>
          <w:lang w:val="en-US" w:eastAsia="zh-CN"/>
        </w:rPr>
        <w:t>87.96</w:t>
      </w:r>
      <w:r>
        <w:rPr>
          <w:rFonts w:hint="eastAsia" w:ascii="仿宋" w:hAnsi="仿宋" w:eastAsia="仿宋" w:cs="仿宋"/>
          <w:sz w:val="32"/>
          <w:szCs w:val="32"/>
        </w:rPr>
        <w:t>%；</w:t>
      </w:r>
      <w:r>
        <w:rPr>
          <w:rFonts w:hint="eastAsia" w:ascii="仿宋" w:hAnsi="仿宋" w:eastAsia="仿宋" w:cs="仿宋"/>
          <w:b/>
          <w:bCs w:val="0"/>
          <w:sz w:val="32"/>
          <w:szCs w:val="32"/>
        </w:rPr>
        <w:t>社会保障和就业支出</w:t>
      </w:r>
      <w:r>
        <w:rPr>
          <w:rFonts w:hint="eastAsia" w:ascii="仿宋" w:hAnsi="仿宋" w:eastAsia="仿宋" w:cs="仿宋"/>
          <w:sz w:val="32"/>
          <w:szCs w:val="32"/>
          <w:lang w:val="en-US" w:eastAsia="zh-CN"/>
        </w:rPr>
        <w:t>9.77</w:t>
      </w:r>
      <w:r>
        <w:rPr>
          <w:rFonts w:hint="eastAsia" w:ascii="仿宋" w:hAnsi="仿宋" w:eastAsia="仿宋" w:cs="仿宋"/>
          <w:sz w:val="32"/>
          <w:szCs w:val="32"/>
        </w:rPr>
        <w:t>万元，占</w:t>
      </w:r>
      <w:r>
        <w:rPr>
          <w:rFonts w:hint="eastAsia" w:ascii="仿宋" w:hAnsi="仿宋" w:eastAsia="仿宋" w:cs="仿宋"/>
          <w:sz w:val="32"/>
          <w:szCs w:val="32"/>
          <w:lang w:val="en-US" w:eastAsia="zh-CN"/>
        </w:rPr>
        <w:t>5.3</w:t>
      </w:r>
      <w:r>
        <w:rPr>
          <w:rFonts w:hint="eastAsia" w:ascii="仿宋" w:hAnsi="仿宋" w:eastAsia="仿宋" w:cs="仿宋"/>
          <w:sz w:val="32"/>
          <w:szCs w:val="32"/>
        </w:rPr>
        <w:t>%；</w:t>
      </w:r>
      <w:r>
        <w:rPr>
          <w:rFonts w:hint="eastAsia" w:ascii="仿宋" w:hAnsi="仿宋" w:eastAsia="仿宋" w:cs="仿宋"/>
          <w:b/>
          <w:bCs/>
          <w:sz w:val="32"/>
          <w:szCs w:val="32"/>
        </w:rPr>
        <w:t>卫生健康支出</w:t>
      </w:r>
      <w:r>
        <w:rPr>
          <w:rFonts w:hint="eastAsia" w:ascii="仿宋" w:hAnsi="仿宋" w:eastAsia="仿宋" w:cs="仿宋"/>
          <w:b w:val="0"/>
          <w:bCs w:val="0"/>
          <w:sz w:val="32"/>
          <w:szCs w:val="32"/>
        </w:rPr>
        <w:t>4.0</w:t>
      </w:r>
      <w:r>
        <w:rPr>
          <w:rFonts w:hint="eastAsia" w:ascii="仿宋" w:hAnsi="仿宋" w:eastAsia="仿宋" w:cs="仿宋"/>
          <w:b w:val="0"/>
          <w:bCs w:val="0"/>
          <w:sz w:val="32"/>
          <w:szCs w:val="32"/>
          <w:lang w:val="en-US" w:eastAsia="zh-CN"/>
        </w:rPr>
        <w:t>4</w:t>
      </w:r>
      <w:r>
        <w:rPr>
          <w:rFonts w:hint="eastAsia" w:ascii="仿宋" w:hAnsi="仿宋" w:eastAsia="仿宋" w:cs="仿宋"/>
          <w:sz w:val="32"/>
          <w:szCs w:val="32"/>
        </w:rPr>
        <w:t>万元，占2.2%；</w:t>
      </w:r>
      <w:r>
        <w:rPr>
          <w:rFonts w:hint="eastAsia" w:ascii="仿宋" w:hAnsi="仿宋" w:eastAsia="仿宋" w:cs="仿宋"/>
          <w:b/>
          <w:bCs/>
          <w:sz w:val="32"/>
          <w:szCs w:val="32"/>
        </w:rPr>
        <w:t>住房保障支出</w:t>
      </w:r>
      <w:r>
        <w:rPr>
          <w:rFonts w:hint="eastAsia" w:ascii="仿宋" w:hAnsi="仿宋" w:eastAsia="仿宋" w:cs="仿宋"/>
          <w:sz w:val="32"/>
          <w:szCs w:val="32"/>
        </w:rPr>
        <w:t>8.3</w:t>
      </w:r>
      <w:r>
        <w:rPr>
          <w:rFonts w:hint="eastAsia" w:ascii="仿宋" w:hAnsi="仿宋" w:eastAsia="仿宋" w:cs="仿宋"/>
          <w:sz w:val="32"/>
          <w:szCs w:val="32"/>
          <w:lang w:val="en-US" w:eastAsia="zh-CN"/>
        </w:rPr>
        <w:t>6</w:t>
      </w:r>
      <w:r>
        <w:rPr>
          <w:rFonts w:hint="eastAsia" w:ascii="仿宋" w:hAnsi="仿宋" w:eastAsia="仿宋" w:cs="仿宋"/>
          <w:sz w:val="32"/>
          <w:szCs w:val="32"/>
        </w:rPr>
        <w:t>万元，占4.5</w:t>
      </w:r>
      <w:r>
        <w:rPr>
          <w:rFonts w:hint="eastAsia" w:ascii="仿宋" w:hAnsi="仿宋" w:eastAsia="仿宋" w:cs="仿宋"/>
          <w:sz w:val="32"/>
          <w:szCs w:val="32"/>
          <w:lang w:val="en-US" w:eastAsia="zh-CN"/>
        </w:rPr>
        <w:t>4</w:t>
      </w:r>
      <w:r>
        <w:rPr>
          <w:rFonts w:hint="eastAsia" w:ascii="仿宋" w:hAnsi="仿宋" w:eastAsia="仿宋" w:cs="仿宋"/>
          <w:sz w:val="32"/>
          <w:szCs w:val="32"/>
        </w:rPr>
        <w:t>%。</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_GB2312" w:hAnsi="仿宋_GB2312" w:eastAsia="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93"/>
        <w:rPr>
          <w:rFonts w:hint="eastAsia" w:ascii="仿宋" w:hAnsi="仿宋" w:eastAsia="仿宋"/>
          <w:sz w:val="32"/>
          <w:szCs w:val="32"/>
        </w:rPr>
      </w:pPr>
      <w:r>
        <w:drawing>
          <wp:inline distT="0" distB="0" distL="114300" distR="114300">
            <wp:extent cx="4322445" cy="1896745"/>
            <wp:effectExtent l="5080" t="4445" r="15875" b="22860"/>
            <wp:docPr id="34"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hint="eastAsia" w:ascii="仿宋_GB2312" w:hAnsi="仿宋_GB2312" w:eastAsia="仿宋_GB2312" w:cs="仿宋_GB2312"/>
          <w:b/>
          <w:sz w:val="32"/>
          <w:szCs w:val="32"/>
        </w:rPr>
      </w:pPr>
      <w:bookmarkStart w:id="28" w:name="_Toc15377212"/>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（三）一般公共预算财政拨款支出决算具体情况</w:t>
      </w:r>
      <w:bookmarkEnd w:id="28"/>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hint="eastAsia" w:ascii="仿宋" w:hAnsi="仿宋" w:eastAsia="仿宋" w:cs="仿宋"/>
          <w:sz w:val="32"/>
          <w:szCs w:val="32"/>
        </w:rPr>
      </w:pPr>
      <w:bookmarkStart w:id="29" w:name="_Toc15377444"/>
      <w:bookmarkStart w:id="30" w:name="_Toc15378460"/>
      <w:bookmarkStart w:id="31" w:name="_Toc15377213"/>
      <w:r>
        <w:rPr>
          <w:rFonts w:hint="eastAsia" w:ascii="仿宋" w:hAnsi="仿宋" w:eastAsia="仿宋" w:cs="仿宋"/>
          <w:b/>
          <w:sz w:val="32"/>
          <w:szCs w:val="32"/>
        </w:rPr>
        <w:t>202</w:t>
      </w:r>
      <w:r>
        <w:rPr>
          <w:rFonts w:hint="eastAsia" w:ascii="仿宋" w:hAnsi="仿宋" w:eastAsia="仿宋" w:cs="仿宋"/>
          <w:b/>
          <w:sz w:val="32"/>
          <w:szCs w:val="32"/>
          <w:lang w:val="en-US" w:eastAsia="zh-CN"/>
        </w:rPr>
        <w:t>2</w:t>
      </w:r>
      <w:r>
        <w:rPr>
          <w:rFonts w:hint="eastAsia" w:ascii="仿宋" w:hAnsi="仿宋" w:eastAsia="仿宋" w:cs="仿宋"/>
          <w:b/>
          <w:sz w:val="32"/>
          <w:szCs w:val="32"/>
        </w:rPr>
        <w:t>年一般公共预算支出决算数为</w:t>
      </w:r>
      <w:r>
        <w:rPr>
          <w:rFonts w:hint="eastAsia" w:ascii="仿宋" w:hAnsi="仿宋" w:eastAsia="仿宋" w:cs="仿宋"/>
          <w:b/>
          <w:sz w:val="32"/>
          <w:szCs w:val="32"/>
          <w:lang w:val="en-US" w:eastAsia="zh-CN"/>
        </w:rPr>
        <w:t>184.1</w:t>
      </w:r>
      <w:r>
        <w:rPr>
          <w:rFonts w:hint="eastAsia" w:ascii="仿宋" w:hAnsi="仿宋" w:eastAsia="仿宋" w:cs="仿宋"/>
          <w:b/>
          <w:sz w:val="32"/>
          <w:szCs w:val="32"/>
        </w:rPr>
        <w:t>万元</w:t>
      </w:r>
      <w:r>
        <w:rPr>
          <w:rFonts w:hint="eastAsia" w:ascii="仿宋" w:hAnsi="仿宋" w:eastAsia="仿宋" w:cs="仿宋"/>
          <w:sz w:val="32"/>
          <w:szCs w:val="32"/>
        </w:rPr>
        <w:t>，</w:t>
      </w:r>
      <w:r>
        <w:rPr>
          <w:rStyle w:val="13"/>
          <w:rFonts w:hint="eastAsia" w:ascii="仿宋" w:hAnsi="仿宋" w:eastAsia="仿宋" w:cs="仿宋"/>
          <w:bCs/>
          <w:sz w:val="32"/>
          <w:szCs w:val="32"/>
        </w:rPr>
        <w:t>完成预算100%。其中：</w:t>
      </w:r>
      <w:bookmarkEnd w:id="29"/>
      <w:bookmarkEnd w:id="30"/>
      <w:bookmarkEnd w:id="31"/>
    </w:p>
    <w:p>
      <w:pPr>
        <w:numPr>
          <w:ilvl w:val="0"/>
          <w:numId w:val="1"/>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Style w:val="13"/>
          <w:rFonts w:hint="eastAsia" w:ascii="仿宋" w:hAnsi="仿宋" w:eastAsia="仿宋" w:cs="仿宋"/>
          <w:b w:val="0"/>
          <w:bCs/>
          <w:sz w:val="32"/>
          <w:szCs w:val="32"/>
          <w:lang w:eastAsia="zh-CN"/>
        </w:rPr>
      </w:pPr>
      <w:r>
        <w:rPr>
          <w:rFonts w:hint="eastAsia" w:ascii="仿宋" w:hAnsi="仿宋" w:eastAsia="仿宋" w:cs="仿宋"/>
          <w:b/>
          <w:bCs/>
          <w:color w:val="000000"/>
          <w:sz w:val="32"/>
          <w:szCs w:val="32"/>
        </w:rPr>
        <w:t>一般公共服务支出（类）群众团体事务（款）行政运行（项）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 xml:space="preserve"> 支出决算为</w:t>
      </w:r>
      <w:r>
        <w:rPr>
          <w:rStyle w:val="13"/>
          <w:rFonts w:hint="eastAsia" w:ascii="仿宋" w:hAnsi="仿宋" w:eastAsia="仿宋" w:cs="仿宋"/>
          <w:b w:val="0"/>
          <w:bCs/>
          <w:sz w:val="32"/>
          <w:szCs w:val="32"/>
          <w:lang w:val="en-US" w:eastAsia="zh-CN"/>
        </w:rPr>
        <w:t>129.56</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1"/>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Fonts w:hint="eastAsia" w:ascii="仿宋" w:hAnsi="仿宋" w:eastAsia="仿宋" w:cs="仿宋"/>
          <w:b/>
          <w:sz w:val="32"/>
          <w:szCs w:val="32"/>
          <w:lang w:val="en-US" w:eastAsia="zh-CN"/>
        </w:rPr>
      </w:pPr>
      <w:r>
        <w:rPr>
          <w:rFonts w:hint="eastAsia" w:ascii="仿宋" w:hAnsi="仿宋" w:eastAsia="仿宋" w:cs="仿宋"/>
          <w:b/>
          <w:bCs/>
          <w:color w:val="000000"/>
          <w:sz w:val="32"/>
          <w:szCs w:val="32"/>
        </w:rPr>
        <w:t>一般公共服务支出（类）群众团体事务（款） 一般行政管理事务（项）</w:t>
      </w:r>
      <w:r>
        <w:rPr>
          <w:rFonts w:hint="eastAsia" w:ascii="仿宋" w:hAnsi="仿宋" w:eastAsia="仿宋" w:cs="仿宋"/>
          <w:color w:val="000000"/>
          <w:sz w:val="32"/>
          <w:szCs w:val="32"/>
          <w:lang w:eastAsia="zh-CN"/>
        </w:rPr>
        <w:t>：支出决算为</w:t>
      </w:r>
      <w:r>
        <w:rPr>
          <w:rFonts w:hint="eastAsia" w:ascii="仿宋" w:hAnsi="仿宋" w:eastAsia="仿宋" w:cs="仿宋"/>
          <w:color w:val="000000"/>
          <w:sz w:val="32"/>
          <w:szCs w:val="32"/>
          <w:lang w:val="en-US" w:eastAsia="zh-CN"/>
        </w:rPr>
        <w:t>32.38，完成预算100%，</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Fonts w:hint="eastAsia" w:ascii="仿宋" w:hAnsi="仿宋" w:eastAsia="仿宋" w:cs="仿宋"/>
          <w:lang w:val="en-US" w:eastAsia="zh-CN"/>
        </w:rPr>
      </w:pPr>
      <w:r>
        <w:rPr>
          <w:rFonts w:hint="eastAsia" w:ascii="仿宋" w:hAnsi="仿宋" w:eastAsia="仿宋" w:cs="仿宋"/>
          <w:b/>
          <w:bCs/>
          <w:color w:val="000000"/>
          <w:sz w:val="32"/>
          <w:szCs w:val="32"/>
          <w:lang w:val="en-US" w:eastAsia="zh-CN"/>
        </w:rPr>
        <w:t>3.</w:t>
      </w:r>
      <w:r>
        <w:rPr>
          <w:rFonts w:hint="eastAsia" w:ascii="仿宋" w:hAnsi="仿宋" w:eastAsia="仿宋" w:cs="仿宋"/>
          <w:b/>
          <w:bCs/>
          <w:color w:val="000000"/>
          <w:sz w:val="32"/>
          <w:szCs w:val="32"/>
        </w:rPr>
        <w:t>社会保障和就业支出（类）行政事业单位养老支出（款）</w:t>
      </w:r>
      <w:r>
        <w:rPr>
          <w:rFonts w:hint="eastAsia" w:ascii="仿宋" w:hAnsi="仿宋" w:eastAsia="仿宋" w:cs="仿宋"/>
          <w:b/>
          <w:bCs/>
          <w:color w:val="000000"/>
          <w:sz w:val="32"/>
          <w:szCs w:val="32"/>
          <w:lang w:val="en-US" w:eastAsia="zh-CN"/>
        </w:rPr>
        <w:t>行政单位离退休</w:t>
      </w:r>
      <w:r>
        <w:rPr>
          <w:rFonts w:hint="eastAsia" w:ascii="仿宋" w:hAnsi="仿宋" w:eastAsia="仿宋" w:cs="仿宋"/>
          <w:b/>
          <w:bCs/>
          <w:color w:val="000000"/>
          <w:sz w:val="32"/>
          <w:szCs w:val="32"/>
        </w:rPr>
        <w:t>（项）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 xml:space="preserve"> 支出决算为</w:t>
      </w:r>
      <w:r>
        <w:rPr>
          <w:rStyle w:val="13"/>
          <w:rFonts w:hint="eastAsia" w:ascii="仿宋" w:hAnsi="仿宋" w:eastAsia="仿宋" w:cs="仿宋"/>
          <w:b w:val="0"/>
          <w:bCs/>
          <w:sz w:val="32"/>
          <w:szCs w:val="32"/>
          <w:lang w:val="en-US" w:eastAsia="zh-CN"/>
        </w:rPr>
        <w:t>1.45</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Style w:val="13"/>
          <w:rFonts w:hint="eastAsia" w:ascii="仿宋" w:hAnsi="仿宋" w:eastAsia="仿宋" w:cs="仿宋"/>
          <w:b w:val="0"/>
          <w:bCs/>
          <w:color w:val="auto"/>
          <w:sz w:val="32"/>
          <w:szCs w:val="32"/>
          <w:highlight w:val="none"/>
          <w:lang w:eastAsia="zh-CN"/>
        </w:rPr>
      </w:pPr>
      <w:r>
        <w:rPr>
          <w:rFonts w:hint="eastAsia" w:ascii="仿宋" w:hAnsi="仿宋" w:eastAsia="仿宋" w:cs="仿宋"/>
          <w:b/>
          <w:bCs/>
          <w:color w:val="000000"/>
          <w:sz w:val="32"/>
          <w:szCs w:val="32"/>
          <w:lang w:val="en-US" w:eastAsia="zh-CN"/>
        </w:rPr>
        <w:t>4.</w:t>
      </w:r>
      <w:r>
        <w:rPr>
          <w:rFonts w:hint="eastAsia" w:ascii="仿宋" w:hAnsi="仿宋" w:eastAsia="仿宋" w:cs="仿宋"/>
          <w:b/>
          <w:bCs/>
          <w:color w:val="000000"/>
          <w:sz w:val="32"/>
          <w:szCs w:val="32"/>
        </w:rPr>
        <w:t>社会保障和就业支出（类）行政事业单位养老支出（款）机关事业单位基本养老保险缴费支出（项）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 xml:space="preserve"> 支出决算为8.0</w:t>
      </w:r>
      <w:r>
        <w:rPr>
          <w:rStyle w:val="13"/>
          <w:rFonts w:hint="eastAsia" w:ascii="仿宋" w:hAnsi="仿宋" w:eastAsia="仿宋" w:cs="仿宋"/>
          <w:b w:val="0"/>
          <w:bCs/>
          <w:sz w:val="32"/>
          <w:szCs w:val="32"/>
          <w:lang w:val="en-US" w:eastAsia="zh-CN"/>
        </w:rPr>
        <w:t>7</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Fonts w:hint="eastAsia" w:ascii="仿宋" w:hAnsi="仿宋" w:eastAsia="仿宋" w:cs="仿宋"/>
          <w:lang w:eastAsia="zh-CN"/>
        </w:rPr>
      </w:pPr>
      <w:r>
        <w:rPr>
          <w:rFonts w:hint="eastAsia" w:ascii="仿宋" w:hAnsi="仿宋" w:eastAsia="仿宋" w:cs="仿宋"/>
          <w:b/>
          <w:bCs/>
          <w:color w:val="000000"/>
          <w:sz w:val="32"/>
          <w:szCs w:val="32"/>
          <w:lang w:val="en-US" w:eastAsia="zh-CN"/>
        </w:rPr>
        <w:t>5.</w:t>
      </w:r>
      <w:r>
        <w:rPr>
          <w:rFonts w:hint="eastAsia" w:ascii="仿宋" w:hAnsi="仿宋" w:eastAsia="仿宋" w:cs="仿宋"/>
          <w:b/>
          <w:bCs/>
          <w:color w:val="000000"/>
          <w:sz w:val="32"/>
          <w:szCs w:val="32"/>
        </w:rPr>
        <w:t>社会保障和就业支出（类）行政事业单位养老支出（款）</w:t>
      </w:r>
      <w:r>
        <w:rPr>
          <w:rFonts w:hint="eastAsia" w:ascii="仿宋" w:hAnsi="仿宋" w:eastAsia="仿宋" w:cs="仿宋"/>
          <w:b/>
          <w:bCs/>
          <w:color w:val="000000"/>
          <w:sz w:val="32"/>
          <w:szCs w:val="32"/>
          <w:lang w:val="en-US" w:eastAsia="zh-CN"/>
        </w:rPr>
        <w:t>其他社会保障就业支出</w:t>
      </w:r>
      <w:r>
        <w:rPr>
          <w:rFonts w:hint="eastAsia" w:ascii="仿宋" w:hAnsi="仿宋" w:eastAsia="仿宋" w:cs="仿宋"/>
          <w:b/>
          <w:bCs/>
          <w:color w:val="000000"/>
          <w:sz w:val="32"/>
          <w:szCs w:val="32"/>
        </w:rPr>
        <w:t>（项）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 xml:space="preserve"> 支出决算为</w:t>
      </w:r>
      <w:r>
        <w:rPr>
          <w:rStyle w:val="13"/>
          <w:rFonts w:hint="eastAsia" w:ascii="仿宋" w:hAnsi="仿宋" w:eastAsia="仿宋" w:cs="仿宋"/>
          <w:b w:val="0"/>
          <w:bCs/>
          <w:sz w:val="32"/>
          <w:szCs w:val="32"/>
          <w:lang w:val="en-US" w:eastAsia="zh-CN"/>
        </w:rPr>
        <w:t>0.25</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rPr>
          <w:rFonts w:hint="eastAsia" w:ascii="仿宋" w:hAnsi="仿宋" w:eastAsia="仿宋" w:cs="仿宋"/>
          <w:b/>
          <w:sz w:val="32"/>
          <w:szCs w:val="32"/>
          <w:lang w:eastAsia="zh-CN"/>
        </w:rPr>
      </w:pPr>
      <w:r>
        <w:rPr>
          <w:rStyle w:val="13"/>
          <w:rFonts w:hint="eastAsia" w:ascii="仿宋" w:hAnsi="仿宋" w:eastAsia="仿宋" w:cs="仿宋"/>
          <w:bCs/>
          <w:sz w:val="32"/>
          <w:szCs w:val="32"/>
          <w:lang w:val="en-US" w:eastAsia="zh-CN"/>
        </w:rPr>
        <w:t>6</w:t>
      </w:r>
      <w:r>
        <w:rPr>
          <w:rStyle w:val="13"/>
          <w:rFonts w:hint="eastAsia" w:ascii="仿宋" w:hAnsi="仿宋" w:eastAsia="仿宋" w:cs="仿宋"/>
          <w:bCs/>
          <w:sz w:val="32"/>
          <w:szCs w:val="32"/>
        </w:rPr>
        <w:t>.</w:t>
      </w:r>
      <w:r>
        <w:rPr>
          <w:rFonts w:hint="eastAsia" w:ascii="仿宋" w:hAnsi="仿宋" w:eastAsia="仿宋" w:cs="仿宋"/>
          <w:b/>
          <w:bCs/>
          <w:color w:val="000000"/>
          <w:sz w:val="32"/>
          <w:szCs w:val="32"/>
        </w:rPr>
        <w:t>卫生健康（类）行政事业单位医疗（款）行政单位医疗（项）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支出决算为4.0</w:t>
      </w:r>
      <w:r>
        <w:rPr>
          <w:rStyle w:val="13"/>
          <w:rFonts w:hint="eastAsia" w:ascii="仿宋" w:hAnsi="仿宋" w:eastAsia="仿宋" w:cs="仿宋"/>
          <w:b w:val="0"/>
          <w:bCs/>
          <w:sz w:val="32"/>
          <w:szCs w:val="32"/>
          <w:lang w:val="en-US" w:eastAsia="zh-CN"/>
        </w:rPr>
        <w:t>4</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_GB2312" w:hAnsi="仿宋_GB2312" w:eastAsia="仿宋_GB2312" w:cs="仿宋_GB2312"/>
          <w:b/>
          <w:sz w:val="32"/>
          <w:szCs w:val="32"/>
          <w:lang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b/>
          <w:bCs/>
          <w:color w:val="000000"/>
          <w:sz w:val="32"/>
          <w:szCs w:val="32"/>
        </w:rPr>
        <w:t>住房保障支出（类）住房改革支出（款） 住房公积金（项）</w:t>
      </w:r>
      <w:r>
        <w:rPr>
          <w:rStyle w:val="13"/>
          <w:rFonts w:hint="eastAsia" w:ascii="仿宋" w:hAnsi="仿宋" w:eastAsia="仿宋" w:cs="仿宋"/>
          <w:bCs/>
          <w:sz w:val="32"/>
          <w:szCs w:val="32"/>
        </w:rPr>
        <w:t>:</w:t>
      </w:r>
      <w:r>
        <w:rPr>
          <w:rStyle w:val="13"/>
          <w:rFonts w:hint="eastAsia" w:ascii="仿宋" w:hAnsi="仿宋" w:eastAsia="仿宋" w:cs="仿宋"/>
          <w:b w:val="0"/>
          <w:bCs/>
          <w:sz w:val="32"/>
          <w:szCs w:val="32"/>
        </w:rPr>
        <w:t>支出决算为8.3</w:t>
      </w:r>
      <w:r>
        <w:rPr>
          <w:rStyle w:val="13"/>
          <w:rFonts w:hint="eastAsia" w:ascii="仿宋" w:hAnsi="仿宋" w:eastAsia="仿宋" w:cs="仿宋"/>
          <w:b w:val="0"/>
          <w:bCs/>
          <w:sz w:val="32"/>
          <w:szCs w:val="32"/>
          <w:lang w:val="en-US" w:eastAsia="zh-CN"/>
        </w:rPr>
        <w:t>6</w:t>
      </w:r>
      <w:r>
        <w:rPr>
          <w:rStyle w:val="13"/>
          <w:rFonts w:hint="eastAsia" w:ascii="仿宋" w:hAnsi="仿宋" w:eastAsia="仿宋" w:cs="仿宋"/>
          <w:b w:val="0"/>
          <w:bCs/>
          <w:sz w:val="32"/>
          <w:szCs w:val="32"/>
        </w:rPr>
        <w:t>万元，完成预算100%</w:t>
      </w:r>
      <w:r>
        <w:rPr>
          <w:rStyle w:val="13"/>
          <w:rFonts w:hint="eastAsia" w:ascii="仿宋" w:hAnsi="仿宋" w:eastAsia="仿宋" w:cs="仿宋"/>
          <w:b w:val="0"/>
          <w:bCs/>
          <w:sz w:val="32"/>
          <w:szCs w:val="32"/>
          <w:lang w:eastAsia="zh-CN"/>
        </w:rPr>
        <w:t>，</w:t>
      </w:r>
      <w:r>
        <w:rPr>
          <w:rStyle w:val="13"/>
          <w:rFonts w:hint="eastAsia" w:ascii="仿宋" w:hAnsi="仿宋" w:eastAsia="仿宋" w:cs="仿宋"/>
          <w:b w:val="0"/>
          <w:bCs/>
          <w:color w:val="auto"/>
          <w:sz w:val="32"/>
          <w:szCs w:val="32"/>
          <w:highlight w:val="none"/>
        </w:rPr>
        <w:t>决算数等于预算数</w:t>
      </w:r>
      <w:r>
        <w:rPr>
          <w:rStyle w:val="13"/>
          <w:rFonts w:hint="eastAsia" w:ascii="仿宋" w:hAnsi="仿宋" w:eastAsia="仿宋" w:cs="仿宋"/>
          <w:b w:val="0"/>
          <w:bCs/>
          <w:color w:val="auto"/>
          <w:sz w:val="32"/>
          <w:szCs w:val="32"/>
          <w:highlight w:val="none"/>
          <w:lang w:eastAsia="zh-CN"/>
        </w:rPr>
        <w:t>。</w:t>
      </w:r>
    </w:p>
    <w:p>
      <w:pPr>
        <w:pBdr>
          <w:top w:val="none" w:color="auto" w:sz="0" w:space="0"/>
          <w:left w:val="none" w:color="auto" w:sz="0" w:space="0"/>
          <w:bottom w:val="none" w:color="auto" w:sz="0" w:space="0"/>
          <w:right w:val="none" w:color="auto" w:sz="0" w:space="0"/>
          <w:between w:val="none" w:color="auto" w:sz="0" w:space="0"/>
        </w:pBdr>
        <w:tabs>
          <w:tab w:val="right" w:pos="8306"/>
        </w:tabs>
        <w:spacing w:line="576" w:lineRule="exact"/>
        <w:ind w:firstLine="640" w:firstLineChars="200"/>
        <w:outlineLvl w:val="1"/>
        <w:rPr>
          <w:rFonts w:hint="eastAsia" w:ascii="黑体" w:hAnsi="黑体" w:eastAsia="黑体" w:cs="黑体"/>
          <w:sz w:val="32"/>
          <w:szCs w:val="32"/>
        </w:rPr>
      </w:pPr>
      <w:bookmarkStart w:id="32" w:name="_Toc15377214"/>
      <w:bookmarkStart w:id="33" w:name="_Toc15396608"/>
    </w:p>
    <w:p>
      <w:pPr>
        <w:pBdr>
          <w:top w:val="none" w:color="auto" w:sz="0" w:space="0"/>
          <w:left w:val="none" w:color="auto" w:sz="0" w:space="0"/>
          <w:bottom w:val="none" w:color="auto" w:sz="0" w:space="0"/>
          <w:right w:val="none" w:color="auto" w:sz="0" w:space="0"/>
          <w:between w:val="none" w:color="auto" w:sz="0" w:space="0"/>
        </w:pBdr>
        <w:tabs>
          <w:tab w:val="right" w:pos="8306"/>
        </w:tabs>
        <w:spacing w:line="576" w:lineRule="exact"/>
        <w:ind w:firstLine="640" w:firstLineChars="200"/>
        <w:outlineLvl w:val="1"/>
        <w:rPr>
          <w:rStyle w:val="16"/>
          <w:rFonts w:hint="eastAsia" w:ascii="黑体" w:hAnsi="黑体" w:eastAsia="黑体" w:cs="黑体"/>
        </w:rPr>
      </w:pPr>
      <w:r>
        <w:rPr>
          <w:rFonts w:hint="eastAsia" w:ascii="黑体" w:hAnsi="黑体" w:eastAsia="黑体" w:cs="黑体"/>
          <w:sz w:val="32"/>
          <w:szCs w:val="32"/>
        </w:rPr>
        <w:t>六</w:t>
      </w:r>
      <w:r>
        <w:rPr>
          <w:rFonts w:hint="eastAsia" w:ascii="黑体" w:hAnsi="黑体" w:eastAsia="黑体" w:cs="黑体"/>
          <w:b/>
          <w:sz w:val="32"/>
          <w:szCs w:val="32"/>
        </w:rPr>
        <w:t>、一</w:t>
      </w:r>
      <w:r>
        <w:rPr>
          <w:rStyle w:val="16"/>
          <w:rFonts w:hint="eastAsia" w:ascii="黑体" w:hAnsi="黑体" w:eastAsia="黑体" w:cs="黑体"/>
          <w:b w:val="0"/>
        </w:rPr>
        <w:t>般公共预算财政拨款基本支出决算情况说明</w:t>
      </w:r>
      <w:bookmarkEnd w:id="32"/>
      <w:bookmarkEnd w:id="33"/>
      <w:r>
        <w:rPr>
          <w:rStyle w:val="16"/>
          <w:rFonts w:hint="eastAsia" w:ascii="黑体" w:hAnsi="黑体" w:eastAsia="黑体" w:cs="黑体"/>
          <w:b w:val="0"/>
        </w:rPr>
        <w:tab/>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年一般公共预算财政拨款基本支出</w:t>
      </w:r>
      <w:r>
        <w:rPr>
          <w:rFonts w:hint="eastAsia" w:ascii="仿宋" w:hAnsi="仿宋" w:eastAsia="仿宋" w:cs="仿宋"/>
          <w:sz w:val="32"/>
          <w:szCs w:val="32"/>
          <w:lang w:val="en-US" w:eastAsia="zh-CN"/>
        </w:rPr>
        <w:t>151.72</w:t>
      </w:r>
      <w:r>
        <w:rPr>
          <w:rFonts w:hint="eastAsia" w:ascii="仿宋" w:hAnsi="仿宋" w:eastAsia="仿宋" w:cs="仿宋"/>
          <w:sz w:val="32"/>
          <w:szCs w:val="32"/>
        </w:rPr>
        <w:t>万元，其中：</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134.35</w:t>
      </w:r>
      <w:r>
        <w:rPr>
          <w:rFonts w:hint="eastAsia" w:ascii="仿宋" w:hAnsi="仿宋" w:eastAsia="仿宋" w:cs="仿宋"/>
          <w:sz w:val="32"/>
          <w:szCs w:val="32"/>
        </w:rPr>
        <w:t>万元，主要包括：基本工资、津贴补贴、奖金、机关事业单位基本养老保险缴费、职工基本医疗保险缴费</w:t>
      </w:r>
      <w:r>
        <w:rPr>
          <w:rFonts w:hint="eastAsia" w:ascii="仿宋" w:hAnsi="仿宋" w:eastAsia="仿宋" w:cs="仿宋"/>
          <w:sz w:val="32"/>
          <w:szCs w:val="32"/>
          <w:lang w:eastAsia="zh-CN"/>
        </w:rPr>
        <w:t>、其他社会保障缴费、住房公积金、</w:t>
      </w:r>
      <w:r>
        <w:rPr>
          <w:rFonts w:hint="eastAsia" w:ascii="仿宋" w:hAnsi="仿宋" w:eastAsia="仿宋" w:cs="仿宋"/>
          <w:sz w:val="32"/>
          <w:szCs w:val="32"/>
          <w:lang w:val="en-US" w:eastAsia="zh-CN"/>
        </w:rPr>
        <w:t>生活补助</w:t>
      </w:r>
      <w:r>
        <w:rPr>
          <w:rFonts w:hint="eastAsia" w:ascii="仿宋" w:hAnsi="仿宋" w:eastAsia="仿宋" w:cs="仿宋"/>
          <w:sz w:val="32"/>
          <w:szCs w:val="32"/>
        </w:rPr>
        <w:t>。</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default" w:eastAsia="仿宋_GB2312"/>
          <w:lang w:val="en-US" w:eastAsia="zh-CN"/>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17.37</w:t>
      </w:r>
      <w:r>
        <w:rPr>
          <w:rFonts w:hint="eastAsia" w:ascii="仿宋" w:hAnsi="仿宋" w:eastAsia="仿宋" w:cs="仿宋"/>
          <w:sz w:val="32"/>
          <w:szCs w:val="32"/>
        </w:rPr>
        <w:t>万元，主要包括：办公费、印刷费、水费、电费、</w:t>
      </w:r>
      <w:r>
        <w:rPr>
          <w:rFonts w:hint="eastAsia" w:ascii="仿宋" w:hAnsi="仿宋" w:eastAsia="仿宋" w:cs="仿宋"/>
          <w:sz w:val="32"/>
          <w:szCs w:val="32"/>
          <w:lang w:val="en-US" w:eastAsia="zh-CN"/>
        </w:rPr>
        <w:t>邮电费、</w:t>
      </w:r>
      <w:r>
        <w:rPr>
          <w:rFonts w:hint="eastAsia" w:ascii="仿宋" w:hAnsi="仿宋" w:eastAsia="仿宋" w:cs="仿宋"/>
          <w:sz w:val="32"/>
          <w:szCs w:val="32"/>
        </w:rPr>
        <w:t>差旅费、维修（护）费、</w:t>
      </w:r>
      <w:r>
        <w:rPr>
          <w:rFonts w:hint="eastAsia" w:ascii="仿宋" w:hAnsi="仿宋" w:eastAsia="仿宋" w:cs="仿宋"/>
          <w:sz w:val="32"/>
          <w:szCs w:val="32"/>
          <w:lang w:val="en-US" w:eastAsia="zh-CN"/>
        </w:rPr>
        <w:t>租赁费、会议费、公务接待费、</w:t>
      </w:r>
      <w:r>
        <w:rPr>
          <w:rFonts w:hint="eastAsia" w:ascii="仿宋" w:hAnsi="仿宋" w:eastAsia="仿宋" w:cs="仿宋"/>
          <w:sz w:val="32"/>
          <w:szCs w:val="32"/>
        </w:rPr>
        <w:t>劳务费、工会经费、福利费、其他交通费</w:t>
      </w:r>
      <w:r>
        <w:rPr>
          <w:rFonts w:hint="eastAsia" w:ascii="仿宋" w:hAnsi="仿宋" w:eastAsia="仿宋" w:cs="仿宋"/>
          <w:sz w:val="32"/>
          <w:szCs w:val="32"/>
          <w:lang w:val="en-US" w:eastAsia="zh-CN"/>
        </w:rPr>
        <w:t>。</w:t>
      </w:r>
      <w:r>
        <w:rPr>
          <w:rFonts w:hint="eastAsia" w:hAnsi="仿宋_GB2312" w:cs="仿宋_GB2312"/>
          <w:sz w:val="32"/>
          <w:szCs w:val="32"/>
          <w:lang w:val="en-US" w:eastAsia="zh-CN"/>
        </w:rPr>
        <w:t xml:space="preserve">   </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hint="eastAsia" w:ascii="黑体" w:hAnsi="黑体" w:eastAsia="黑体" w:cs="黑体"/>
          <w:b w:val="0"/>
        </w:rPr>
      </w:pPr>
      <w:bookmarkStart w:id="34" w:name="_Toc15396609"/>
      <w:bookmarkStart w:id="35" w:name="_Toc15377215"/>
      <w:r>
        <w:rPr>
          <w:rFonts w:hint="eastAsia" w:ascii="黑体" w:hAnsi="黑体" w:eastAsia="黑体" w:cs="黑体"/>
          <w:sz w:val="32"/>
          <w:szCs w:val="32"/>
        </w:rPr>
        <w:t>七、</w:t>
      </w:r>
      <w:r>
        <w:rPr>
          <w:rStyle w:val="16"/>
          <w:rFonts w:hint="eastAsia" w:ascii="黑体" w:hAnsi="黑体" w:eastAsia="黑体" w:cs="黑体"/>
        </w:rPr>
        <w:t>“</w:t>
      </w:r>
      <w:r>
        <w:rPr>
          <w:rStyle w:val="16"/>
          <w:rFonts w:hint="eastAsia" w:ascii="黑体" w:hAnsi="黑体" w:eastAsia="黑体" w:cs="黑体"/>
          <w:b w:val="0"/>
        </w:rPr>
        <w:t>三公”经费财政拨款支出决算情况说明</w:t>
      </w:r>
      <w:bookmarkEnd w:id="34"/>
      <w:bookmarkEnd w:id="35"/>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hint="eastAsia" w:ascii="仿宋_GB2312" w:hAnsi="仿宋_GB2312" w:eastAsia="仿宋_GB2312" w:cs="仿宋_GB2312"/>
          <w:b/>
          <w:sz w:val="32"/>
          <w:szCs w:val="32"/>
        </w:rPr>
      </w:pPr>
      <w:bookmarkStart w:id="36" w:name="_Toc15377216"/>
      <w:r>
        <w:rPr>
          <w:rFonts w:hint="eastAsia" w:ascii="仿宋_GB2312" w:hAnsi="仿宋_GB2312" w:eastAsia="仿宋_GB2312" w:cs="仿宋_GB2312"/>
          <w:b/>
          <w:sz w:val="32"/>
          <w:szCs w:val="32"/>
        </w:rPr>
        <w:t>（一）“三公”经费财政拨款支出决算总体情况说明</w:t>
      </w:r>
      <w:bookmarkEnd w:id="36"/>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default" w:ascii="仿宋" w:hAnsi="仿宋" w:eastAsia="仿宋" w:cs="仿宋"/>
          <w:color w:val="auto"/>
          <w:sz w:val="32"/>
          <w:szCs w:val="32"/>
          <w:highlight w:val="none"/>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年“三公”经费财政拨款支出决算为</w:t>
      </w:r>
      <w:r>
        <w:rPr>
          <w:rFonts w:hint="eastAsia" w:ascii="仿宋" w:hAnsi="仿宋" w:eastAsia="仿宋" w:cs="仿宋"/>
          <w:sz w:val="32"/>
          <w:szCs w:val="32"/>
          <w:lang w:val="en-US" w:eastAsia="zh-CN"/>
        </w:rPr>
        <w:t>0.08</w:t>
      </w:r>
      <w:r>
        <w:rPr>
          <w:rFonts w:hint="eastAsia" w:ascii="仿宋" w:hAnsi="仿宋" w:eastAsia="仿宋" w:cs="仿宋"/>
          <w:sz w:val="32"/>
          <w:szCs w:val="32"/>
        </w:rPr>
        <w:t>万元，</w:t>
      </w:r>
      <w:r>
        <w:rPr>
          <w:rFonts w:hint="eastAsia" w:ascii="仿宋" w:hAnsi="仿宋" w:eastAsia="仿宋" w:cs="仿宋"/>
          <w:color w:val="auto"/>
          <w:sz w:val="32"/>
          <w:szCs w:val="32"/>
          <w:highlight w:val="none"/>
        </w:rPr>
        <w:t>完成预算</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较上年增加</w:t>
      </w:r>
      <w:r>
        <w:rPr>
          <w:rFonts w:hint="eastAsia" w:ascii="仿宋" w:hAnsi="仿宋" w:eastAsia="仿宋" w:cs="仿宋"/>
          <w:color w:val="auto"/>
          <w:sz w:val="32"/>
          <w:szCs w:val="32"/>
          <w:highlight w:val="none"/>
          <w:lang w:val="en-US" w:eastAsia="zh-CN"/>
        </w:rPr>
        <w:t>0.08万元，</w:t>
      </w:r>
      <w:r>
        <w:rPr>
          <w:rFonts w:hint="default" w:ascii="仿宋" w:hAnsi="仿宋" w:eastAsia="仿宋" w:cs="仿宋"/>
          <w:color w:val="auto"/>
          <w:sz w:val="32"/>
          <w:szCs w:val="32"/>
          <w:highlight w:val="none"/>
          <w:lang w:eastAsia="zh-CN"/>
        </w:rPr>
        <w:t>决算数与预算数持平，</w:t>
      </w:r>
      <w:r>
        <w:rPr>
          <w:rFonts w:hint="eastAsia" w:ascii="仿宋" w:hAnsi="仿宋" w:eastAsia="仿宋" w:cs="仿宋"/>
          <w:color w:val="auto"/>
          <w:sz w:val="32"/>
          <w:szCs w:val="32"/>
          <w:highlight w:val="none"/>
          <w:lang w:eastAsia="zh-CN"/>
        </w:rPr>
        <w:t>主要原因是</w:t>
      </w:r>
      <w:r>
        <w:rPr>
          <w:rFonts w:hint="eastAsia" w:ascii="仿宋" w:hAnsi="仿宋" w:eastAsia="仿宋" w:cs="仿宋"/>
          <w:color w:val="auto"/>
          <w:sz w:val="32"/>
          <w:szCs w:val="32"/>
          <w:highlight w:val="none"/>
          <w:lang w:val="en-US" w:eastAsia="zh-CN"/>
        </w:rPr>
        <w:t>经年初科学预算和单位运转需要</w:t>
      </w:r>
      <w:r>
        <w:rPr>
          <w:rFonts w:hint="default" w:ascii="仿宋" w:hAnsi="仿宋" w:eastAsia="仿宋" w:cs="仿宋"/>
          <w:color w:val="auto"/>
          <w:sz w:val="32"/>
          <w:szCs w:val="32"/>
          <w:highlight w:val="none"/>
          <w:lang w:eastAsia="zh-CN"/>
        </w:rPr>
        <w:t>。</w:t>
      </w:r>
    </w:p>
    <w:p>
      <w:pPr>
        <w:pBdr>
          <w:top w:val="none" w:color="auto" w:sz="0" w:space="0"/>
          <w:left w:val="none" w:color="auto" w:sz="0" w:space="0"/>
          <w:bottom w:val="none" w:color="auto" w:sz="0" w:space="0"/>
          <w:right w:val="none" w:color="auto" w:sz="0" w:space="0"/>
          <w:between w:val="none" w:color="auto" w:sz="0" w:space="0"/>
        </w:pBdr>
        <w:spacing w:line="576" w:lineRule="exact"/>
        <w:ind w:firstLine="642" w:firstLineChars="200"/>
        <w:outlineLvl w:val="2"/>
        <w:rPr>
          <w:rFonts w:hint="eastAsia" w:ascii="仿宋_GB2312" w:hAnsi="仿宋_GB2312" w:eastAsia="仿宋_GB2312" w:cs="仿宋_GB2312"/>
          <w:b/>
          <w:sz w:val="32"/>
          <w:szCs w:val="32"/>
        </w:rPr>
      </w:pPr>
      <w:bookmarkStart w:id="37" w:name="_Toc15377217"/>
      <w:r>
        <w:rPr>
          <w:rFonts w:hint="eastAsia" w:ascii="仿宋_GB2312" w:hAnsi="仿宋_GB2312" w:eastAsia="仿宋_GB2312" w:cs="仿宋_GB2312"/>
          <w:b/>
          <w:sz w:val="32"/>
          <w:szCs w:val="32"/>
        </w:rPr>
        <w:t>（二）“三公”经费财政拨款支出决算具体情况说明</w:t>
      </w:r>
      <w:bookmarkEnd w:id="37"/>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年“三公”经费财政拨款支出决算中，因公出国（境）费支出决算0万元</w:t>
      </w:r>
      <w:r>
        <w:rPr>
          <w:rFonts w:hint="default" w:ascii="仿宋" w:hAnsi="仿宋" w:eastAsia="仿宋" w:cs="仿宋"/>
          <w:sz w:val="32"/>
          <w:szCs w:val="32"/>
        </w:rPr>
        <w:t>，占0%</w:t>
      </w:r>
      <w:r>
        <w:rPr>
          <w:rFonts w:hint="eastAsia" w:ascii="仿宋" w:hAnsi="仿宋" w:eastAsia="仿宋" w:cs="仿宋"/>
          <w:sz w:val="32"/>
          <w:szCs w:val="32"/>
        </w:rPr>
        <w:t>；公务用车购置及运行维护费支出决算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default" w:ascii="仿宋" w:hAnsi="仿宋" w:eastAsia="仿宋" w:cs="仿宋"/>
          <w:sz w:val="32"/>
          <w:szCs w:val="32"/>
        </w:rPr>
        <w:t>，占0%</w:t>
      </w:r>
      <w:r>
        <w:rPr>
          <w:rFonts w:hint="eastAsia" w:ascii="仿宋" w:hAnsi="仿宋" w:eastAsia="仿宋" w:cs="仿宋"/>
          <w:sz w:val="32"/>
          <w:szCs w:val="32"/>
        </w:rPr>
        <w:t>；公务接待费支出决算</w:t>
      </w:r>
      <w:r>
        <w:rPr>
          <w:rFonts w:hint="eastAsia" w:ascii="仿宋" w:hAnsi="仿宋" w:eastAsia="仿宋" w:cs="仿宋"/>
          <w:sz w:val="32"/>
          <w:szCs w:val="32"/>
          <w:lang w:val="en-US" w:eastAsia="zh-CN"/>
        </w:rPr>
        <w:t>0.08</w:t>
      </w:r>
      <w:r>
        <w:rPr>
          <w:rFonts w:hint="eastAsia" w:ascii="仿宋" w:hAnsi="仿宋" w:eastAsia="仿宋" w:cs="仿宋"/>
          <w:sz w:val="32"/>
          <w:szCs w:val="32"/>
        </w:rPr>
        <w:t>万元</w:t>
      </w:r>
      <w:r>
        <w:rPr>
          <w:rFonts w:hint="default" w:ascii="仿宋" w:hAnsi="仿宋" w:eastAsia="仿宋" w:cs="仿宋"/>
          <w:sz w:val="32"/>
          <w:szCs w:val="32"/>
        </w:rPr>
        <w:t>，占100%</w:t>
      </w:r>
      <w:r>
        <w:rPr>
          <w:rFonts w:hint="eastAsia" w:ascii="仿宋" w:hAnsi="仿宋" w:eastAsia="仿宋" w:cs="仿宋"/>
          <w:sz w:val="32"/>
          <w:szCs w:val="32"/>
        </w:rPr>
        <w:t>。</w:t>
      </w:r>
    </w:p>
    <w:p>
      <w:pPr>
        <w:pStyle w:val="14"/>
        <w:pBdr>
          <w:top w:val="none" w:color="auto" w:sz="0" w:space="0"/>
          <w:left w:val="none" w:color="auto" w:sz="0" w:space="0"/>
          <w:bottom w:val="none" w:color="auto" w:sz="0" w:space="0"/>
          <w:right w:val="none" w:color="auto" w:sz="0" w:space="0"/>
          <w:between w:val="none" w:color="auto" w:sz="0" w:space="0"/>
        </w:pBdr>
        <w:rPr>
          <w:rFonts w:hint="eastAsia"/>
        </w:rPr>
      </w:pPr>
      <w:r>
        <w:drawing>
          <wp:inline distT="0" distB="0" distL="114300" distR="114300">
            <wp:extent cx="4636135" cy="2172335"/>
            <wp:effectExtent l="5080" t="5080" r="6985" b="13335"/>
            <wp:docPr id="35"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600" w:lineRule="exact"/>
        <w:ind w:firstLine="640"/>
        <w:rPr>
          <w:rFonts w:hint="eastAsia" w:ascii="仿宋_GB2312" w:hAnsi="仿宋_GB2312" w:eastAsia="仿宋_GB2312" w:cs="仿宋_GB2312"/>
          <w:sz w:val="32"/>
          <w:szCs w:val="32"/>
        </w:rPr>
      </w:pPr>
      <w:bookmarkStart w:id="38" w:name="_Toc15396610"/>
      <w:bookmarkStart w:id="39" w:name="_Toc15377218"/>
      <w:r>
        <w:rPr>
          <w:rFonts w:hint="eastAsia" w:ascii="仿宋" w:hAnsi="仿宋" w:eastAsia="仿宋" w:cs="仿宋"/>
          <w:b/>
          <w:color w:val="auto"/>
          <w:sz w:val="32"/>
          <w:szCs w:val="32"/>
          <w:highlight w:val="none"/>
        </w:rPr>
        <w:t>因公出国（境）经费支出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_GB2312" w:hAnsi="仿宋_GB2312" w:eastAsia="仿宋_GB2312" w:cs="仿宋_GB2312"/>
          <w:sz w:val="32"/>
          <w:szCs w:val="32"/>
        </w:rPr>
        <w:t>年初未安排预算。因公出国（境）支出决算较202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年无变化。</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600" w:lineRule="exact"/>
        <w:ind w:firstLine="642"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2.公务用车购置及运行维护费支出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_GB2312" w:hAnsi="仿宋_GB2312" w:eastAsia="仿宋_GB2312" w:cs="仿宋_GB2312"/>
          <w:sz w:val="32"/>
          <w:szCs w:val="32"/>
        </w:rPr>
        <w:t>年初未安排预算。因公出国（境）支出决算较202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年无变化。</w:t>
      </w:r>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其中：</w:t>
      </w:r>
      <w:r>
        <w:rPr>
          <w:rFonts w:hint="eastAsia" w:ascii="仿宋" w:hAnsi="仿宋" w:eastAsia="仿宋" w:cs="仿宋"/>
          <w:b/>
          <w:color w:val="auto"/>
          <w:sz w:val="32"/>
          <w:szCs w:val="32"/>
          <w:highlight w:val="none"/>
        </w:rPr>
        <w:t>公务用车购置支出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年12月底，单位共有公务用车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600" w:lineRule="exact"/>
        <w:ind w:left="640" w:leftChars="0"/>
        <w:rPr>
          <w:rFonts w:hint="eastAsia" w:ascii="仿宋" w:hAnsi="仿宋" w:eastAsia="仿宋" w:cs="仿宋"/>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3.</w:t>
      </w:r>
      <w:r>
        <w:rPr>
          <w:rFonts w:hint="eastAsia" w:ascii="仿宋" w:hAnsi="仿宋" w:eastAsia="仿宋" w:cs="仿宋"/>
          <w:b/>
          <w:color w:val="auto"/>
          <w:sz w:val="32"/>
          <w:szCs w:val="32"/>
          <w:highlight w:val="none"/>
        </w:rPr>
        <w:t>公务接待费支出</w:t>
      </w:r>
      <w:r>
        <w:rPr>
          <w:rFonts w:hint="eastAsia" w:ascii="仿宋" w:hAnsi="仿宋" w:eastAsia="仿宋" w:cs="仿宋"/>
          <w:color w:val="auto"/>
          <w:sz w:val="32"/>
          <w:szCs w:val="32"/>
          <w:highlight w:val="none"/>
          <w:lang w:val="en-US" w:eastAsia="zh-CN"/>
        </w:rPr>
        <w:t>0.08</w:t>
      </w:r>
      <w:r>
        <w:rPr>
          <w:rFonts w:hint="eastAsia" w:ascii="仿宋" w:hAnsi="仿宋" w:eastAsia="仿宋" w:cs="仿宋"/>
          <w:color w:val="auto"/>
          <w:sz w:val="32"/>
          <w:szCs w:val="32"/>
          <w:highlight w:val="none"/>
        </w:rPr>
        <w:t>万元，</w:t>
      </w:r>
      <w:r>
        <w:rPr>
          <w:rStyle w:val="13"/>
          <w:rFonts w:hint="eastAsia" w:ascii="仿宋" w:hAnsi="仿宋" w:eastAsia="仿宋" w:cs="仿宋"/>
          <w:b w:val="0"/>
          <w:bCs/>
          <w:color w:val="auto"/>
          <w:sz w:val="32"/>
          <w:szCs w:val="32"/>
          <w:highlight w:val="none"/>
        </w:rPr>
        <w:t>完成预算</w:t>
      </w:r>
      <w:r>
        <w:rPr>
          <w:rStyle w:val="13"/>
          <w:rFonts w:hint="eastAsia" w:ascii="仿宋" w:hAnsi="仿宋" w:eastAsia="仿宋" w:cs="仿宋"/>
          <w:b w:val="0"/>
          <w:bCs/>
          <w:color w:val="auto"/>
          <w:sz w:val="32"/>
          <w:szCs w:val="32"/>
          <w:highlight w:val="none"/>
          <w:lang w:val="en-US" w:eastAsia="zh-CN"/>
        </w:rPr>
        <w:t>100</w:t>
      </w:r>
      <w:r>
        <w:rPr>
          <w:rStyle w:val="13"/>
          <w:rFonts w:hint="eastAsia" w:ascii="仿宋" w:hAnsi="仿宋" w:eastAsia="仿宋" w:cs="仿宋"/>
          <w:b w:val="0"/>
          <w:bCs/>
          <w:color w:val="auto"/>
          <w:sz w:val="32"/>
          <w:szCs w:val="32"/>
          <w:highlight w:val="none"/>
        </w:rPr>
        <w:t>%。</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年增加</w:t>
      </w:r>
      <w:r>
        <w:rPr>
          <w:rFonts w:hint="eastAsia" w:ascii="仿宋" w:hAnsi="仿宋" w:eastAsia="仿宋" w:cs="仿宋"/>
          <w:color w:val="auto"/>
          <w:sz w:val="32"/>
          <w:szCs w:val="32"/>
          <w:highlight w:val="none"/>
          <w:lang w:val="en-US" w:eastAsia="zh-CN"/>
        </w:rPr>
        <w:t>0.08万元。</w:t>
      </w:r>
      <w:r>
        <w:rPr>
          <w:rFonts w:hint="default" w:ascii="仿宋" w:hAnsi="仿宋" w:eastAsia="仿宋" w:cs="仿宋"/>
          <w:color w:val="auto"/>
          <w:sz w:val="32"/>
          <w:szCs w:val="32"/>
          <w:highlight w:val="none"/>
          <w:lang w:val="en-US" w:eastAsia="zh-CN"/>
        </w:rPr>
        <w:t>主要原因是：</w:t>
      </w:r>
      <w:r>
        <w:rPr>
          <w:rFonts w:hint="eastAsia" w:ascii="仿宋" w:hAnsi="仿宋" w:eastAsia="仿宋" w:cs="仿宋"/>
          <w:color w:val="auto"/>
          <w:sz w:val="32"/>
          <w:szCs w:val="32"/>
          <w:highlight w:val="none"/>
          <w:lang w:val="en-US" w:eastAsia="zh-CN"/>
        </w:rPr>
        <w:t>本年度因工作需要，年初科学预算公务接待费0.08万元。</w:t>
      </w:r>
    </w:p>
    <w:p>
      <w:pPr>
        <w:numPr>
          <w:ilvl w:val="0"/>
          <w:numId w:val="0"/>
        </w:numPr>
        <w:pBdr>
          <w:top w:val="none" w:color="auto" w:sz="0" w:space="0"/>
          <w:left w:val="none" w:color="auto" w:sz="0" w:space="0"/>
          <w:bottom w:val="none" w:color="auto" w:sz="0" w:space="0"/>
          <w:right w:val="none" w:color="auto" w:sz="0" w:space="0"/>
          <w:between w:val="none" w:color="auto" w:sz="0" w:space="0"/>
        </w:pBdr>
        <w:spacing w:line="600" w:lineRule="exact"/>
        <w:ind w:left="640" w:leftChars="0"/>
        <w:rPr>
          <w:rFonts w:hint="default" w:eastAsia="仿宋"/>
          <w:highlight w:val="yellow"/>
          <w:lang w:eastAsia="zh-CN"/>
        </w:rPr>
      </w:pPr>
      <w:r>
        <w:rPr>
          <w:rFonts w:hint="eastAsia" w:ascii="仿宋" w:hAnsi="仿宋" w:eastAsia="仿宋" w:cs="仿宋"/>
          <w:b/>
          <w:color w:val="auto"/>
          <w:sz w:val="32"/>
          <w:szCs w:val="32"/>
          <w:highlight w:val="none"/>
          <w:lang w:val="en-US" w:eastAsia="zh-CN"/>
        </w:rPr>
        <w:t>4.</w:t>
      </w:r>
      <w:r>
        <w:rPr>
          <w:rFonts w:hint="eastAsia" w:ascii="仿宋" w:hAnsi="仿宋" w:eastAsia="仿宋" w:cs="仿宋"/>
          <w:b/>
          <w:color w:val="auto"/>
          <w:sz w:val="32"/>
          <w:szCs w:val="32"/>
          <w:highlight w:val="none"/>
        </w:rPr>
        <w:t>国内公务接待支出</w:t>
      </w:r>
      <w:r>
        <w:rPr>
          <w:rFonts w:hint="eastAsia" w:ascii="仿宋" w:hAnsi="仿宋" w:eastAsia="仿宋" w:cs="仿宋"/>
          <w:color w:val="auto"/>
          <w:sz w:val="32"/>
          <w:szCs w:val="32"/>
          <w:highlight w:val="none"/>
          <w:lang w:val="en-US" w:eastAsia="zh-CN"/>
        </w:rPr>
        <w:t>0.08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主要用于因公接待的餐饮费等，共接待批次6次，接待人次71人。</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hint="eastAsia" w:ascii="黑体" w:hAnsi="黑体" w:eastAsia="黑体" w:cs="黑体"/>
        </w:rPr>
      </w:pPr>
      <w:r>
        <w:rPr>
          <w:rFonts w:hint="eastAsia" w:ascii="黑体" w:hAnsi="黑体" w:eastAsia="黑体" w:cs="黑体"/>
          <w:sz w:val="32"/>
          <w:szCs w:val="32"/>
        </w:rPr>
        <w:t>八、</w:t>
      </w:r>
      <w:r>
        <w:rPr>
          <w:rStyle w:val="16"/>
          <w:rFonts w:hint="eastAsia" w:ascii="黑体" w:hAnsi="黑体" w:eastAsia="黑体" w:cs="黑体"/>
          <w:b w:val="0"/>
        </w:rPr>
        <w:t>政府性基金预算支出决算情况说明</w:t>
      </w:r>
      <w:bookmarkEnd w:id="38"/>
      <w:bookmarkEnd w:id="39"/>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年政府性基金预算财政拨款支出0万元。</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hint="eastAsia" w:ascii="黑体" w:hAnsi="黑体" w:eastAsia="黑体" w:cs="黑体"/>
          <w:b w:val="0"/>
        </w:rPr>
      </w:pPr>
      <w:bookmarkStart w:id="40" w:name="_Toc15396611"/>
      <w:bookmarkStart w:id="41" w:name="_Toc15377219"/>
      <w:r>
        <w:rPr>
          <w:rStyle w:val="16"/>
          <w:rFonts w:hint="eastAsia" w:ascii="黑体" w:hAnsi="黑体" w:eastAsia="黑体" w:cs="黑体"/>
          <w:b w:val="0"/>
        </w:rPr>
        <w:t>九、国有资本经营预算支出决算情况说明</w:t>
      </w:r>
      <w:bookmarkEnd w:id="40"/>
      <w:bookmarkEnd w:id="41"/>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年国有资本经营预算财政拨款支出0万元。</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outlineLvl w:val="1"/>
        <w:rPr>
          <w:rStyle w:val="16"/>
          <w:rFonts w:hint="eastAsia" w:ascii="黑体" w:hAnsi="黑体" w:eastAsia="黑体"/>
          <w:b w:val="0"/>
        </w:rPr>
      </w:pPr>
      <w:r>
        <w:rPr>
          <w:rStyle w:val="16"/>
          <w:rFonts w:hint="eastAsia" w:ascii="黑体" w:hAnsi="黑体" w:eastAsia="黑体"/>
          <w:b w:val="0"/>
        </w:rPr>
        <w:t>十、其他重要事项的情况说明</w:t>
      </w:r>
    </w:p>
    <w:p>
      <w:pPr>
        <w:pBdr>
          <w:top w:val="none" w:color="auto" w:sz="0" w:space="0"/>
          <w:left w:val="none" w:color="auto" w:sz="0" w:space="0"/>
          <w:bottom w:val="none" w:color="auto" w:sz="0" w:space="0"/>
          <w:right w:val="none" w:color="auto" w:sz="0" w:space="0"/>
          <w:between w:val="none" w:color="auto" w:sz="0" w:space="0"/>
        </w:pBdr>
        <w:spacing w:line="576" w:lineRule="exact"/>
        <w:ind w:left="0" w:leftChars="0" w:firstLine="642" w:firstLineChars="200"/>
        <w:outlineLvl w:val="2"/>
        <w:rPr>
          <w:rFonts w:ascii="仿宋" w:hAnsi="仿宋" w:eastAsia="仿宋"/>
          <w:sz w:val="32"/>
          <w:szCs w:val="32"/>
        </w:rPr>
      </w:pPr>
      <w:r>
        <w:rPr>
          <w:rFonts w:hint="eastAsia" w:ascii="仿宋" w:hAnsi="仿宋" w:eastAsia="仿宋"/>
          <w:b/>
          <w:sz w:val="32"/>
          <w:szCs w:val="32"/>
        </w:rPr>
        <w:t>（一）机关运行经费支出情况</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年，广元市社科联机关运行经费支出17.</w:t>
      </w:r>
      <w:r>
        <w:rPr>
          <w:rFonts w:hint="eastAsia" w:ascii="仿宋" w:hAnsi="仿宋" w:eastAsia="仿宋" w:cs="仿宋"/>
          <w:sz w:val="32"/>
          <w:szCs w:val="32"/>
          <w:lang w:val="en-US" w:eastAsia="zh-CN"/>
        </w:rPr>
        <w:t>37</w:t>
      </w:r>
      <w:r>
        <w:rPr>
          <w:rFonts w:hint="eastAsia" w:ascii="仿宋" w:hAnsi="仿宋" w:eastAsia="仿宋" w:cs="仿宋"/>
          <w:sz w:val="32"/>
          <w:szCs w:val="32"/>
        </w:rPr>
        <w:t>万元，比202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减少0.39</w:t>
      </w:r>
      <w:r>
        <w:rPr>
          <w:rFonts w:hint="eastAsia" w:ascii="仿宋" w:hAnsi="仿宋" w:eastAsia="仿宋" w:cs="仿宋"/>
          <w:sz w:val="32"/>
          <w:szCs w:val="32"/>
        </w:rPr>
        <w:t>万元，</w:t>
      </w:r>
      <w:r>
        <w:rPr>
          <w:rFonts w:hint="eastAsia" w:ascii="仿宋" w:hAnsi="仿宋" w:eastAsia="仿宋" w:cs="仿宋"/>
          <w:sz w:val="32"/>
          <w:szCs w:val="32"/>
          <w:lang w:val="en-US" w:eastAsia="zh-CN"/>
        </w:rPr>
        <w:t>减少2.2</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2021</w:t>
      </w:r>
      <w:r>
        <w:rPr>
          <w:rFonts w:hint="eastAsia" w:ascii="仿宋" w:hAnsi="仿宋" w:eastAsia="仿宋" w:cs="仿宋"/>
          <w:sz w:val="32"/>
          <w:szCs w:val="32"/>
        </w:rPr>
        <w:t>年广元蓝皮书项目调研费用增加。</w:t>
      </w:r>
    </w:p>
    <w:p>
      <w:pPr>
        <w:pBdr>
          <w:top w:val="none" w:color="auto" w:sz="0" w:space="0"/>
          <w:left w:val="none" w:color="auto" w:sz="0" w:space="0"/>
          <w:bottom w:val="none" w:color="auto" w:sz="0" w:space="0"/>
          <w:right w:val="none" w:color="auto" w:sz="0" w:space="0"/>
          <w:between w:val="none" w:color="auto" w:sz="0" w:space="0"/>
        </w:pBdr>
        <w:autoSpaceDE w:val="0"/>
        <w:autoSpaceDN w:val="0"/>
        <w:adjustRightInd w:val="0"/>
        <w:spacing w:line="576"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p>
    <w:p>
      <w:pPr>
        <w:pBdr>
          <w:top w:val="none" w:color="auto" w:sz="0" w:space="0"/>
          <w:left w:val="none" w:color="auto" w:sz="0" w:space="0"/>
          <w:bottom w:val="none" w:color="auto" w:sz="0" w:space="0"/>
          <w:right w:val="none" w:color="auto" w:sz="0" w:space="0"/>
          <w:between w:val="none" w:color="auto" w:sz="0" w:space="0"/>
        </w:pBdr>
        <w:spacing w:line="576" w:lineRule="exact"/>
        <w:ind w:firstLine="640" w:firstLineChars="200"/>
        <w:rPr>
          <w:rFonts w:hint="eastAsia" w:ascii="仿宋_GB2312" w:eastAsia="仿宋_GB2312"/>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年，广元市社科联政府采购支出总额0万元。</w:t>
      </w:r>
    </w:p>
    <w:p>
      <w:pPr>
        <w:pBdr>
          <w:top w:val="none" w:color="auto" w:sz="0" w:space="0"/>
          <w:left w:val="none" w:color="auto" w:sz="0" w:space="0"/>
          <w:bottom w:val="none" w:color="auto" w:sz="0" w:space="0"/>
          <w:right w:val="none" w:color="auto" w:sz="0" w:space="0"/>
          <w:between w:val="none" w:color="auto" w:sz="0" w:space="0"/>
        </w:pBdr>
        <w:autoSpaceDE w:val="0"/>
        <w:autoSpaceDN w:val="0"/>
        <w:adjustRightInd w:val="0"/>
        <w:spacing w:line="576"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firstLine="640"/>
        <w:jc w:val="left"/>
        <w:rPr>
          <w:rFonts w:hint="eastAsia" w:ascii="仿宋" w:hAnsi="仿宋" w:eastAsia="仿宋" w:cs="仿宋"/>
          <w:sz w:val="32"/>
          <w:szCs w:val="32"/>
          <w:lang w:eastAsia="zh-CN"/>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2</w:t>
      </w:r>
      <w:r>
        <w:rPr>
          <w:rFonts w:hint="eastAsia" w:ascii="仿宋" w:hAnsi="仿宋" w:eastAsia="仿宋" w:cs="仿宋"/>
          <w:sz w:val="32"/>
          <w:szCs w:val="32"/>
        </w:rPr>
        <w:t>年12月31日，广元市社科联共有车辆0辆</w:t>
      </w:r>
      <w:r>
        <w:rPr>
          <w:rFonts w:hint="eastAsia" w:ascii="仿宋" w:hAnsi="仿宋" w:eastAsia="仿宋" w:cs="仿宋"/>
          <w:sz w:val="32"/>
          <w:szCs w:val="32"/>
          <w:lang w:eastAsia="zh-CN"/>
        </w:rPr>
        <w:t>。</w:t>
      </w:r>
      <w:r>
        <w:rPr>
          <w:rFonts w:ascii="仿宋_GB2312" w:hAnsi="Times New Roman" w:eastAsia="仿宋_GB2312" w:cs="仿宋_GB2312"/>
          <w:i w:val="0"/>
          <w:iCs w:val="0"/>
          <w:caps w:val="0"/>
          <w:color w:val="000000"/>
          <w:spacing w:val="0"/>
          <w:kern w:val="0"/>
          <w:sz w:val="32"/>
          <w:szCs w:val="32"/>
          <w:lang w:val="en-US" w:eastAsia="zh-CN" w:bidi="ar"/>
        </w:rPr>
        <w:t>价100万元以上专用设备0台（套）。</w:t>
      </w:r>
    </w:p>
    <w:p>
      <w:pPr>
        <w:pBdr>
          <w:top w:val="none" w:color="auto" w:sz="0" w:space="0"/>
          <w:left w:val="none" w:color="auto" w:sz="0" w:space="0"/>
          <w:bottom w:val="none" w:color="auto" w:sz="0" w:space="0"/>
          <w:right w:val="none" w:color="auto" w:sz="0" w:space="0"/>
          <w:between w:val="none" w:color="auto" w:sz="0" w:space="0"/>
        </w:pBdr>
        <w:autoSpaceDE w:val="0"/>
        <w:autoSpaceDN w:val="0"/>
        <w:adjustRightInd w:val="0"/>
        <w:spacing w:line="576" w:lineRule="exact"/>
        <w:ind w:firstLine="642" w:firstLineChars="200"/>
        <w:jc w:val="left"/>
        <w:outlineLvl w:val="2"/>
        <w:rPr>
          <w:rFonts w:hint="eastAsia" w:ascii="仿宋" w:hAnsi="仿宋" w:eastAsia="仿宋"/>
          <w:b/>
          <w:sz w:val="32"/>
          <w:szCs w:val="32"/>
        </w:rPr>
      </w:pPr>
      <w:r>
        <w:rPr>
          <w:rFonts w:hint="eastAsia" w:ascii="仿宋" w:hAnsi="仿宋" w:eastAsia="仿宋"/>
          <w:b/>
          <w:sz w:val="32"/>
          <w:szCs w:val="32"/>
          <w:lang w:eastAsia="zh-CN"/>
        </w:rPr>
        <w:t>（</w:t>
      </w:r>
      <w:r>
        <w:rPr>
          <w:rFonts w:hint="eastAsia" w:ascii="仿宋" w:hAnsi="仿宋" w:eastAsia="仿宋"/>
          <w:b/>
          <w:sz w:val="32"/>
          <w:szCs w:val="32"/>
          <w:lang w:val="en-US" w:eastAsia="zh-CN"/>
        </w:rPr>
        <w:t>四</w:t>
      </w:r>
      <w:r>
        <w:rPr>
          <w:rFonts w:hint="eastAsia" w:ascii="仿宋" w:hAnsi="仿宋" w:eastAsia="仿宋"/>
          <w:b/>
          <w:sz w:val="32"/>
          <w:szCs w:val="32"/>
          <w:lang w:eastAsia="zh-CN"/>
        </w:rPr>
        <w:t>）</w:t>
      </w:r>
      <w:r>
        <w:rPr>
          <w:rFonts w:hint="eastAsia" w:ascii="仿宋" w:hAnsi="仿宋" w:eastAsia="仿宋"/>
          <w:b/>
          <w:sz w:val="32"/>
          <w:szCs w:val="32"/>
        </w:rPr>
        <w:t>预算绩效管理情况</w:t>
      </w:r>
    </w:p>
    <w:p>
      <w:pPr>
        <w:pStyle w:val="2"/>
        <w:pBdr>
          <w:top w:val="none" w:color="auto" w:sz="0" w:space="0"/>
          <w:left w:val="none" w:color="auto" w:sz="0" w:space="0"/>
          <w:bottom w:val="none" w:color="auto" w:sz="0" w:space="0"/>
          <w:right w:val="none" w:color="auto" w:sz="0" w:space="0"/>
          <w:between w:val="none" w:color="auto" w:sz="0" w:space="0"/>
        </w:pBd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预算绩效管理要求，本部门在2022年度预算编制阶段，组织对“广元蓝皮书项目”“老区促进会工作经费”“社科普及、专家数据库、课题研究等专项经费”等3个项目开展了预算事前绩效评估，对3个项目编制了绩效目标，预算执行过程中，选取3个项目开展绩效监控，年终执行完毕后，对3个项目开展了绩效自评。2022年部门预算项目绩效自评表详见第四部分附件。</w:t>
      </w: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highlight w:val="yellow"/>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1056" w:firstLineChars="33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Bdr>
          <w:top w:val="none" w:color="auto" w:sz="0" w:space="0"/>
          <w:left w:val="none" w:color="auto" w:sz="0" w:space="0"/>
          <w:bottom w:val="none" w:color="auto" w:sz="0" w:space="0"/>
          <w:right w:val="none" w:color="auto" w:sz="0" w:space="0"/>
          <w:between w:val="none" w:color="auto" w:sz="0" w:space="0"/>
        </w:pBdr>
        <w:jc w:val="center"/>
        <w:rPr>
          <w:rStyle w:val="15"/>
          <w:rFonts w:ascii="黑体" w:hAnsi="黑体" w:eastAsia="黑体"/>
          <w:b w:val="0"/>
        </w:rPr>
      </w:pPr>
      <w:bookmarkStart w:id="42" w:name="_Toc15396613"/>
      <w:bookmarkStart w:id="43" w:name="_Toc15377225"/>
      <w:r>
        <w:rPr>
          <w:rFonts w:hint="eastAsia" w:ascii="黑体" w:hAnsi="黑体" w:eastAsia="黑体"/>
          <w:sz w:val="44"/>
          <w:szCs w:val="44"/>
          <w:lang w:val="en-US" w:eastAsia="zh-CN"/>
        </w:rPr>
        <w:t xml:space="preserve">第三部分 </w:t>
      </w:r>
      <w:r>
        <w:rPr>
          <w:rFonts w:hint="eastAsia" w:ascii="黑体" w:hAnsi="黑体" w:eastAsia="黑体"/>
          <w:sz w:val="44"/>
          <w:szCs w:val="44"/>
        </w:rPr>
        <w:t>名</w:t>
      </w:r>
      <w:r>
        <w:rPr>
          <w:rStyle w:val="15"/>
          <w:rFonts w:hint="eastAsia" w:ascii="黑体" w:hAnsi="黑体" w:eastAsia="黑体"/>
          <w:b w:val="0"/>
        </w:rPr>
        <w:t>词解释</w:t>
      </w:r>
      <w:bookmarkEnd w:id="42"/>
      <w:bookmarkEnd w:id="43"/>
    </w:p>
    <w:p>
      <w:pPr>
        <w:pBdr>
          <w:top w:val="none" w:color="auto" w:sz="0" w:space="0"/>
          <w:left w:val="none" w:color="auto" w:sz="0" w:space="0"/>
          <w:bottom w:val="none" w:color="auto" w:sz="0" w:space="0"/>
          <w:right w:val="none" w:color="auto" w:sz="0" w:space="0"/>
          <w:between w:val="none" w:color="auto" w:sz="0" w:space="0"/>
        </w:pBdr>
        <w:spacing w:line="600" w:lineRule="exact"/>
        <w:jc w:val="left"/>
        <w:rPr>
          <w:rFonts w:ascii="宋体"/>
          <w:b/>
          <w:sz w:val="44"/>
          <w:szCs w:val="44"/>
        </w:rPr>
      </w:pP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1．财政拨款收入：指单位从同级财政部门取得的财政预算资金。</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2．其他收入：指单位取得的除上述收入以外的各项收入。主要是</w:t>
      </w:r>
      <w:r>
        <w:rPr>
          <w:rFonts w:hint="eastAsia" w:ascii="仿宋" w:hAnsi="仿宋" w:eastAsia="仿宋" w:cs="仿宋"/>
          <w:sz w:val="32"/>
          <w:szCs w:val="32"/>
          <w:lang w:val="en-US" w:eastAsia="zh-CN"/>
        </w:rPr>
        <w:t>利息收入</w:t>
      </w:r>
      <w:r>
        <w:rPr>
          <w:rFonts w:hint="eastAsia" w:ascii="仿宋" w:hAnsi="仿宋" w:eastAsia="仿宋" w:cs="仿宋"/>
          <w:sz w:val="32"/>
          <w:szCs w:val="32"/>
        </w:rPr>
        <w:t>。</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3．年初结转和结余：指以前年度尚未完成、结转到本年按有关规定继续使用的资金。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．一般公共服务（类）群众团体事务（款）行政运行（项）:反映行政单位（包括实行公务员管理的事业单位）的基本支出。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．一般公共服务（类）群众团体事务（款）一般行政管理事务（项）:反映行政单位（包括实行公务员管理的事业单位）未单独设置项级科目的其他项目支出。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社会保障和就业（类）</w:t>
      </w:r>
      <w:r>
        <w:rPr>
          <w:rFonts w:hint="eastAsia" w:ascii="仿宋" w:hAnsi="仿宋" w:eastAsia="仿宋" w:cs="仿宋"/>
          <w:sz w:val="32"/>
          <w:szCs w:val="32"/>
          <w:lang w:val="en-US" w:eastAsia="zh-CN"/>
        </w:rPr>
        <w:t>行政事业单位养老支出</w:t>
      </w:r>
      <w:r>
        <w:rPr>
          <w:rFonts w:hint="eastAsia" w:ascii="仿宋" w:hAnsi="仿宋" w:eastAsia="仿宋" w:cs="仿宋"/>
          <w:sz w:val="32"/>
          <w:szCs w:val="32"/>
        </w:rPr>
        <w:t>（款）</w:t>
      </w:r>
      <w:r>
        <w:rPr>
          <w:rFonts w:hint="eastAsia" w:ascii="仿宋" w:hAnsi="仿宋" w:eastAsia="仿宋" w:cs="仿宋"/>
          <w:sz w:val="32"/>
          <w:szCs w:val="32"/>
          <w:lang w:val="en-US" w:eastAsia="zh-CN"/>
        </w:rPr>
        <w:t>行政事业单位离退休</w:t>
      </w:r>
      <w:r>
        <w:rPr>
          <w:rFonts w:hint="eastAsia" w:ascii="仿宋" w:hAnsi="仿宋" w:eastAsia="仿宋" w:cs="仿宋"/>
          <w:sz w:val="32"/>
          <w:szCs w:val="32"/>
        </w:rPr>
        <w:t>（项）:反映</w:t>
      </w:r>
      <w:r>
        <w:rPr>
          <w:rFonts w:hint="eastAsia" w:ascii="仿宋" w:hAnsi="仿宋" w:eastAsia="仿宋" w:cs="仿宋"/>
          <w:sz w:val="32"/>
          <w:szCs w:val="32"/>
          <w:lang w:val="en-US" w:eastAsia="zh-CN"/>
        </w:rPr>
        <w:t>行政单位（包括实行公务员管理的事业单位）开支的离退休经费。</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社会保障和就业（类）</w:t>
      </w:r>
      <w:r>
        <w:rPr>
          <w:rFonts w:hint="eastAsia" w:ascii="仿宋" w:hAnsi="仿宋" w:eastAsia="仿宋" w:cs="仿宋"/>
          <w:sz w:val="32"/>
          <w:szCs w:val="32"/>
          <w:lang w:val="en-US" w:eastAsia="zh-CN"/>
        </w:rPr>
        <w:t>行政事业单位养老支出</w:t>
      </w:r>
      <w:r>
        <w:rPr>
          <w:rFonts w:hint="eastAsia" w:ascii="仿宋" w:hAnsi="仿宋" w:eastAsia="仿宋" w:cs="仿宋"/>
          <w:sz w:val="32"/>
          <w:szCs w:val="32"/>
        </w:rPr>
        <w:t>（款）</w:t>
      </w:r>
      <w:r>
        <w:rPr>
          <w:rFonts w:hint="eastAsia" w:ascii="仿宋" w:hAnsi="仿宋" w:eastAsia="仿宋" w:cs="仿宋"/>
          <w:sz w:val="32"/>
          <w:szCs w:val="32"/>
          <w:lang w:val="en-US" w:eastAsia="zh-CN"/>
        </w:rPr>
        <w:t>机关事业单位养老保险支出</w:t>
      </w:r>
      <w:r>
        <w:rPr>
          <w:rFonts w:hint="eastAsia" w:ascii="仿宋" w:hAnsi="仿宋" w:eastAsia="仿宋" w:cs="仿宋"/>
          <w:sz w:val="32"/>
          <w:szCs w:val="32"/>
        </w:rPr>
        <w:t xml:space="preserve">（项）机关事业单位实施养老保险制度由单位缴纳的基本养老保险费支出。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．社会保障和就业（类）</w:t>
      </w:r>
      <w:r>
        <w:rPr>
          <w:rFonts w:hint="eastAsia" w:ascii="仿宋" w:hAnsi="仿宋" w:eastAsia="仿宋" w:cs="仿宋"/>
          <w:sz w:val="32"/>
          <w:szCs w:val="32"/>
          <w:lang w:val="en-US" w:eastAsia="zh-CN"/>
        </w:rPr>
        <w:t>行政事业单位养老支出</w:t>
      </w:r>
      <w:r>
        <w:rPr>
          <w:rFonts w:hint="eastAsia" w:ascii="仿宋" w:hAnsi="仿宋" w:eastAsia="仿宋" w:cs="仿宋"/>
          <w:sz w:val="32"/>
          <w:szCs w:val="32"/>
        </w:rPr>
        <w:t>（款）</w:t>
      </w:r>
      <w:r>
        <w:rPr>
          <w:rFonts w:hint="eastAsia" w:ascii="仿宋" w:hAnsi="仿宋" w:eastAsia="仿宋" w:cs="仿宋"/>
          <w:sz w:val="32"/>
          <w:szCs w:val="32"/>
          <w:lang w:val="en-US" w:eastAsia="zh-CN"/>
        </w:rPr>
        <w:t>其他社会保障和就业支出</w:t>
      </w:r>
      <w:r>
        <w:rPr>
          <w:rFonts w:hint="eastAsia" w:ascii="仿宋" w:hAnsi="仿宋" w:eastAsia="仿宋" w:cs="仿宋"/>
          <w:sz w:val="32"/>
          <w:szCs w:val="32"/>
        </w:rPr>
        <w:t>（项）:反映</w:t>
      </w:r>
      <w:r>
        <w:rPr>
          <w:rFonts w:hint="eastAsia" w:ascii="仿宋" w:hAnsi="仿宋" w:eastAsia="仿宋" w:cs="仿宋"/>
          <w:sz w:val="32"/>
          <w:szCs w:val="32"/>
          <w:lang w:val="en-US" w:eastAsia="zh-CN"/>
        </w:rPr>
        <w:t>用于其他行政事业单位养老方面的支出。</w:t>
      </w:r>
      <w:r>
        <w:rPr>
          <w:rFonts w:hint="eastAsia" w:ascii="仿宋" w:hAnsi="仿宋" w:eastAsia="仿宋" w:cs="仿宋"/>
          <w:sz w:val="32"/>
          <w:szCs w:val="32"/>
        </w:rPr>
        <w:t xml:space="preserve">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．卫生健康支出（类）行政事业单位医疗（款）行政单位医疗（项）:反映财政部门集中安排的行政单位基本医疗保险缴费经费。</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default" w:ascii="仿宋" w:hAnsi="仿宋" w:eastAsia="仿宋" w:cs="仿宋"/>
          <w:sz w:val="32"/>
          <w:szCs w:val="32"/>
        </w:rPr>
        <w:t>10</w:t>
      </w:r>
      <w:r>
        <w:rPr>
          <w:rFonts w:hint="eastAsia" w:ascii="仿宋" w:hAnsi="仿宋" w:eastAsia="仿宋" w:cs="仿宋"/>
          <w:sz w:val="32"/>
          <w:szCs w:val="32"/>
        </w:rPr>
        <w:t xml:space="preserve">．住房保障支出（类）住房改革支出（款）住房公积金（项）:反映行政事业单位按人力资源和社会保障部、财政部规定的基本工资和津贴补贴以及规定比例为职工缴纳的住房公积金。 </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default" w:ascii="仿宋" w:hAnsi="仿宋" w:eastAsia="仿宋" w:cs="仿宋"/>
          <w:sz w:val="32"/>
          <w:szCs w:val="32"/>
        </w:rPr>
        <w:t>1</w:t>
      </w:r>
      <w:r>
        <w:rPr>
          <w:rFonts w:hint="eastAsia" w:ascii="仿宋" w:hAnsi="仿宋" w:eastAsia="仿宋" w:cs="仿宋"/>
          <w:sz w:val="32"/>
          <w:szCs w:val="32"/>
        </w:rPr>
        <w:t>．基本支出：指为保障机构正常运转、完成日常工作任务而发生的人员支出和公用支出。</w:t>
      </w:r>
    </w:p>
    <w:p>
      <w:pPr>
        <w:pBdr>
          <w:top w:val="none" w:color="auto" w:sz="0" w:space="0"/>
          <w:left w:val="none" w:color="auto" w:sz="0" w:space="0"/>
          <w:bottom w:val="none" w:color="auto" w:sz="0" w:space="0"/>
          <w:right w:val="none" w:color="auto" w:sz="0" w:space="0"/>
          <w:between w:val="none" w:color="auto" w:sz="0" w:space="0"/>
        </w:pBdr>
        <w:adjustRightInd w:val="0"/>
        <w:snapToGrid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default" w:ascii="仿宋" w:hAnsi="仿宋" w:eastAsia="仿宋" w:cs="仿宋"/>
          <w:sz w:val="32"/>
          <w:szCs w:val="32"/>
        </w:rPr>
        <w:t>2</w:t>
      </w:r>
      <w:r>
        <w:rPr>
          <w:rFonts w:hint="eastAsia" w:ascii="仿宋" w:hAnsi="仿宋" w:eastAsia="仿宋" w:cs="仿宋"/>
          <w:sz w:val="32"/>
          <w:szCs w:val="32"/>
        </w:rPr>
        <w:t xml:space="preserve">．项目支出：指在基本支出之外为完成特定行政任务和事业发展目标所发生的支出。 </w:t>
      </w:r>
    </w:p>
    <w:p>
      <w:pPr>
        <w:pBdr>
          <w:top w:val="none" w:color="auto" w:sz="0" w:space="0"/>
          <w:left w:val="none" w:color="auto" w:sz="0" w:space="0"/>
          <w:bottom w:val="none" w:color="auto" w:sz="0" w:space="0"/>
          <w:right w:val="none" w:color="auto" w:sz="0" w:space="0"/>
          <w:between w:val="none" w:color="auto" w:sz="0" w:space="0"/>
        </w:pBd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default" w:ascii="仿宋" w:hAnsi="仿宋" w:eastAsia="仿宋" w:cs="仿宋"/>
          <w:sz w:val="32"/>
          <w:szCs w:val="32"/>
        </w:rPr>
        <w:t>3</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福利费、日常维修费、专用材料及一般设备购置费、办公用房水电费、办公用房物业管理费以及其他费用。</w:t>
      </w: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ascii="仿宋" w:hAnsi="仿宋" w:eastAsia="仿宋" w:cs="仿宋"/>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rPr>
          <w:rFonts w:hint="eastAsia" w:hAnsi="仿宋_GB2312" w:cs="仿宋_GB2312"/>
          <w:sz w:val="32"/>
          <w:szCs w:val="32"/>
        </w:rPr>
      </w:pPr>
    </w:p>
    <w:p>
      <w:pPr>
        <w:pBdr>
          <w:top w:val="none" w:color="auto" w:sz="0" w:space="0"/>
          <w:left w:val="none" w:color="auto" w:sz="0" w:space="0"/>
          <w:bottom w:val="none" w:color="auto" w:sz="0" w:space="0"/>
          <w:right w:val="none" w:color="auto" w:sz="0" w:space="0"/>
          <w:between w:val="none" w:color="auto" w:sz="0" w:space="0"/>
        </w:pBdr>
        <w:spacing w:line="600" w:lineRule="exact"/>
        <w:jc w:val="center"/>
        <w:outlineLvl w:val="0"/>
        <w:rPr>
          <w:rFonts w:hint="eastAsia" w:hAnsi="仿宋_GB2312" w:cs="仿宋_GB2312"/>
          <w:sz w:val="32"/>
          <w:szCs w:val="32"/>
        </w:rPr>
      </w:pPr>
      <w:r>
        <w:rPr>
          <w:rFonts w:hint="eastAsia" w:ascii="黑体" w:hAnsi="黑体" w:eastAsia="黑体"/>
          <w:color w:val="000000"/>
          <w:sz w:val="44"/>
          <w:szCs w:val="44"/>
        </w:rPr>
        <w:t>第</w:t>
      </w:r>
      <w:r>
        <w:rPr>
          <w:rStyle w:val="19"/>
          <w:rFonts w:hint="eastAsia" w:ascii="黑体" w:hAnsi="黑体" w:eastAsia="黑体"/>
          <w:b w:val="0"/>
        </w:rPr>
        <w:t>四部分</w:t>
      </w:r>
      <w:r>
        <w:rPr>
          <w:rStyle w:val="19"/>
          <w:rFonts w:ascii="黑体" w:hAnsi="黑体" w:eastAsia="黑体"/>
          <w:b w:val="0"/>
        </w:rPr>
        <w:t xml:space="preserve"> </w:t>
      </w:r>
      <w:r>
        <w:rPr>
          <w:rStyle w:val="19"/>
          <w:rFonts w:hint="eastAsia" w:ascii="黑体" w:hAnsi="黑体" w:eastAsia="黑体"/>
          <w:b w:val="0"/>
        </w:rPr>
        <w:t>附件</w:t>
      </w:r>
    </w:p>
    <w:tbl>
      <w:tblPr>
        <w:tblStyle w:val="11"/>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1"/>
        <w:gridCol w:w="1013"/>
        <w:gridCol w:w="1012"/>
        <w:gridCol w:w="902"/>
        <w:gridCol w:w="717"/>
        <w:gridCol w:w="717"/>
        <w:gridCol w:w="721"/>
        <w:gridCol w:w="767"/>
        <w:gridCol w:w="718"/>
        <w:gridCol w:w="718"/>
        <w:gridCol w:w="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9020" w:type="dxa"/>
            <w:gridSpan w:val="11"/>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202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996" w:type="dxa"/>
            <w:gridSpan w:val="9"/>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51080022T000004937166-社科普及、课题研究、专家数据库建设等专项经费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trPr>
        <w:tc>
          <w:tcPr>
            <w:tcW w:w="20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76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广元市社会科学界联合会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2"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在中国社会科学院专家队伍支持下，整合广元社会各界优秀专家和学者开展社会科学培训及咨询服务工作。</w:t>
            </w:r>
          </w:p>
        </w:tc>
        <w:tc>
          <w:tcPr>
            <w:tcW w:w="29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在中国社会科学院专家队伍支持下，整合广元社会各界优秀专家和学者开展社会科学培训及咨询服务工作。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99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年初按社科普及、重大课题研究、专家库建设维护三个方面</w:t>
            </w:r>
            <w:r>
              <w:rPr>
                <w:rFonts w:hint="eastAsia" w:ascii="宋体" w:hAnsi="宋体" w:eastAsia="宋体" w:cs="宋体"/>
                <w:i w:val="0"/>
                <w:iCs w:val="0"/>
                <w:color w:val="000000"/>
                <w:kern w:val="0"/>
                <w:sz w:val="18"/>
                <w:szCs w:val="18"/>
                <w:u w:val="none"/>
                <w:lang w:val="zh-CN" w:eastAsia="zh-CN" w:bidi="ar"/>
              </w:rPr>
              <w:t>分别确定</w:t>
            </w:r>
            <w:r>
              <w:rPr>
                <w:rFonts w:hint="eastAsia" w:ascii="宋体" w:hAnsi="宋体" w:eastAsia="宋体" w:cs="宋体"/>
                <w:i w:val="0"/>
                <w:iCs w:val="0"/>
                <w:color w:val="000000"/>
                <w:kern w:val="0"/>
                <w:sz w:val="18"/>
                <w:szCs w:val="18"/>
                <w:u w:val="none"/>
                <w:lang w:val="en-US" w:eastAsia="zh-CN" w:bidi="ar"/>
              </w:rPr>
              <w:t>本年度目标</w:t>
            </w:r>
            <w:r>
              <w:rPr>
                <w:rFonts w:hint="eastAsia" w:ascii="宋体" w:hAnsi="宋体" w:eastAsia="宋体" w:cs="宋体"/>
                <w:i w:val="0"/>
                <w:iCs w:val="0"/>
                <w:color w:val="000000"/>
                <w:kern w:val="0"/>
                <w:sz w:val="18"/>
                <w:szCs w:val="18"/>
                <w:u w:val="none"/>
                <w:lang w:val="zh-CN" w:eastAsia="zh-CN" w:bidi="ar"/>
              </w:rPr>
              <w:t>，按计划有序</w:t>
            </w:r>
            <w:r>
              <w:rPr>
                <w:rFonts w:hint="eastAsia" w:ascii="宋体" w:hAnsi="宋体" w:eastAsia="宋体" w:cs="宋体"/>
                <w:i w:val="0"/>
                <w:iCs w:val="0"/>
                <w:color w:val="000000"/>
                <w:kern w:val="0"/>
                <w:sz w:val="18"/>
                <w:szCs w:val="18"/>
                <w:u w:val="none"/>
                <w:lang w:val="en-US" w:eastAsia="zh-CN" w:bidi="ar"/>
              </w:rPr>
              <w:t>实施</w:t>
            </w:r>
            <w:r>
              <w:rPr>
                <w:rFonts w:hint="eastAsia" w:ascii="宋体" w:hAnsi="宋体" w:eastAsia="宋体" w:cs="宋体"/>
                <w:i w:val="0"/>
                <w:iCs w:val="0"/>
                <w:color w:val="000000"/>
                <w:kern w:val="0"/>
                <w:sz w:val="18"/>
                <w:szCs w:val="18"/>
                <w:u w:val="none"/>
                <w:lang w:val="zh-CN" w:eastAsia="zh-CN" w:bidi="ar"/>
              </w:rPr>
              <w:t>，并按质按量的完成全年的任务</w:t>
            </w:r>
            <w:r>
              <w:rPr>
                <w:rFonts w:hint="eastAsia" w:ascii="宋体" w:hAnsi="宋体" w:cs="宋体"/>
                <w:i w:val="0"/>
                <w:iCs w:val="0"/>
                <w:color w:val="000000"/>
                <w:kern w:val="0"/>
                <w:sz w:val="18"/>
                <w:szCs w:val="18"/>
                <w:u w:val="none"/>
                <w:lang w:val="zh-CN" w:eastAsia="zh-CN" w:bidi="ar"/>
              </w:rPr>
              <w:t>；</w:t>
            </w:r>
            <w:r>
              <w:rPr>
                <w:rFonts w:hint="eastAsia" w:ascii="宋体" w:hAnsi="宋体" w:cs="宋体"/>
                <w:i w:val="0"/>
                <w:iCs w:val="0"/>
                <w:color w:val="000000"/>
                <w:kern w:val="0"/>
                <w:sz w:val="18"/>
                <w:szCs w:val="18"/>
                <w:u w:val="none"/>
                <w:lang w:val="en-US" w:eastAsia="zh-CN" w:bidi="ar"/>
              </w:rPr>
              <w:t>具体计划</w:t>
            </w:r>
            <w:r>
              <w:rPr>
                <w:rFonts w:hint="eastAsia" w:ascii="宋体" w:hAnsi="宋体" w:eastAsia="宋体" w:cs="宋体"/>
                <w:i w:val="0"/>
                <w:iCs w:val="0"/>
                <w:color w:val="000000"/>
                <w:kern w:val="0"/>
                <w:sz w:val="18"/>
                <w:szCs w:val="18"/>
                <w:u w:val="none"/>
                <w:lang w:val="en-US" w:eastAsia="zh-CN" w:bidi="ar"/>
              </w:rPr>
              <w:t>开展社科普及4次、重大课题研究2个及专家库数据建设维护三个方面，年初设定的</w:t>
            </w:r>
            <w:r>
              <w:rPr>
                <w:rFonts w:hint="eastAsia" w:ascii="宋体" w:hAnsi="宋体" w:eastAsia="宋体" w:cs="宋体"/>
                <w:i w:val="0"/>
                <w:iCs w:val="0"/>
                <w:color w:val="000000"/>
                <w:kern w:val="0"/>
                <w:sz w:val="18"/>
                <w:szCs w:val="18"/>
                <w:u w:val="none"/>
                <w:lang w:val="zh-CN" w:eastAsia="zh-CN" w:bidi="ar"/>
              </w:rPr>
              <w:t>数量指标、</w:t>
            </w:r>
            <w:r>
              <w:rPr>
                <w:rFonts w:hint="eastAsia" w:ascii="宋体" w:hAnsi="宋体" w:eastAsia="宋体" w:cs="宋体"/>
                <w:i w:val="0"/>
                <w:iCs w:val="0"/>
                <w:color w:val="000000"/>
                <w:kern w:val="0"/>
                <w:sz w:val="18"/>
                <w:szCs w:val="18"/>
                <w:u w:val="none"/>
                <w:lang w:val="en-US" w:eastAsia="zh-CN" w:bidi="ar"/>
              </w:rPr>
              <w:t>时效指标、成本指标及社会效益、可持续效益、满意度指标等具体量化及细化指标均全面完成。</w:t>
            </w:r>
          </w:p>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trPr>
        <w:tc>
          <w:tcPr>
            <w:tcW w:w="1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83.21%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83.21%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10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课题研究</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社科普及</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开展社会科学培训、咨询服务工作。</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理论宣传</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5"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组织普及马克思主义基本理论和社会科学知识。</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trPr>
        <w:tc>
          <w:tcPr>
            <w:tcW w:w="10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党员干部群众满意度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68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2022年度财政下达项目专项</w:t>
            </w:r>
            <w:r>
              <w:rPr>
                <w:rFonts w:hint="eastAsia" w:ascii="宋体" w:hAnsi="宋体" w:cs="宋体"/>
                <w:i w:val="0"/>
                <w:iCs w:val="0"/>
                <w:color w:val="000000"/>
                <w:kern w:val="0"/>
                <w:sz w:val="18"/>
                <w:szCs w:val="18"/>
                <w:u w:val="none"/>
                <w:lang w:val="en-US" w:eastAsia="zh-CN" w:bidi="ar"/>
              </w:rPr>
              <w:t>结余</w:t>
            </w:r>
            <w:r>
              <w:rPr>
                <w:rFonts w:hint="eastAsia" w:ascii="宋体" w:hAnsi="宋体" w:eastAsia="宋体" w:cs="宋体"/>
                <w:i w:val="0"/>
                <w:iCs w:val="0"/>
                <w:color w:val="000000"/>
                <w:kern w:val="0"/>
                <w:sz w:val="18"/>
                <w:szCs w:val="18"/>
                <w:u w:val="none"/>
                <w:lang w:val="en-US" w:eastAsia="zh-CN" w:bidi="ar"/>
              </w:rPr>
              <w:t>资金6.4万元，符合国家及省市相关规划的要求，在决策依据及决策程序上符合相关规定，项目资金到账及时，相关管理制度逐步完善，项目资金发挥出良好的社会效益。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专家数据库建设有待加强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分类设立并更新专家数据库，为我市发展储备社科理论人才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46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项目负责人：彭锦</w:t>
            </w:r>
          </w:p>
        </w:tc>
        <w:tc>
          <w:tcPr>
            <w:tcW w:w="43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财务负责人：肖欣</w:t>
            </w:r>
          </w:p>
        </w:tc>
      </w:tr>
    </w:tbl>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tbl>
      <w:tblPr>
        <w:tblStyle w:val="11"/>
        <w:tblW w:w="97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1080"/>
        <w:gridCol w:w="1080"/>
        <w:gridCol w:w="1080"/>
        <w:gridCol w:w="840"/>
        <w:gridCol w:w="1080"/>
        <w:gridCol w:w="435"/>
        <w:gridCol w:w="1080"/>
        <w:gridCol w:w="765"/>
        <w:gridCol w:w="765"/>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705" w:type="dxa"/>
            <w:gridSpan w:val="11"/>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7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35" w:type="dxa"/>
            <w:gridSpan w:val="9"/>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51080022T000005990690-蓝皮书结余资金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广元市社会科学界联合会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按《广元蓝皮书》项目这一总体内容，分资料搜集、整理、编撰等阶段分别制定具体时段，执行过程中按年初计划有序的实施，并按质按量完成目标任务。</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按《广元蓝皮书》项目这一总体内容，分资料搜集、整理、编撰等阶段分别制定具体时段，执行过程中按年初计划有序的实施，并按质按量完成目标任务。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《广元蓝皮书》项目，分资料搜集、整理、编撰等阶段分别制定具体时段，项目资金支付根据项目完成进度支付，本项目在2022年12月底前全部完成。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6.22</w:t>
            </w: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6.22</w:t>
            </w: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3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完善补充课题资料数量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补充课题资料质量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工作成效</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对现实或未来经济社会调查与研究成果得到社会各界广泛认可。</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对现实或未来经济社会调查与研究成果得到社会各界广泛认可。</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讲老区故事</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全面总结全市经济和社会发展总成果，为今后发展和规划提供了理论和实践依据。</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全面总结全市经济和社会发展总成果，为今后发展和规划提供了理论和实践依据。</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0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2022年度财政下达广元蓝皮书项目专项结余资金6.22万元，符合国家及省市相关规划的要求，在决策依据及决策程序上符合相关规定，项目资金能及时到账，相关管理制度基本完备，并能严格遵守，项目的实施带来了一定的经济效益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0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蓝皮书编撰所需的理论和实践数据搜集较慢，故在一定程度上影响了项目实施进度，同时就影响了项目资金支付进度。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0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加强与各部门之间的沟通协调，加快数据搜集、整理进度，确保项目实施时效性。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7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项目负责人：彭锦</w:t>
            </w:r>
          </w:p>
        </w:tc>
        <w:tc>
          <w:tcPr>
            <w:tcW w:w="4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财务负责人：肖欣</w:t>
            </w:r>
          </w:p>
        </w:tc>
      </w:tr>
    </w:tbl>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ind w:firstLine="640" w:firstLineChars="200"/>
        <w:rPr>
          <w:rFonts w:hint="eastAsia" w:hAnsi="仿宋_GB2312" w:cs="仿宋_GB2312"/>
          <w:sz w:val="32"/>
          <w:szCs w:val="32"/>
        </w:rPr>
      </w:pPr>
    </w:p>
    <w:p>
      <w:pPr>
        <w:widowControl/>
        <w:pBdr>
          <w:top w:val="none" w:color="auto" w:sz="0" w:space="0"/>
          <w:left w:val="none" w:color="auto" w:sz="0" w:space="0"/>
          <w:bottom w:val="none" w:color="auto" w:sz="0" w:space="0"/>
          <w:right w:val="none" w:color="auto" w:sz="0" w:space="0"/>
          <w:between w:val="none" w:color="auto" w:sz="0" w:space="0"/>
        </w:pBdr>
        <w:jc w:val="center"/>
        <w:textAlignment w:val="center"/>
        <w:rPr>
          <w:rFonts w:hint="eastAsia" w:ascii="宋体" w:hAnsi="宋体" w:cs="宋体"/>
          <w:b/>
          <w:bCs/>
          <w:color w:val="000000"/>
          <w:kern w:val="0"/>
          <w:sz w:val="36"/>
          <w:szCs w:val="36"/>
          <w:lang w:bidi="ar"/>
        </w:rPr>
      </w:pPr>
    </w:p>
    <w:p>
      <w:pPr>
        <w:pBdr>
          <w:top w:val="none" w:color="auto" w:sz="0" w:space="0"/>
          <w:left w:val="none" w:color="auto" w:sz="0" w:space="0"/>
          <w:bottom w:val="none" w:color="auto" w:sz="0" w:space="0"/>
          <w:right w:val="none" w:color="auto" w:sz="0" w:space="0"/>
          <w:between w:val="none" w:color="auto" w:sz="0" w:space="0"/>
        </w:pBdr>
        <w:rPr>
          <w:rFonts w:hint="eastAsia" w:ascii="宋体" w:hAnsi="宋体" w:cs="宋体"/>
          <w:b/>
          <w:bCs/>
          <w:color w:val="000000"/>
          <w:kern w:val="0"/>
          <w:sz w:val="36"/>
          <w:szCs w:val="36"/>
          <w:lang w:bidi="ar"/>
        </w:rPr>
      </w:pPr>
      <w:r>
        <w:rPr>
          <w:rFonts w:hint="eastAsia" w:ascii="宋体" w:hAnsi="宋体" w:cs="宋体"/>
          <w:b/>
          <w:bCs/>
          <w:color w:val="000000"/>
          <w:kern w:val="0"/>
          <w:sz w:val="36"/>
          <w:szCs w:val="36"/>
          <w:lang w:bidi="ar"/>
        </w:rPr>
        <w:br w:type="page"/>
      </w:r>
    </w:p>
    <w:tbl>
      <w:tblPr>
        <w:tblStyle w:val="11"/>
        <w:tblW w:w="84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9"/>
        <w:gridCol w:w="981"/>
        <w:gridCol w:w="981"/>
        <w:gridCol w:w="981"/>
        <w:gridCol w:w="719"/>
        <w:gridCol w:w="719"/>
        <w:gridCol w:w="725"/>
        <w:gridCol w:w="575"/>
        <w:gridCol w:w="605"/>
        <w:gridCol w:w="509"/>
        <w:gridCol w:w="6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4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4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51080022T000004937509-老区建设促进工作经费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3" w:hRule="atLeast"/>
        </w:trPr>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广元市社会科学界联合会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动员社会力量支持老区建设，讲老区故事、促老区发展。</w:t>
            </w:r>
          </w:p>
        </w:tc>
        <w:tc>
          <w:tcPr>
            <w:tcW w:w="23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动员社会力量支持老区建设，讲老区故事、促老区发展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4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按照省、市有关文件精神，及市委对老区促进工作的考核要求，结合本单位实际，开展专项工作。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3" w:hRule="atLeast"/>
        </w:trPr>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召开老区促进工作会</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老区促进工作</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3"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邀请老红军、老干部讲老区故事</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工作成效</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讲老区故事</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社会满意度</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66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74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度财政下达老区促进工作专项资金27万元，符合国家及省市相关规划的要求，在决策依据及决策程序上符合相关规定，项目资金能及时到账，相关管理制度基本完备，并能严格遵守使用范围，项目的实施带来了一定的经济效益和社会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74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资金使用计划有待细化。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74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加强项目实施前期的目标细化，促进资金使用计划更细致、执行力更有效。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41"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项目负责人：彭锦</w:t>
            </w:r>
          </w:p>
        </w:tc>
        <w:tc>
          <w:tcPr>
            <w:tcW w:w="3779"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财务负责人：肖欣</w:t>
            </w:r>
          </w:p>
        </w:tc>
      </w:tr>
    </w:tbl>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p>
    <w:p>
      <w:pPr>
        <w:pBdr>
          <w:top w:val="none" w:color="auto" w:sz="0" w:space="0"/>
          <w:left w:val="none" w:color="auto" w:sz="0" w:space="0"/>
          <w:bottom w:val="none" w:color="auto" w:sz="0" w:space="0"/>
          <w:right w:val="none" w:color="auto" w:sz="0" w:space="0"/>
          <w:between w:val="none" w:color="auto" w:sz="0" w:space="0"/>
        </w:pBdr>
        <w:jc w:val="center"/>
        <w:rPr>
          <w:rFonts w:hint="eastAsia" w:ascii="黑体" w:hAnsi="黑体" w:eastAsia="黑体" w:cs="黑体"/>
          <w:sz w:val="44"/>
          <w:szCs w:val="44"/>
        </w:rPr>
      </w:pPr>
      <w:r>
        <w:rPr>
          <w:rFonts w:hint="eastAsia" w:ascii="黑体" w:hAnsi="黑体" w:eastAsia="黑体" w:cs="黑体"/>
          <w:sz w:val="44"/>
          <w:szCs w:val="44"/>
        </w:rPr>
        <w:t>第五部分  附表</w:t>
      </w:r>
      <w:bookmarkStart w:id="44" w:name="_Toc15396619"/>
    </w:p>
    <w:p>
      <w:pPr>
        <w:pStyle w:val="5"/>
        <w:pBdr>
          <w:top w:val="none" w:color="auto" w:sz="0" w:space="0"/>
          <w:left w:val="none" w:color="auto" w:sz="0" w:space="0"/>
          <w:bottom w:val="none" w:color="auto" w:sz="0" w:space="0"/>
          <w:right w:val="none" w:color="auto" w:sz="0" w:space="0"/>
          <w:between w:val="none" w:color="auto" w:sz="0" w:space="0"/>
        </w:pBdr>
        <w:rPr>
          <w:rFonts w:hint="eastAsia"/>
        </w:rPr>
      </w:pPr>
    </w:p>
    <w:p>
      <w:pPr>
        <w:numPr>
          <w:ilvl w:val="0"/>
          <w:numId w:val="3"/>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Fonts w:hint="eastAsia" w:ascii="仿宋_GB2312" w:hAnsi="仿宋_GB2312" w:eastAsia="仿宋_GB2312" w:cs="仿宋_GB2312"/>
          <w:b w:val="0"/>
          <w:bCs w:val="0"/>
          <w:color w:val="000000"/>
          <w:sz w:val="32"/>
          <w:szCs w:val="32"/>
        </w:rPr>
        <w:t>收</w:t>
      </w:r>
      <w:r>
        <w:rPr>
          <w:rStyle w:val="16"/>
          <w:rFonts w:hint="eastAsia" w:ascii="仿宋_GB2312" w:hAnsi="仿宋_GB2312" w:eastAsia="仿宋_GB2312" w:cs="仿宋_GB2312"/>
          <w:b w:val="0"/>
          <w:bCs w:val="0"/>
        </w:rPr>
        <w:t>入支出决算总表</w:t>
      </w:r>
      <w:bookmarkEnd w:id="44"/>
      <w:bookmarkStart w:id="45" w:name="_Toc15396620"/>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Fonts w:hint="eastAsia" w:ascii="仿宋_GB2312" w:hAnsi="仿宋_GB2312" w:eastAsia="仿宋_GB2312" w:cs="仿宋_GB2312"/>
          <w:b w:val="0"/>
          <w:bCs w:val="0"/>
          <w:color w:val="000000"/>
        </w:rPr>
      </w:pPr>
      <w:r>
        <w:rPr>
          <w:rFonts w:hint="eastAsia" w:ascii="仿宋_GB2312" w:hAnsi="仿宋_GB2312" w:eastAsia="仿宋_GB2312" w:cs="仿宋_GB2312"/>
          <w:b w:val="0"/>
          <w:bCs w:val="0"/>
          <w:color w:val="000000"/>
          <w:sz w:val="32"/>
          <w:szCs w:val="32"/>
          <w:lang w:eastAsia="zh-CN"/>
        </w:rPr>
        <w:t>二、</w:t>
      </w:r>
      <w:r>
        <w:rPr>
          <w:rFonts w:hint="eastAsia" w:ascii="仿宋_GB2312" w:hAnsi="仿宋_GB2312" w:eastAsia="仿宋_GB2312" w:cs="仿宋_GB2312"/>
          <w:b w:val="0"/>
          <w:bCs w:val="0"/>
          <w:color w:val="000000"/>
          <w:sz w:val="32"/>
          <w:szCs w:val="32"/>
        </w:rPr>
        <w:t>收</w:t>
      </w:r>
      <w:r>
        <w:rPr>
          <w:rStyle w:val="16"/>
          <w:rFonts w:hint="eastAsia" w:ascii="仿宋_GB2312" w:hAnsi="仿宋_GB2312" w:eastAsia="仿宋_GB2312" w:cs="仿宋_GB2312"/>
          <w:b w:val="0"/>
          <w:bCs w:val="0"/>
        </w:rPr>
        <w:t>入决算</w:t>
      </w:r>
      <w:bookmarkEnd w:id="45"/>
      <w:bookmarkStart w:id="46" w:name="_Toc15396621"/>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三</w:t>
      </w:r>
      <w:r>
        <w:rPr>
          <w:rStyle w:val="16"/>
          <w:rFonts w:hint="eastAsia" w:ascii="仿宋_GB2312" w:hAnsi="仿宋_GB2312" w:eastAsia="仿宋_GB2312" w:cs="仿宋_GB2312"/>
          <w:b w:val="0"/>
          <w:bCs w:val="0"/>
          <w:lang w:eastAsia="zh-CN"/>
        </w:rPr>
        <w:t>、</w:t>
      </w:r>
      <w:r>
        <w:rPr>
          <w:rStyle w:val="16"/>
          <w:rFonts w:hint="eastAsia" w:ascii="仿宋_GB2312" w:hAnsi="仿宋_GB2312" w:eastAsia="仿宋_GB2312" w:cs="仿宋_GB2312"/>
          <w:b w:val="0"/>
          <w:bCs w:val="0"/>
        </w:rPr>
        <w:t>支出决算表</w:t>
      </w:r>
      <w:bookmarkEnd w:id="46"/>
      <w:bookmarkStart w:id="47" w:name="_Toc15396622"/>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四、财政拨款收入支出决算总表</w:t>
      </w:r>
      <w:bookmarkEnd w:id="47"/>
      <w:bookmarkStart w:id="48" w:name="_Toc15396623"/>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五、财政拨款支出决算明细表</w:t>
      </w:r>
      <w:bookmarkEnd w:id="48"/>
      <w:bookmarkStart w:id="49" w:name="_Toc15396624"/>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六、</w:t>
      </w:r>
      <w:r>
        <w:rPr>
          <w:rFonts w:hint="eastAsia" w:ascii="仿宋_GB2312" w:hAnsi="仿宋_GB2312" w:eastAsia="仿宋_GB2312" w:cs="仿宋_GB2312"/>
          <w:b w:val="0"/>
          <w:bCs w:val="0"/>
          <w:color w:val="000000"/>
        </w:rPr>
        <w:t>一</w:t>
      </w:r>
      <w:r>
        <w:rPr>
          <w:rStyle w:val="16"/>
          <w:rFonts w:hint="eastAsia" w:ascii="仿宋_GB2312" w:hAnsi="仿宋_GB2312" w:eastAsia="仿宋_GB2312" w:cs="仿宋_GB2312"/>
          <w:b w:val="0"/>
          <w:bCs w:val="0"/>
        </w:rPr>
        <w:t>般公共预算财政拨款支出决算表</w:t>
      </w:r>
      <w:bookmarkEnd w:id="49"/>
      <w:bookmarkStart w:id="50" w:name="_Toc15396625"/>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七、</w:t>
      </w:r>
      <w:r>
        <w:rPr>
          <w:rFonts w:hint="eastAsia" w:ascii="仿宋_GB2312" w:hAnsi="仿宋_GB2312" w:eastAsia="仿宋_GB2312" w:cs="仿宋_GB2312"/>
          <w:b w:val="0"/>
          <w:bCs w:val="0"/>
          <w:color w:val="000000"/>
        </w:rPr>
        <w:t>一</w:t>
      </w:r>
      <w:r>
        <w:rPr>
          <w:rStyle w:val="16"/>
          <w:rFonts w:hint="eastAsia" w:ascii="仿宋_GB2312" w:hAnsi="仿宋_GB2312" w:eastAsia="仿宋_GB2312" w:cs="仿宋_GB2312"/>
          <w:b w:val="0"/>
          <w:bCs w:val="0"/>
        </w:rPr>
        <w:t>般公共预算财政拨款支出决算明细表</w:t>
      </w:r>
      <w:bookmarkEnd w:id="50"/>
      <w:bookmarkStart w:id="51" w:name="_Toc15396626"/>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八、</w:t>
      </w:r>
      <w:r>
        <w:rPr>
          <w:rFonts w:hint="eastAsia" w:ascii="仿宋_GB2312" w:hAnsi="仿宋_GB2312" w:eastAsia="仿宋_GB2312" w:cs="仿宋_GB2312"/>
          <w:b w:val="0"/>
          <w:bCs w:val="0"/>
          <w:color w:val="000000"/>
        </w:rPr>
        <w:t>一</w:t>
      </w:r>
      <w:r>
        <w:rPr>
          <w:rStyle w:val="16"/>
          <w:rFonts w:hint="eastAsia" w:ascii="仿宋_GB2312" w:hAnsi="仿宋_GB2312" w:eastAsia="仿宋_GB2312" w:cs="仿宋_GB2312"/>
          <w:b w:val="0"/>
          <w:bCs w:val="0"/>
        </w:rPr>
        <w:t>般公共预算财政拨款基本支出决算表</w:t>
      </w:r>
      <w:bookmarkEnd w:id="51"/>
      <w:bookmarkStart w:id="52" w:name="_Toc15396627"/>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九、</w:t>
      </w:r>
      <w:r>
        <w:rPr>
          <w:rFonts w:hint="eastAsia" w:ascii="仿宋_GB2312" w:hAnsi="仿宋_GB2312" w:eastAsia="仿宋_GB2312" w:cs="仿宋_GB2312"/>
          <w:b w:val="0"/>
          <w:bCs w:val="0"/>
          <w:color w:val="000000"/>
        </w:rPr>
        <w:t>一</w:t>
      </w:r>
      <w:r>
        <w:rPr>
          <w:rStyle w:val="16"/>
          <w:rFonts w:hint="eastAsia" w:ascii="仿宋_GB2312" w:hAnsi="仿宋_GB2312" w:eastAsia="仿宋_GB2312" w:cs="仿宋_GB2312"/>
          <w:b w:val="0"/>
          <w:bCs w:val="0"/>
        </w:rPr>
        <w:t>般公共预算财政拨款项目支出决算表</w:t>
      </w:r>
      <w:bookmarkEnd w:id="52"/>
      <w:bookmarkStart w:id="53" w:name="_Toc15396628"/>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十、</w:t>
      </w:r>
      <w:r>
        <w:rPr>
          <w:rFonts w:hint="eastAsia" w:ascii="仿宋_GB2312" w:hAnsi="仿宋_GB2312" w:eastAsia="仿宋_GB2312" w:cs="仿宋_GB2312"/>
          <w:b w:val="0"/>
          <w:bCs w:val="0"/>
          <w:color w:val="000000"/>
        </w:rPr>
        <w:t>一</w:t>
      </w:r>
      <w:r>
        <w:rPr>
          <w:rStyle w:val="16"/>
          <w:rFonts w:hint="eastAsia" w:ascii="仿宋_GB2312" w:hAnsi="仿宋_GB2312" w:eastAsia="仿宋_GB2312" w:cs="仿宋_GB2312"/>
          <w:b w:val="0"/>
          <w:bCs w:val="0"/>
        </w:rPr>
        <w:t>般公共预算财政拨款“三公”经费支出决算表</w:t>
      </w:r>
      <w:bookmarkEnd w:id="53"/>
      <w:bookmarkStart w:id="54" w:name="_Toc15396629"/>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十一、政府性基金预算财政拨款收入支出决算表</w:t>
      </w:r>
      <w:bookmarkEnd w:id="54"/>
      <w:bookmarkStart w:id="55" w:name="_Toc15396630"/>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十二、政府性基金预算财政拨款“三公”经费支出决算表</w:t>
      </w:r>
      <w:bookmarkEnd w:id="55"/>
      <w:bookmarkStart w:id="56" w:name="_Toc15396631"/>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Style w:val="16"/>
          <w:rFonts w:hint="eastAsia" w:ascii="仿宋_GB2312" w:hAnsi="仿宋_GB2312" w:eastAsia="仿宋_GB2312" w:cs="仿宋_GB2312"/>
          <w:b w:val="0"/>
          <w:bCs w:val="0"/>
        </w:rPr>
      </w:pPr>
      <w:r>
        <w:rPr>
          <w:rStyle w:val="16"/>
          <w:rFonts w:hint="eastAsia" w:ascii="仿宋_GB2312" w:hAnsi="仿宋_GB2312" w:eastAsia="仿宋_GB2312" w:cs="仿宋_GB2312"/>
          <w:b w:val="0"/>
          <w:bCs w:val="0"/>
        </w:rPr>
        <w:t>十三、国有资本经营预算财政拨款收入支出决算表</w:t>
      </w:r>
      <w:bookmarkEnd w:id="56"/>
    </w:p>
    <w:p>
      <w:pPr>
        <w:numPr>
          <w:ilvl w:val="0"/>
          <w:numId w:val="0"/>
        </w:numPr>
        <w:pBdr>
          <w:top w:val="none" w:color="auto" w:sz="0" w:space="0"/>
          <w:left w:val="none" w:color="auto" w:sz="0" w:space="0"/>
          <w:bottom w:val="none" w:color="auto" w:sz="0" w:space="0"/>
          <w:right w:val="none" w:color="auto" w:sz="0" w:space="0"/>
          <w:between w:val="none" w:color="auto" w:sz="0" w:space="0"/>
        </w:pBdr>
        <w:spacing w:line="576" w:lineRule="exact"/>
        <w:rPr>
          <w:rFonts w:hint="eastAsia" w:ascii="仿宋_GB2312" w:hAnsi="仿宋_GB2312" w:eastAsia="仿宋_GB2312" w:cs="仿宋_GB2312"/>
          <w:b w:val="0"/>
          <w:bCs w:val="0"/>
          <w:color w:val="000000"/>
          <w:sz w:val="32"/>
          <w:szCs w:val="32"/>
        </w:rPr>
      </w:pPr>
      <w:r>
        <w:rPr>
          <w:rStyle w:val="16"/>
          <w:rFonts w:hint="eastAsia" w:ascii="仿宋_GB2312" w:hAnsi="仿宋_GB2312" w:eastAsia="仿宋_GB2312" w:cs="仿宋_GB2312"/>
          <w:b w:val="0"/>
          <w:bCs w:val="0"/>
        </w:rPr>
        <w:t>十四、国有资本经营预算财政拨款支出决算表</w:t>
      </w:r>
    </w:p>
    <w:p>
      <w:pPr>
        <w:pStyle w:val="20"/>
        <w:pBdr>
          <w:top w:val="none" w:color="auto" w:sz="0" w:space="0"/>
          <w:left w:val="none" w:color="auto" w:sz="0" w:space="0"/>
          <w:bottom w:val="none" w:color="auto" w:sz="0" w:space="0"/>
          <w:right w:val="none" w:color="auto" w:sz="0" w:space="0"/>
          <w:between w:val="none" w:color="auto" w:sz="0" w:space="0"/>
        </w:pBdr>
        <w:spacing w:line="576" w:lineRule="exact"/>
        <w:rPr>
          <w:rFonts w:hint="eastAsia" w:ascii="仿宋_GB2312" w:hAnsi="仿宋_GB2312" w:eastAsia="仿宋_GB2312" w:cs="仿宋_GB2312"/>
          <w:b w:val="0"/>
          <w:bCs w:val="0"/>
          <w:color w:val="auto"/>
          <w:sz w:val="32"/>
          <w:szCs w:val="32"/>
        </w:rPr>
      </w:pPr>
    </w:p>
    <w:p>
      <w:pPr>
        <w:pStyle w:val="2"/>
        <w:pBdr>
          <w:top w:val="none" w:color="auto" w:sz="0" w:space="0"/>
          <w:left w:val="none" w:color="auto" w:sz="0" w:space="0"/>
          <w:bottom w:val="none" w:color="auto" w:sz="0" w:space="0"/>
          <w:right w:val="none" w:color="auto" w:sz="0" w:space="0"/>
          <w:between w:val="none" w:color="auto" w:sz="0" w:space="0"/>
        </w:pBdr>
        <w:spacing w:beforeLines="0" w:line="576" w:lineRule="exact"/>
        <w:rPr>
          <w:rFonts w:hint="eastAsia" w:hAnsi="仿宋_GB2312" w:cs="仿宋_GB2312"/>
          <w:sz w:val="32"/>
          <w:szCs w:val="32"/>
        </w:rPr>
      </w:pPr>
    </w:p>
    <w:p>
      <w:pPr>
        <w:pBdr>
          <w:top w:val="none" w:color="auto" w:sz="0" w:space="0"/>
          <w:left w:val="none" w:color="auto" w:sz="0" w:space="0"/>
          <w:bottom w:val="none" w:color="auto" w:sz="0" w:space="0"/>
          <w:right w:val="none" w:color="auto" w:sz="0" w:space="0"/>
          <w:between w:val="none" w:color="auto" w:sz="0" w:space="0"/>
        </w:pBd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libri Light">
    <w:altName w:val="Lucida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仿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B4F3F"/>
    <w:multiLevelType w:val="singleLevel"/>
    <w:tmpl w:val="8CDB4F3F"/>
    <w:lvl w:ilvl="0" w:tentative="0">
      <w:start w:val="1"/>
      <w:numFmt w:val="chineseCounting"/>
      <w:suff w:val="nothing"/>
      <w:lvlText w:val="%1、"/>
      <w:lvlJc w:val="left"/>
      <w:rPr>
        <w:rFonts w:hint="eastAsia"/>
      </w:rPr>
    </w:lvl>
  </w:abstractNum>
  <w:abstractNum w:abstractNumId="1">
    <w:nsid w:val="53E58733"/>
    <w:multiLevelType w:val="singleLevel"/>
    <w:tmpl w:val="53E58733"/>
    <w:lvl w:ilvl="0" w:tentative="0">
      <w:start w:val="1"/>
      <w:numFmt w:val="decimal"/>
      <w:lvlText w:val="%1."/>
      <w:lvlJc w:val="left"/>
      <w:pPr>
        <w:tabs>
          <w:tab w:val="left" w:pos="312"/>
        </w:tabs>
      </w:pPr>
    </w:lvl>
  </w:abstractNum>
  <w:abstractNum w:abstractNumId="2">
    <w:nsid w:val="691472CB"/>
    <w:multiLevelType w:val="singleLevel"/>
    <w:tmpl w:val="691472CB"/>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zQyZWNiNDk4NGVjOGMwNmJlM2Q5OWQ3MDVjMGUifQ=="/>
  </w:docVars>
  <w:rsids>
    <w:rsidRoot w:val="174577B7"/>
    <w:rsid w:val="03861E05"/>
    <w:rsid w:val="16B9038D"/>
    <w:rsid w:val="174577B7"/>
    <w:rsid w:val="1FD7404C"/>
    <w:rsid w:val="2BAA4B8F"/>
    <w:rsid w:val="401C3B3D"/>
    <w:rsid w:val="4ED15115"/>
    <w:rsid w:val="50DE7DB9"/>
    <w:rsid w:val="5DF73DD4"/>
    <w:rsid w:val="60912629"/>
    <w:rsid w:val="6E530769"/>
    <w:rsid w:val="7BF99982"/>
    <w:rsid w:val="7DDD16DF"/>
    <w:rsid w:val="7EF422F0"/>
    <w:rsid w:val="8AFFEBCC"/>
    <w:rsid w:val="DFFA9335"/>
    <w:rsid w:val="F76FCE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qFormat/>
    <w:uiPriority w:val="9"/>
    <w:pPr>
      <w:keepNext/>
      <w:keepLines/>
      <w:spacing w:before="260" w:after="260" w:line="416" w:lineRule="auto"/>
      <w:outlineLvl w:val="1"/>
    </w:pPr>
    <w:rPr>
      <w:rFonts w:ascii="Calibri Light" w:hAnsi="Calibri Light" w:eastAsia="宋体" w:cs="Times New Roman"/>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eastAsia="仿宋_GB2312"/>
      <w:kern w:val="0"/>
      <w:sz w:val="30"/>
    </w:rPr>
  </w:style>
  <w:style w:type="paragraph" w:styleId="5">
    <w:name w:val="Salutation"/>
    <w:basedOn w:val="1"/>
    <w:next w:val="1"/>
    <w:qFormat/>
    <w:uiPriority w:val="0"/>
    <w:rPr>
      <w:rFonts w:hint="default" w:ascii="Times New Roman" w:hAnsi="Times New Roman" w:eastAsia="宋体" w:cs="Times New Roma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toc 2"/>
    <w:basedOn w:val="1"/>
    <w:next w:val="1"/>
    <w:unhideWhenUsed/>
    <w:qFormat/>
    <w:uiPriority w:val="39"/>
    <w:pPr>
      <w:tabs>
        <w:tab w:val="right" w:leader="dot" w:pos="8296"/>
      </w:tabs>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3">
    <w:name w:val="Strong"/>
    <w:basedOn w:val="12"/>
    <w:qFormat/>
    <w:uiPriority w:val="99"/>
    <w:rPr>
      <w:b/>
    </w:rPr>
  </w:style>
  <w:style w:type="paragraph" w:customStyle="1" w:styleId="14">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5">
    <w:name w:val="标题 1 Char"/>
    <w:basedOn w:val="12"/>
    <w:link w:val="3"/>
    <w:qFormat/>
    <w:uiPriority w:val="9"/>
    <w:rPr>
      <w:b/>
      <w:bCs/>
      <w:kern w:val="44"/>
      <w:sz w:val="44"/>
      <w:szCs w:val="44"/>
    </w:rPr>
  </w:style>
  <w:style w:type="character" w:customStyle="1" w:styleId="16">
    <w:name w:val="标题 2 Char"/>
    <w:basedOn w:val="12"/>
    <w:link w:val="4"/>
    <w:qFormat/>
    <w:uiPriority w:val="9"/>
    <w:rPr>
      <w:rFonts w:ascii="Calibri Light" w:hAnsi="Calibri Light" w:eastAsia="宋体" w:cs="Times New Roman"/>
      <w:b/>
      <w:bCs/>
      <w:sz w:val="32"/>
      <w:szCs w:val="32"/>
    </w:rPr>
  </w:style>
  <w:style w:type="paragraph" w:customStyle="1" w:styleId="17">
    <w:name w:val="p0"/>
    <w:basedOn w:val="1"/>
    <w:qFormat/>
    <w:uiPriority w:val="0"/>
    <w:pPr>
      <w:widowControl/>
    </w:pPr>
    <w:rPr>
      <w:kern w:val="0"/>
    </w:rPr>
  </w:style>
  <w:style w:type="paragraph" w:styleId="18">
    <w:name w:val="List Paragraph"/>
    <w:basedOn w:val="1"/>
    <w:qFormat/>
    <w:uiPriority w:val="34"/>
    <w:pPr>
      <w:ind w:firstLine="420" w:firstLineChars="200"/>
    </w:pPr>
  </w:style>
  <w:style w:type="character" w:customStyle="1" w:styleId="19">
    <w:name w:val="标题 1 Char1"/>
    <w:basedOn w:val="12"/>
    <w:link w:val="3"/>
    <w:qFormat/>
    <w:locked/>
    <w:uiPriority w:val="9"/>
    <w:rPr>
      <w:rFonts w:ascii="Times New Roman" w:hAnsi="Times New Roman" w:cs="Times New Roman"/>
      <w:b/>
      <w:bCs/>
      <w:kern w:val="44"/>
      <w:sz w:val="44"/>
      <w:szCs w:val="44"/>
    </w:rPr>
  </w:style>
  <w:style w:type="paragraph" w:customStyle="1" w:styleId="20">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0011;&#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4920;%20&#22312;%202022&#24180;&#24230;&#24191;&#20803;&#24066;&#31038;&#20250;&#31185;&#23398;&#30028;&#32852;&#21512;&#20250;&#20915;&#31639;&#20844;&#24320;.doc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30011;&#2227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30011;&#2227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30011;&#2227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30011;&#2227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30011;&#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收、支决算总计变动情况图</a:t>
            </a:r>
          </a:p>
        </c:rich>
      </c:tx>
      <c:layout/>
      <c:overlay val="false"/>
      <c:spPr>
        <a:noFill/>
        <a:ln>
          <a:noFill/>
        </a:ln>
        <a:effectLst/>
      </c:spPr>
    </c:title>
    <c:autoTitleDeleted val="false"/>
    <c:plotArea>
      <c:layout>
        <c:manualLayout>
          <c:layoutTarget val="inner"/>
          <c:xMode val="edge"/>
          <c:yMode val="edge"/>
          <c:x val="0.0728421052631579"/>
          <c:y val="0.176388888888889"/>
          <c:w val="0.900184210526316"/>
          <c:h val="0.606342592592593"/>
        </c:manualLayout>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[画图.xlsx]Sheet1!$B$381:$B$382</c:f>
              <c:strCache>
                <c:ptCount val="2"/>
                <c:pt idx="0">
                  <c:v>2022年收入、支出总计</c:v>
                </c:pt>
                <c:pt idx="1">
                  <c:v>2021年款收入、支出总计</c:v>
                </c:pt>
              </c:strCache>
            </c:strRef>
          </c:cat>
          <c:val>
            <c:numRef>
              <c:f>[画图.xlsx]Sheet1!$C$381:$C$382</c:f>
              <c:numCache>
                <c:formatCode>General</c:formatCode>
                <c:ptCount val="2"/>
                <c:pt idx="0">
                  <c:v>184.13</c:v>
                </c:pt>
                <c:pt idx="1">
                  <c:v>227.03</c:v>
                </c:pt>
              </c:numCache>
            </c:numRef>
          </c:val>
        </c:ser>
        <c:dLbls>
          <c:showLegendKey val="false"/>
          <c:showVal val="true"/>
          <c:showCatName val="false"/>
          <c:showSerName val="false"/>
          <c:showPercent val="false"/>
          <c:showBubbleSize val="false"/>
        </c:dLbls>
        <c:gapWidth val="246"/>
        <c:overlap val="-28"/>
        <c:axId val="474834100"/>
        <c:axId val="492878945"/>
      </c:barChart>
      <c:catAx>
        <c:axId val="47483410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92878945"/>
        <c:crosses val="autoZero"/>
        <c:auto val="true"/>
        <c:lblAlgn val="ctr"/>
        <c:lblOffset val="100"/>
        <c:noMultiLvlLbl val="false"/>
      </c:catAx>
      <c:valAx>
        <c:axId val="492878945"/>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483410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tx1"/>
                </a:solidFill>
                <a:latin typeface="+mn-lt"/>
                <a:ea typeface="+mn-ea"/>
                <a:cs typeface="+mn-cs"/>
              </a:defRPr>
            </a:pPr>
            <a:r>
              <a:t>收入决算结构图</a:t>
            </a:r>
          </a:p>
        </c:rich>
      </c:tx>
      <c:layout/>
      <c:overlay val="false"/>
    </c:title>
    <c:autoTitleDeleted val="false"/>
    <c:plotArea>
      <c:layout/>
      <c:pieChart>
        <c:varyColors val="true"/>
        <c:ser>
          <c:idx val="0"/>
          <c:order val="0"/>
          <c:tx>
            <c:strRef>
              <c:f>'[工作表 在 2022年度广元市社会科学界联合会决算公开.docx]Sheet1'!$B$1</c:f>
              <c:strCache>
                <c:ptCount val="1"/>
                <c:pt idx="0">
                  <c:v>2021年本年收入</c:v>
                </c:pt>
              </c:strCache>
            </c:strRef>
          </c:tx>
          <c:explosion val="0"/>
          <c:dPt>
            <c:idx val="0"/>
            <c:bubble3D val="false"/>
            <c:explosion val="0"/>
            <c:spPr>
              <a:solidFill>
                <a:schemeClr val="accent1"/>
              </a:solidFill>
              <a:ln w="19050">
                <a:solidFill>
                  <a:schemeClr val="lt1"/>
                </a:solidFill>
              </a:ln>
              <a:effectLst/>
            </c:spPr>
          </c:dPt>
          <c:dPt>
            <c:idx val="1"/>
            <c:bubble3D val="false"/>
            <c:explosion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99.99%</a:t>
                    </a:r>
                    <a:endParaRPr lang="en-US" altLang="zh-CN" sz="1000" b="0"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0.01%</a:t>
                    </a:r>
                    <a:endParaRPr lang="en-US" altLang="zh-CN" sz="1000" b="0"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000000">
                          <a:alpha val="100000"/>
                        </a:srgbClr>
                      </a:solidFill>
                      <a:prstDash val="solid"/>
                      <a:round/>
                    </a:ln>
                  </c:spPr>
                </c15:leaderLines>
              </c:ext>
            </c:extLst>
          </c:dLbls>
          <c:cat>
            <c:strRef>
              <c:f>[0030d4001]Sheet1!$A$2:$A$3</c:f>
              <c:strCache>
                <c:ptCount val="2"/>
                <c:pt idx="0">
                  <c:v>一般公共预算财政拨款收入</c:v>
                </c:pt>
                <c:pt idx="1">
                  <c:v>其他收入</c:v>
                </c:pt>
              </c:strCache>
            </c:strRef>
          </c:cat>
          <c:val>
            <c:numRef>
              <c:f>[0030d4001]Sheet1!$B$2:$B$3</c:f>
              <c:numCache>
                <c:formatCode>General</c:formatCode>
                <c:ptCount val="2"/>
                <c:pt idx="0">
                  <c:v>182.26</c:v>
                </c:pt>
                <c:pt idx="1">
                  <c:v>0.02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82.41%</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17.59%</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[画图.xlsx]Sheet1!$B$400:$B$401</c:f>
              <c:strCache>
                <c:ptCount val="2"/>
                <c:pt idx="0">
                  <c:v>基本支出</c:v>
                </c:pt>
                <c:pt idx="1">
                  <c:v>项目支出</c:v>
                </c:pt>
              </c:strCache>
            </c:strRef>
          </c:cat>
          <c:val>
            <c:numRef>
              <c:f>[画图.xlsx]Sheet1!$C$400:$C$401</c:f>
              <c:numCache>
                <c:formatCode>General</c:formatCode>
                <c:ptCount val="2"/>
                <c:pt idx="0">
                  <c:v>151.75</c:v>
                </c:pt>
                <c:pt idx="1">
                  <c:v>32.38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[画图.xlsx]Sheet1!$B$417:$B$418</c:f>
              <c:strCache>
                <c:ptCount val="2"/>
                <c:pt idx="0">
                  <c:v>2022年</c:v>
                </c:pt>
                <c:pt idx="1">
                  <c:v>2021年</c:v>
                </c:pt>
              </c:strCache>
            </c:strRef>
          </c:cat>
          <c:val>
            <c:numRef>
              <c:f>[画图.xlsx]Sheet1!$C$417:$C$418</c:f>
              <c:numCache>
                <c:formatCode>General</c:formatCode>
                <c:ptCount val="2"/>
                <c:pt idx="0">
                  <c:v>184.1</c:v>
                </c:pt>
                <c:pt idx="1">
                  <c:v>188.88</c:v>
                </c:pt>
              </c:numCache>
            </c:numRef>
          </c:val>
        </c:ser>
        <c:dLbls>
          <c:showLegendKey val="false"/>
          <c:showVal val="true"/>
          <c:showCatName val="false"/>
          <c:showSerName val="false"/>
          <c:showPercent val="false"/>
          <c:showBubbleSize val="false"/>
        </c:dLbls>
        <c:gapWidth val="246"/>
        <c:overlap val="-28"/>
        <c:axId val="368448623"/>
        <c:axId val="962548142"/>
      </c:barChart>
      <c:catAx>
        <c:axId val="36844862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2548142"/>
        <c:crosses val="autoZero"/>
        <c:auto val="true"/>
        <c:lblAlgn val="ctr"/>
        <c:lblOffset val="100"/>
        <c:noMultiLvlLbl val="false"/>
      </c:catAx>
      <c:valAx>
        <c:axId val="962548142"/>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68448623"/>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[画图.xlsx]Sheet1!$B$434:$B$435</c:f>
              <c:strCache>
                <c:ptCount val="2"/>
                <c:pt idx="0">
                  <c:v>2022年</c:v>
                </c:pt>
                <c:pt idx="1">
                  <c:v>2021年</c:v>
                </c:pt>
              </c:strCache>
            </c:strRef>
          </c:cat>
          <c:val>
            <c:numRef>
              <c:f>[画图.xlsx]Sheet1!$C$434:$C$435</c:f>
              <c:numCache>
                <c:formatCode>General</c:formatCode>
                <c:ptCount val="2"/>
                <c:pt idx="0">
                  <c:v>184.1</c:v>
                </c:pt>
                <c:pt idx="1">
                  <c:v>182.66</c:v>
                </c:pt>
              </c:numCache>
            </c:numRef>
          </c:val>
        </c:ser>
        <c:dLbls>
          <c:showLegendKey val="false"/>
          <c:showVal val="true"/>
          <c:showCatName val="false"/>
          <c:showSerName val="false"/>
          <c:showPercent val="false"/>
          <c:showBubbleSize val="false"/>
        </c:dLbls>
        <c:gapWidth val="246"/>
        <c:overlap val="-28"/>
        <c:axId val="960068650"/>
        <c:axId val="350857995"/>
      </c:barChart>
      <c:catAx>
        <c:axId val="96006865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50857995"/>
        <c:crosses val="autoZero"/>
        <c:auto val="true"/>
        <c:lblAlgn val="ctr"/>
        <c:lblOffset val="100"/>
        <c:noMultiLvlLbl val="false"/>
      </c:catAx>
      <c:valAx>
        <c:axId val="350857995"/>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006865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87.96%</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manualLayout>
                  <c:x val="-0.0791976727351521"/>
                  <c:y val="0.0153256123506909"/>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5.3%</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343160649399523"/>
                  <c:y val="-0.00868566654626557"/>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2.2%</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895243819663956"/>
                  <c:y val="0.00187394999183969"/>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4.54%</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[画图.xlsx]Sheet1!$B$453:$B$456</c:f>
              <c:strCache>
                <c:ptCount val="4"/>
                <c:pt idx="0">
                  <c:v>一般公共服务支出</c:v>
                </c:pt>
                <c:pt idx="1">
                  <c:v>社会保障和就业支出</c:v>
                </c:pt>
                <c:pt idx="2">
                  <c:v>卫生健康支出</c:v>
                </c:pt>
                <c:pt idx="3">
                  <c:v>住房保障支出</c:v>
                </c:pt>
              </c:strCache>
            </c:strRef>
          </c:cat>
          <c:val>
            <c:numRef>
              <c:f>[画图.xlsx]Sheet1!$C$453:$C$456</c:f>
              <c:numCache>
                <c:formatCode>General</c:formatCode>
                <c:ptCount val="4"/>
                <c:pt idx="0">
                  <c:v>161.94</c:v>
                </c:pt>
                <c:pt idx="1">
                  <c:v>9.77</c:v>
                </c:pt>
                <c:pt idx="2">
                  <c:v>4.04</c:v>
                </c:pt>
                <c:pt idx="3">
                  <c:v>8.36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公务</a:t>
            </a:r>
            <a:r>
              <a:rPr lang="en-US" altLang="zh-CN"/>
              <a:t>“</a:t>
            </a:r>
            <a:r>
              <a:rPr altLang="en-US"/>
              <a:t>三公</a:t>
            </a:r>
            <a:r>
              <a:rPr lang="en-US" altLang="zh-CN"/>
              <a:t>”</a:t>
            </a:r>
            <a:r>
              <a:rPr altLang="en-US"/>
              <a:t>经费财政拨款</a:t>
            </a:r>
            <a:r>
              <a:rPr lang="en-US" altLang="zh-CN"/>
              <a:t> </a:t>
            </a:r>
            <a:r>
              <a:rPr altLang="en-US"/>
              <a:t>支出结构图</a:t>
            </a:r>
            <a:endParaRPr lang="en-US" altLang="zh-CN"/>
          </a:p>
        </c:rich>
      </c:tx>
      <c:layout/>
      <c:overlay val="false"/>
      <c:spPr>
        <a:noFill/>
        <a:ln>
          <a:noFill/>
        </a:ln>
        <a:effectLst/>
      </c:spPr>
    </c:title>
    <c:autoTitleDeleted val="false"/>
    <c:plotArea>
      <c:layout/>
      <c:pieChart>
        <c:varyColors val="true"/>
        <c:ser>
          <c:idx val="0"/>
          <c:order val="0"/>
          <c:tx>
            <c:strRef>
              <c:f>[画图.xlsx]Sheet1!$B$463</c:f>
              <c:strCache>
                <c:ptCount val="1"/>
                <c:pt idx="0">
                  <c:v>公务接待费</c:v>
                </c:pt>
              </c:strCache>
            </c:strRef>
          </c:tx>
          <c:spPr/>
          <c:explosion val="0"/>
          <c:dPt>
            <c:idx val="0"/>
            <c:bubble3D val="false"/>
            <c:spPr>
              <a:solidFill>
                <a:schemeClr val="accent1"/>
              </a:solidFill>
              <a:ln>
                <a:solidFill>
                  <a:schemeClr val="bg1"/>
                </a:solidFill>
              </a:ln>
              <a:effectLst/>
            </c:spPr>
          </c:dPt>
          <c:dLbls>
            <c:dLbl>
              <c:idx val="0"/>
              <c:layout>
                <c:manualLayout>
                  <c:x val="0.213668760559441"/>
                  <c:y val="-0.0303186202876459"/>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公务接待费0.08，占</a:t>
                    </a:r>
                    <a:r>
                      <a:rPr lang="en-US" altLang="zh-CN"/>
                      <a:t>100%</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val>
            <c:numRef>
              <c:f>[画图.xlsx]Sheet1!$C$463</c:f>
              <c:numCache>
                <c:formatCode>General</c:formatCode>
                <c:ptCount val="1"/>
                <c:pt idx="0">
                  <c:v>0.08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56</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2023-09-28T19:14:00Z</dcterms:created>
  <dc:creator>转机</dc:creator>
  <cp:lastModifiedBy> </cp:lastModifiedBy>
  <dcterms:modified xsi:type="dcterms:W3CDTF">2023-10-24T15:56:15Z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5D46F9047FCC4623BAB8D7FBE210315D_13</vt:lpwstr>
  </property>
</Properties>
</file>