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方正小标宋简体" w:hAnsi="方正小标宋简体" w:eastAsia="方正小标宋简体" w:cs="方正小标宋简体"/>
          <w:color w:val="auto"/>
          <w:sz w:val="72"/>
          <w:szCs w:val="72"/>
          <w:highlight w:val="none"/>
        </w:rPr>
      </w:pPr>
      <w:bookmarkStart w:id="1" w:name="_Toc15396597"/>
      <w:bookmarkStart w:id="2" w:name="_Toc15377193"/>
      <w:bookmarkStart w:id="3" w:name="_Toc17056"/>
      <w:bookmarkStart w:id="4" w:name="_Toc15378441"/>
      <w:bookmarkStart w:id="5" w:name="_Toc15396475"/>
      <w:bookmarkStart w:id="6" w:name="_Toc15377425"/>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方正小标宋简体" w:hAnsi="方正小标宋简体" w:eastAsia="方正小标宋简体" w:cs="方正小标宋简体"/>
          <w:color w:val="auto"/>
          <w:sz w:val="72"/>
          <w:szCs w:val="72"/>
          <w:highlight w:val="none"/>
          <w:lang w:val="en-US" w:eastAsia="zh-CN"/>
        </w:rPr>
      </w:pPr>
      <w:bookmarkStart w:id="7" w:name="_Toc15378442"/>
      <w:bookmarkStart w:id="8" w:name="_Toc14700"/>
      <w:bookmarkStart w:id="9" w:name="_Toc15396476"/>
      <w:bookmarkStart w:id="10" w:name="_Toc15377194"/>
      <w:bookmarkStart w:id="11" w:name="_Toc15396598"/>
      <w:bookmarkStart w:id="12" w:name="_Toc15377426"/>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3" w:name="_Toc15306268"/>
      <w:r>
        <w:rPr>
          <w:rFonts w:hint="eastAsia" w:ascii="方正小标宋简体" w:hAnsi="方正小标宋简体" w:eastAsia="方正小标宋简体" w:cs="方正小标宋简体"/>
          <w:color w:val="auto"/>
          <w:sz w:val="72"/>
          <w:szCs w:val="72"/>
          <w:highlight w:val="none"/>
          <w:lang w:val="en-US" w:eastAsia="zh-CN"/>
        </w:rPr>
        <w:t>中医医院</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方正小标宋简体" w:hAnsi="方正小标宋简体" w:eastAsia="方正小标宋简体" w:cs="方正小标宋简体"/>
          <w:color w:val="auto"/>
          <w:sz w:val="72"/>
          <w:szCs w:val="72"/>
          <w:highlight w:val="none"/>
        </w:rPr>
      </w:pP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7"/>
      <w:bookmarkEnd w:id="8"/>
      <w:bookmarkEnd w:id="9"/>
      <w:bookmarkEnd w:id="10"/>
      <w:bookmarkEnd w:id="11"/>
      <w:bookmarkEnd w:id="12"/>
      <w:bookmarkEnd w:id="13"/>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ascii="方正小标宋简体" w:hAnsi="宋体" w:eastAsia="方正小标宋简体"/>
          <w:color w:val="auto"/>
          <w:sz w:val="52"/>
          <w:szCs w:val="52"/>
          <w:highlight w:val="none"/>
        </w:rPr>
      </w:pPr>
    </w:p>
    <w:p>
      <w:pPr>
        <w:widowControl/>
        <w:jc w:val="center"/>
        <w:rPr>
          <w:rFonts w:ascii="黑体" w:hAnsi="黑体" w:eastAsia="黑体" w:cstheme="minorBidi"/>
          <w:color w:val="auto"/>
          <w:sz w:val="28"/>
          <w:szCs w:val="2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2"/>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sdt>
      <w:sdtPr>
        <w:rPr>
          <w:rFonts w:ascii="宋体" w:hAnsi="宋体" w:eastAsia="宋体" w:cs="Times New Roman"/>
          <w:kern w:val="2"/>
          <w:sz w:val="21"/>
          <w:szCs w:val="24"/>
          <w:lang w:val="en-US" w:eastAsia="zh-CN" w:bidi="ar-SA"/>
        </w:rPr>
        <w:id w:val="147474985"/>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34"/>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TOC \o "1-3" \h \u </w:instrText>
          </w:r>
          <w:r>
            <w:fldChar w:fldCharType="separate"/>
          </w:r>
          <w:r>
            <w:fldChar w:fldCharType="begin"/>
          </w:r>
          <w:r>
            <w:instrText xml:space="preserve"> HYPERLINK \l _Toc17293 </w:instrText>
          </w:r>
          <w:r>
            <w:fldChar w:fldCharType="separate"/>
          </w:r>
          <w:r>
            <w:rPr>
              <w:rFonts w:hint="eastAsia" w:ascii="黑体" w:hAnsi="黑体" w:eastAsia="黑体"/>
              <w:highlight w:val="none"/>
            </w:rPr>
            <w:t xml:space="preserve">第一部分 </w:t>
          </w:r>
          <w:r>
            <w:rPr>
              <w:rFonts w:hint="eastAsia" w:ascii="黑体" w:hAnsi="黑体" w:eastAsia="黑体"/>
              <w:highlight w:val="none"/>
              <w:lang w:eastAsia="zh-CN"/>
            </w:rPr>
            <w:t>单位</w:t>
          </w:r>
          <w:r>
            <w:rPr>
              <w:rFonts w:hint="eastAsia" w:ascii="黑体" w:hAnsi="黑体" w:eastAsia="黑体"/>
              <w:bCs w:val="0"/>
              <w:highlight w:val="none"/>
            </w:rPr>
            <w:t>概况</w:t>
          </w:r>
          <w:r>
            <w:tab/>
          </w:r>
          <w:r>
            <w:fldChar w:fldCharType="begin"/>
          </w:r>
          <w:r>
            <w:instrText xml:space="preserve"> PAGEREF _Toc17293 \h </w:instrText>
          </w:r>
          <w:r>
            <w:fldChar w:fldCharType="separate"/>
          </w:r>
          <w:r>
            <w:t>1</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_Toc7030 </w:instrText>
          </w:r>
          <w:r>
            <w:fldChar w:fldCharType="separate"/>
          </w:r>
          <w:r>
            <w:rPr>
              <w:rFonts w:hint="eastAsia" w:ascii="黑体" w:hAnsi="黑体" w:eastAsia="黑体"/>
              <w:bCs w:val="0"/>
              <w:lang w:eastAsia="zh-CN"/>
            </w:rPr>
            <w:t>一、</w:t>
          </w:r>
          <w:r>
            <w:rPr>
              <w:rFonts w:hint="eastAsia" w:ascii="黑体" w:hAnsi="黑体" w:eastAsia="黑体"/>
              <w:bCs w:val="0"/>
              <w:highlight w:val="none"/>
              <w:lang w:eastAsia="zh-CN"/>
            </w:rPr>
            <w:t>主要职责</w:t>
          </w:r>
          <w:r>
            <w:tab/>
          </w:r>
          <w:r>
            <w:fldChar w:fldCharType="begin"/>
          </w:r>
          <w:r>
            <w:instrText xml:space="preserve"> PAGEREF _Toc7030 \h </w:instrText>
          </w:r>
          <w:r>
            <w:fldChar w:fldCharType="separate"/>
          </w:r>
          <w:r>
            <w:t>1</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_Toc7272 </w:instrText>
          </w:r>
          <w:r>
            <w:fldChar w:fldCharType="separate"/>
          </w:r>
          <w:r>
            <w:rPr>
              <w:rFonts w:hint="eastAsia" w:ascii="黑体" w:hAnsi="黑体" w:eastAsia="黑体"/>
              <w:highlight w:val="none"/>
              <w:lang w:val="en-US" w:eastAsia="zh-CN"/>
            </w:rPr>
            <w:t>二、机构设置</w:t>
          </w:r>
          <w:r>
            <w:tab/>
          </w:r>
          <w:r>
            <w:fldChar w:fldCharType="begin"/>
          </w:r>
          <w:r>
            <w:instrText xml:space="preserve"> PAGEREF _Toc7272 \h </w:instrText>
          </w:r>
          <w:r>
            <w:fldChar w:fldCharType="separate"/>
          </w:r>
          <w:r>
            <w:t>2</w:t>
          </w:r>
          <w:r>
            <w:fldChar w:fldCharType="end"/>
          </w:r>
          <w:r>
            <w:fldChar w:fldCharType="end"/>
          </w:r>
        </w:p>
        <w:p>
          <w:pPr>
            <w:pStyle w:val="34"/>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_Toc24893 </w:instrText>
          </w:r>
          <w:r>
            <w:fldChar w:fldCharType="separate"/>
          </w:r>
          <w:r>
            <w:rPr>
              <w:rFonts w:hint="eastAsia" w:ascii="黑体" w:hAnsi="黑体" w:eastAsia="黑体"/>
              <w:bCs/>
              <w:highlight w:val="none"/>
            </w:rPr>
            <w:t xml:space="preserve">第二部分 </w:t>
          </w:r>
          <w:r>
            <w:rPr>
              <w:rFonts w:hint="eastAsia" w:ascii="黑体" w:hAnsi="黑体" w:eastAsia="黑体"/>
              <w:bCs/>
              <w:highlight w:val="none"/>
              <w:lang w:val="en-US" w:eastAsia="zh-CN"/>
            </w:rPr>
            <w:t>2022年度</w:t>
          </w:r>
          <w:r>
            <w:rPr>
              <w:rFonts w:hint="eastAsia" w:ascii="黑体" w:hAnsi="黑体" w:eastAsia="黑体"/>
              <w:bCs/>
              <w:highlight w:val="none"/>
              <w:lang w:eastAsia="zh-CN"/>
            </w:rPr>
            <w:t>单位</w:t>
          </w:r>
          <w:r>
            <w:rPr>
              <w:rFonts w:hint="eastAsia" w:ascii="黑体" w:hAnsi="黑体" w:eastAsia="黑体"/>
              <w:bCs/>
              <w:highlight w:val="none"/>
            </w:rPr>
            <w:t>决算情况说明</w:t>
          </w:r>
          <w:r>
            <w:tab/>
          </w:r>
          <w:r>
            <w:fldChar w:fldCharType="begin"/>
          </w:r>
          <w:r>
            <w:instrText xml:space="preserve"> PAGEREF _Toc24893 \h </w:instrText>
          </w:r>
          <w:r>
            <w:fldChar w:fldCharType="separate"/>
          </w:r>
          <w:r>
            <w:t>2</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_Toc22191 </w:instrText>
          </w:r>
          <w:r>
            <w:fldChar w:fldCharType="separate"/>
          </w:r>
          <w:r>
            <w:rPr>
              <w:rFonts w:hint="default" w:ascii="黑体" w:hAnsi="黑体" w:eastAsia="黑体"/>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_Toc22191 \h </w:instrText>
          </w:r>
          <w:r>
            <w:fldChar w:fldCharType="separate"/>
          </w:r>
          <w:r>
            <w:t>2</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_Toc6579 </w:instrText>
          </w:r>
          <w:r>
            <w:fldChar w:fldCharType="separate"/>
          </w:r>
          <w:r>
            <w:rPr>
              <w:rFonts w:hint="default" w:ascii="黑体" w:hAnsi="黑体" w:eastAsia="黑体"/>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_Toc6579 \h </w:instrText>
          </w:r>
          <w:r>
            <w:fldChar w:fldCharType="separate"/>
          </w:r>
          <w:r>
            <w:t>3</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_Toc22794 </w:instrText>
          </w:r>
          <w:r>
            <w:fldChar w:fldCharType="separate"/>
          </w:r>
          <w:r>
            <w:rPr>
              <w:rFonts w:hint="default" w:ascii="黑体" w:hAnsi="黑体" w:eastAsia="黑体"/>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_Toc22794 \h </w:instrText>
          </w:r>
          <w:r>
            <w:fldChar w:fldCharType="separate"/>
          </w:r>
          <w:r>
            <w:t>4</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_Toc27279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_Toc27279 \h </w:instrText>
          </w:r>
          <w:r>
            <w:fldChar w:fldCharType="separate"/>
          </w:r>
          <w:r>
            <w:t>4</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_Toc19797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_Toc19797 \h </w:instrText>
          </w:r>
          <w:r>
            <w:fldChar w:fldCharType="separate"/>
          </w:r>
          <w:r>
            <w:t>5</w:t>
          </w:r>
          <w:r>
            <w:fldChar w:fldCharType="end"/>
          </w:r>
          <w:r>
            <w:fldChar w:fldCharType="end"/>
          </w:r>
        </w:p>
        <w:p>
          <w:pPr>
            <w:pStyle w:val="36"/>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_Toc3378 </w:instrText>
          </w:r>
          <w:r>
            <w:fldChar w:fldCharType="separate"/>
          </w:r>
          <w:r>
            <w:rPr>
              <w:rFonts w:hint="eastAsia" w:ascii="仿宋" w:hAnsi="仿宋" w:eastAsia="仿宋"/>
              <w:szCs w:val="32"/>
              <w:highlight w:val="none"/>
            </w:rPr>
            <w:t>（一）一般公共预算财政拨款支出决算总体情况</w:t>
          </w:r>
          <w:r>
            <w:tab/>
          </w:r>
          <w:r>
            <w:fldChar w:fldCharType="begin"/>
          </w:r>
          <w:r>
            <w:instrText xml:space="preserve"> PAGEREF _Toc3378 \h </w:instrText>
          </w:r>
          <w:r>
            <w:fldChar w:fldCharType="separate"/>
          </w:r>
          <w:r>
            <w:t>5</w:t>
          </w:r>
          <w:r>
            <w:fldChar w:fldCharType="end"/>
          </w:r>
          <w:r>
            <w:fldChar w:fldCharType="end"/>
          </w:r>
        </w:p>
        <w:p>
          <w:pPr>
            <w:pStyle w:val="36"/>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_Toc19070 </w:instrText>
          </w:r>
          <w:r>
            <w:fldChar w:fldCharType="separate"/>
          </w:r>
          <w:r>
            <w:rPr>
              <w:rFonts w:hint="eastAsia" w:ascii="仿宋" w:hAnsi="仿宋" w:eastAsia="仿宋"/>
              <w:szCs w:val="32"/>
              <w:highlight w:val="none"/>
            </w:rPr>
            <w:t>（二）一般公共预算财政拨款支出决算结构情况</w:t>
          </w:r>
          <w:bookmarkStart w:id="119" w:name="_GoBack"/>
          <w:bookmarkEnd w:id="119"/>
          <w:r>
            <w:tab/>
          </w:r>
          <w:r>
            <w:fldChar w:fldCharType="begin"/>
          </w:r>
          <w:r>
            <w:instrText xml:space="preserve"> PAGEREF _Toc19070 \h </w:instrText>
          </w:r>
          <w:r>
            <w:fldChar w:fldCharType="separate"/>
          </w:r>
          <w:r>
            <w:t>5</w:t>
          </w:r>
          <w:r>
            <w:fldChar w:fldCharType="end"/>
          </w:r>
          <w:r>
            <w:fldChar w:fldCharType="end"/>
          </w:r>
        </w:p>
        <w:p>
          <w:pPr>
            <w:pStyle w:val="36"/>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_Toc15264 </w:instrText>
          </w:r>
          <w:r>
            <w:fldChar w:fldCharType="separate"/>
          </w:r>
          <w:r>
            <w:rPr>
              <w:rFonts w:hint="eastAsia" w:ascii="仿宋" w:hAnsi="仿宋" w:eastAsia="仿宋"/>
              <w:szCs w:val="32"/>
              <w:highlight w:val="none"/>
            </w:rPr>
            <w:t>（三）一般公共预算财政拨款支出决算具体情况</w:t>
          </w:r>
          <w:r>
            <w:tab/>
          </w:r>
          <w:r>
            <w:fldChar w:fldCharType="begin"/>
          </w:r>
          <w:r>
            <w:instrText xml:space="preserve"> PAGEREF _Toc15264 \h </w:instrText>
          </w:r>
          <w:r>
            <w:fldChar w:fldCharType="separate"/>
          </w:r>
          <w:r>
            <w:t>6</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_Toc19999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_Toc19999 \h </w:instrText>
          </w:r>
          <w:r>
            <w:fldChar w:fldCharType="separate"/>
          </w:r>
          <w:r>
            <w:t>8</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_Toc546 </w:instrText>
          </w:r>
          <w: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_Toc546 \h </w:instrText>
          </w:r>
          <w:r>
            <w:fldChar w:fldCharType="separate"/>
          </w:r>
          <w:r>
            <w:t>8</w:t>
          </w:r>
          <w:r>
            <w:fldChar w:fldCharType="end"/>
          </w:r>
          <w:r>
            <w:fldChar w:fldCharType="end"/>
          </w:r>
        </w:p>
        <w:p>
          <w:pPr>
            <w:pStyle w:val="36"/>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_Toc3082 </w:instrText>
          </w:r>
          <w:r>
            <w:fldChar w:fldCharType="separate"/>
          </w:r>
          <w:r>
            <w:rPr>
              <w:rFonts w:hint="eastAsia" w:ascii="仿宋" w:hAnsi="仿宋" w:eastAsia="仿宋"/>
              <w:szCs w:val="32"/>
              <w:highlight w:val="none"/>
            </w:rPr>
            <w:t>（一）“三公”经费财政拨款支出决算总体情况说明</w:t>
          </w:r>
          <w:r>
            <w:tab/>
          </w:r>
          <w:r>
            <w:fldChar w:fldCharType="begin"/>
          </w:r>
          <w:r>
            <w:instrText xml:space="preserve"> PAGEREF _Toc3082 \h </w:instrText>
          </w:r>
          <w:r>
            <w:fldChar w:fldCharType="separate"/>
          </w:r>
          <w:r>
            <w:t>8</w:t>
          </w:r>
          <w:r>
            <w:fldChar w:fldCharType="end"/>
          </w:r>
          <w:r>
            <w:fldChar w:fldCharType="end"/>
          </w:r>
        </w:p>
        <w:p>
          <w:pPr>
            <w:pStyle w:val="36"/>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_Toc811 </w:instrText>
          </w:r>
          <w:r>
            <w:fldChar w:fldCharType="separate"/>
          </w:r>
          <w:r>
            <w:rPr>
              <w:rFonts w:hint="eastAsia" w:ascii="仿宋" w:hAnsi="仿宋" w:eastAsia="仿宋"/>
              <w:szCs w:val="32"/>
              <w:highlight w:val="none"/>
            </w:rPr>
            <w:t>（二）“三公”经费财政拨款支出决算具体情况说明</w:t>
          </w:r>
          <w:r>
            <w:tab/>
          </w:r>
          <w:r>
            <w:fldChar w:fldCharType="begin"/>
          </w:r>
          <w:r>
            <w:instrText xml:space="preserve"> PAGEREF _Toc811 \h </w:instrText>
          </w:r>
          <w:r>
            <w:fldChar w:fldCharType="separate"/>
          </w:r>
          <w:r>
            <w:t>9</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_Toc2859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_Toc2859 \h </w:instrText>
          </w:r>
          <w:r>
            <w:fldChar w:fldCharType="separate"/>
          </w:r>
          <w:r>
            <w:t>9</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_Toc26423 </w:instrText>
          </w:r>
          <w: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_Toc26423 \h </w:instrText>
          </w:r>
          <w:r>
            <w:fldChar w:fldCharType="separate"/>
          </w:r>
          <w:r>
            <w:t>9</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_Toc606 </w:instrText>
          </w:r>
          <w: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_Toc606 \h </w:instrText>
          </w:r>
          <w:r>
            <w:fldChar w:fldCharType="separate"/>
          </w:r>
          <w:r>
            <w:t>10</w:t>
          </w:r>
          <w:r>
            <w:fldChar w:fldCharType="end"/>
          </w:r>
          <w:r>
            <w:fldChar w:fldCharType="end"/>
          </w:r>
        </w:p>
        <w:p>
          <w:pPr>
            <w:pStyle w:val="36"/>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_Toc16565 </w:instrText>
          </w:r>
          <w:r>
            <w:fldChar w:fldCharType="separate"/>
          </w:r>
          <w:r>
            <w:rPr>
              <w:rFonts w:hint="eastAsia" w:ascii="仿宋" w:hAnsi="仿宋" w:eastAsia="仿宋"/>
              <w:szCs w:val="32"/>
              <w:highlight w:val="none"/>
            </w:rPr>
            <w:t>（一）机关运行经费支出情况</w:t>
          </w:r>
          <w:r>
            <w:tab/>
          </w:r>
          <w:r>
            <w:fldChar w:fldCharType="begin"/>
          </w:r>
          <w:r>
            <w:instrText xml:space="preserve"> PAGEREF _Toc16565 \h </w:instrText>
          </w:r>
          <w:r>
            <w:fldChar w:fldCharType="separate"/>
          </w:r>
          <w:r>
            <w:t>10</w:t>
          </w:r>
          <w:r>
            <w:fldChar w:fldCharType="end"/>
          </w:r>
          <w:r>
            <w:fldChar w:fldCharType="end"/>
          </w:r>
        </w:p>
        <w:p>
          <w:pPr>
            <w:pStyle w:val="36"/>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_Toc15672 </w:instrText>
          </w:r>
          <w:r>
            <w:fldChar w:fldCharType="separate"/>
          </w:r>
          <w:r>
            <w:rPr>
              <w:rFonts w:hint="eastAsia" w:ascii="仿宋" w:hAnsi="仿宋" w:eastAsia="仿宋"/>
              <w:szCs w:val="32"/>
              <w:highlight w:val="none"/>
            </w:rPr>
            <w:t>（二）政府采购支出情况</w:t>
          </w:r>
          <w:r>
            <w:tab/>
          </w:r>
          <w:r>
            <w:fldChar w:fldCharType="begin"/>
          </w:r>
          <w:r>
            <w:instrText xml:space="preserve"> PAGEREF _Toc15672 \h </w:instrText>
          </w:r>
          <w:r>
            <w:fldChar w:fldCharType="separate"/>
          </w:r>
          <w:r>
            <w:t>10</w:t>
          </w:r>
          <w:r>
            <w:fldChar w:fldCharType="end"/>
          </w:r>
          <w:r>
            <w:fldChar w:fldCharType="end"/>
          </w:r>
        </w:p>
        <w:p>
          <w:pPr>
            <w:pStyle w:val="36"/>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_Toc11332 </w:instrText>
          </w:r>
          <w:r>
            <w:fldChar w:fldCharType="separate"/>
          </w:r>
          <w:r>
            <w:rPr>
              <w:rFonts w:hint="eastAsia" w:ascii="仿宋" w:hAnsi="仿宋" w:eastAsia="仿宋"/>
              <w:szCs w:val="32"/>
              <w:highlight w:val="none"/>
            </w:rPr>
            <w:t>（三）国有资产占有使用情况</w:t>
          </w:r>
          <w:r>
            <w:tab/>
          </w:r>
          <w:r>
            <w:fldChar w:fldCharType="begin"/>
          </w:r>
          <w:r>
            <w:instrText xml:space="preserve"> PAGEREF _Toc11332 \h </w:instrText>
          </w:r>
          <w:r>
            <w:fldChar w:fldCharType="separate"/>
          </w:r>
          <w:r>
            <w:t>10</w:t>
          </w:r>
          <w:r>
            <w:fldChar w:fldCharType="end"/>
          </w:r>
          <w:r>
            <w:fldChar w:fldCharType="end"/>
          </w:r>
        </w:p>
        <w:p>
          <w:pPr>
            <w:pStyle w:val="36"/>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_Toc20434 </w:instrText>
          </w:r>
          <w:r>
            <w:fldChar w:fldCharType="separate"/>
          </w:r>
          <w:r>
            <w:rPr>
              <w:rFonts w:hint="eastAsia" w:ascii="仿宋" w:hAnsi="仿宋" w:eastAsia="仿宋"/>
              <w:szCs w:val="32"/>
              <w:highlight w:val="none"/>
            </w:rPr>
            <w:t>（四）预算绩效管理情况</w:t>
          </w:r>
          <w:r>
            <w:tab/>
          </w:r>
          <w:r>
            <w:fldChar w:fldCharType="begin"/>
          </w:r>
          <w:r>
            <w:instrText xml:space="preserve"> PAGEREF _Toc20434 \h </w:instrText>
          </w:r>
          <w:r>
            <w:fldChar w:fldCharType="separate"/>
          </w:r>
          <w:r>
            <w:t>10</w:t>
          </w:r>
          <w:r>
            <w:fldChar w:fldCharType="end"/>
          </w:r>
          <w:r>
            <w:fldChar w:fldCharType="end"/>
          </w:r>
        </w:p>
        <w:p>
          <w:pPr>
            <w:pStyle w:val="34"/>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_Toc30660 </w:instrText>
          </w:r>
          <w:r>
            <w:fldChar w:fldCharType="separate"/>
          </w:r>
          <w:r>
            <w:rPr>
              <w:rFonts w:hint="eastAsia" w:ascii="黑体" w:hAnsi="黑体" w:eastAsia="黑体" w:cs="黑体"/>
              <w:szCs w:val="44"/>
            </w:rPr>
            <w:t xml:space="preserve">第三部分 </w:t>
          </w:r>
          <w:r>
            <w:rPr>
              <w:rFonts w:hint="eastAsia" w:ascii="黑体" w:hAnsi="黑体" w:eastAsia="黑体"/>
              <w:szCs w:val="44"/>
              <w:highlight w:val="none"/>
            </w:rPr>
            <w:t>名</w:t>
          </w:r>
          <w:r>
            <w:rPr>
              <w:rFonts w:hint="eastAsia" w:ascii="黑体" w:hAnsi="黑体" w:eastAsia="黑体"/>
              <w:highlight w:val="none"/>
            </w:rPr>
            <w:t>词解释</w:t>
          </w:r>
          <w:r>
            <w:tab/>
          </w:r>
          <w:r>
            <w:fldChar w:fldCharType="begin"/>
          </w:r>
          <w:r>
            <w:instrText xml:space="preserve"> PAGEREF _Toc30660 \h </w:instrText>
          </w:r>
          <w:r>
            <w:fldChar w:fldCharType="separate"/>
          </w:r>
          <w:r>
            <w:t>11</w:t>
          </w:r>
          <w:r>
            <w:fldChar w:fldCharType="end"/>
          </w:r>
          <w:r>
            <w:fldChar w:fldCharType="end"/>
          </w:r>
        </w:p>
        <w:p>
          <w:pPr>
            <w:pStyle w:val="34"/>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_Toc23052 </w:instrText>
          </w:r>
          <w:r>
            <w:fldChar w:fldCharType="separate"/>
          </w:r>
          <w:r>
            <w:rPr>
              <w:rFonts w:hint="eastAsia" w:ascii="黑体" w:hAnsi="黑体" w:eastAsia="黑体"/>
              <w:szCs w:val="44"/>
              <w:highlight w:val="none"/>
            </w:rPr>
            <w:t>第</w:t>
          </w:r>
          <w:r>
            <w:rPr>
              <w:rFonts w:hint="eastAsia" w:ascii="黑体" w:hAnsi="黑体" w:eastAsia="黑体"/>
              <w:highlight w:val="none"/>
            </w:rPr>
            <w:t>四部分 附件</w:t>
          </w:r>
          <w:r>
            <w:tab/>
          </w:r>
          <w:r>
            <w:fldChar w:fldCharType="begin"/>
          </w:r>
          <w:r>
            <w:instrText xml:space="preserve"> PAGEREF _Toc23052 \h </w:instrText>
          </w:r>
          <w:r>
            <w:fldChar w:fldCharType="separate"/>
          </w:r>
          <w:r>
            <w:t>14</w:t>
          </w:r>
          <w:r>
            <w:fldChar w:fldCharType="end"/>
          </w:r>
          <w:r>
            <w:fldChar w:fldCharType="end"/>
          </w:r>
        </w:p>
        <w:p>
          <w:pPr>
            <w:pStyle w:val="34"/>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_Toc24048 </w:instrText>
          </w:r>
          <w:r>
            <w:fldChar w:fldCharType="separate"/>
          </w:r>
          <w:r>
            <w:rPr>
              <w:rFonts w:hint="eastAsia" w:ascii="黑体" w:hAnsi="黑体" w:eastAsia="黑体"/>
              <w:szCs w:val="44"/>
              <w:highlight w:val="none"/>
            </w:rPr>
            <w:t>第</w:t>
          </w:r>
          <w:r>
            <w:rPr>
              <w:rFonts w:hint="eastAsia" w:ascii="黑体" w:hAnsi="黑体" w:eastAsia="黑体"/>
              <w:highlight w:val="none"/>
            </w:rPr>
            <w:t>五部分 附表</w:t>
          </w:r>
          <w:r>
            <w:tab/>
          </w:r>
          <w:r>
            <w:fldChar w:fldCharType="begin"/>
          </w:r>
          <w:r>
            <w:instrText xml:space="preserve"> PAGEREF _Toc24048 \h </w:instrText>
          </w:r>
          <w:r>
            <w:fldChar w:fldCharType="separate"/>
          </w:r>
          <w:r>
            <w:t>25</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_Toc9036 </w:instrText>
          </w:r>
          <w: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_Toc9036 \h </w:instrText>
          </w:r>
          <w:r>
            <w:fldChar w:fldCharType="separate"/>
          </w:r>
          <w:r>
            <w:t>25</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_Toc2580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_Toc2580 \h </w:instrText>
          </w:r>
          <w:r>
            <w:fldChar w:fldCharType="separate"/>
          </w:r>
          <w:r>
            <w:t>25</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_Toc27222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_Toc27222 \h </w:instrText>
          </w:r>
          <w:r>
            <w:fldChar w:fldCharType="separate"/>
          </w:r>
          <w:r>
            <w:t>25</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_Toc8242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_Toc8242 \h </w:instrText>
          </w:r>
          <w:r>
            <w:fldChar w:fldCharType="separate"/>
          </w:r>
          <w:r>
            <w:t>25</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_Toc32106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_Toc32106 \h </w:instrText>
          </w:r>
          <w:r>
            <w:fldChar w:fldCharType="separate"/>
          </w:r>
          <w:r>
            <w:t>25</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_Toc8523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_Toc8523 \h </w:instrText>
          </w:r>
          <w:r>
            <w:fldChar w:fldCharType="separate"/>
          </w:r>
          <w:r>
            <w:t>25</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_Toc6975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_Toc6975 \h </w:instrText>
          </w:r>
          <w:r>
            <w:fldChar w:fldCharType="separate"/>
          </w:r>
          <w:r>
            <w:t>25</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_Toc29708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_Toc29708 \h </w:instrText>
          </w:r>
          <w:r>
            <w:fldChar w:fldCharType="separate"/>
          </w:r>
          <w:r>
            <w:t>25</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_Toc28500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_Toc28500 \h </w:instrText>
          </w:r>
          <w:r>
            <w:fldChar w:fldCharType="separate"/>
          </w:r>
          <w:r>
            <w:t>25</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_Toc8028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_Toc8028 \h </w:instrText>
          </w:r>
          <w:r>
            <w:fldChar w:fldCharType="separate"/>
          </w:r>
          <w:r>
            <w:t>25</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_Toc20692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_Toc20692 \h </w:instrText>
          </w:r>
          <w:r>
            <w:fldChar w:fldCharType="separate"/>
          </w:r>
          <w:r>
            <w:t>25</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_Toc16941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_Toc16941 \h </w:instrText>
          </w:r>
          <w:r>
            <w:fldChar w:fldCharType="separate"/>
          </w:r>
          <w:r>
            <w:t>25</w:t>
          </w:r>
          <w:r>
            <w:fldChar w:fldCharType="end"/>
          </w:r>
          <w:r>
            <w:fldChar w:fldCharType="end"/>
          </w:r>
        </w:p>
        <w:p>
          <w:pPr>
            <w:pStyle w:val="35"/>
            <w:keepNext w:val="0"/>
            <w:keepLines w:val="0"/>
            <w:pageBreakBefore w:val="0"/>
            <w:tabs>
              <w:tab w:val="right" w:leader="dot" w:pos="8306"/>
            </w:tabs>
            <w:kinsoku/>
            <w:wordWrap/>
            <w:overflowPunct/>
            <w:topLinePunct w:val="0"/>
            <w:autoSpaceDE/>
            <w:autoSpaceDN/>
            <w:bidi w:val="0"/>
            <w:adjustRightInd/>
            <w:snapToGrid/>
            <w:spacing w:line="300" w:lineRule="exact"/>
            <w:textAlignment w:val="auto"/>
          </w:pPr>
          <w:r>
            <w:fldChar w:fldCharType="begin"/>
          </w:r>
          <w:r>
            <w:instrText xml:space="preserve"> HYPERLINK \l _Toc15761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_Toc15761 \h </w:instrText>
          </w:r>
          <w:r>
            <w:fldChar w:fldCharType="separate"/>
          </w:r>
          <w:r>
            <w:t>25</w:t>
          </w:r>
          <w:r>
            <w:fldChar w:fldCharType="end"/>
          </w:r>
          <w:r>
            <w:fldChar w:fldCharType="end"/>
          </w:r>
        </w:p>
        <w:p>
          <w:pPr>
            <w:keepNext w:val="0"/>
            <w:keepLines w:val="0"/>
            <w:pageBreakBefore w:val="0"/>
            <w:kinsoku/>
            <w:wordWrap/>
            <w:overflowPunct/>
            <w:topLinePunct w:val="0"/>
            <w:autoSpaceDE/>
            <w:autoSpaceDN/>
            <w:bidi w:val="0"/>
            <w:adjustRightInd/>
            <w:snapToGrid/>
            <w:spacing w:line="300" w:lineRule="exact"/>
            <w:textAlignment w:val="auto"/>
          </w:pPr>
          <w:r>
            <w:fldChar w:fldCharType="end"/>
          </w:r>
        </w:p>
      </w:sdtContent>
    </w:sdt>
    <w:p>
      <w:pPr>
        <w:rPr>
          <w:rFonts w:hint="eastAsia" w:ascii="仿宋" w:hAnsi="仿宋" w:eastAsia="仿宋"/>
          <w:b/>
          <w:color w:val="auto"/>
          <w:sz w:val="24"/>
          <w:highlight w:val="none"/>
          <w:lang w:val="en-US" w:eastAsia="zh-CN"/>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pPr>
        <w:pStyle w:val="3"/>
        <w:keepNext/>
        <w:keepLines/>
        <w:pageBreakBefore w:val="0"/>
        <w:widowControl w:val="0"/>
        <w:kinsoku/>
        <w:wordWrap/>
        <w:overflowPunct/>
        <w:topLinePunct w:val="0"/>
        <w:autoSpaceDE/>
        <w:autoSpaceDN/>
        <w:bidi w:val="0"/>
        <w:adjustRightInd/>
        <w:snapToGrid/>
        <w:spacing w:before="340" w:after="340" w:line="360" w:lineRule="auto"/>
        <w:jc w:val="center"/>
        <w:textAlignment w:val="auto"/>
        <w:rPr>
          <w:rStyle w:val="19"/>
          <w:rFonts w:ascii="黑体" w:hAnsi="黑体" w:eastAsia="黑体"/>
          <w:b/>
          <w:bCs w:val="0"/>
          <w:color w:val="auto"/>
          <w:highlight w:val="none"/>
        </w:rPr>
      </w:pPr>
      <w:bookmarkStart w:id="14" w:name="_Toc17293"/>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9"/>
          <w:rFonts w:hint="eastAsia" w:ascii="黑体" w:hAnsi="黑体" w:eastAsia="黑体"/>
          <w:b w:val="0"/>
          <w:bCs w:val="0"/>
          <w:color w:val="auto"/>
          <w:highlight w:val="none"/>
        </w:rPr>
        <w:t>概况</w:t>
      </w:r>
      <w:bookmarkEnd w:id="14"/>
    </w:p>
    <w:p>
      <w:pPr>
        <w:pStyle w:val="4"/>
        <w:keepNext/>
        <w:keepLines/>
        <w:pageBreakBefore w:val="0"/>
        <w:widowControl w:val="0"/>
        <w:numPr>
          <w:ilvl w:val="0"/>
          <w:numId w:val="1"/>
        </w:numPr>
        <w:kinsoku/>
        <w:wordWrap/>
        <w:overflowPunct/>
        <w:topLinePunct w:val="0"/>
        <w:autoSpaceDE/>
        <w:autoSpaceDN/>
        <w:bidi w:val="0"/>
        <w:adjustRightInd/>
        <w:snapToGrid/>
        <w:spacing w:before="340" w:after="340" w:line="360" w:lineRule="auto"/>
        <w:textAlignment w:val="auto"/>
        <w:rPr>
          <w:rStyle w:val="20"/>
          <w:rFonts w:hint="eastAsia" w:ascii="黑体" w:hAnsi="黑体" w:eastAsia="黑体"/>
          <w:b w:val="0"/>
          <w:bCs w:val="0"/>
          <w:color w:val="auto"/>
          <w:highlight w:val="none"/>
          <w:lang w:eastAsia="zh-CN"/>
        </w:rPr>
      </w:pPr>
      <w:bookmarkStart w:id="15" w:name="_Toc7030"/>
      <w:bookmarkStart w:id="16" w:name="_Toc15396600"/>
      <w:bookmarkStart w:id="17" w:name="_Toc15377197"/>
      <w:r>
        <w:rPr>
          <w:rStyle w:val="20"/>
          <w:rFonts w:hint="eastAsia" w:ascii="黑体" w:hAnsi="黑体" w:eastAsia="黑体"/>
          <w:b w:val="0"/>
          <w:bCs w:val="0"/>
          <w:color w:val="auto"/>
          <w:highlight w:val="none"/>
          <w:lang w:eastAsia="zh-CN"/>
        </w:rPr>
        <w:t>主要职责</w:t>
      </w:r>
      <w:bookmarkEnd w:id="15"/>
    </w:p>
    <w:p>
      <w:pPr>
        <w:keepNext w:val="0"/>
        <w:keepLines w:val="0"/>
        <w:pageBreakBefore w:val="0"/>
        <w:widowControl w:val="0"/>
        <w:kinsoku/>
        <w:wordWrap/>
        <w:overflowPunct/>
        <w:topLinePunct w:val="0"/>
        <w:autoSpaceDE/>
        <w:autoSpaceDN/>
        <w:bidi w:val="0"/>
        <w:adjustRightInd w:val="0"/>
        <w:snapToGrid w:val="0"/>
        <w:spacing w:beforeLines="0" w:beforeAutospacing="0" w:afterAutospacing="0" w:line="360" w:lineRule="auto"/>
        <w:ind w:firstLine="640" w:firstLineChars="200"/>
        <w:jc w:val="left"/>
        <w:textAlignment w:val="auto"/>
        <w:outlineLvl w:val="9"/>
        <w:rPr>
          <w:rFonts w:hint="eastAsia" w:ascii="仿宋_GB2312" w:hAnsi="MingLiU" w:eastAsia="仿宋_GB2312" w:cs="Times New Roman"/>
          <w:color w:val="auto"/>
          <w:kern w:val="0"/>
          <w:sz w:val="32"/>
          <w:szCs w:val="32"/>
          <w:shd w:val="clear" w:color="auto" w:fill="FFFFFF"/>
          <w:lang w:val="en-US" w:eastAsia="zh-CN" w:bidi="ar-SA"/>
        </w:rPr>
      </w:pPr>
      <w:bookmarkStart w:id="18" w:name="_Toc3822"/>
      <w:r>
        <w:rPr>
          <w:rFonts w:hint="eastAsia" w:ascii="仿宋_GB2312" w:hAnsi="MingLiU" w:eastAsia="仿宋_GB2312" w:cs="Times New Roman"/>
          <w:color w:val="auto"/>
          <w:kern w:val="0"/>
          <w:sz w:val="32"/>
          <w:szCs w:val="32"/>
          <w:shd w:val="clear" w:color="auto" w:fill="FFFFFF"/>
          <w:lang w:val="en-US" w:eastAsia="zh-CN" w:bidi="ar-SA"/>
        </w:rPr>
        <w:t>1.为人民群众提供医疗、预防、保健、计划生育、康复等医疗卫生服务。</w:t>
      </w:r>
      <w:bookmarkEnd w:id="18"/>
    </w:p>
    <w:p>
      <w:pPr>
        <w:keepNext w:val="0"/>
        <w:keepLines w:val="0"/>
        <w:pageBreakBefore w:val="0"/>
        <w:widowControl w:val="0"/>
        <w:kinsoku/>
        <w:wordWrap/>
        <w:overflowPunct/>
        <w:topLinePunct w:val="0"/>
        <w:autoSpaceDE/>
        <w:autoSpaceDN/>
        <w:bidi w:val="0"/>
        <w:adjustRightInd w:val="0"/>
        <w:snapToGrid w:val="0"/>
        <w:spacing w:beforeLines="0" w:beforeAutospacing="0" w:afterAutospacing="0" w:line="360" w:lineRule="auto"/>
        <w:ind w:firstLine="640" w:firstLineChars="200"/>
        <w:jc w:val="left"/>
        <w:textAlignment w:val="auto"/>
        <w:outlineLvl w:val="9"/>
        <w:rPr>
          <w:rFonts w:hint="eastAsia" w:ascii="仿宋_GB2312" w:hAnsi="MingLiU" w:eastAsia="仿宋_GB2312" w:cs="Times New Roman"/>
          <w:color w:val="auto"/>
          <w:kern w:val="0"/>
          <w:sz w:val="32"/>
          <w:szCs w:val="32"/>
          <w:shd w:val="clear" w:color="auto" w:fill="FFFFFF"/>
          <w:lang w:val="en-US" w:eastAsia="zh-CN" w:bidi="ar-SA"/>
        </w:rPr>
      </w:pPr>
      <w:bookmarkStart w:id="19" w:name="_Toc19507"/>
      <w:r>
        <w:rPr>
          <w:rFonts w:hint="eastAsia" w:ascii="仿宋_GB2312" w:hAnsi="MingLiU" w:eastAsia="仿宋_GB2312" w:cs="Times New Roman"/>
          <w:color w:val="auto"/>
          <w:kern w:val="0"/>
          <w:sz w:val="32"/>
          <w:szCs w:val="32"/>
          <w:shd w:val="clear" w:color="auto" w:fill="FFFFFF"/>
          <w:lang w:val="en-US" w:eastAsia="zh-CN" w:bidi="ar-SA"/>
        </w:rPr>
        <w:t>2.贯彻落实医药卫生体制改革、中西医并重方针和国家中医药法律法规，执行中医药政策；拟定实施中医药和中西医结合发展战略、规划；指导全市各医疗机构发展中医药和中西医结合业务建设。</w:t>
      </w:r>
      <w:bookmarkEnd w:id="19"/>
    </w:p>
    <w:p>
      <w:pPr>
        <w:keepNext w:val="0"/>
        <w:keepLines w:val="0"/>
        <w:pageBreakBefore w:val="0"/>
        <w:widowControl w:val="0"/>
        <w:kinsoku/>
        <w:wordWrap/>
        <w:overflowPunct/>
        <w:topLinePunct w:val="0"/>
        <w:autoSpaceDE/>
        <w:autoSpaceDN/>
        <w:bidi w:val="0"/>
        <w:adjustRightInd w:val="0"/>
        <w:snapToGrid w:val="0"/>
        <w:spacing w:beforeLines="0" w:beforeAutospacing="0" w:afterAutospacing="0" w:line="360" w:lineRule="auto"/>
        <w:ind w:firstLine="640" w:firstLineChars="200"/>
        <w:jc w:val="left"/>
        <w:textAlignment w:val="auto"/>
        <w:outlineLvl w:val="9"/>
        <w:rPr>
          <w:rFonts w:hint="eastAsia" w:ascii="仿宋_GB2312" w:hAnsi="MingLiU" w:eastAsia="仿宋_GB2312" w:cs="Times New Roman"/>
          <w:color w:val="auto"/>
          <w:kern w:val="0"/>
          <w:sz w:val="32"/>
          <w:szCs w:val="32"/>
          <w:shd w:val="clear" w:color="auto" w:fill="FFFFFF"/>
          <w:lang w:val="en-US" w:eastAsia="zh-CN" w:bidi="ar-SA"/>
        </w:rPr>
      </w:pPr>
      <w:bookmarkStart w:id="20" w:name="_Toc14854"/>
      <w:r>
        <w:rPr>
          <w:rFonts w:hint="eastAsia" w:ascii="仿宋_GB2312" w:hAnsi="MingLiU" w:eastAsia="仿宋_GB2312" w:cs="Times New Roman"/>
          <w:color w:val="auto"/>
          <w:kern w:val="0"/>
          <w:sz w:val="32"/>
          <w:szCs w:val="32"/>
          <w:shd w:val="clear" w:color="auto" w:fill="FFFFFF"/>
          <w:lang w:val="en-US" w:eastAsia="zh-CN" w:bidi="ar-SA"/>
        </w:rPr>
        <w:t>3.满足群众医疗健康需求，建立与地方经济发展相适应的医疗环境。</w:t>
      </w:r>
      <w:bookmarkEnd w:id="20"/>
    </w:p>
    <w:p>
      <w:pPr>
        <w:keepNext w:val="0"/>
        <w:keepLines w:val="0"/>
        <w:pageBreakBefore w:val="0"/>
        <w:widowControl w:val="0"/>
        <w:kinsoku/>
        <w:wordWrap/>
        <w:overflowPunct/>
        <w:topLinePunct w:val="0"/>
        <w:autoSpaceDE/>
        <w:autoSpaceDN/>
        <w:bidi w:val="0"/>
        <w:adjustRightInd w:val="0"/>
        <w:snapToGrid w:val="0"/>
        <w:spacing w:beforeLines="0" w:beforeAutospacing="0" w:afterAutospacing="0" w:line="360" w:lineRule="auto"/>
        <w:ind w:firstLine="640" w:firstLineChars="200"/>
        <w:jc w:val="left"/>
        <w:textAlignment w:val="auto"/>
        <w:outlineLvl w:val="9"/>
        <w:rPr>
          <w:rFonts w:hint="eastAsia" w:ascii="仿宋_GB2312" w:hAnsi="MingLiU" w:eastAsia="仿宋_GB2312" w:cs="Times New Roman"/>
          <w:color w:val="auto"/>
          <w:kern w:val="0"/>
          <w:sz w:val="32"/>
          <w:szCs w:val="32"/>
          <w:shd w:val="clear" w:color="auto" w:fill="FFFFFF"/>
          <w:lang w:val="en-US" w:eastAsia="zh-CN" w:bidi="ar-SA"/>
        </w:rPr>
      </w:pPr>
      <w:bookmarkStart w:id="21" w:name="_Toc32671"/>
      <w:r>
        <w:rPr>
          <w:rFonts w:hint="eastAsia" w:ascii="仿宋_GB2312" w:hAnsi="MingLiU" w:eastAsia="仿宋_GB2312" w:cs="Times New Roman"/>
          <w:color w:val="auto"/>
          <w:kern w:val="0"/>
          <w:sz w:val="32"/>
          <w:szCs w:val="32"/>
          <w:shd w:val="clear" w:color="auto" w:fill="FFFFFF"/>
          <w:lang w:val="en-US" w:eastAsia="zh-CN" w:bidi="ar-SA"/>
        </w:rPr>
        <w:t>4.承担意外灾害事故、疫情等突发公共卫生事件的医疗急救及社区预防、保健和康复医疗服务工作，开展各种医疗保健卫生知识宣传普及。</w:t>
      </w:r>
      <w:bookmarkEnd w:id="21"/>
    </w:p>
    <w:p>
      <w:pPr>
        <w:keepNext w:val="0"/>
        <w:keepLines w:val="0"/>
        <w:pageBreakBefore w:val="0"/>
        <w:widowControl w:val="0"/>
        <w:kinsoku/>
        <w:wordWrap/>
        <w:overflowPunct/>
        <w:topLinePunct w:val="0"/>
        <w:autoSpaceDE/>
        <w:autoSpaceDN/>
        <w:bidi w:val="0"/>
        <w:adjustRightInd w:val="0"/>
        <w:snapToGrid w:val="0"/>
        <w:spacing w:beforeLines="0" w:beforeAutospacing="0" w:afterAutospacing="0" w:line="360" w:lineRule="auto"/>
        <w:ind w:firstLine="640" w:firstLineChars="200"/>
        <w:jc w:val="left"/>
        <w:textAlignment w:val="auto"/>
        <w:outlineLvl w:val="9"/>
        <w:rPr>
          <w:rFonts w:hint="eastAsia" w:ascii="仿宋_GB2312" w:hAnsi="MingLiU" w:eastAsia="仿宋_GB2312" w:cs="Times New Roman"/>
          <w:color w:val="auto"/>
          <w:kern w:val="0"/>
          <w:sz w:val="32"/>
          <w:szCs w:val="32"/>
          <w:shd w:val="clear" w:color="auto" w:fill="FFFFFF"/>
          <w:lang w:val="en-US" w:eastAsia="zh-CN" w:bidi="ar-SA"/>
        </w:rPr>
      </w:pPr>
      <w:bookmarkStart w:id="22" w:name="_Toc16845"/>
      <w:r>
        <w:rPr>
          <w:rFonts w:hint="eastAsia" w:ascii="仿宋_GB2312" w:hAnsi="MingLiU" w:eastAsia="仿宋_GB2312" w:cs="Times New Roman"/>
          <w:color w:val="auto"/>
          <w:kern w:val="0"/>
          <w:sz w:val="32"/>
          <w:szCs w:val="32"/>
          <w:shd w:val="clear" w:color="auto" w:fill="FFFFFF"/>
          <w:lang w:val="en-US" w:eastAsia="zh-CN" w:bidi="ar-SA"/>
        </w:rPr>
        <w:t>5.充分发挥中医药在国家基本公共卫生服务中的优势和作用，组织实施中西医药科学研究，推进医学科技成果转化和推广应用；承担中医药人才培养，中医药继续教育工作。</w:t>
      </w:r>
      <w:bookmarkEnd w:id="22"/>
    </w:p>
    <w:p>
      <w:pPr>
        <w:keepNext w:val="0"/>
        <w:keepLines w:val="0"/>
        <w:pageBreakBefore w:val="0"/>
        <w:widowControl w:val="0"/>
        <w:kinsoku/>
        <w:wordWrap/>
        <w:overflowPunct/>
        <w:topLinePunct w:val="0"/>
        <w:autoSpaceDE/>
        <w:autoSpaceDN/>
        <w:bidi w:val="0"/>
        <w:adjustRightInd w:val="0"/>
        <w:snapToGrid w:val="0"/>
        <w:spacing w:beforeLines="0" w:beforeAutospacing="0" w:afterAutospacing="0" w:line="360" w:lineRule="auto"/>
        <w:ind w:firstLine="640" w:firstLineChars="200"/>
        <w:jc w:val="left"/>
        <w:textAlignment w:val="auto"/>
        <w:outlineLvl w:val="9"/>
        <w:rPr>
          <w:rFonts w:hint="eastAsia" w:ascii="仿宋_GB2312" w:hAnsi="MingLiU" w:eastAsia="仿宋_GB2312" w:cs="Times New Roman"/>
          <w:color w:val="auto"/>
          <w:kern w:val="0"/>
          <w:sz w:val="32"/>
          <w:szCs w:val="32"/>
          <w:shd w:val="clear" w:color="auto" w:fill="FFFFFF"/>
          <w:lang w:val="en-US" w:eastAsia="zh-CN" w:bidi="ar-SA"/>
        </w:rPr>
      </w:pPr>
      <w:bookmarkStart w:id="23" w:name="_Toc16838"/>
      <w:r>
        <w:rPr>
          <w:rFonts w:hint="eastAsia" w:ascii="仿宋_GB2312" w:hAnsi="MingLiU" w:eastAsia="仿宋_GB2312" w:cs="Times New Roman"/>
          <w:color w:val="auto"/>
          <w:kern w:val="0"/>
          <w:sz w:val="32"/>
          <w:szCs w:val="32"/>
          <w:shd w:val="clear" w:color="auto" w:fill="FFFFFF"/>
          <w:lang w:val="en-US" w:eastAsia="zh-CN" w:bidi="ar-SA"/>
        </w:rPr>
        <w:t>6.参与城镇职工基本医疗保险、城乡居民基本医疗保险、异地医保等定点医疗机构的各项工作。</w:t>
      </w:r>
      <w:bookmarkEnd w:id="23"/>
    </w:p>
    <w:p>
      <w:pPr>
        <w:keepNext w:val="0"/>
        <w:keepLines w:val="0"/>
        <w:pageBreakBefore w:val="0"/>
        <w:widowControl w:val="0"/>
        <w:kinsoku/>
        <w:wordWrap/>
        <w:overflowPunct/>
        <w:topLinePunct w:val="0"/>
        <w:autoSpaceDE/>
        <w:autoSpaceDN/>
        <w:bidi w:val="0"/>
        <w:adjustRightInd w:val="0"/>
        <w:snapToGrid w:val="0"/>
        <w:spacing w:beforeLines="0" w:beforeAutospacing="0" w:afterAutospacing="0" w:line="360" w:lineRule="auto"/>
        <w:ind w:firstLine="640" w:firstLineChars="200"/>
        <w:jc w:val="left"/>
        <w:textAlignment w:val="auto"/>
        <w:outlineLvl w:val="9"/>
        <w:rPr>
          <w:rFonts w:hint="eastAsia" w:ascii="仿宋_GB2312" w:hAnsi="MingLiU" w:eastAsia="仿宋_GB2312" w:cs="Times New Roman"/>
          <w:color w:val="auto"/>
          <w:kern w:val="0"/>
          <w:sz w:val="32"/>
          <w:szCs w:val="32"/>
          <w:shd w:val="clear" w:color="auto" w:fill="FFFFFF"/>
          <w:lang w:val="en-US" w:eastAsia="zh-CN" w:bidi="ar-SA"/>
        </w:rPr>
      </w:pPr>
      <w:bookmarkStart w:id="24" w:name="_Toc12286"/>
      <w:r>
        <w:rPr>
          <w:rFonts w:hint="eastAsia" w:ascii="仿宋_GB2312" w:hAnsi="MingLiU" w:eastAsia="仿宋_GB2312" w:cs="Times New Roman"/>
          <w:color w:val="auto"/>
          <w:kern w:val="0"/>
          <w:sz w:val="32"/>
          <w:szCs w:val="32"/>
          <w:shd w:val="clear" w:color="auto" w:fill="FFFFFF"/>
          <w:lang w:val="en-US" w:eastAsia="zh-CN" w:bidi="ar-SA"/>
        </w:rPr>
        <w:t>7.参与卫生扶贫、重要会议与重大活动的医疗卫生保障工作。</w:t>
      </w:r>
      <w:bookmarkEnd w:id="24"/>
    </w:p>
    <w:p>
      <w:pPr>
        <w:keepNext w:val="0"/>
        <w:keepLines w:val="0"/>
        <w:pageBreakBefore w:val="0"/>
        <w:widowControl w:val="0"/>
        <w:kinsoku/>
        <w:wordWrap/>
        <w:overflowPunct/>
        <w:topLinePunct w:val="0"/>
        <w:autoSpaceDE/>
        <w:autoSpaceDN/>
        <w:bidi w:val="0"/>
        <w:adjustRightInd w:val="0"/>
        <w:snapToGrid w:val="0"/>
        <w:spacing w:beforeLines="0" w:beforeAutospacing="0" w:afterAutospacing="0" w:line="360" w:lineRule="auto"/>
        <w:ind w:firstLine="640" w:firstLineChars="200"/>
        <w:jc w:val="left"/>
        <w:textAlignment w:val="auto"/>
        <w:outlineLvl w:val="9"/>
        <w:rPr>
          <w:rFonts w:hint="eastAsia" w:ascii="仿宋_GB2312" w:hAnsi="MingLiU" w:eastAsia="仿宋_GB2312" w:cs="Times New Roman"/>
          <w:color w:val="auto"/>
          <w:kern w:val="0"/>
          <w:sz w:val="32"/>
          <w:szCs w:val="32"/>
          <w:shd w:val="clear" w:color="auto" w:fill="FFFFFF"/>
          <w:lang w:val="en-US" w:eastAsia="zh-CN" w:bidi="ar-SA"/>
        </w:rPr>
      </w:pPr>
      <w:bookmarkStart w:id="25" w:name="_Toc5601"/>
      <w:r>
        <w:rPr>
          <w:rFonts w:hint="eastAsia" w:ascii="仿宋_GB2312" w:hAnsi="MingLiU" w:eastAsia="仿宋_GB2312" w:cs="Times New Roman"/>
          <w:color w:val="auto"/>
          <w:kern w:val="0"/>
          <w:sz w:val="32"/>
          <w:szCs w:val="32"/>
          <w:shd w:val="clear" w:color="auto" w:fill="FFFFFF"/>
          <w:lang w:val="en-US" w:eastAsia="zh-CN" w:bidi="ar-SA"/>
        </w:rPr>
        <w:t>8.承担上级部门交办的其他卫生工作。</w:t>
      </w:r>
      <w:bookmarkEnd w:id="25"/>
      <w:bookmarkStart w:id="26" w:name="_Toc7272"/>
    </w:p>
    <w:p>
      <w:pPr>
        <w:pStyle w:val="4"/>
        <w:keepNext/>
        <w:keepLines/>
        <w:pageBreakBefore w:val="0"/>
        <w:widowControl w:val="0"/>
        <w:numPr>
          <w:ilvl w:val="0"/>
          <w:numId w:val="0"/>
        </w:numPr>
        <w:kinsoku/>
        <w:wordWrap/>
        <w:overflowPunct/>
        <w:topLinePunct w:val="0"/>
        <w:autoSpaceDE/>
        <w:autoSpaceDN/>
        <w:bidi w:val="0"/>
        <w:adjustRightInd/>
        <w:snapToGrid/>
        <w:spacing w:before="300" w:after="300" w:line="360" w:lineRule="auto"/>
        <w:textAlignment w:val="auto"/>
        <w:rPr>
          <w:rStyle w:val="20"/>
          <w:rFonts w:hint="eastAsia" w:ascii="黑体" w:hAnsi="黑体" w:eastAsia="黑体"/>
          <w:b w:val="0"/>
          <w:bCs w:val="0"/>
          <w:color w:val="auto"/>
          <w:highlight w:val="none"/>
          <w:lang w:val="en-US" w:eastAsia="zh-CN"/>
        </w:rPr>
      </w:pPr>
      <w:r>
        <w:rPr>
          <w:rStyle w:val="20"/>
          <w:rFonts w:hint="eastAsia" w:ascii="黑体" w:hAnsi="黑体" w:eastAsia="黑体"/>
          <w:b w:val="0"/>
          <w:bCs w:val="0"/>
          <w:color w:val="auto"/>
          <w:highlight w:val="none"/>
          <w:lang w:val="en-US" w:eastAsia="zh-CN"/>
        </w:rPr>
        <w:t>二、机构设置</w:t>
      </w:r>
      <w:bookmarkEnd w:id="26"/>
    </w:p>
    <w:p>
      <w:pPr>
        <w:spacing w:line="360" w:lineRule="auto"/>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广元市中医医院</w:t>
      </w:r>
      <w:bookmarkEnd w:id="16"/>
      <w:bookmarkEnd w:id="17"/>
      <w:r>
        <w:rPr>
          <w:rFonts w:hint="eastAsia" w:ascii="仿宋" w:hAnsi="仿宋" w:eastAsia="仿宋"/>
          <w:color w:val="auto"/>
          <w:sz w:val="32"/>
          <w:szCs w:val="32"/>
          <w:highlight w:val="none"/>
          <w:lang w:val="en-US" w:eastAsia="zh-CN"/>
        </w:rPr>
        <w:t>属于广元市卫生健康委员会部门下属二级预算单位，下设独立编制机构1个，其中行政机构0个，参照公务员法管理的事业机构0个，其他事业机构1个。</w:t>
      </w:r>
      <w:bookmarkStart w:id="27" w:name="_Toc24893"/>
      <w:bookmarkStart w:id="28" w:name="_Toc15377204"/>
      <w:bookmarkStart w:id="29" w:name="_Toc15396602"/>
    </w:p>
    <w:p>
      <w:pPr>
        <w:spacing w:line="360" w:lineRule="auto"/>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纳入2022年度单位决算编制范围的独立编制机构包括：</w:t>
      </w:r>
    </w:p>
    <w:p>
      <w:pPr>
        <w:spacing w:line="360" w:lineRule="auto"/>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广元市中医医院。</w:t>
      </w:r>
    </w:p>
    <w:p>
      <w:pPr>
        <w:pStyle w:val="3"/>
        <w:keepNext/>
        <w:keepLines/>
        <w:pageBreakBefore w:val="0"/>
        <w:widowControl w:val="0"/>
        <w:kinsoku/>
        <w:wordWrap/>
        <w:overflowPunct/>
        <w:topLinePunct w:val="0"/>
        <w:autoSpaceDE/>
        <w:autoSpaceDN/>
        <w:bidi w:val="0"/>
        <w:adjustRightInd/>
        <w:snapToGrid/>
        <w:spacing w:before="340" w:after="340" w:line="360" w:lineRule="auto"/>
        <w:jc w:val="center"/>
        <w:textAlignment w:val="auto"/>
        <w:rPr>
          <w:rFonts w:hint="eastAsia" w:ascii="黑体" w:hAnsi="黑体" w:eastAsia="黑体"/>
          <w:b w:val="0"/>
          <w:color w:val="auto"/>
          <w:highlight w:val="none"/>
        </w:rPr>
      </w:pPr>
      <w:r>
        <w:rPr>
          <w:rFonts w:hint="eastAsia" w:ascii="黑体" w:hAnsi="黑体" w:eastAsia="黑体"/>
          <w:b w:val="0"/>
          <w:color w:val="auto"/>
          <w:highlight w:val="none"/>
        </w:rPr>
        <w:t xml:space="preserve">第二部分 </w:t>
      </w:r>
      <w:r>
        <w:rPr>
          <w:rFonts w:hint="eastAsia" w:ascii="黑体" w:hAnsi="黑体" w:eastAsia="黑体"/>
          <w:b w:val="0"/>
          <w:color w:val="auto"/>
          <w:highlight w:val="none"/>
          <w:lang w:val="en-US" w:eastAsia="zh-CN"/>
        </w:rPr>
        <w:t>2022年度</w:t>
      </w:r>
      <w:r>
        <w:rPr>
          <w:rFonts w:hint="eastAsia" w:ascii="黑体" w:hAnsi="黑体" w:eastAsia="黑体"/>
          <w:b w:val="0"/>
          <w:color w:val="auto"/>
          <w:highlight w:val="none"/>
          <w:lang w:eastAsia="zh-CN"/>
        </w:rPr>
        <w:t>单位</w:t>
      </w:r>
      <w:r>
        <w:rPr>
          <w:rFonts w:hint="eastAsia" w:ascii="黑体" w:hAnsi="黑体" w:eastAsia="黑体"/>
          <w:b w:val="0"/>
          <w:color w:val="auto"/>
          <w:highlight w:val="none"/>
        </w:rPr>
        <w:t>决算情况说明</w:t>
      </w:r>
      <w:bookmarkEnd w:id="27"/>
      <w:bookmarkEnd w:id="28"/>
      <w:bookmarkEnd w:id="29"/>
    </w:p>
    <w:p>
      <w:pPr>
        <w:pStyle w:val="30"/>
        <w:numPr>
          <w:ilvl w:val="0"/>
          <w:numId w:val="2"/>
        </w:numPr>
        <w:spacing w:line="360" w:lineRule="auto"/>
        <w:ind w:firstLineChars="0"/>
        <w:outlineLvl w:val="1"/>
        <w:rPr>
          <w:rStyle w:val="20"/>
          <w:rFonts w:ascii="黑体" w:hAnsi="黑体" w:eastAsia="黑体"/>
          <w:b w:val="0"/>
          <w:color w:val="auto"/>
          <w:highlight w:val="none"/>
        </w:rPr>
      </w:pPr>
      <w:bookmarkStart w:id="30" w:name="_Toc15377205"/>
      <w:bookmarkStart w:id="31" w:name="_Toc15396603"/>
      <w:bookmarkStart w:id="32" w:name="_Toc22191"/>
      <w:r>
        <w:rPr>
          <w:rFonts w:hint="eastAsia" w:ascii="黑体" w:hAnsi="黑体" w:eastAsia="黑体"/>
          <w:color w:val="auto"/>
          <w:sz w:val="32"/>
          <w:szCs w:val="32"/>
          <w:highlight w:val="none"/>
        </w:rPr>
        <w:t>收</w:t>
      </w:r>
      <w:r>
        <w:rPr>
          <w:rStyle w:val="20"/>
          <w:rFonts w:hint="eastAsia" w:ascii="黑体" w:hAnsi="黑体" w:eastAsia="黑体"/>
          <w:b w:val="0"/>
          <w:color w:val="auto"/>
          <w:highlight w:val="none"/>
        </w:rPr>
        <w:t>入支出决算总体情况说明</w:t>
      </w:r>
      <w:bookmarkEnd w:id="30"/>
      <w:bookmarkEnd w:id="31"/>
      <w:bookmarkEnd w:id="32"/>
    </w:p>
    <w:p>
      <w:pPr>
        <w:spacing w:line="360" w:lineRule="auto"/>
        <w:ind w:firstLine="640" w:firstLineChars="200"/>
        <w:rPr>
          <w:rFonts w:hint="default" w:ascii="仿宋_GB2312" w:hAnsi="仿宋_GB2312" w:eastAsia="仿宋_GB2312" w:cs="仿宋_GB2312"/>
          <w:b w:val="0"/>
          <w:bCs w:val="0"/>
          <w:color w:val="auto"/>
          <w:sz w:val="32"/>
          <w:szCs w:val="32"/>
          <w:highlight w:val="none"/>
          <w:lang w:val="en-US"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58179.77</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年相比，收、支总计各增加</w:t>
      </w:r>
      <w:r>
        <w:rPr>
          <w:rFonts w:hint="eastAsia" w:ascii="仿宋" w:hAnsi="仿宋" w:eastAsia="仿宋"/>
          <w:color w:val="auto"/>
          <w:sz w:val="32"/>
          <w:szCs w:val="32"/>
          <w:highlight w:val="none"/>
          <w:lang w:val="en-US" w:eastAsia="zh-CN"/>
        </w:rPr>
        <w:t>4716.75</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8.82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_GB2312" w:hAnsi="仿宋_GB2312" w:eastAsia="仿宋_GB2312" w:cs="仿宋_GB2312"/>
          <w:color w:val="auto"/>
          <w:sz w:val="32"/>
          <w:szCs w:val="32"/>
          <w:highlight w:val="none"/>
        </w:rPr>
        <w:t>主要变动原因一</w:t>
      </w:r>
      <w:r>
        <w:rPr>
          <w:rFonts w:hint="eastAsia" w:ascii="仿宋_GB2312" w:hAnsi="仿宋_GB2312" w:eastAsia="仿宋_GB2312" w:cs="仿宋_GB2312"/>
          <w:b w:val="0"/>
          <w:bCs w:val="0"/>
          <w:color w:val="auto"/>
          <w:sz w:val="32"/>
          <w:szCs w:val="32"/>
          <w:highlight w:val="none"/>
          <w:lang w:val="en-US" w:eastAsia="zh-CN"/>
        </w:rPr>
        <w:t>是</w:t>
      </w:r>
      <w:r>
        <w:rPr>
          <w:rFonts w:hint="eastAsia" w:ascii="仿宋_GB2312" w:hAnsi="仿宋_GB2312" w:eastAsia="仿宋_GB2312" w:cs="仿宋_GB2312"/>
          <w:b w:val="0"/>
          <w:bCs w:val="0"/>
          <w:color w:val="auto"/>
          <w:sz w:val="32"/>
          <w:szCs w:val="32"/>
          <w:highlight w:val="none"/>
          <w:lang w:eastAsia="zh-CN"/>
        </w:rPr>
        <w:t>本年项目支出同比增长</w:t>
      </w:r>
      <w:r>
        <w:rPr>
          <w:rFonts w:hint="eastAsia" w:ascii="仿宋_GB2312" w:hAnsi="仿宋_GB2312" w:eastAsia="仿宋_GB2312" w:cs="仿宋_GB2312"/>
          <w:b w:val="0"/>
          <w:bCs w:val="0"/>
          <w:color w:val="auto"/>
          <w:sz w:val="32"/>
          <w:szCs w:val="32"/>
          <w:highlight w:val="none"/>
          <w:lang w:val="en-US" w:eastAsia="zh-CN"/>
        </w:rPr>
        <w:t>4773.18万元，其中</w:t>
      </w:r>
      <w:r>
        <w:rPr>
          <w:rFonts w:hint="eastAsia" w:ascii="仿宋_GB2312" w:hAnsi="仿宋_GB2312" w:eastAsia="仿宋_GB2312" w:cs="仿宋_GB2312"/>
          <w:b w:val="0"/>
          <w:bCs w:val="0"/>
          <w:color w:val="auto"/>
          <w:sz w:val="32"/>
          <w:szCs w:val="32"/>
          <w:highlight w:val="none"/>
          <w:lang w:eastAsia="zh-CN"/>
        </w:rPr>
        <w:t>门诊住院综合楼房屋建筑物、基础设施建设投入同比增长</w:t>
      </w:r>
      <w:r>
        <w:rPr>
          <w:rFonts w:hint="eastAsia" w:ascii="仿宋_GB2312" w:hAnsi="仿宋_GB2312" w:eastAsia="仿宋_GB2312" w:cs="仿宋_GB2312"/>
          <w:b w:val="0"/>
          <w:bCs w:val="0"/>
          <w:color w:val="auto"/>
          <w:sz w:val="32"/>
          <w:szCs w:val="32"/>
          <w:highlight w:val="none"/>
          <w:lang w:val="en-US" w:eastAsia="zh-CN"/>
        </w:rPr>
        <w:t>3445.40万元；二是康复大楼投入使用后</w:t>
      </w:r>
      <w:r>
        <w:rPr>
          <w:rFonts w:hint="eastAsia" w:ascii="仿宋_GB2312" w:hAnsi="仿宋_GB2312" w:eastAsia="仿宋_GB2312" w:cs="仿宋_GB2312"/>
          <w:b w:val="0"/>
          <w:bCs w:val="0"/>
          <w:color w:val="auto"/>
          <w:sz w:val="32"/>
          <w:szCs w:val="32"/>
          <w:highlight w:val="none"/>
          <w:lang w:eastAsia="zh-CN"/>
        </w:rPr>
        <w:t>业务规模扩大，业务技术人员同比增加、社保缴费增长、抗疫支出增长等原因，人员经费同比增长</w:t>
      </w:r>
      <w:r>
        <w:rPr>
          <w:rFonts w:hint="eastAsia" w:ascii="仿宋_GB2312" w:hAnsi="仿宋_GB2312" w:eastAsia="仿宋_GB2312" w:cs="仿宋_GB2312"/>
          <w:b w:val="0"/>
          <w:bCs w:val="0"/>
          <w:color w:val="auto"/>
          <w:sz w:val="32"/>
          <w:szCs w:val="32"/>
          <w:highlight w:val="none"/>
          <w:lang w:val="en-US" w:eastAsia="zh-CN"/>
        </w:rPr>
        <w:t>1744.10万元；三是2022年末结转结余较2021年末减少1870.52万元。</w:t>
      </w:r>
    </w:p>
    <w:p>
      <w:pPr>
        <w:pStyle w:val="2"/>
        <w:spacing w:line="360" w:lineRule="auto"/>
        <w:rPr>
          <w:rFonts w:hint="eastAsia"/>
          <w:lang w:val="en-US" w:eastAsia="zh-CN"/>
        </w:rPr>
      </w:pPr>
    </w:p>
    <w:p>
      <w:pPr>
        <w:pStyle w:val="2"/>
        <w:spacing w:line="360" w:lineRule="auto"/>
        <w:rPr>
          <w:rFonts w:hint="default"/>
          <w:lang w:val="en-US" w:eastAsia="zh-CN"/>
        </w:rPr>
      </w:pPr>
    </w:p>
    <w:p>
      <w:pPr>
        <w:spacing w:line="360" w:lineRule="auto"/>
        <w:ind w:firstLine="420" w:firstLineChars="200"/>
        <w:rPr>
          <w:rFonts w:hint="eastAsia"/>
          <w:highlight w:val="yellow"/>
          <w:lang w:eastAsia="zh-CN"/>
        </w:rPr>
      </w:pPr>
    </w:p>
    <w:p>
      <w:pPr>
        <w:spacing w:line="360" w:lineRule="auto"/>
        <w:ind w:firstLine="640" w:firstLineChars="200"/>
        <w:rPr>
          <w:rFonts w:hint="eastAsia" w:ascii="仿宋" w:hAnsi="仿宋" w:eastAsia="仿宋"/>
          <w:color w:val="auto"/>
          <w:sz w:val="32"/>
          <w:szCs w:val="32"/>
          <w:highlight w:val="none"/>
        </w:rPr>
      </w:pPr>
    </w:p>
    <w:p>
      <w:pPr>
        <w:spacing w:line="360" w:lineRule="auto"/>
        <w:ind w:firstLine="640" w:firstLineChars="200"/>
        <w:rPr>
          <w:rFonts w:hint="eastAsia" w:ascii="仿宋" w:hAnsi="仿宋" w:eastAsia="仿宋"/>
          <w:color w:val="auto"/>
          <w:sz w:val="32"/>
          <w:szCs w:val="32"/>
          <w:highlight w:val="none"/>
        </w:rPr>
      </w:pPr>
    </w:p>
    <w:p>
      <w:pPr>
        <w:spacing w:line="360" w:lineRule="auto"/>
        <w:ind w:firstLine="640" w:firstLineChars="200"/>
        <w:rPr>
          <w:rFonts w:hint="eastAsia" w:ascii="仿宋" w:hAnsi="仿宋" w:eastAsia="仿宋"/>
          <w:color w:val="auto"/>
          <w:sz w:val="32"/>
          <w:szCs w:val="32"/>
          <w:highlight w:val="none"/>
        </w:rPr>
      </w:pPr>
    </w:p>
    <w:p>
      <w:pPr>
        <w:pStyle w:val="22"/>
        <w:spacing w:line="360" w:lineRule="auto"/>
        <w:rPr>
          <w:rFonts w:hint="eastAsia" w:ascii="仿宋" w:hAnsi="仿宋" w:eastAsia="仿宋"/>
          <w:color w:val="auto"/>
          <w:sz w:val="32"/>
          <w:szCs w:val="32"/>
          <w:highlight w:val="none"/>
        </w:rPr>
      </w:pPr>
      <w:r>
        <w:drawing>
          <wp:anchor distT="0" distB="0" distL="114300" distR="114300" simplePos="0" relativeHeight="251665408" behindDoc="0" locked="0" layoutInCell="1" allowOverlap="1">
            <wp:simplePos x="0" y="0"/>
            <wp:positionH relativeFrom="column">
              <wp:posOffset>474980</wp:posOffset>
            </wp:positionH>
            <wp:positionV relativeFrom="paragraph">
              <wp:posOffset>134620</wp:posOffset>
            </wp:positionV>
            <wp:extent cx="4581525" cy="2752725"/>
            <wp:effectExtent l="0" t="0" r="9525" b="9525"/>
            <wp:wrapSquare wrapText="bothSides"/>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8"/>
                    <a:stretch>
                      <a:fillRect/>
                    </a:stretch>
                  </pic:blipFill>
                  <pic:spPr>
                    <a:xfrm>
                      <a:off x="0" y="0"/>
                      <a:ext cx="4581525" cy="2752725"/>
                    </a:xfrm>
                    <a:prstGeom prst="rect">
                      <a:avLst/>
                    </a:prstGeom>
                    <a:noFill/>
                    <a:ln>
                      <a:noFill/>
                    </a:ln>
                  </pic:spPr>
                </pic:pic>
              </a:graphicData>
            </a:graphic>
          </wp:anchor>
        </w:drawing>
      </w:r>
    </w:p>
    <w:p>
      <w:pPr>
        <w:pStyle w:val="22"/>
        <w:spacing w:line="360" w:lineRule="auto"/>
        <w:rPr>
          <w:rFonts w:hint="eastAsia" w:ascii="仿宋" w:hAnsi="仿宋" w:eastAsia="仿宋"/>
          <w:color w:val="auto"/>
          <w:sz w:val="32"/>
          <w:szCs w:val="32"/>
          <w:highlight w:val="none"/>
        </w:rPr>
      </w:pPr>
    </w:p>
    <w:p>
      <w:pPr>
        <w:spacing w:line="360" w:lineRule="auto"/>
        <w:ind w:firstLine="640" w:firstLineChars="200"/>
        <w:jc w:val="center"/>
        <w:rPr>
          <w:rFonts w:hint="eastAsia" w:ascii="仿宋" w:hAnsi="仿宋" w:eastAsia="仿宋"/>
          <w:color w:val="auto"/>
          <w:sz w:val="32"/>
          <w:szCs w:val="32"/>
          <w:highlight w:val="none"/>
        </w:rPr>
      </w:pPr>
    </w:p>
    <w:p>
      <w:pPr>
        <w:spacing w:line="360" w:lineRule="auto"/>
        <w:ind w:firstLine="640" w:firstLineChars="200"/>
        <w:jc w:val="center"/>
        <w:rPr>
          <w:rFonts w:hint="eastAsia" w:ascii="仿宋" w:hAnsi="仿宋" w:eastAsia="仿宋"/>
          <w:color w:val="auto"/>
          <w:sz w:val="32"/>
          <w:szCs w:val="32"/>
          <w:highlight w:val="none"/>
        </w:rPr>
      </w:pPr>
    </w:p>
    <w:p>
      <w:pPr>
        <w:spacing w:line="360" w:lineRule="auto"/>
        <w:ind w:firstLine="640" w:firstLineChars="200"/>
        <w:jc w:val="center"/>
        <w:rPr>
          <w:rFonts w:hint="eastAsia" w:ascii="仿宋" w:hAnsi="仿宋" w:eastAsia="仿宋"/>
          <w:color w:val="auto"/>
          <w:sz w:val="32"/>
          <w:szCs w:val="32"/>
          <w:highlight w:val="none"/>
        </w:rPr>
      </w:pPr>
    </w:p>
    <w:p>
      <w:pPr>
        <w:spacing w:line="360" w:lineRule="auto"/>
        <w:ind w:firstLine="640" w:firstLineChars="200"/>
        <w:jc w:val="center"/>
        <w:rPr>
          <w:rFonts w:hint="eastAsia" w:ascii="仿宋" w:hAnsi="仿宋" w:eastAsia="仿宋"/>
          <w:color w:val="auto"/>
          <w:sz w:val="32"/>
          <w:szCs w:val="32"/>
          <w:highlight w:val="none"/>
        </w:rPr>
      </w:pPr>
    </w:p>
    <w:p>
      <w:pPr>
        <w:spacing w:line="360" w:lineRule="auto"/>
        <w:ind w:firstLine="640" w:firstLineChars="200"/>
        <w:jc w:val="center"/>
        <w:rPr>
          <w:rFonts w:hint="eastAsia" w:ascii="仿宋" w:hAnsi="仿宋" w:eastAsia="仿宋"/>
          <w:color w:val="auto"/>
          <w:sz w:val="32"/>
          <w:szCs w:val="32"/>
          <w:highlight w:val="none"/>
        </w:rPr>
      </w:pPr>
    </w:p>
    <w:p>
      <w:pPr>
        <w:spacing w:line="360" w:lineRule="auto"/>
        <w:ind w:firstLine="640" w:firstLineChars="200"/>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pPr>
        <w:pStyle w:val="30"/>
        <w:numPr>
          <w:ilvl w:val="0"/>
          <w:numId w:val="2"/>
        </w:numPr>
        <w:spacing w:line="360" w:lineRule="auto"/>
        <w:ind w:firstLineChars="0"/>
        <w:outlineLvl w:val="1"/>
        <w:rPr>
          <w:rStyle w:val="20"/>
          <w:rFonts w:ascii="黑体" w:hAnsi="黑体" w:eastAsia="黑体"/>
          <w:b w:val="0"/>
          <w:color w:val="auto"/>
          <w:highlight w:val="none"/>
        </w:rPr>
      </w:pPr>
      <w:bookmarkStart w:id="33" w:name="_Toc15377206"/>
      <w:bookmarkStart w:id="34" w:name="_Toc6579"/>
      <w:bookmarkStart w:id="35" w:name="_Toc15396604"/>
      <w:r>
        <w:rPr>
          <w:rFonts w:hint="eastAsia" w:ascii="黑体" w:hAnsi="黑体" w:eastAsia="黑体"/>
          <w:color w:val="auto"/>
          <w:sz w:val="32"/>
          <w:szCs w:val="32"/>
          <w:highlight w:val="none"/>
        </w:rPr>
        <w:t>收</w:t>
      </w:r>
      <w:r>
        <w:rPr>
          <w:rStyle w:val="20"/>
          <w:rFonts w:hint="eastAsia" w:ascii="黑体" w:hAnsi="黑体" w:eastAsia="黑体"/>
          <w:b w:val="0"/>
          <w:color w:val="auto"/>
          <w:highlight w:val="none"/>
        </w:rPr>
        <w:t>入决算情况说明</w:t>
      </w:r>
      <w:bookmarkEnd w:id="33"/>
      <w:bookmarkEnd w:id="34"/>
      <w:bookmarkEnd w:id="35"/>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olor w:val="auto"/>
          <w:sz w:val="32"/>
          <w:szCs w:val="32"/>
          <w:highlight w:val="none"/>
        </w:rPr>
      </w:pPr>
      <w:bookmarkStart w:id="36" w:name="_Toc5956"/>
      <w:r>
        <w:drawing>
          <wp:anchor distT="0" distB="0" distL="114300" distR="114300" simplePos="0" relativeHeight="251666432" behindDoc="0" locked="0" layoutInCell="1" allowOverlap="1">
            <wp:simplePos x="0" y="0"/>
            <wp:positionH relativeFrom="column">
              <wp:posOffset>-140335</wp:posOffset>
            </wp:positionH>
            <wp:positionV relativeFrom="paragraph">
              <wp:posOffset>1283335</wp:posOffset>
            </wp:positionV>
            <wp:extent cx="5273675" cy="3008630"/>
            <wp:effectExtent l="0" t="0" r="3175" b="1270"/>
            <wp:wrapSquare wrapText="bothSides"/>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9"/>
                    <a:stretch>
                      <a:fillRect/>
                    </a:stretch>
                  </pic:blipFill>
                  <pic:spPr>
                    <a:xfrm>
                      <a:off x="0" y="0"/>
                      <a:ext cx="5273675" cy="3008630"/>
                    </a:xfrm>
                    <a:prstGeom prst="rect">
                      <a:avLst/>
                    </a:prstGeom>
                    <a:noFill/>
                    <a:ln>
                      <a:noFill/>
                    </a:ln>
                  </pic:spPr>
                </pic:pic>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50849.43</w:t>
      </w:r>
      <w:r>
        <w:rPr>
          <w:rFonts w:hint="eastAsia" w:ascii="仿宋" w:hAnsi="仿宋" w:eastAsia="仿宋"/>
          <w:color w:val="auto"/>
          <w:sz w:val="32"/>
          <w:szCs w:val="32"/>
          <w:highlight w:val="none"/>
        </w:rPr>
        <w:t>万元，其中：一般公共预算财政拨款收入</w:t>
      </w:r>
      <w:r>
        <w:rPr>
          <w:rFonts w:hint="eastAsia" w:ascii="仿宋" w:hAnsi="仿宋" w:eastAsia="仿宋"/>
          <w:color w:val="auto"/>
          <w:sz w:val="32"/>
          <w:szCs w:val="32"/>
          <w:highlight w:val="none"/>
          <w:lang w:val="en-US" w:eastAsia="zh-CN"/>
        </w:rPr>
        <w:t>11257.59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22.14</w:t>
      </w:r>
      <w:r>
        <w:rPr>
          <w:rFonts w:ascii="仿宋" w:hAnsi="仿宋" w:eastAsia="仿宋"/>
          <w:color w:val="auto"/>
          <w:sz w:val="32"/>
          <w:szCs w:val="32"/>
          <w:highlight w:val="none"/>
        </w:rPr>
        <w:t>%</w:t>
      </w:r>
      <w:r>
        <w:rPr>
          <w:rFonts w:hint="eastAsia" w:ascii="仿宋" w:hAnsi="仿宋" w:eastAsia="仿宋"/>
          <w:color w:val="auto"/>
          <w:sz w:val="32"/>
          <w:szCs w:val="32"/>
          <w:highlight w:val="none"/>
        </w:rPr>
        <w:t>；事业收入</w:t>
      </w:r>
      <w:r>
        <w:rPr>
          <w:rFonts w:hint="eastAsia" w:ascii="仿宋" w:hAnsi="仿宋" w:eastAsia="仿宋"/>
          <w:color w:val="auto"/>
          <w:sz w:val="32"/>
          <w:szCs w:val="32"/>
          <w:highlight w:val="none"/>
          <w:lang w:val="en-US" w:eastAsia="zh-CN"/>
        </w:rPr>
        <w:t>36858.19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72.48</w:t>
      </w:r>
      <w:r>
        <w:rPr>
          <w:rFonts w:ascii="仿宋" w:hAnsi="仿宋" w:eastAsia="仿宋"/>
          <w:color w:val="auto"/>
          <w:sz w:val="32"/>
          <w:szCs w:val="32"/>
          <w:highlight w:val="none"/>
        </w:rPr>
        <w:t>%</w:t>
      </w:r>
      <w:r>
        <w:rPr>
          <w:rFonts w:hint="eastAsia" w:ascii="仿宋" w:hAnsi="仿宋" w:eastAsia="仿宋"/>
          <w:color w:val="auto"/>
          <w:sz w:val="32"/>
          <w:szCs w:val="32"/>
          <w:highlight w:val="none"/>
        </w:rPr>
        <w:t>；其他收入</w:t>
      </w:r>
      <w:r>
        <w:rPr>
          <w:rFonts w:hint="eastAsia" w:ascii="仿宋" w:hAnsi="仿宋" w:eastAsia="仿宋"/>
          <w:color w:val="auto"/>
          <w:sz w:val="32"/>
          <w:szCs w:val="32"/>
          <w:highlight w:val="none"/>
          <w:lang w:val="en-US" w:eastAsia="zh-CN"/>
        </w:rPr>
        <w:t>2733.65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5.38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36"/>
    </w:p>
    <w:p>
      <w:pPr>
        <w:pStyle w:val="2"/>
        <w:spacing w:line="360" w:lineRule="auto"/>
        <w:jc w:val="center"/>
        <w:rPr>
          <w:rFonts w:hint="eastAsia" w:ascii="仿宋" w:hAnsi="仿宋" w:eastAsia="仿宋"/>
          <w:color w:val="auto"/>
          <w:sz w:val="32"/>
          <w:szCs w:val="32"/>
          <w:highlight w:val="none"/>
        </w:rPr>
      </w:pPr>
      <w:bookmarkStart w:id="37" w:name="_Toc21483"/>
      <w:r>
        <w:rPr>
          <w:rFonts w:hint="eastAsia" w:ascii="仿宋" w:hAnsi="仿宋" w:eastAsia="仿宋"/>
          <w:color w:val="auto"/>
          <w:sz w:val="32"/>
          <w:szCs w:val="32"/>
          <w:highlight w:val="none"/>
        </w:rPr>
        <w:t>（图2：收入决算结构图）</w:t>
      </w:r>
      <w:bookmarkEnd w:id="37"/>
    </w:p>
    <w:p>
      <w:pPr>
        <w:pStyle w:val="30"/>
        <w:numPr>
          <w:ilvl w:val="0"/>
          <w:numId w:val="2"/>
        </w:numPr>
        <w:spacing w:line="360" w:lineRule="auto"/>
        <w:ind w:firstLineChars="0"/>
        <w:outlineLvl w:val="1"/>
        <w:rPr>
          <w:rStyle w:val="20"/>
          <w:rFonts w:ascii="黑体" w:hAnsi="黑体" w:eastAsia="黑体"/>
          <w:b w:val="0"/>
          <w:color w:val="auto"/>
          <w:highlight w:val="none"/>
        </w:rPr>
      </w:pPr>
      <w:bookmarkStart w:id="38" w:name="_Toc22794"/>
      <w:bookmarkStart w:id="39" w:name="_Toc15377207"/>
      <w:bookmarkStart w:id="40" w:name="_Toc15396605"/>
      <w:r>
        <w:rPr>
          <w:rFonts w:hint="eastAsia" w:ascii="黑体" w:hAnsi="黑体" w:eastAsia="黑体"/>
          <w:color w:val="auto"/>
          <w:sz w:val="32"/>
          <w:szCs w:val="32"/>
          <w:highlight w:val="none"/>
        </w:rPr>
        <w:t>支</w:t>
      </w:r>
      <w:r>
        <w:rPr>
          <w:rStyle w:val="20"/>
          <w:rFonts w:hint="eastAsia" w:ascii="黑体" w:hAnsi="黑体" w:eastAsia="黑体"/>
          <w:b w:val="0"/>
          <w:color w:val="auto"/>
          <w:highlight w:val="none"/>
        </w:rPr>
        <w:t>出决算情况说明</w:t>
      </w:r>
      <w:bookmarkEnd w:id="38"/>
      <w:bookmarkEnd w:id="39"/>
      <w:bookmarkEnd w:id="40"/>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outlineLvl w:val="9"/>
        <w:rPr>
          <w:rFonts w:hint="eastAsia" w:ascii="仿宋" w:hAnsi="仿宋" w:eastAsia="仿宋"/>
          <w:color w:val="auto"/>
          <w:sz w:val="32"/>
          <w:szCs w:val="32"/>
          <w:highlight w:val="none"/>
        </w:rPr>
      </w:pPr>
      <w:bookmarkStart w:id="41" w:name="_Toc9308"/>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w:t>
      </w:r>
      <w:r>
        <w:rPr>
          <w:rFonts w:hint="eastAsia" w:ascii="仿宋" w:hAnsi="仿宋" w:eastAsia="仿宋"/>
          <w:color w:val="auto"/>
          <w:sz w:val="32"/>
          <w:szCs w:val="32"/>
          <w:highlight w:val="none"/>
          <w:lang w:val="en-US" w:eastAsia="zh-CN"/>
        </w:rPr>
        <w:t>50893.12</w:t>
      </w:r>
      <w:r>
        <w:rPr>
          <w:rFonts w:hint="eastAsia" w:ascii="仿宋" w:hAnsi="仿宋" w:eastAsia="仿宋"/>
          <w:color w:val="auto"/>
          <w:sz w:val="32"/>
          <w:szCs w:val="32"/>
          <w:highlight w:val="none"/>
        </w:rPr>
        <w:t>万元，其中：基本支出</w:t>
      </w:r>
      <w:r>
        <w:rPr>
          <w:rFonts w:hint="eastAsia" w:ascii="仿宋" w:hAnsi="仿宋" w:eastAsia="仿宋"/>
          <w:color w:val="auto"/>
          <w:sz w:val="32"/>
          <w:szCs w:val="32"/>
          <w:highlight w:val="none"/>
          <w:lang w:val="en-US" w:eastAsia="zh-CN"/>
        </w:rPr>
        <w:t>38042.84</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74.75</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w:t>
      </w:r>
      <w:r>
        <w:rPr>
          <w:rFonts w:hint="eastAsia" w:ascii="仿宋" w:hAnsi="仿宋" w:eastAsia="仿宋"/>
          <w:color w:val="auto"/>
          <w:sz w:val="32"/>
          <w:szCs w:val="32"/>
          <w:highlight w:val="none"/>
          <w:lang w:val="en-US" w:eastAsia="zh-CN"/>
        </w:rPr>
        <w:t>12850.28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25.25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41"/>
    </w:p>
    <w:p>
      <w:pPr>
        <w:pStyle w:val="2"/>
        <w:spacing w:line="360" w:lineRule="auto"/>
        <w:rPr>
          <w:rFonts w:hint="eastAsia"/>
        </w:rPr>
      </w:pPr>
      <w:r>
        <w:drawing>
          <wp:anchor distT="0" distB="0" distL="114300" distR="114300" simplePos="0" relativeHeight="251661312" behindDoc="0" locked="0" layoutInCell="1" allowOverlap="1">
            <wp:simplePos x="0" y="0"/>
            <wp:positionH relativeFrom="column">
              <wp:posOffset>490855</wp:posOffset>
            </wp:positionH>
            <wp:positionV relativeFrom="paragraph">
              <wp:posOffset>84455</wp:posOffset>
            </wp:positionV>
            <wp:extent cx="4330700" cy="2865755"/>
            <wp:effectExtent l="0" t="0" r="12700" b="1079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4330700" cy="2865755"/>
                    </a:xfrm>
                    <a:prstGeom prst="rect">
                      <a:avLst/>
                    </a:prstGeom>
                    <a:noFill/>
                    <a:ln>
                      <a:noFill/>
                    </a:ln>
                  </pic:spPr>
                </pic:pic>
              </a:graphicData>
            </a:graphic>
          </wp:anchor>
        </w:drawing>
      </w:r>
    </w:p>
    <w:p>
      <w:pPr>
        <w:pStyle w:val="2"/>
        <w:spacing w:line="360" w:lineRule="auto"/>
      </w:pPr>
    </w:p>
    <w:p>
      <w:pPr>
        <w:spacing w:line="360" w:lineRule="auto"/>
        <w:ind w:firstLine="640"/>
        <w:rPr>
          <w:rFonts w:ascii="仿宋" w:hAnsi="仿宋" w:eastAsia="仿宋"/>
          <w:color w:val="auto"/>
          <w:sz w:val="32"/>
          <w:szCs w:val="32"/>
          <w:highlight w:val="none"/>
          <w:shd w:val="pct10" w:color="auto" w:fill="FFFFFF"/>
        </w:rPr>
      </w:pPr>
    </w:p>
    <w:p>
      <w:pPr>
        <w:spacing w:line="360" w:lineRule="auto"/>
        <w:ind w:firstLine="640"/>
        <w:rPr>
          <w:rFonts w:ascii="仿宋" w:hAnsi="仿宋" w:eastAsia="仿宋"/>
          <w:color w:val="auto"/>
          <w:sz w:val="32"/>
          <w:szCs w:val="32"/>
          <w:highlight w:val="none"/>
          <w:shd w:val="pct10" w:color="auto" w:fill="FFFFFF"/>
        </w:rPr>
      </w:pPr>
    </w:p>
    <w:p>
      <w:pPr>
        <w:spacing w:line="360" w:lineRule="auto"/>
        <w:ind w:firstLine="640"/>
        <w:rPr>
          <w:rFonts w:ascii="仿宋" w:hAnsi="仿宋" w:eastAsia="仿宋"/>
          <w:color w:val="auto"/>
          <w:sz w:val="32"/>
          <w:szCs w:val="32"/>
          <w:highlight w:val="none"/>
          <w:shd w:val="pct10" w:color="auto" w:fill="FFFFFF"/>
        </w:rPr>
      </w:pPr>
    </w:p>
    <w:p>
      <w:pPr>
        <w:spacing w:line="360" w:lineRule="auto"/>
        <w:ind w:firstLine="640"/>
        <w:rPr>
          <w:rFonts w:ascii="仿宋" w:hAnsi="仿宋" w:eastAsia="仿宋"/>
          <w:color w:val="auto"/>
          <w:sz w:val="32"/>
          <w:szCs w:val="32"/>
          <w:highlight w:val="none"/>
          <w:shd w:val="pct10" w:color="auto" w:fill="FFFFFF"/>
        </w:rPr>
      </w:pPr>
    </w:p>
    <w:p>
      <w:pPr>
        <w:spacing w:line="360" w:lineRule="auto"/>
        <w:ind w:firstLine="640"/>
        <w:rPr>
          <w:rFonts w:ascii="仿宋" w:hAnsi="仿宋" w:eastAsia="仿宋"/>
          <w:color w:val="auto"/>
          <w:sz w:val="32"/>
          <w:szCs w:val="32"/>
          <w:highlight w:val="none"/>
          <w:shd w:val="pct10" w:color="auto" w:fill="FFFFFF"/>
        </w:rPr>
      </w:pPr>
    </w:p>
    <w:p>
      <w:pPr>
        <w:spacing w:line="360" w:lineRule="auto"/>
        <w:jc w:val="center"/>
        <w:rPr>
          <w:rFonts w:hint="eastAsia" w:ascii="仿宋" w:hAnsi="仿宋" w:eastAsia="仿宋"/>
          <w:color w:val="auto"/>
          <w:sz w:val="32"/>
          <w:szCs w:val="32"/>
          <w:highlight w:val="none"/>
        </w:rPr>
      </w:pPr>
    </w:p>
    <w:p>
      <w:pPr>
        <w:spacing w:line="360" w:lineRule="auto"/>
        <w:jc w:val="center"/>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pPr>
        <w:spacing w:line="360" w:lineRule="auto"/>
        <w:ind w:firstLine="640" w:firstLineChars="200"/>
        <w:outlineLvl w:val="1"/>
        <w:rPr>
          <w:rStyle w:val="20"/>
          <w:rFonts w:ascii="黑体" w:hAnsi="黑体" w:eastAsia="黑体"/>
          <w:b w:val="0"/>
          <w:color w:val="auto"/>
          <w:highlight w:val="none"/>
        </w:rPr>
      </w:pPr>
      <w:bookmarkStart w:id="42" w:name="_Toc15396606"/>
      <w:bookmarkStart w:id="43" w:name="_Toc15377208"/>
      <w:bookmarkStart w:id="44" w:name="_Toc27279"/>
      <w:r>
        <w:rPr>
          <w:rFonts w:hint="eastAsia" w:ascii="黑体" w:hAnsi="黑体" w:eastAsia="黑体"/>
          <w:color w:val="auto"/>
          <w:sz w:val="32"/>
          <w:szCs w:val="32"/>
          <w:highlight w:val="none"/>
        </w:rPr>
        <w:t>四、财</w:t>
      </w:r>
      <w:r>
        <w:rPr>
          <w:rStyle w:val="20"/>
          <w:rFonts w:hint="eastAsia" w:ascii="黑体" w:hAnsi="黑体" w:eastAsia="黑体"/>
          <w:b w:val="0"/>
          <w:color w:val="auto"/>
          <w:highlight w:val="none"/>
        </w:rPr>
        <w:t>政拨款收入支出决算总体情况说明</w:t>
      </w:r>
      <w:bookmarkEnd w:id="42"/>
      <w:bookmarkEnd w:id="43"/>
      <w:bookmarkEnd w:id="44"/>
    </w:p>
    <w:p>
      <w:pPr>
        <w:spacing w:line="360" w:lineRule="auto"/>
        <w:ind w:firstLine="640"/>
        <w:rPr>
          <w:rFonts w:hint="eastAsia" w:ascii="仿宋" w:hAnsi="仿宋" w:eastAsia="仿宋"/>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12443.06万</w:t>
      </w:r>
      <w:r>
        <w:rPr>
          <w:rFonts w:hint="eastAsia" w:ascii="仿宋" w:hAnsi="仿宋" w:eastAsia="仿宋"/>
          <w:color w:val="auto"/>
          <w:sz w:val="32"/>
          <w:szCs w:val="32"/>
          <w:highlight w:val="none"/>
        </w:rPr>
        <w:t>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w:t>
      </w:r>
      <w:r>
        <w:rPr>
          <w:rFonts w:hint="eastAsia" w:ascii="仿宋" w:hAnsi="仿宋" w:eastAsia="仿宋"/>
          <w:color w:val="auto"/>
          <w:sz w:val="32"/>
          <w:szCs w:val="32"/>
          <w:highlight w:val="none"/>
          <w:lang w:val="en-US" w:eastAsia="zh-CN"/>
        </w:rPr>
        <w:t>增加9987.55</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406.74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本年新增住院综合楼建设专项资金10000.00万元。</w:t>
      </w:r>
    </w:p>
    <w:p>
      <w:pPr>
        <w:pStyle w:val="2"/>
        <w:spacing w:line="360" w:lineRule="auto"/>
        <w:rPr>
          <w:rFonts w:hint="eastAsia" w:ascii="仿宋" w:hAnsi="仿宋" w:eastAsia="仿宋"/>
          <w:color w:val="auto"/>
          <w:sz w:val="32"/>
          <w:szCs w:val="32"/>
          <w:highlight w:val="none"/>
          <w:lang w:val="en-US" w:eastAsia="zh-CN"/>
        </w:rPr>
      </w:pPr>
      <w:r>
        <w:drawing>
          <wp:anchor distT="0" distB="0" distL="114300" distR="114300" simplePos="0" relativeHeight="251662336" behindDoc="0" locked="0" layoutInCell="1" allowOverlap="1">
            <wp:simplePos x="0" y="0"/>
            <wp:positionH relativeFrom="column">
              <wp:posOffset>177165</wp:posOffset>
            </wp:positionH>
            <wp:positionV relativeFrom="paragraph">
              <wp:posOffset>174625</wp:posOffset>
            </wp:positionV>
            <wp:extent cx="4705350" cy="1374775"/>
            <wp:effectExtent l="0" t="0" r="0" b="635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4705350" cy="1374775"/>
                    </a:xfrm>
                    <a:prstGeom prst="rect">
                      <a:avLst/>
                    </a:prstGeom>
                    <a:noFill/>
                    <a:ln>
                      <a:noFill/>
                    </a:ln>
                  </pic:spPr>
                </pic:pic>
              </a:graphicData>
            </a:graphic>
          </wp:anchor>
        </w:drawing>
      </w:r>
    </w:p>
    <w:p>
      <w:pPr>
        <w:pStyle w:val="2"/>
        <w:spacing w:line="360" w:lineRule="auto"/>
        <w:rPr>
          <w:rFonts w:hint="eastAsia" w:ascii="仿宋" w:hAnsi="仿宋" w:eastAsia="仿宋"/>
          <w:color w:val="auto"/>
          <w:sz w:val="32"/>
          <w:szCs w:val="32"/>
          <w:highlight w:val="none"/>
          <w:lang w:val="en-US" w:eastAsia="zh-CN"/>
        </w:rPr>
      </w:pPr>
    </w:p>
    <w:p>
      <w:pPr>
        <w:pStyle w:val="2"/>
        <w:spacing w:line="360" w:lineRule="auto"/>
        <w:rPr>
          <w:rFonts w:hint="eastAsia" w:ascii="仿宋" w:hAnsi="仿宋" w:eastAsia="仿宋"/>
          <w:color w:val="auto"/>
          <w:sz w:val="32"/>
          <w:szCs w:val="32"/>
          <w:highlight w:val="none"/>
          <w:lang w:val="en-US" w:eastAsia="zh-CN"/>
        </w:rPr>
      </w:pPr>
    </w:p>
    <w:p>
      <w:pPr>
        <w:keepNext w:val="0"/>
        <w:keepLines w:val="0"/>
        <w:pageBreakBefore w:val="0"/>
        <w:widowControl w:val="0"/>
        <w:kinsoku/>
        <w:wordWrap/>
        <w:overflowPunct/>
        <w:topLinePunct w:val="0"/>
        <w:bidi w:val="0"/>
        <w:snapToGrid/>
        <w:spacing w:line="360" w:lineRule="auto"/>
        <w:jc w:val="center"/>
        <w:textAlignment w:val="auto"/>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pPr>
        <w:keepNext w:val="0"/>
        <w:keepLines w:val="0"/>
        <w:pageBreakBefore w:val="0"/>
        <w:widowControl w:val="0"/>
        <w:numPr>
          <w:ilvl w:val="0"/>
          <w:numId w:val="0"/>
        </w:numPr>
        <w:kinsoku/>
        <w:wordWrap/>
        <w:overflowPunct/>
        <w:topLinePunct w:val="0"/>
        <w:bidi w:val="0"/>
        <w:snapToGrid/>
        <w:spacing w:line="360" w:lineRule="auto"/>
        <w:ind w:left="640" w:leftChars="0"/>
        <w:textAlignment w:val="auto"/>
        <w:outlineLvl w:val="1"/>
      </w:pPr>
      <w:bookmarkStart w:id="45" w:name="_Toc15396607"/>
      <w:bookmarkStart w:id="46" w:name="_Toc19797"/>
      <w:bookmarkStart w:id="47" w:name="_Toc15377209"/>
      <w:r>
        <w:rPr>
          <w:rFonts w:hint="eastAsia" w:ascii="黑体" w:hAnsi="黑体" w:eastAsia="黑体"/>
          <w:b/>
          <w:color w:val="auto"/>
          <w:sz w:val="32"/>
          <w:szCs w:val="32"/>
          <w:highlight w:val="none"/>
          <w:lang w:val="en-US" w:eastAsia="zh-CN"/>
        </w:rPr>
        <w:t>五、</w:t>
      </w:r>
      <w:r>
        <w:rPr>
          <w:rFonts w:hint="eastAsia" w:ascii="黑体" w:hAnsi="黑体" w:eastAsia="黑体"/>
          <w:b/>
          <w:color w:val="auto"/>
          <w:sz w:val="32"/>
          <w:szCs w:val="32"/>
          <w:highlight w:val="none"/>
        </w:rPr>
        <w:t>一</w:t>
      </w:r>
      <w:r>
        <w:rPr>
          <w:rStyle w:val="20"/>
          <w:rFonts w:hint="eastAsia" w:ascii="黑体" w:hAnsi="黑体" w:eastAsia="黑体"/>
          <w:b w:val="0"/>
          <w:color w:val="auto"/>
          <w:highlight w:val="none"/>
        </w:rPr>
        <w:t>般公共预算财政拨款支出决算情况说明</w:t>
      </w:r>
      <w:bookmarkEnd w:id="45"/>
      <w:bookmarkEnd w:id="46"/>
      <w:bookmarkEnd w:id="47"/>
    </w:p>
    <w:p>
      <w:pPr>
        <w:keepNext w:val="0"/>
        <w:keepLines w:val="0"/>
        <w:pageBreakBefore w:val="0"/>
        <w:widowControl w:val="0"/>
        <w:kinsoku/>
        <w:wordWrap/>
        <w:overflowPunct/>
        <w:topLinePunct w:val="0"/>
        <w:bidi w:val="0"/>
        <w:snapToGrid/>
        <w:spacing w:line="360" w:lineRule="auto"/>
        <w:ind w:firstLine="643" w:firstLineChars="200"/>
        <w:textAlignment w:val="auto"/>
        <w:outlineLvl w:val="2"/>
        <w:rPr>
          <w:rFonts w:ascii="仿宋" w:hAnsi="仿宋" w:eastAsia="仿宋"/>
          <w:b/>
          <w:color w:val="auto"/>
          <w:sz w:val="32"/>
          <w:szCs w:val="32"/>
          <w:highlight w:val="none"/>
        </w:rPr>
      </w:pPr>
      <w:bookmarkStart w:id="48" w:name="_Toc3378"/>
      <w:bookmarkStart w:id="49" w:name="_Toc15377210"/>
      <w:r>
        <w:rPr>
          <w:rFonts w:hint="eastAsia" w:ascii="仿宋" w:hAnsi="仿宋" w:eastAsia="仿宋"/>
          <w:b/>
          <w:color w:val="auto"/>
          <w:sz w:val="32"/>
          <w:szCs w:val="32"/>
          <w:highlight w:val="none"/>
        </w:rPr>
        <w:t>（一）一般公共预算财政拨款支出决算总体情况</w:t>
      </w:r>
      <w:bookmarkEnd w:id="48"/>
      <w:bookmarkEnd w:id="49"/>
    </w:p>
    <w:p>
      <w:pPr>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仿宋" w:hAnsi="仿宋" w:eastAsia="仿宋"/>
          <w:color w:val="auto"/>
          <w:sz w:val="32"/>
          <w:szCs w:val="32"/>
          <w:highlight w:val="none"/>
          <w:lang w:val="en-US"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5180.53</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10.18</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3918.31</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310.43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本年公共卫生健康支出增加。</w:t>
      </w:r>
    </w:p>
    <w:p>
      <w:pPr>
        <w:pStyle w:val="2"/>
        <w:keepNext w:val="0"/>
        <w:keepLines w:val="0"/>
        <w:pageBreakBefore w:val="0"/>
        <w:widowControl w:val="0"/>
        <w:kinsoku/>
        <w:wordWrap/>
        <w:overflowPunct/>
        <w:topLinePunct w:val="0"/>
        <w:bidi w:val="0"/>
        <w:snapToGrid/>
        <w:spacing w:line="360" w:lineRule="auto"/>
        <w:textAlignment w:val="auto"/>
        <w:rPr>
          <w:rFonts w:hint="eastAsia"/>
          <w:lang w:val="en-US" w:eastAsia="zh-CN"/>
        </w:rPr>
      </w:pPr>
    </w:p>
    <w:p>
      <w:pPr>
        <w:pStyle w:val="2"/>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olor w:val="auto"/>
          <w:sz w:val="32"/>
          <w:szCs w:val="32"/>
          <w:highlight w:val="none"/>
          <w:lang w:val="en-US" w:eastAsia="zh-CN"/>
        </w:rPr>
      </w:pPr>
      <w:r>
        <w:drawing>
          <wp:anchor distT="0" distB="0" distL="114300" distR="114300" simplePos="0" relativeHeight="251663360" behindDoc="0" locked="0" layoutInCell="1" allowOverlap="1">
            <wp:simplePos x="0" y="0"/>
            <wp:positionH relativeFrom="column">
              <wp:posOffset>585470</wp:posOffset>
            </wp:positionH>
            <wp:positionV relativeFrom="paragraph">
              <wp:posOffset>5080</wp:posOffset>
            </wp:positionV>
            <wp:extent cx="4581525" cy="2256155"/>
            <wp:effectExtent l="0" t="0" r="9525" b="10795"/>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4581525" cy="2256155"/>
                    </a:xfrm>
                    <a:prstGeom prst="rect">
                      <a:avLst/>
                    </a:prstGeom>
                    <a:noFill/>
                    <a:ln>
                      <a:noFill/>
                    </a:ln>
                  </pic:spPr>
                </pic:pic>
              </a:graphicData>
            </a:graphic>
          </wp:anchor>
        </w:drawing>
      </w:r>
    </w:p>
    <w:p>
      <w:pPr>
        <w:pStyle w:val="2"/>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olor w:val="auto"/>
          <w:sz w:val="32"/>
          <w:szCs w:val="32"/>
          <w:highlight w:val="none"/>
          <w:lang w:val="en-US" w:eastAsia="zh-CN"/>
        </w:rPr>
      </w:pPr>
    </w:p>
    <w:p>
      <w:pPr>
        <w:pStyle w:val="2"/>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olor w:val="auto"/>
          <w:sz w:val="32"/>
          <w:szCs w:val="32"/>
          <w:highlight w:val="none"/>
          <w:lang w:val="en-US" w:eastAsia="zh-CN"/>
        </w:rPr>
      </w:pPr>
    </w:p>
    <w:p>
      <w:pPr>
        <w:pStyle w:val="22"/>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olor w:val="auto"/>
          <w:sz w:val="32"/>
          <w:szCs w:val="32"/>
          <w:highlight w:val="none"/>
          <w:lang w:val="en-US" w:eastAsia="zh-CN"/>
        </w:rPr>
      </w:pPr>
    </w:p>
    <w:p>
      <w:pPr>
        <w:pStyle w:val="22"/>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olor w:val="auto"/>
          <w:sz w:val="32"/>
          <w:szCs w:val="32"/>
          <w:highlight w:val="none"/>
          <w:lang w:val="en-US" w:eastAsia="zh-CN"/>
        </w:rPr>
      </w:pPr>
    </w:p>
    <w:p>
      <w:pPr>
        <w:pStyle w:val="22"/>
        <w:keepNext w:val="0"/>
        <w:keepLines w:val="0"/>
        <w:pageBreakBefore w:val="0"/>
        <w:widowControl w:val="0"/>
        <w:kinsoku/>
        <w:wordWrap/>
        <w:overflowPunct/>
        <w:topLinePunct w:val="0"/>
        <w:bidi w:val="0"/>
        <w:snapToGrid/>
        <w:spacing w:line="360" w:lineRule="auto"/>
        <w:textAlignment w:val="auto"/>
        <w:rPr>
          <w:rFonts w:hint="default" w:ascii="仿宋" w:hAnsi="仿宋" w:eastAsia="仿宋"/>
          <w:color w:val="auto"/>
          <w:sz w:val="32"/>
          <w:szCs w:val="32"/>
          <w:highlight w:val="none"/>
          <w:lang w:val="en-US" w:eastAsia="zh-CN"/>
        </w:rPr>
      </w:pPr>
    </w:p>
    <w:p>
      <w:pPr>
        <w:keepNext w:val="0"/>
        <w:keepLines w:val="0"/>
        <w:pageBreakBefore w:val="0"/>
        <w:widowControl w:val="0"/>
        <w:kinsoku/>
        <w:wordWrap/>
        <w:overflowPunct/>
        <w:topLinePunct w:val="0"/>
        <w:bidi w:val="0"/>
        <w:snapToGrid/>
        <w:spacing w:line="360" w:lineRule="auto"/>
        <w:ind w:firstLine="640" w:firstLineChars="200"/>
        <w:jc w:val="center"/>
        <w:textAlignment w:val="auto"/>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图5：一般公共预算财政拨款支出决算变动情况）</w:t>
      </w:r>
    </w:p>
    <w:p>
      <w:pPr>
        <w:keepNext w:val="0"/>
        <w:keepLines w:val="0"/>
        <w:pageBreakBefore w:val="0"/>
        <w:widowControl w:val="0"/>
        <w:kinsoku/>
        <w:wordWrap/>
        <w:overflowPunct/>
        <w:topLinePunct w:val="0"/>
        <w:bidi w:val="0"/>
        <w:snapToGrid/>
        <w:spacing w:line="360" w:lineRule="auto"/>
        <w:ind w:firstLine="643" w:firstLineChars="200"/>
        <w:textAlignment w:val="auto"/>
        <w:outlineLvl w:val="2"/>
        <w:rPr>
          <w:rFonts w:ascii="仿宋" w:hAnsi="仿宋" w:eastAsia="仿宋"/>
          <w:b/>
          <w:color w:val="auto"/>
          <w:sz w:val="32"/>
          <w:szCs w:val="32"/>
          <w:highlight w:val="none"/>
        </w:rPr>
      </w:pPr>
      <w:bookmarkStart w:id="50" w:name="_Toc19070"/>
      <w:bookmarkStart w:id="51" w:name="_Toc15377211"/>
      <w:r>
        <w:rPr>
          <w:rFonts w:hint="eastAsia" w:ascii="仿宋" w:hAnsi="仿宋" w:eastAsia="仿宋"/>
          <w:b/>
          <w:color w:val="auto"/>
          <w:sz w:val="32"/>
          <w:szCs w:val="32"/>
          <w:highlight w:val="none"/>
        </w:rPr>
        <w:t>（二）一般公共预算财政拨款支出决算结构情况</w:t>
      </w:r>
      <w:bookmarkEnd w:id="50"/>
      <w:bookmarkEnd w:id="51"/>
    </w:p>
    <w:p>
      <w:pPr>
        <w:keepNext w:val="0"/>
        <w:keepLines w:val="0"/>
        <w:pageBreakBefore w:val="0"/>
        <w:widowControl w:val="0"/>
        <w:kinsoku/>
        <w:wordWrap/>
        <w:overflowPunct/>
        <w:topLinePunct w:val="0"/>
        <w:bidi w:val="0"/>
        <w:snapToGrid/>
        <w:spacing w:line="360" w:lineRule="auto"/>
        <w:ind w:firstLine="640"/>
        <w:textAlignment w:val="auto"/>
        <w:rPr>
          <w:rFonts w:hint="eastAsia"/>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5180.53</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科学技术</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3.25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0.06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5177.28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99.94</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p>
    <w:p>
      <w:pPr>
        <w:pStyle w:val="22"/>
        <w:keepNext w:val="0"/>
        <w:keepLines w:val="0"/>
        <w:pageBreakBefore w:val="0"/>
        <w:widowControl w:val="0"/>
        <w:kinsoku/>
        <w:wordWrap/>
        <w:overflowPunct/>
        <w:topLinePunct w:val="0"/>
        <w:bidi w:val="0"/>
        <w:snapToGrid/>
        <w:spacing w:line="360" w:lineRule="auto"/>
        <w:jc w:val="center"/>
        <w:textAlignment w:val="auto"/>
        <w:rPr>
          <w:rFonts w:ascii="仿宋" w:hAnsi="仿宋" w:eastAsia="仿宋"/>
          <w:color w:val="auto"/>
          <w:sz w:val="32"/>
          <w:szCs w:val="32"/>
          <w:highlight w:val="none"/>
        </w:rPr>
      </w:pPr>
      <w:r>
        <w:drawing>
          <wp:anchor distT="0" distB="0" distL="114300" distR="114300" simplePos="0" relativeHeight="251664384" behindDoc="0" locked="0" layoutInCell="1" allowOverlap="1">
            <wp:simplePos x="0" y="0"/>
            <wp:positionH relativeFrom="column">
              <wp:posOffset>349250</wp:posOffset>
            </wp:positionH>
            <wp:positionV relativeFrom="paragraph">
              <wp:posOffset>104775</wp:posOffset>
            </wp:positionV>
            <wp:extent cx="4439285" cy="2259330"/>
            <wp:effectExtent l="0" t="0" r="18415" b="7620"/>
            <wp:wrapTopAndBottom/>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3"/>
                    <a:stretch>
                      <a:fillRect/>
                    </a:stretch>
                  </pic:blipFill>
                  <pic:spPr>
                    <a:xfrm>
                      <a:off x="0" y="0"/>
                      <a:ext cx="4439285" cy="2259330"/>
                    </a:xfrm>
                    <a:prstGeom prst="rect">
                      <a:avLst/>
                    </a:prstGeom>
                    <a:noFill/>
                    <a:ln>
                      <a:noFill/>
                    </a:ln>
                  </pic:spPr>
                </pic:pic>
              </a:graphicData>
            </a:graphic>
          </wp:anchor>
        </w:drawing>
      </w:r>
      <w:r>
        <w:rPr>
          <w:rFonts w:hint="eastAsia" w:ascii="仿宋" w:hAnsi="仿宋" w:eastAsia="仿宋"/>
          <w:color w:val="auto"/>
          <w:sz w:val="32"/>
          <w:szCs w:val="32"/>
          <w:highlight w:val="none"/>
        </w:rPr>
        <w:t>（图6：一般公共预算财政拨款支出决算结构）</w:t>
      </w:r>
    </w:p>
    <w:p>
      <w:pPr>
        <w:keepNext w:val="0"/>
        <w:keepLines w:val="0"/>
        <w:pageBreakBefore w:val="0"/>
        <w:widowControl w:val="0"/>
        <w:kinsoku/>
        <w:wordWrap/>
        <w:overflowPunct/>
        <w:topLinePunct w:val="0"/>
        <w:bidi w:val="0"/>
        <w:snapToGrid/>
        <w:spacing w:line="360" w:lineRule="auto"/>
        <w:ind w:firstLine="643" w:firstLineChars="200"/>
        <w:textAlignment w:val="auto"/>
        <w:outlineLvl w:val="2"/>
        <w:rPr>
          <w:rFonts w:ascii="仿宋" w:hAnsi="仿宋" w:eastAsia="仿宋"/>
          <w:b/>
          <w:color w:val="auto"/>
          <w:sz w:val="32"/>
          <w:szCs w:val="32"/>
          <w:highlight w:val="none"/>
        </w:rPr>
      </w:pPr>
      <w:bookmarkStart w:id="52" w:name="_Toc15377212"/>
      <w:bookmarkStart w:id="53" w:name="_Toc15264"/>
      <w:r>
        <w:rPr>
          <w:rFonts w:hint="eastAsia" w:ascii="仿宋" w:hAnsi="仿宋" w:eastAsia="仿宋"/>
          <w:b/>
          <w:color w:val="auto"/>
          <w:sz w:val="32"/>
          <w:szCs w:val="32"/>
          <w:highlight w:val="none"/>
        </w:rPr>
        <w:t>（三）一般公共预算财政拨款支出决算具体情况</w:t>
      </w:r>
      <w:bookmarkEnd w:id="52"/>
      <w:bookmarkEnd w:id="53"/>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ascii="仿宋" w:hAnsi="仿宋" w:eastAsia="仿宋"/>
          <w:color w:val="auto"/>
          <w:sz w:val="32"/>
          <w:szCs w:val="32"/>
          <w:highlight w:val="none"/>
        </w:rPr>
      </w:pPr>
      <w:bookmarkStart w:id="54" w:name="_Toc14501"/>
      <w:bookmarkStart w:id="55" w:name="_Toc15378460"/>
      <w:bookmarkStart w:id="56" w:name="_Toc15377213"/>
      <w:bookmarkStart w:id="57" w:name="_Toc15377444"/>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5180.53万元</w:t>
      </w:r>
      <w:r>
        <w:rPr>
          <w:rFonts w:hint="eastAsia" w:ascii="仿宋" w:hAnsi="仿宋" w:eastAsia="仿宋"/>
          <w:color w:val="auto"/>
          <w:sz w:val="32"/>
          <w:szCs w:val="32"/>
          <w:highlight w:val="none"/>
        </w:rPr>
        <w:t>，</w:t>
      </w:r>
      <w:r>
        <w:rPr>
          <w:rStyle w:val="17"/>
          <w:rFonts w:hint="eastAsia" w:ascii="仿宋" w:hAnsi="仿宋" w:eastAsia="仿宋"/>
          <w:bCs/>
          <w:color w:val="auto"/>
          <w:sz w:val="32"/>
          <w:szCs w:val="32"/>
          <w:highlight w:val="none"/>
        </w:rPr>
        <w:t>完成预算</w:t>
      </w:r>
      <w:r>
        <w:rPr>
          <w:rStyle w:val="17"/>
          <w:rFonts w:hint="eastAsia" w:ascii="仿宋" w:hAnsi="仿宋" w:eastAsia="仿宋"/>
          <w:bCs/>
          <w:color w:val="auto"/>
          <w:sz w:val="32"/>
          <w:szCs w:val="32"/>
          <w:highlight w:val="none"/>
          <w:lang w:val="en-US" w:eastAsia="zh-CN"/>
        </w:rPr>
        <w:t>41.63</w:t>
      </w:r>
      <w:r>
        <w:rPr>
          <w:rStyle w:val="17"/>
          <w:rFonts w:ascii="仿宋" w:hAnsi="仿宋" w:eastAsia="仿宋"/>
          <w:bCs/>
          <w:color w:val="auto"/>
          <w:sz w:val="32"/>
          <w:szCs w:val="32"/>
          <w:highlight w:val="none"/>
        </w:rPr>
        <w:t>%</w:t>
      </w:r>
      <w:r>
        <w:rPr>
          <w:rStyle w:val="17"/>
          <w:rFonts w:hint="eastAsia" w:ascii="仿宋" w:hAnsi="仿宋" w:eastAsia="仿宋"/>
          <w:bCs/>
          <w:color w:val="auto"/>
          <w:sz w:val="32"/>
          <w:szCs w:val="32"/>
          <w:highlight w:val="none"/>
        </w:rPr>
        <w:t>。其中：</w:t>
      </w:r>
      <w:bookmarkEnd w:id="54"/>
      <w:bookmarkEnd w:id="55"/>
      <w:bookmarkEnd w:id="56"/>
      <w:bookmarkEnd w:id="57"/>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Style w:val="17"/>
          <w:rFonts w:hint="eastAsia" w:ascii="仿宋" w:hAnsi="仿宋" w:eastAsia="仿宋"/>
          <w:b w:val="0"/>
          <w:bCs/>
          <w:color w:val="auto"/>
          <w:sz w:val="32"/>
          <w:szCs w:val="32"/>
          <w:highlight w:val="none"/>
          <w:lang w:eastAsia="zh-CN"/>
        </w:rPr>
      </w:pPr>
      <w:r>
        <w:rPr>
          <w:rStyle w:val="17"/>
          <w:rFonts w:hint="eastAsia" w:ascii="仿宋" w:hAnsi="仿宋" w:eastAsia="仿宋"/>
          <w:bCs/>
          <w:color w:val="auto"/>
          <w:sz w:val="32"/>
          <w:szCs w:val="32"/>
          <w:highlight w:val="none"/>
          <w:lang w:val="en-US" w:eastAsia="zh-CN"/>
        </w:rPr>
        <w:t>1</w:t>
      </w:r>
      <w:r>
        <w:rPr>
          <w:rStyle w:val="17"/>
          <w:rFonts w:ascii="仿宋" w:hAnsi="仿宋" w:eastAsia="仿宋"/>
          <w:bCs/>
          <w:color w:val="auto"/>
          <w:sz w:val="32"/>
          <w:szCs w:val="32"/>
          <w:highlight w:val="none"/>
        </w:rPr>
        <w:t>.</w:t>
      </w:r>
      <w:r>
        <w:rPr>
          <w:rStyle w:val="17"/>
          <w:rFonts w:hint="eastAsia" w:ascii="仿宋" w:hAnsi="仿宋" w:eastAsia="仿宋"/>
          <w:bCs/>
          <w:color w:val="auto"/>
          <w:sz w:val="32"/>
          <w:szCs w:val="32"/>
          <w:highlight w:val="none"/>
        </w:rPr>
        <w:t>科学技术支出（类）科技重大项目（款）重点研发计划（项）2060902</w:t>
      </w:r>
      <w:r>
        <w:rPr>
          <w:rStyle w:val="17"/>
          <w:rFonts w:ascii="仿宋" w:hAnsi="仿宋" w:eastAsia="仿宋"/>
          <w:bCs/>
          <w:color w:val="auto"/>
          <w:sz w:val="32"/>
          <w:szCs w:val="32"/>
          <w:highlight w:val="none"/>
        </w:rPr>
        <w:t>:</w:t>
      </w:r>
      <w:r>
        <w:rPr>
          <w:rStyle w:val="17"/>
          <w:rFonts w:ascii="仿宋" w:hAnsi="仿宋" w:eastAsia="仿宋"/>
          <w:b w:val="0"/>
          <w:bCs/>
          <w:color w:val="auto"/>
          <w:sz w:val="32"/>
          <w:szCs w:val="32"/>
          <w:highlight w:val="none"/>
        </w:rPr>
        <w:t xml:space="preserve"> </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3.25</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Style w:val="17"/>
          <w:rFonts w:hint="eastAsia" w:ascii="仿宋" w:hAnsi="仿宋" w:eastAsia="仿宋"/>
          <w:b w:val="0"/>
          <w:bCs/>
          <w:color w:val="auto"/>
          <w:sz w:val="32"/>
          <w:szCs w:val="32"/>
          <w:highlight w:val="none"/>
          <w:lang w:val="en-US" w:eastAsia="zh-CN"/>
        </w:rPr>
      </w:pPr>
      <w:r>
        <w:rPr>
          <w:rStyle w:val="17"/>
          <w:rFonts w:hint="eastAsia" w:ascii="仿宋" w:hAnsi="仿宋" w:eastAsia="仿宋"/>
          <w:bCs/>
          <w:color w:val="auto"/>
          <w:sz w:val="32"/>
          <w:szCs w:val="32"/>
          <w:highlight w:val="none"/>
          <w:lang w:val="en-US" w:eastAsia="zh-CN"/>
        </w:rPr>
        <w:t>2</w:t>
      </w:r>
      <w:r>
        <w:rPr>
          <w:rStyle w:val="17"/>
          <w:rFonts w:ascii="仿宋" w:hAnsi="仿宋" w:eastAsia="仿宋"/>
          <w:bCs/>
          <w:color w:val="auto"/>
          <w:sz w:val="32"/>
          <w:szCs w:val="32"/>
          <w:highlight w:val="none"/>
        </w:rPr>
        <w:t>.</w:t>
      </w:r>
      <w:r>
        <w:rPr>
          <w:rStyle w:val="17"/>
          <w:rFonts w:hint="eastAsia" w:ascii="仿宋" w:hAnsi="仿宋" w:eastAsia="仿宋"/>
          <w:bCs/>
          <w:color w:val="auto"/>
          <w:sz w:val="32"/>
          <w:szCs w:val="32"/>
          <w:highlight w:val="none"/>
        </w:rPr>
        <w:t>科学技术支出（类）技术研究与开发（款）其他技术研究与开发支出（项）2060499</w:t>
      </w:r>
      <w:r>
        <w:rPr>
          <w:rStyle w:val="17"/>
          <w:rFonts w:ascii="仿宋" w:hAnsi="仿宋" w:eastAsia="仿宋"/>
          <w:bCs/>
          <w:color w:val="auto"/>
          <w:sz w:val="32"/>
          <w:szCs w:val="32"/>
          <w:highlight w:val="none"/>
        </w:rPr>
        <w:t>:</w:t>
      </w:r>
      <w:r>
        <w:rPr>
          <w:rStyle w:val="17"/>
          <w:rFonts w:ascii="仿宋" w:hAnsi="仿宋" w:eastAsia="仿宋"/>
          <w:b w:val="0"/>
          <w:bCs/>
          <w:color w:val="auto"/>
          <w:sz w:val="32"/>
          <w:szCs w:val="32"/>
          <w:highlight w:val="none"/>
        </w:rPr>
        <w:t xml:space="preserve"> </w:t>
      </w:r>
      <w:r>
        <w:rPr>
          <w:rStyle w:val="17"/>
          <w:rFonts w:hint="eastAsia" w:ascii="仿宋" w:hAnsi="仿宋" w:eastAsia="仿宋"/>
          <w:b w:val="0"/>
          <w:bCs/>
          <w:color w:val="auto"/>
          <w:sz w:val="32"/>
          <w:szCs w:val="32"/>
          <w:highlight w:val="none"/>
          <w:lang w:val="en-US" w:eastAsia="zh-CN"/>
        </w:rPr>
        <w:t>支出决算为0.00万元，完成预算0.00%，决算数小于预算数的主要原因是该科研项目还在进行中，尚未发生支出。</w:t>
      </w:r>
    </w:p>
    <w:p>
      <w:pPr>
        <w:pStyle w:val="2"/>
        <w:keepNext w:val="0"/>
        <w:keepLines w:val="0"/>
        <w:pageBreakBefore w:val="0"/>
        <w:widowControl w:val="0"/>
        <w:kinsoku/>
        <w:wordWrap/>
        <w:overflowPunct/>
        <w:topLinePunct w:val="0"/>
        <w:bidi w:val="0"/>
        <w:snapToGrid/>
        <w:spacing w:line="360" w:lineRule="auto"/>
        <w:textAlignment w:val="auto"/>
        <w:rPr>
          <w:rFonts w:hint="default" w:eastAsia="仿宋"/>
          <w:lang w:val="en-US" w:eastAsia="zh-CN"/>
        </w:rPr>
      </w:pPr>
      <w:r>
        <w:rPr>
          <w:rStyle w:val="17"/>
          <w:rFonts w:hint="eastAsia" w:ascii="仿宋" w:hAnsi="仿宋" w:eastAsia="仿宋"/>
          <w:bCs/>
          <w:color w:val="auto"/>
          <w:sz w:val="32"/>
          <w:szCs w:val="32"/>
          <w:highlight w:val="none"/>
          <w:lang w:val="en-US" w:eastAsia="zh-CN"/>
        </w:rPr>
        <w:t>3</w:t>
      </w:r>
      <w:r>
        <w:rPr>
          <w:rStyle w:val="17"/>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卫生健康支出</w:t>
      </w:r>
      <w:r>
        <w:rPr>
          <w:rStyle w:val="17"/>
          <w:rFonts w:hint="eastAsia" w:ascii="仿宋" w:hAnsi="仿宋" w:eastAsia="仿宋"/>
          <w:bCs/>
          <w:color w:val="auto"/>
          <w:sz w:val="32"/>
          <w:szCs w:val="32"/>
          <w:highlight w:val="none"/>
        </w:rPr>
        <w:t>（类）卫生健康管理事务（款）其他卫生健康管理事务支出（项）2100199</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lang w:val="en-US" w:eastAsia="zh-CN"/>
        </w:rPr>
        <w:t>出决算为0.00万元，完成预算0.00%，决算数小于预算数的主要原因是该项目已验收完成，供应商尚未提供相关付款资料，资金执行进度滞后。</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default" w:ascii="仿宋" w:hAnsi="仿宋" w:eastAsia="仿宋"/>
          <w:b/>
          <w:color w:val="auto"/>
          <w:sz w:val="32"/>
          <w:szCs w:val="32"/>
          <w:highlight w:val="none"/>
          <w:lang w:val="en-US" w:eastAsia="zh-CN"/>
        </w:rPr>
      </w:pPr>
      <w:r>
        <w:rPr>
          <w:rStyle w:val="17"/>
          <w:rFonts w:hint="eastAsia" w:ascii="仿宋" w:hAnsi="仿宋" w:eastAsia="仿宋"/>
          <w:bCs/>
          <w:color w:val="auto"/>
          <w:sz w:val="32"/>
          <w:szCs w:val="32"/>
          <w:highlight w:val="none"/>
          <w:lang w:val="en-US" w:eastAsia="zh-CN"/>
        </w:rPr>
        <w:t>4</w:t>
      </w:r>
      <w:r>
        <w:rPr>
          <w:rStyle w:val="17"/>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卫生健康支出</w:t>
      </w:r>
      <w:r>
        <w:rPr>
          <w:rStyle w:val="17"/>
          <w:rFonts w:hint="eastAsia" w:ascii="仿宋" w:hAnsi="仿宋" w:eastAsia="仿宋"/>
          <w:bCs/>
          <w:color w:val="auto"/>
          <w:sz w:val="32"/>
          <w:szCs w:val="32"/>
          <w:highlight w:val="none"/>
        </w:rPr>
        <w:t>（类）公立医院（款）中医（民族）医院（项）2100202</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3951.94</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38.37</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，决算数小于</w:t>
      </w:r>
      <w:r>
        <w:rPr>
          <w:rStyle w:val="17"/>
          <w:rFonts w:hint="eastAsia" w:ascii="仿宋" w:hAnsi="仿宋" w:eastAsia="仿宋"/>
          <w:b w:val="0"/>
          <w:bCs/>
          <w:color w:val="auto"/>
          <w:sz w:val="32"/>
          <w:szCs w:val="32"/>
          <w:highlight w:val="none"/>
          <w:lang w:val="en-US" w:eastAsia="zh-CN"/>
        </w:rPr>
        <w:t>预算数的主要原因是该项目资金根据工程进度支付工程款，受疫情影响，2022年门诊住院综合楼建设进度较预期滞后。</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Style w:val="17"/>
          <w:rFonts w:hint="eastAsia" w:ascii="仿宋" w:hAnsi="仿宋" w:eastAsia="仿宋"/>
          <w:b w:val="0"/>
          <w:bCs/>
          <w:color w:val="auto"/>
          <w:sz w:val="32"/>
          <w:szCs w:val="32"/>
          <w:highlight w:val="none"/>
          <w:lang w:val="en-US" w:eastAsia="zh-CN"/>
        </w:rPr>
      </w:pPr>
      <w:r>
        <w:rPr>
          <w:rStyle w:val="17"/>
          <w:rFonts w:hint="eastAsia" w:ascii="仿宋" w:hAnsi="仿宋" w:eastAsia="仿宋"/>
          <w:bCs/>
          <w:color w:val="auto"/>
          <w:sz w:val="32"/>
          <w:szCs w:val="32"/>
          <w:highlight w:val="none"/>
          <w:lang w:val="en-US" w:eastAsia="zh-CN"/>
        </w:rPr>
        <w:t>5</w:t>
      </w:r>
      <w:r>
        <w:rPr>
          <w:rStyle w:val="17"/>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卫生健康支出</w:t>
      </w:r>
      <w:r>
        <w:rPr>
          <w:rStyle w:val="17"/>
          <w:rFonts w:hint="eastAsia" w:ascii="仿宋" w:hAnsi="仿宋" w:eastAsia="仿宋"/>
          <w:bCs/>
          <w:color w:val="auto"/>
          <w:sz w:val="32"/>
          <w:szCs w:val="32"/>
          <w:highlight w:val="none"/>
        </w:rPr>
        <w:t>（类）公立医院（款）其他公立医院支出（项）2100299</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2.35</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18.58</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，决算数小于</w:t>
      </w:r>
      <w:r>
        <w:rPr>
          <w:rStyle w:val="17"/>
          <w:rFonts w:hint="eastAsia" w:ascii="仿宋" w:hAnsi="仿宋" w:eastAsia="仿宋"/>
          <w:b w:val="0"/>
          <w:bCs/>
          <w:color w:val="auto"/>
          <w:sz w:val="32"/>
          <w:szCs w:val="32"/>
          <w:highlight w:val="none"/>
          <w:lang w:val="en-US" w:eastAsia="zh-CN"/>
        </w:rPr>
        <w:t>预算数的主要原因是全科医生转岗专项资金受疫情影响一直无法集中开展培训及考试，项目执行进度低于预期。</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Fonts w:hint="default"/>
          <w:lang w:val="en-US" w:eastAsia="zh-CN"/>
        </w:rPr>
      </w:pPr>
      <w:r>
        <w:rPr>
          <w:rStyle w:val="17"/>
          <w:rFonts w:hint="eastAsia" w:ascii="仿宋" w:hAnsi="仿宋" w:eastAsia="仿宋"/>
          <w:bCs/>
          <w:color w:val="auto"/>
          <w:sz w:val="32"/>
          <w:szCs w:val="32"/>
          <w:highlight w:val="none"/>
          <w:lang w:val="en-US" w:eastAsia="zh-CN"/>
        </w:rPr>
        <w:t>6</w:t>
      </w:r>
      <w:r>
        <w:rPr>
          <w:rStyle w:val="17"/>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卫生健康支出</w:t>
      </w:r>
      <w:r>
        <w:rPr>
          <w:rStyle w:val="17"/>
          <w:rFonts w:hint="eastAsia" w:ascii="仿宋" w:hAnsi="仿宋" w:eastAsia="仿宋"/>
          <w:bCs/>
          <w:color w:val="auto"/>
          <w:sz w:val="32"/>
          <w:szCs w:val="32"/>
          <w:highlight w:val="none"/>
        </w:rPr>
        <w:t>（类）公共卫生（款）基本公共卫生服务（项）210040</w:t>
      </w:r>
      <w:r>
        <w:rPr>
          <w:rStyle w:val="17"/>
          <w:rFonts w:hint="eastAsia" w:ascii="仿宋" w:hAnsi="仿宋" w:eastAsia="仿宋"/>
          <w:bCs/>
          <w:color w:val="auto"/>
          <w:sz w:val="32"/>
          <w:szCs w:val="32"/>
          <w:highlight w:val="none"/>
          <w:lang w:val="en-US" w:eastAsia="zh-CN"/>
        </w:rPr>
        <w:t>8</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0.00</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0.00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，决算数小于</w:t>
      </w:r>
      <w:r>
        <w:rPr>
          <w:rStyle w:val="17"/>
          <w:rFonts w:hint="eastAsia" w:ascii="仿宋" w:hAnsi="仿宋" w:eastAsia="仿宋"/>
          <w:b w:val="0"/>
          <w:bCs/>
          <w:color w:val="auto"/>
          <w:sz w:val="32"/>
          <w:szCs w:val="32"/>
          <w:highlight w:val="none"/>
          <w:lang w:val="en-US" w:eastAsia="zh-CN"/>
        </w:rPr>
        <w:t>预算数的主要原因是该项目资金主要用于购置信息软件，</w:t>
      </w:r>
      <w:r>
        <w:rPr>
          <w:rFonts w:hint="eastAsia" w:eastAsia="仿宋_GB2312" w:cs="Times New Roman"/>
          <w:sz w:val="32"/>
          <w:lang w:val="en-US" w:eastAsia="zh-CN"/>
        </w:rPr>
        <w:t>软件入库需要前期设计、安装、调试等环节，项目实施周期长。</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outlineLvl w:val="9"/>
        <w:rPr>
          <w:rStyle w:val="17"/>
          <w:rFonts w:hint="eastAsia" w:ascii="仿宋" w:hAnsi="仿宋" w:eastAsia="仿宋"/>
          <w:b w:val="0"/>
          <w:bCs/>
          <w:color w:val="auto"/>
          <w:sz w:val="32"/>
          <w:szCs w:val="32"/>
          <w:highlight w:val="none"/>
          <w:lang w:val="en-US" w:eastAsia="zh-CN"/>
        </w:rPr>
      </w:pPr>
      <w:r>
        <w:rPr>
          <w:rStyle w:val="17"/>
          <w:rFonts w:hint="eastAsia" w:ascii="仿宋" w:hAnsi="仿宋" w:eastAsia="仿宋"/>
          <w:bCs/>
          <w:color w:val="auto"/>
          <w:sz w:val="32"/>
          <w:szCs w:val="32"/>
          <w:highlight w:val="none"/>
          <w:lang w:val="en-US" w:eastAsia="zh-CN"/>
        </w:rPr>
        <w:t>7</w:t>
      </w:r>
      <w:r>
        <w:rPr>
          <w:rStyle w:val="17"/>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卫生健康支出</w:t>
      </w:r>
      <w:r>
        <w:rPr>
          <w:rStyle w:val="17"/>
          <w:rFonts w:hint="eastAsia" w:ascii="仿宋" w:hAnsi="仿宋" w:eastAsia="仿宋"/>
          <w:bCs/>
          <w:color w:val="auto"/>
          <w:sz w:val="32"/>
          <w:szCs w:val="32"/>
          <w:highlight w:val="none"/>
        </w:rPr>
        <w:t>（类）公共卫生（款）重大公共卫生服务（项）2100409</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15.88</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80.51</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，决算数小于</w:t>
      </w:r>
      <w:r>
        <w:rPr>
          <w:rStyle w:val="17"/>
          <w:rFonts w:hint="eastAsia" w:ascii="仿宋" w:hAnsi="仿宋" w:eastAsia="仿宋"/>
          <w:b w:val="0"/>
          <w:bCs/>
          <w:color w:val="auto"/>
          <w:sz w:val="32"/>
          <w:szCs w:val="32"/>
          <w:highlight w:val="none"/>
          <w:lang w:val="en-US" w:eastAsia="zh-CN"/>
        </w:rPr>
        <w:t>预算数的主要原因是艾滋病专项项目正在执行中，因此资金未使用完毕。</w:t>
      </w:r>
    </w:p>
    <w:p>
      <w:pPr>
        <w:pStyle w:val="2"/>
        <w:keepNext w:val="0"/>
        <w:keepLines w:val="0"/>
        <w:pageBreakBefore w:val="0"/>
        <w:widowControl w:val="0"/>
        <w:kinsoku/>
        <w:wordWrap/>
        <w:overflowPunct/>
        <w:topLinePunct w:val="0"/>
        <w:bidi w:val="0"/>
        <w:snapToGrid/>
        <w:spacing w:line="360" w:lineRule="auto"/>
        <w:textAlignment w:val="auto"/>
        <w:rPr>
          <w:rFonts w:hint="default"/>
          <w:lang w:val="en-US" w:eastAsia="zh-CN"/>
        </w:rPr>
      </w:pPr>
      <w:r>
        <w:rPr>
          <w:rStyle w:val="17"/>
          <w:rFonts w:hint="eastAsia" w:ascii="仿宋" w:hAnsi="仿宋" w:eastAsia="仿宋"/>
          <w:bCs/>
          <w:color w:val="auto"/>
          <w:sz w:val="32"/>
          <w:szCs w:val="32"/>
          <w:highlight w:val="none"/>
          <w:lang w:val="en-US" w:eastAsia="zh-CN"/>
        </w:rPr>
        <w:t>8</w:t>
      </w:r>
      <w:r>
        <w:rPr>
          <w:rStyle w:val="17"/>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卫生健康支出</w:t>
      </w:r>
      <w:r>
        <w:rPr>
          <w:rStyle w:val="17"/>
          <w:rFonts w:hint="eastAsia" w:ascii="仿宋" w:hAnsi="仿宋" w:eastAsia="仿宋"/>
          <w:bCs/>
          <w:color w:val="auto"/>
          <w:sz w:val="32"/>
          <w:szCs w:val="32"/>
          <w:highlight w:val="none"/>
        </w:rPr>
        <w:t>（类）公共卫生（款）突发公共卫生事件应急处理（项）2100410</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0.00</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0.00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，决算数小于</w:t>
      </w:r>
      <w:r>
        <w:rPr>
          <w:rStyle w:val="17"/>
          <w:rFonts w:hint="eastAsia" w:ascii="仿宋" w:hAnsi="仿宋" w:eastAsia="仿宋"/>
          <w:b w:val="0"/>
          <w:bCs/>
          <w:color w:val="auto"/>
          <w:sz w:val="32"/>
          <w:szCs w:val="32"/>
          <w:highlight w:val="none"/>
          <w:lang w:val="en-US" w:eastAsia="zh-CN"/>
        </w:rPr>
        <w:t>预算数的主要原因是该项目已执行完毕，资金支付执行进度滞后。</w:t>
      </w:r>
    </w:p>
    <w:p>
      <w:pPr>
        <w:pStyle w:val="22"/>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Style w:val="17"/>
          <w:rFonts w:hint="default" w:ascii="仿宋" w:hAnsi="仿宋" w:eastAsia="仿宋"/>
          <w:b w:val="0"/>
          <w:bCs/>
          <w:color w:val="auto"/>
          <w:sz w:val="32"/>
          <w:szCs w:val="32"/>
          <w:highlight w:val="yellow"/>
          <w:lang w:val="en-US" w:eastAsia="zh-CN"/>
        </w:rPr>
      </w:pPr>
      <w:r>
        <w:rPr>
          <w:rStyle w:val="17"/>
          <w:rFonts w:hint="eastAsia" w:ascii="仿宋" w:hAnsi="仿宋" w:eastAsia="仿宋"/>
          <w:bCs/>
          <w:color w:val="auto"/>
          <w:sz w:val="32"/>
          <w:szCs w:val="32"/>
          <w:highlight w:val="none"/>
          <w:lang w:val="en-US" w:eastAsia="zh-CN"/>
        </w:rPr>
        <w:t>9</w:t>
      </w:r>
      <w:r>
        <w:rPr>
          <w:rStyle w:val="17"/>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卫生健康支出</w:t>
      </w:r>
      <w:r>
        <w:rPr>
          <w:rStyle w:val="17"/>
          <w:rFonts w:hint="eastAsia" w:ascii="仿宋" w:hAnsi="仿宋" w:eastAsia="仿宋"/>
          <w:bCs/>
          <w:color w:val="auto"/>
          <w:sz w:val="32"/>
          <w:szCs w:val="32"/>
          <w:highlight w:val="none"/>
        </w:rPr>
        <w:t>（类）公共卫生（款）重大公共卫生服务支出（项）2100499</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0.75</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17.87</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，决算数小于</w:t>
      </w:r>
      <w:r>
        <w:rPr>
          <w:rStyle w:val="17"/>
          <w:rFonts w:hint="eastAsia" w:ascii="仿宋" w:hAnsi="仿宋" w:eastAsia="仿宋"/>
          <w:b w:val="0"/>
          <w:bCs/>
          <w:color w:val="auto"/>
          <w:sz w:val="32"/>
          <w:szCs w:val="32"/>
          <w:highlight w:val="none"/>
          <w:lang w:val="en-US" w:eastAsia="zh-CN"/>
        </w:rPr>
        <w:t>预算数的主要原因是该项目正在执行中。</w:t>
      </w:r>
    </w:p>
    <w:p>
      <w:pPr>
        <w:pStyle w:val="22"/>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ascii="仿宋_GB2312" w:hAnsi="宋体" w:cs="宋体"/>
          <w:b w:val="0"/>
          <w:bCs w:val="0"/>
          <w:color w:val="000000"/>
          <w:kern w:val="0"/>
          <w:szCs w:val="32"/>
          <w:highlight w:val="none"/>
          <w:shd w:val="clear" w:color="auto" w:fill="FFFFFF"/>
          <w:lang w:val="en-US" w:eastAsia="zh-CN"/>
        </w:rPr>
      </w:pPr>
      <w:r>
        <w:rPr>
          <w:rStyle w:val="17"/>
          <w:rFonts w:hint="eastAsia" w:ascii="仿宋" w:hAnsi="仿宋" w:eastAsia="仿宋"/>
          <w:bCs/>
          <w:color w:val="auto"/>
          <w:sz w:val="32"/>
          <w:szCs w:val="32"/>
          <w:highlight w:val="none"/>
          <w:lang w:val="en-US" w:eastAsia="zh-CN"/>
        </w:rPr>
        <w:t>10</w:t>
      </w:r>
      <w:r>
        <w:rPr>
          <w:rStyle w:val="17"/>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卫生健康支出</w:t>
      </w:r>
      <w:r>
        <w:rPr>
          <w:rStyle w:val="17"/>
          <w:rFonts w:hint="eastAsia" w:ascii="仿宋" w:hAnsi="仿宋" w:eastAsia="仿宋"/>
          <w:bCs/>
          <w:color w:val="auto"/>
          <w:sz w:val="32"/>
          <w:szCs w:val="32"/>
          <w:highlight w:val="none"/>
        </w:rPr>
        <w:t>（类）中医药（款）中医（民族医）药专项（项）2100601</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653.33</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62.88</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，决算数小于</w:t>
      </w:r>
      <w:r>
        <w:rPr>
          <w:rStyle w:val="17"/>
          <w:rFonts w:hint="eastAsia" w:ascii="仿宋" w:hAnsi="仿宋" w:eastAsia="仿宋"/>
          <w:b w:val="0"/>
          <w:bCs/>
          <w:color w:val="auto"/>
          <w:sz w:val="32"/>
          <w:szCs w:val="32"/>
          <w:highlight w:val="none"/>
          <w:lang w:val="en-US" w:eastAsia="zh-CN"/>
        </w:rPr>
        <w:t>预算数的主</w:t>
      </w:r>
      <w:r>
        <w:rPr>
          <w:rStyle w:val="17"/>
          <w:rFonts w:hint="eastAsia" w:ascii="仿宋" w:hAnsi="仿宋" w:eastAsia="仿宋" w:cs="Times New Roman"/>
          <w:b w:val="0"/>
          <w:bCs/>
          <w:color w:val="auto"/>
          <w:sz w:val="32"/>
          <w:szCs w:val="32"/>
          <w:highlight w:val="none"/>
          <w:lang w:val="en-US" w:eastAsia="zh-CN"/>
        </w:rPr>
        <w:t>要原因是购置的设备从采购招标、安装试用，到验收入账流程环节较多耗时较长。</w:t>
      </w:r>
    </w:p>
    <w:p>
      <w:pPr>
        <w:pStyle w:val="22"/>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Style w:val="17"/>
          <w:rFonts w:hint="eastAsia" w:ascii="仿宋" w:hAnsi="仿宋" w:eastAsia="仿宋"/>
          <w:b w:val="0"/>
          <w:bCs/>
          <w:color w:val="auto"/>
          <w:sz w:val="32"/>
          <w:szCs w:val="32"/>
          <w:highlight w:val="none"/>
          <w:lang w:eastAsia="zh-CN"/>
        </w:rPr>
      </w:pPr>
      <w:r>
        <w:rPr>
          <w:rStyle w:val="17"/>
          <w:rFonts w:hint="eastAsia" w:ascii="仿宋" w:hAnsi="仿宋" w:eastAsia="仿宋"/>
          <w:bCs/>
          <w:color w:val="auto"/>
          <w:sz w:val="32"/>
          <w:szCs w:val="32"/>
          <w:highlight w:val="none"/>
          <w:lang w:val="en-US" w:eastAsia="zh-CN"/>
        </w:rPr>
        <w:t>11</w:t>
      </w:r>
      <w:r>
        <w:rPr>
          <w:rStyle w:val="17"/>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卫生健康支出</w:t>
      </w:r>
      <w:r>
        <w:rPr>
          <w:rStyle w:val="17"/>
          <w:rFonts w:hint="eastAsia" w:ascii="仿宋" w:hAnsi="仿宋" w:eastAsia="仿宋"/>
          <w:bCs/>
          <w:color w:val="auto"/>
          <w:sz w:val="32"/>
          <w:szCs w:val="32"/>
          <w:highlight w:val="none"/>
        </w:rPr>
        <w:t>（类）中医药（款）其他中医药支出（项）2100699</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1.62</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lang w:eastAsia="zh-CN"/>
        </w:rPr>
        <w:t>。</w:t>
      </w:r>
    </w:p>
    <w:p>
      <w:pPr>
        <w:pStyle w:val="22"/>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default" w:ascii="仿宋" w:hAnsi="仿宋" w:eastAsia="仿宋"/>
          <w:b/>
          <w:color w:val="auto"/>
          <w:sz w:val="32"/>
          <w:szCs w:val="32"/>
          <w:highlight w:val="none"/>
          <w:lang w:val="en-US"/>
        </w:rPr>
      </w:pPr>
      <w:r>
        <w:rPr>
          <w:rStyle w:val="17"/>
          <w:rFonts w:hint="eastAsia" w:ascii="仿宋" w:hAnsi="仿宋" w:eastAsia="仿宋"/>
          <w:bCs/>
          <w:color w:val="auto"/>
          <w:sz w:val="32"/>
          <w:szCs w:val="32"/>
          <w:highlight w:val="none"/>
          <w:lang w:val="en-US" w:eastAsia="zh-CN"/>
        </w:rPr>
        <w:t>12</w:t>
      </w:r>
      <w:r>
        <w:rPr>
          <w:rStyle w:val="17"/>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卫生健康支出</w:t>
      </w:r>
      <w:r>
        <w:rPr>
          <w:rStyle w:val="17"/>
          <w:rFonts w:hint="eastAsia" w:ascii="仿宋" w:hAnsi="仿宋" w:eastAsia="仿宋"/>
          <w:bCs/>
          <w:color w:val="auto"/>
          <w:sz w:val="32"/>
          <w:szCs w:val="32"/>
          <w:highlight w:val="none"/>
        </w:rPr>
        <w:t>（类）其他卫生健康支出（款）其他卫生健康支出（项）2109999</w:t>
      </w:r>
      <w:r>
        <w:rPr>
          <w:rStyle w:val="17"/>
          <w:rFonts w:ascii="仿宋" w:hAnsi="仿宋" w:eastAsia="仿宋"/>
          <w:bCs/>
          <w:color w:val="auto"/>
          <w:sz w:val="32"/>
          <w:szCs w:val="32"/>
          <w:highlight w:val="none"/>
        </w:rPr>
        <w:t>:</w:t>
      </w:r>
      <w:r>
        <w:rPr>
          <w:rStyle w:val="17"/>
          <w:rFonts w:hint="eastAsia" w:ascii="仿宋" w:hAnsi="仿宋" w:eastAsia="仿宋"/>
          <w:b w:val="0"/>
          <w:bCs/>
          <w:color w:val="auto"/>
          <w:sz w:val="32"/>
          <w:szCs w:val="32"/>
          <w:highlight w:val="none"/>
        </w:rPr>
        <w:t>支出决算为</w:t>
      </w:r>
      <w:r>
        <w:rPr>
          <w:rStyle w:val="17"/>
          <w:rFonts w:hint="eastAsia" w:ascii="仿宋" w:hAnsi="仿宋" w:eastAsia="仿宋"/>
          <w:b w:val="0"/>
          <w:bCs/>
          <w:color w:val="auto"/>
          <w:sz w:val="32"/>
          <w:szCs w:val="32"/>
          <w:highlight w:val="none"/>
          <w:lang w:val="en-US" w:eastAsia="zh-CN"/>
        </w:rPr>
        <w:t>551.41</w:t>
      </w:r>
      <w:r>
        <w:rPr>
          <w:rStyle w:val="17"/>
          <w:rFonts w:hint="eastAsia" w:ascii="仿宋" w:hAnsi="仿宋" w:eastAsia="仿宋"/>
          <w:b w:val="0"/>
          <w:bCs/>
          <w:color w:val="auto"/>
          <w:sz w:val="32"/>
          <w:szCs w:val="32"/>
          <w:highlight w:val="none"/>
        </w:rPr>
        <w:t>万元，完成预算</w:t>
      </w:r>
      <w:r>
        <w:rPr>
          <w:rStyle w:val="17"/>
          <w:rFonts w:hint="eastAsia" w:ascii="仿宋" w:hAnsi="仿宋" w:eastAsia="仿宋"/>
          <w:b w:val="0"/>
          <w:bCs/>
          <w:color w:val="auto"/>
          <w:sz w:val="32"/>
          <w:szCs w:val="32"/>
          <w:highlight w:val="none"/>
          <w:lang w:val="en-US" w:eastAsia="zh-CN"/>
        </w:rPr>
        <w:t>54.43</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，决算数小于</w:t>
      </w:r>
      <w:r>
        <w:rPr>
          <w:rStyle w:val="17"/>
          <w:rFonts w:hint="eastAsia" w:ascii="仿宋" w:hAnsi="仿宋" w:eastAsia="仿宋"/>
          <w:b w:val="0"/>
          <w:bCs/>
          <w:color w:val="auto"/>
          <w:sz w:val="32"/>
          <w:szCs w:val="32"/>
          <w:highlight w:val="none"/>
          <w:lang w:val="en-US" w:eastAsia="zh-CN"/>
        </w:rPr>
        <w:t>预算数的主要原因是该项资金主要为规培资金，2022年规培的实施年度为2022年8月-2023年7月。</w:t>
      </w:r>
    </w:p>
    <w:p>
      <w:pPr>
        <w:keepNext w:val="0"/>
        <w:keepLines w:val="0"/>
        <w:pageBreakBefore w:val="0"/>
        <w:widowControl w:val="0"/>
        <w:tabs>
          <w:tab w:val="right" w:pos="8306"/>
        </w:tabs>
        <w:kinsoku/>
        <w:wordWrap/>
        <w:overflowPunct/>
        <w:topLinePunct w:val="0"/>
        <w:bidi w:val="0"/>
        <w:snapToGrid/>
        <w:spacing w:line="360" w:lineRule="auto"/>
        <w:ind w:firstLine="640"/>
        <w:textAlignment w:val="auto"/>
        <w:outlineLvl w:val="1"/>
        <w:rPr>
          <w:rStyle w:val="20"/>
          <w:color w:val="auto"/>
          <w:highlight w:val="none"/>
        </w:rPr>
      </w:pPr>
      <w:bookmarkStart w:id="58" w:name="_Toc15377214"/>
      <w:bookmarkStart w:id="59" w:name="_Toc19999"/>
      <w:bookmarkStart w:id="60"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0"/>
          <w:rFonts w:hint="eastAsia" w:ascii="黑体" w:hAnsi="黑体" w:eastAsia="黑体"/>
          <w:b w:val="0"/>
          <w:color w:val="auto"/>
          <w:highlight w:val="none"/>
        </w:rPr>
        <w:t>般公共预算财政拨款基本支出决算情况说明</w:t>
      </w:r>
      <w:bookmarkEnd w:id="58"/>
      <w:bookmarkEnd w:id="59"/>
      <w:bookmarkEnd w:id="60"/>
      <w:r>
        <w:rPr>
          <w:rStyle w:val="20"/>
          <w:rFonts w:ascii="黑体" w:hAnsi="黑体" w:eastAsia="黑体"/>
          <w:b w:val="0"/>
          <w:color w:val="auto"/>
          <w:highlight w:val="none"/>
        </w:rPr>
        <w:tab/>
      </w:r>
    </w:p>
    <w:p>
      <w:pPr>
        <w:keepNext w:val="0"/>
        <w:keepLines w:val="0"/>
        <w:pageBreakBefore w:val="0"/>
        <w:widowControl w:val="0"/>
        <w:kinsoku/>
        <w:wordWrap/>
        <w:overflowPunct/>
        <w:topLinePunct w:val="0"/>
        <w:bidi w:val="0"/>
        <w:snapToGrid/>
        <w:spacing w:line="360" w:lineRule="auto"/>
        <w:ind w:firstLine="645"/>
        <w:textAlignment w:val="auto"/>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300.00</w:t>
      </w:r>
      <w:r>
        <w:rPr>
          <w:rFonts w:hint="eastAsia" w:ascii="仿宋" w:hAnsi="仿宋" w:eastAsia="仿宋"/>
          <w:color w:val="auto"/>
          <w:sz w:val="32"/>
          <w:szCs w:val="32"/>
          <w:highlight w:val="none"/>
        </w:rPr>
        <w:t>万元，其中：人员经费</w:t>
      </w:r>
      <w:r>
        <w:rPr>
          <w:rFonts w:hint="eastAsia" w:ascii="仿宋" w:hAnsi="仿宋" w:eastAsia="仿宋"/>
          <w:color w:val="auto"/>
          <w:sz w:val="32"/>
          <w:szCs w:val="32"/>
          <w:highlight w:val="none"/>
          <w:lang w:val="en-US" w:eastAsia="zh-CN"/>
        </w:rPr>
        <w:t>300.00</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全部为</w:t>
      </w:r>
      <w:r>
        <w:rPr>
          <w:rFonts w:hint="eastAsia" w:ascii="仿宋" w:hAnsi="仿宋" w:eastAsia="仿宋"/>
          <w:color w:val="auto"/>
          <w:sz w:val="32"/>
          <w:szCs w:val="32"/>
          <w:highlight w:val="none"/>
        </w:rPr>
        <w:t>基本工资</w:t>
      </w:r>
      <w:r>
        <w:rPr>
          <w:rFonts w:hint="eastAsia" w:ascii="仿宋" w:hAnsi="仿宋" w:eastAsia="仿宋"/>
          <w:color w:val="auto"/>
          <w:sz w:val="32"/>
          <w:szCs w:val="32"/>
          <w:highlight w:val="none"/>
          <w:lang w:eastAsia="zh-CN"/>
        </w:rPr>
        <w:t>。</w:t>
      </w:r>
    </w:p>
    <w:p>
      <w:pPr>
        <w:pStyle w:val="2"/>
        <w:keepNext w:val="0"/>
        <w:keepLines w:val="0"/>
        <w:pageBreakBefore w:val="0"/>
        <w:widowControl w:val="0"/>
        <w:kinsoku/>
        <w:wordWrap/>
        <w:overflowPunct/>
        <w:topLinePunct w:val="0"/>
        <w:bidi w:val="0"/>
        <w:snapToGrid/>
        <w:spacing w:line="360" w:lineRule="auto"/>
        <w:textAlignment w:val="auto"/>
      </w:pPr>
      <w:r>
        <w:rPr>
          <w:rFonts w:hint="eastAsia" w:ascii="仿宋" w:hAnsi="仿宋" w:eastAsia="仿宋"/>
          <w:color w:val="auto"/>
          <w:sz w:val="32"/>
          <w:szCs w:val="32"/>
          <w:highlight w:val="none"/>
          <w:lang w:val="en-US" w:eastAsia="zh-CN"/>
        </w:rPr>
        <w:t>公用经费0.00万元。</w:t>
      </w:r>
    </w:p>
    <w:p>
      <w:pPr>
        <w:keepNext w:val="0"/>
        <w:keepLines w:val="0"/>
        <w:pageBreakBefore w:val="0"/>
        <w:widowControl w:val="0"/>
        <w:kinsoku/>
        <w:wordWrap/>
        <w:overflowPunct/>
        <w:topLinePunct w:val="0"/>
        <w:bidi w:val="0"/>
        <w:snapToGrid/>
        <w:spacing w:line="360" w:lineRule="auto"/>
        <w:ind w:firstLine="640"/>
        <w:textAlignment w:val="auto"/>
        <w:outlineLvl w:val="1"/>
        <w:rPr>
          <w:rStyle w:val="20"/>
          <w:rFonts w:ascii="黑体" w:hAnsi="黑体" w:eastAsia="黑体"/>
          <w:b w:val="0"/>
          <w:color w:val="auto"/>
          <w:highlight w:val="none"/>
        </w:rPr>
      </w:pPr>
      <w:bookmarkStart w:id="61" w:name="_Toc15396609"/>
      <w:bookmarkStart w:id="62" w:name="_Toc15377215"/>
      <w:bookmarkStart w:id="63" w:name="_Toc546"/>
      <w:r>
        <w:rPr>
          <w:rFonts w:hint="eastAsia" w:ascii="黑体" w:eastAsia="黑体"/>
          <w:color w:val="auto"/>
          <w:sz w:val="32"/>
          <w:szCs w:val="32"/>
          <w:highlight w:val="none"/>
        </w:rPr>
        <w:t>七、</w:t>
      </w:r>
      <w:r>
        <w:rPr>
          <w:rStyle w:val="20"/>
          <w:rFonts w:hint="eastAsia" w:ascii="黑体" w:hAnsi="黑体" w:eastAsia="黑体"/>
          <w:b w:val="0"/>
          <w:color w:val="auto"/>
          <w:highlight w:val="none"/>
        </w:rPr>
        <w:t>财政拨款</w:t>
      </w:r>
      <w:r>
        <w:rPr>
          <w:rStyle w:val="20"/>
          <w:rFonts w:hint="eastAsia" w:ascii="黑体" w:hAnsi="黑体" w:eastAsia="黑体"/>
          <w:color w:val="auto"/>
          <w:highlight w:val="none"/>
        </w:rPr>
        <w:t>“</w:t>
      </w:r>
      <w:r>
        <w:rPr>
          <w:rStyle w:val="20"/>
          <w:rFonts w:hint="eastAsia" w:ascii="黑体" w:hAnsi="黑体" w:eastAsia="黑体"/>
          <w:b w:val="0"/>
          <w:color w:val="auto"/>
          <w:highlight w:val="none"/>
        </w:rPr>
        <w:t>三公”经费支出决算情况说明</w:t>
      </w:r>
      <w:bookmarkEnd w:id="61"/>
      <w:bookmarkEnd w:id="62"/>
      <w:bookmarkEnd w:id="63"/>
    </w:p>
    <w:p>
      <w:pPr>
        <w:keepNext w:val="0"/>
        <w:keepLines w:val="0"/>
        <w:pageBreakBefore w:val="0"/>
        <w:widowControl w:val="0"/>
        <w:kinsoku/>
        <w:wordWrap/>
        <w:overflowPunct/>
        <w:topLinePunct w:val="0"/>
        <w:bidi w:val="0"/>
        <w:snapToGrid/>
        <w:spacing w:line="360" w:lineRule="auto"/>
        <w:ind w:firstLine="640"/>
        <w:textAlignment w:val="auto"/>
        <w:outlineLvl w:val="2"/>
        <w:rPr>
          <w:rFonts w:ascii="仿宋" w:hAnsi="仿宋" w:eastAsia="仿宋"/>
          <w:b/>
          <w:color w:val="auto"/>
          <w:sz w:val="32"/>
          <w:szCs w:val="32"/>
          <w:highlight w:val="none"/>
        </w:rPr>
      </w:pPr>
      <w:bookmarkStart w:id="64" w:name="_Toc3082"/>
      <w:bookmarkStart w:id="65" w:name="_Toc15377216"/>
      <w:r>
        <w:rPr>
          <w:rFonts w:hint="eastAsia" w:ascii="仿宋" w:hAnsi="仿宋" w:eastAsia="仿宋"/>
          <w:b/>
          <w:color w:val="auto"/>
          <w:sz w:val="32"/>
          <w:szCs w:val="32"/>
          <w:highlight w:val="none"/>
        </w:rPr>
        <w:t>（一）“三公”经费财政拨款支出决算总体情况说明</w:t>
      </w:r>
      <w:bookmarkEnd w:id="64"/>
      <w:bookmarkEnd w:id="65"/>
    </w:p>
    <w:p>
      <w:pPr>
        <w:keepNext w:val="0"/>
        <w:keepLines w:val="0"/>
        <w:pageBreakBefore w:val="0"/>
        <w:widowControl w:val="0"/>
        <w:kinsoku/>
        <w:wordWrap/>
        <w:overflowPunct/>
        <w:topLinePunct w:val="0"/>
        <w:bidi w:val="0"/>
        <w:snapToGrid/>
        <w:spacing w:line="360" w:lineRule="auto"/>
        <w:ind w:firstLine="640"/>
        <w:textAlignment w:val="auto"/>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0.00</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0.00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无变化。</w:t>
      </w:r>
    </w:p>
    <w:p>
      <w:pPr>
        <w:keepNext w:val="0"/>
        <w:keepLines w:val="0"/>
        <w:pageBreakBefore w:val="0"/>
        <w:widowControl w:val="0"/>
        <w:kinsoku/>
        <w:wordWrap/>
        <w:overflowPunct/>
        <w:topLinePunct w:val="0"/>
        <w:bidi w:val="0"/>
        <w:snapToGrid/>
        <w:spacing w:line="360" w:lineRule="auto"/>
        <w:ind w:firstLine="640"/>
        <w:textAlignment w:val="auto"/>
        <w:outlineLvl w:val="2"/>
        <w:rPr>
          <w:rFonts w:ascii="仿宋" w:hAnsi="仿宋" w:eastAsia="仿宋"/>
          <w:b/>
          <w:color w:val="auto"/>
          <w:sz w:val="32"/>
          <w:szCs w:val="32"/>
          <w:highlight w:val="none"/>
        </w:rPr>
      </w:pPr>
      <w:bookmarkStart w:id="66" w:name="_Toc811"/>
      <w:bookmarkStart w:id="67" w:name="_Toc15377217"/>
      <w:r>
        <w:rPr>
          <w:rFonts w:hint="eastAsia" w:ascii="仿宋" w:hAnsi="仿宋" w:eastAsia="仿宋"/>
          <w:b/>
          <w:color w:val="auto"/>
          <w:sz w:val="32"/>
          <w:szCs w:val="32"/>
          <w:highlight w:val="none"/>
        </w:rPr>
        <w:t>（二）“三公”经费财政拨款支出决算具体情况说明</w:t>
      </w:r>
      <w:bookmarkEnd w:id="66"/>
      <w:bookmarkEnd w:id="67"/>
    </w:p>
    <w:p>
      <w:pPr>
        <w:keepNext w:val="0"/>
        <w:keepLines w:val="0"/>
        <w:pageBreakBefore w:val="0"/>
        <w:widowControl w:val="0"/>
        <w:kinsoku/>
        <w:wordWrap/>
        <w:overflowPunct/>
        <w:topLinePunct w:val="0"/>
        <w:bidi w:val="0"/>
        <w:snapToGrid/>
        <w:spacing w:line="360" w:lineRule="auto"/>
        <w:ind w:firstLine="640"/>
        <w:textAlignment w:val="auto"/>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0.00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0.00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0.00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keepNext w:val="0"/>
        <w:keepLines w:val="0"/>
        <w:pageBreakBefore w:val="0"/>
        <w:widowControl w:val="0"/>
        <w:kinsoku/>
        <w:wordWrap/>
        <w:overflowPunct/>
        <w:topLinePunct w:val="0"/>
        <w:bidi w:val="0"/>
        <w:snapToGrid/>
        <w:spacing w:line="360" w:lineRule="auto"/>
        <w:ind w:firstLine="640"/>
        <w:textAlignment w:val="auto"/>
        <w:rPr>
          <w:rFonts w:hint="eastAsia"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rPr>
        <w:t>万元，</w:t>
      </w:r>
      <w:r>
        <w:rPr>
          <w:rStyle w:val="17"/>
          <w:rFonts w:hint="eastAsia" w:ascii="仿宋" w:hAnsi="仿宋" w:eastAsia="仿宋"/>
          <w:b w:val="0"/>
          <w:bCs/>
          <w:color w:val="auto"/>
          <w:sz w:val="32"/>
          <w:szCs w:val="32"/>
          <w:highlight w:val="none"/>
          <w:lang w:val="en-US" w:eastAsia="zh-CN"/>
        </w:rPr>
        <w:t>年初未安排预算，因公出国（境）支出决算较2021年无变化。</w:t>
      </w:r>
    </w:p>
    <w:p>
      <w:pPr>
        <w:keepNext w:val="0"/>
        <w:keepLines w:val="0"/>
        <w:pageBreakBefore w:val="0"/>
        <w:widowControl w:val="0"/>
        <w:kinsoku/>
        <w:wordWrap/>
        <w:overflowPunct/>
        <w:topLinePunct w:val="0"/>
        <w:bidi w:val="0"/>
        <w:snapToGrid/>
        <w:spacing w:line="360" w:lineRule="auto"/>
        <w:ind w:firstLine="640"/>
        <w:textAlignment w:val="auto"/>
        <w:rPr>
          <w:rStyle w:val="17"/>
          <w:rFonts w:hint="eastAsia" w:ascii="仿宋" w:hAnsi="仿宋" w:eastAsia="仿宋"/>
          <w:b w:val="0"/>
          <w:bCs/>
          <w:color w:val="auto"/>
          <w:sz w:val="32"/>
          <w:szCs w:val="32"/>
          <w:highlight w:val="none"/>
          <w:lang w:val="en-US" w:eastAsia="zh-CN"/>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rPr>
        <w:t>万元,</w:t>
      </w:r>
      <w:r>
        <w:rPr>
          <w:rStyle w:val="17"/>
          <w:rFonts w:hint="eastAsia" w:ascii="仿宋" w:hAnsi="仿宋" w:eastAsia="仿宋"/>
          <w:b w:val="0"/>
          <w:bCs/>
          <w:color w:val="auto"/>
          <w:sz w:val="32"/>
          <w:szCs w:val="32"/>
          <w:highlight w:val="none"/>
          <w:lang w:val="en-US" w:eastAsia="zh-CN"/>
        </w:rPr>
        <w:t>完成预算0.00%，公务用车购置及运行维护费支出决算较2021年无变化。</w:t>
      </w:r>
    </w:p>
    <w:p>
      <w:pPr>
        <w:keepNext w:val="0"/>
        <w:keepLines w:val="0"/>
        <w:pageBreakBefore w:val="0"/>
        <w:widowControl w:val="0"/>
        <w:kinsoku/>
        <w:wordWrap/>
        <w:overflowPunct/>
        <w:topLinePunct w:val="0"/>
        <w:bidi w:val="0"/>
        <w:snapToGrid/>
        <w:spacing w:line="360" w:lineRule="auto"/>
        <w:ind w:firstLine="640"/>
        <w:textAlignment w:val="auto"/>
        <w:rPr>
          <w:rStyle w:val="17"/>
          <w:rFonts w:hint="eastAsia" w:ascii="仿宋" w:hAnsi="仿宋" w:eastAsia="仿宋"/>
          <w:b w:val="0"/>
          <w:bCs/>
          <w:color w:val="auto"/>
          <w:sz w:val="32"/>
          <w:szCs w:val="32"/>
          <w:highlight w:val="none"/>
          <w:lang w:val="en-US" w:eastAsia="zh-CN"/>
        </w:rPr>
      </w:pPr>
      <w:r>
        <w:rPr>
          <w:rStyle w:val="17"/>
          <w:rFonts w:hint="eastAsia" w:ascii="仿宋" w:hAnsi="仿宋" w:eastAsia="仿宋"/>
          <w:b w:val="0"/>
          <w:bCs/>
          <w:color w:val="auto"/>
          <w:sz w:val="32"/>
          <w:szCs w:val="32"/>
          <w:highlight w:val="none"/>
          <w:lang w:val="en-US" w:eastAsia="zh-CN"/>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Style w:val="17"/>
          <w:rFonts w:hint="eastAsia" w:ascii="仿宋" w:hAnsi="仿宋" w:eastAsia="仿宋"/>
          <w:b w:val="0"/>
          <w:bCs/>
          <w:color w:val="auto"/>
          <w:sz w:val="32"/>
          <w:szCs w:val="32"/>
          <w:highlight w:val="none"/>
          <w:lang w:val="en-US" w:eastAsia="zh-CN"/>
        </w:rPr>
        <w:t>截至2022年12月底，单位共有公务用车0辆。</w:t>
      </w:r>
    </w:p>
    <w:p>
      <w:pPr>
        <w:keepNext w:val="0"/>
        <w:keepLines w:val="0"/>
        <w:pageBreakBefore w:val="0"/>
        <w:widowControl w:val="0"/>
        <w:kinsoku/>
        <w:wordWrap/>
        <w:overflowPunct/>
        <w:topLinePunct w:val="0"/>
        <w:bidi w:val="0"/>
        <w:snapToGrid/>
        <w:spacing w:line="360" w:lineRule="auto"/>
        <w:ind w:firstLine="640"/>
        <w:textAlignment w:val="auto"/>
        <w:rPr>
          <w:rFonts w:hint="eastAsia" w:ascii="仿宋_GB2312" w:eastAsia="仿宋_GB2312"/>
          <w:color w:val="auto"/>
          <w:sz w:val="32"/>
          <w:szCs w:val="32"/>
          <w:highlight w:val="none"/>
          <w:lang w:val="en-US" w:eastAsia="zh-CN"/>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snapToGrid/>
        <w:spacing w:line="360" w:lineRule="auto"/>
        <w:ind w:firstLine="640"/>
        <w:textAlignment w:val="auto"/>
        <w:rPr>
          <w:rFonts w:hint="eastAsia"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rPr>
        <w:t>万元，</w:t>
      </w:r>
      <w:r>
        <w:rPr>
          <w:rStyle w:val="17"/>
          <w:rFonts w:hint="eastAsia" w:ascii="仿宋" w:hAnsi="仿宋" w:eastAsia="仿宋"/>
          <w:b w:val="0"/>
          <w:bCs/>
          <w:color w:val="auto"/>
          <w:sz w:val="32"/>
          <w:szCs w:val="32"/>
          <w:highlight w:val="none"/>
        </w:rPr>
        <w:t>完成预算</w:t>
      </w:r>
      <w:r>
        <w:rPr>
          <w:rStyle w:val="17"/>
          <w:rFonts w:hint="eastAsia" w:ascii="仿宋" w:hAnsi="仿宋" w:eastAsia="仿宋"/>
          <w:b w:val="0"/>
          <w:bCs/>
          <w:color w:val="auto"/>
          <w:sz w:val="32"/>
          <w:szCs w:val="32"/>
          <w:highlight w:val="none"/>
          <w:lang w:val="en-US" w:eastAsia="zh-CN"/>
        </w:rPr>
        <w:t>0.00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w:t>
      </w:r>
      <w:r>
        <w:rPr>
          <w:rFonts w:hint="eastAsia" w:ascii="仿宋_GB2312" w:eastAsia="仿宋_GB2312"/>
          <w:color w:val="auto"/>
          <w:sz w:val="32"/>
          <w:szCs w:val="32"/>
          <w:highlight w:val="none"/>
          <w:lang w:val="en-US" w:eastAsia="zh-CN"/>
        </w:rPr>
        <w:t>较</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年无变化。</w:t>
      </w:r>
    </w:p>
    <w:p>
      <w:pPr>
        <w:keepNext w:val="0"/>
        <w:keepLines w:val="0"/>
        <w:pageBreakBefore w:val="0"/>
        <w:widowControl w:val="0"/>
        <w:kinsoku/>
        <w:wordWrap/>
        <w:overflowPunct/>
        <w:topLinePunct w:val="0"/>
        <w:bidi w:val="0"/>
        <w:snapToGrid/>
        <w:spacing w:line="360" w:lineRule="auto"/>
        <w:ind w:firstLine="640"/>
        <w:textAlignment w:val="auto"/>
        <w:outlineLvl w:val="1"/>
        <w:rPr>
          <w:rStyle w:val="20"/>
          <w:rFonts w:ascii="黑体" w:hAnsi="黑体" w:eastAsia="黑体"/>
          <w:color w:val="auto"/>
          <w:highlight w:val="none"/>
        </w:rPr>
      </w:pPr>
      <w:bookmarkStart w:id="68" w:name="_Toc15377218"/>
      <w:bookmarkStart w:id="69" w:name="_Toc15396610"/>
      <w:bookmarkStart w:id="70" w:name="_Toc2859"/>
      <w:r>
        <w:rPr>
          <w:rFonts w:hint="eastAsia" w:ascii="黑体" w:eastAsia="黑体"/>
          <w:color w:val="auto"/>
          <w:sz w:val="32"/>
          <w:szCs w:val="32"/>
          <w:highlight w:val="none"/>
        </w:rPr>
        <w:t>八、</w:t>
      </w:r>
      <w:r>
        <w:rPr>
          <w:rStyle w:val="20"/>
          <w:rFonts w:hint="eastAsia" w:ascii="黑体" w:hAnsi="黑体" w:eastAsia="黑体"/>
          <w:b w:val="0"/>
          <w:color w:val="auto"/>
          <w:highlight w:val="none"/>
        </w:rPr>
        <w:t>政府性基金预算支出决算情况说明</w:t>
      </w:r>
      <w:bookmarkEnd w:id="68"/>
      <w:bookmarkEnd w:id="69"/>
      <w:bookmarkEnd w:id="70"/>
    </w:p>
    <w:p>
      <w:pPr>
        <w:keepNext w:val="0"/>
        <w:keepLines w:val="0"/>
        <w:pageBreakBefore w:val="0"/>
        <w:widowControl w:val="0"/>
        <w:kinsoku/>
        <w:wordWrap/>
        <w:overflowPunct/>
        <w:topLinePunct w:val="0"/>
        <w:bidi w:val="0"/>
        <w:snapToGrid/>
        <w:spacing w:line="360" w:lineRule="auto"/>
        <w:ind w:firstLine="640"/>
        <w:textAlignment w:val="auto"/>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rPr>
        <w:t>万元。</w:t>
      </w:r>
    </w:p>
    <w:p>
      <w:pPr>
        <w:keepNext w:val="0"/>
        <w:keepLines w:val="0"/>
        <w:pageBreakBefore w:val="0"/>
        <w:widowControl w:val="0"/>
        <w:kinsoku/>
        <w:wordWrap/>
        <w:overflowPunct/>
        <w:topLinePunct w:val="0"/>
        <w:bidi w:val="0"/>
        <w:snapToGrid/>
        <w:spacing w:line="360" w:lineRule="auto"/>
        <w:ind w:firstLine="64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2022年本单位未在政府性基金预算拨款安排“三公经费”支出。</w:t>
      </w:r>
    </w:p>
    <w:p>
      <w:pPr>
        <w:keepNext w:val="0"/>
        <w:keepLines w:val="0"/>
        <w:pageBreakBefore w:val="0"/>
        <w:widowControl w:val="0"/>
        <w:numPr>
          <w:ilvl w:val="0"/>
          <w:numId w:val="3"/>
        </w:numPr>
        <w:kinsoku/>
        <w:wordWrap/>
        <w:overflowPunct/>
        <w:topLinePunct w:val="0"/>
        <w:bidi w:val="0"/>
        <w:snapToGrid/>
        <w:spacing w:line="360" w:lineRule="auto"/>
        <w:ind w:firstLine="640"/>
        <w:textAlignment w:val="auto"/>
        <w:outlineLvl w:val="1"/>
        <w:rPr>
          <w:rStyle w:val="20"/>
          <w:rFonts w:ascii="黑体" w:hAnsi="黑体" w:eastAsia="黑体"/>
          <w:b w:val="0"/>
          <w:color w:val="auto"/>
          <w:highlight w:val="none"/>
        </w:rPr>
      </w:pPr>
      <w:bookmarkStart w:id="71" w:name="_Toc15377219"/>
      <w:bookmarkStart w:id="72" w:name="_Toc15396611"/>
      <w:bookmarkStart w:id="73" w:name="_Toc26423"/>
      <w:r>
        <w:rPr>
          <w:rStyle w:val="20"/>
          <w:rFonts w:hint="eastAsia" w:ascii="黑体" w:hAnsi="黑体" w:eastAsia="黑体"/>
          <w:b w:val="0"/>
          <w:color w:val="auto"/>
          <w:highlight w:val="none"/>
        </w:rPr>
        <w:t>国有资本经营预算支出决算情况说明</w:t>
      </w:r>
      <w:bookmarkEnd w:id="71"/>
      <w:bookmarkEnd w:id="72"/>
      <w:bookmarkEnd w:id="73"/>
    </w:p>
    <w:p>
      <w:pPr>
        <w:keepNext w:val="0"/>
        <w:keepLines w:val="0"/>
        <w:pageBreakBefore w:val="0"/>
        <w:widowControl w:val="0"/>
        <w:kinsoku/>
        <w:wordWrap/>
        <w:overflowPunct/>
        <w:topLinePunct w:val="0"/>
        <w:bidi w:val="0"/>
        <w:snapToGrid/>
        <w:spacing w:line="360" w:lineRule="auto"/>
        <w:ind w:firstLine="640"/>
        <w:textAlignment w:val="auto"/>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rPr>
        <w:t>万元。</w:t>
      </w:r>
    </w:p>
    <w:p>
      <w:pPr>
        <w:keepNext w:val="0"/>
        <w:keepLines w:val="0"/>
        <w:pageBreakBefore w:val="0"/>
        <w:widowControl w:val="0"/>
        <w:numPr>
          <w:ilvl w:val="0"/>
          <w:numId w:val="3"/>
        </w:numPr>
        <w:kinsoku/>
        <w:wordWrap/>
        <w:overflowPunct/>
        <w:topLinePunct w:val="0"/>
        <w:bidi w:val="0"/>
        <w:snapToGrid/>
        <w:spacing w:line="360" w:lineRule="auto"/>
        <w:ind w:firstLine="640"/>
        <w:textAlignment w:val="auto"/>
        <w:outlineLvl w:val="1"/>
        <w:rPr>
          <w:rStyle w:val="20"/>
          <w:rFonts w:hint="eastAsia" w:ascii="黑体" w:hAnsi="黑体" w:eastAsia="黑体"/>
          <w:b w:val="0"/>
          <w:color w:val="auto"/>
          <w:highlight w:val="none"/>
        </w:rPr>
      </w:pPr>
      <w:bookmarkStart w:id="74" w:name="_Toc15377221"/>
      <w:bookmarkStart w:id="75" w:name="_Toc15396612"/>
      <w:bookmarkStart w:id="76" w:name="_Toc606"/>
      <w:r>
        <w:rPr>
          <w:rStyle w:val="20"/>
          <w:rFonts w:hint="eastAsia" w:ascii="黑体" w:hAnsi="黑体" w:eastAsia="黑体"/>
          <w:b w:val="0"/>
          <w:color w:val="auto"/>
          <w:highlight w:val="none"/>
        </w:rPr>
        <w:t>其他重要事项的情况说明</w:t>
      </w:r>
      <w:bookmarkEnd w:id="74"/>
      <w:bookmarkEnd w:id="75"/>
      <w:bookmarkEnd w:id="76"/>
    </w:p>
    <w:p>
      <w:pPr>
        <w:keepNext w:val="0"/>
        <w:keepLines w:val="0"/>
        <w:pageBreakBefore w:val="0"/>
        <w:widowControl w:val="0"/>
        <w:kinsoku/>
        <w:wordWrap/>
        <w:overflowPunct/>
        <w:topLinePunct w:val="0"/>
        <w:bidi w:val="0"/>
        <w:snapToGrid/>
        <w:spacing w:line="360" w:lineRule="auto"/>
        <w:ind w:firstLine="643" w:firstLineChars="200"/>
        <w:textAlignment w:val="auto"/>
        <w:outlineLvl w:val="2"/>
        <w:rPr>
          <w:rFonts w:ascii="仿宋" w:hAnsi="仿宋" w:eastAsia="仿宋"/>
          <w:color w:val="auto"/>
          <w:sz w:val="32"/>
          <w:szCs w:val="32"/>
          <w:highlight w:val="none"/>
        </w:rPr>
      </w:pPr>
      <w:bookmarkStart w:id="77" w:name="_Toc15377222"/>
      <w:bookmarkStart w:id="78" w:name="_Toc16565"/>
      <w:r>
        <w:rPr>
          <w:rFonts w:hint="eastAsia" w:ascii="仿宋" w:hAnsi="仿宋" w:eastAsia="仿宋"/>
          <w:b/>
          <w:color w:val="auto"/>
          <w:sz w:val="32"/>
          <w:szCs w:val="32"/>
          <w:highlight w:val="none"/>
        </w:rPr>
        <w:t>（一）机关运行经费支出情况</w:t>
      </w:r>
      <w:bookmarkEnd w:id="77"/>
      <w:bookmarkEnd w:id="78"/>
    </w:p>
    <w:p>
      <w:pPr>
        <w:keepNext w:val="0"/>
        <w:keepLines w:val="0"/>
        <w:pageBreakBefore w:val="0"/>
        <w:widowControl w:val="0"/>
        <w:kinsoku/>
        <w:wordWrap/>
        <w:overflowPunct/>
        <w:topLinePunct w:val="0"/>
        <w:bidi w:val="0"/>
        <w:snapToGrid/>
        <w:spacing w:line="360" w:lineRule="auto"/>
        <w:ind w:firstLine="640"/>
        <w:textAlignment w:val="auto"/>
        <w:rPr>
          <w:rFonts w:hint="eastAsia" w:ascii="仿宋_GB2312" w:eastAsia="仿宋_GB2312"/>
          <w:color w:val="auto"/>
          <w:sz w:val="32"/>
          <w:szCs w:val="32"/>
          <w:highlight w:val="none"/>
          <w:lang w:eastAsia="zh-CN"/>
        </w:rPr>
      </w:pPr>
      <w:bookmarkStart w:id="79" w:name="_Toc15377223"/>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rPr>
        <w:t>年未发生机关运行经费支出，与202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年决算数持平</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643" w:firstLineChars="200"/>
        <w:jc w:val="left"/>
        <w:textAlignment w:val="auto"/>
        <w:outlineLvl w:val="2"/>
        <w:rPr>
          <w:rFonts w:ascii="仿宋" w:hAnsi="仿宋" w:eastAsia="仿宋"/>
          <w:b/>
          <w:color w:val="auto"/>
          <w:sz w:val="32"/>
          <w:szCs w:val="32"/>
          <w:highlight w:val="none"/>
        </w:rPr>
      </w:pPr>
      <w:bookmarkStart w:id="80" w:name="_Toc15672"/>
      <w:r>
        <w:rPr>
          <w:rFonts w:hint="eastAsia" w:ascii="仿宋" w:hAnsi="仿宋" w:eastAsia="仿宋"/>
          <w:b/>
          <w:color w:val="auto"/>
          <w:sz w:val="32"/>
          <w:szCs w:val="32"/>
          <w:highlight w:val="none"/>
        </w:rPr>
        <w:t>（二）政府采购支出情况</w:t>
      </w:r>
      <w:bookmarkEnd w:id="79"/>
      <w:bookmarkEnd w:id="80"/>
    </w:p>
    <w:p>
      <w:pPr>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仿宋" w:hAnsi="仿宋" w:eastAsia="仿宋_GB2312"/>
          <w:b/>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val="en-US" w:eastAsia="zh-CN"/>
        </w:rPr>
        <w:t>广元市中医医院</w:t>
      </w:r>
      <w:r>
        <w:rPr>
          <w:rFonts w:hint="eastAsia" w:ascii="仿宋_GB2312" w:eastAsia="仿宋_GB2312"/>
          <w:color w:val="auto"/>
          <w:sz w:val="32"/>
          <w:szCs w:val="32"/>
          <w:highlight w:val="none"/>
        </w:rPr>
        <w:t>政府采购支出</w:t>
      </w:r>
      <w:r>
        <w:rPr>
          <w:rFonts w:hint="eastAsia" w:ascii="仿宋_GB2312" w:eastAsia="仿宋_GB2312"/>
          <w:color w:val="auto"/>
          <w:sz w:val="32"/>
          <w:szCs w:val="32"/>
          <w:highlight w:val="none"/>
          <w:lang w:val="en-US" w:eastAsia="zh-CN"/>
        </w:rPr>
        <w:t>1821.35</w:t>
      </w:r>
      <w:r>
        <w:rPr>
          <w:rFonts w:hint="eastAsia" w:ascii="仿宋_GB2312" w:eastAsia="仿宋_GB2312"/>
          <w:color w:val="auto"/>
          <w:sz w:val="32"/>
          <w:szCs w:val="32"/>
          <w:highlight w:val="none"/>
        </w:rPr>
        <w:t>万元，其中：政府采购货物支出</w:t>
      </w:r>
      <w:r>
        <w:rPr>
          <w:rFonts w:hint="eastAsia" w:ascii="仿宋_GB2312" w:eastAsia="仿宋_GB2312"/>
          <w:color w:val="auto"/>
          <w:sz w:val="32"/>
          <w:szCs w:val="32"/>
          <w:highlight w:val="none"/>
          <w:lang w:val="en-US" w:eastAsia="zh-CN"/>
        </w:rPr>
        <w:t>1168.62</w:t>
      </w:r>
      <w:r>
        <w:rPr>
          <w:rFonts w:hint="eastAsia" w:ascii="仿宋_GB2312" w:eastAsia="仿宋_GB2312"/>
          <w:color w:val="auto"/>
          <w:sz w:val="32"/>
          <w:szCs w:val="32"/>
          <w:highlight w:val="none"/>
        </w:rPr>
        <w:t>万元、政府采购工程支出</w:t>
      </w:r>
      <w:r>
        <w:rPr>
          <w:rFonts w:hint="eastAsia" w:ascii="仿宋_GB2312" w:eastAsia="仿宋_GB2312"/>
          <w:color w:val="auto"/>
          <w:sz w:val="32"/>
          <w:szCs w:val="32"/>
          <w:highlight w:val="none"/>
          <w:lang w:val="en-US" w:eastAsia="zh-CN"/>
        </w:rPr>
        <w:t>596.53</w:t>
      </w:r>
      <w:r>
        <w:rPr>
          <w:rFonts w:hint="eastAsia" w:ascii="仿宋_GB2312" w:eastAsia="仿宋_GB2312"/>
          <w:color w:val="auto"/>
          <w:sz w:val="32"/>
          <w:szCs w:val="32"/>
          <w:highlight w:val="none"/>
        </w:rPr>
        <w:t>万元、政府采购服务支出</w:t>
      </w:r>
      <w:r>
        <w:rPr>
          <w:rFonts w:hint="eastAsia" w:ascii="仿宋_GB2312" w:eastAsia="仿宋_GB2312"/>
          <w:color w:val="auto"/>
          <w:sz w:val="32"/>
          <w:szCs w:val="32"/>
          <w:highlight w:val="none"/>
          <w:lang w:val="en-US" w:eastAsia="zh-CN"/>
        </w:rPr>
        <w:t>56.20</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医疗设备购置、通用设备购置及房屋建筑物维修等</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0.00</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643" w:firstLineChars="200"/>
        <w:jc w:val="left"/>
        <w:textAlignment w:val="auto"/>
        <w:outlineLvl w:val="2"/>
        <w:rPr>
          <w:rFonts w:ascii="仿宋" w:hAnsi="仿宋" w:eastAsia="仿宋"/>
          <w:b/>
          <w:color w:val="auto"/>
          <w:sz w:val="32"/>
          <w:szCs w:val="32"/>
          <w:highlight w:val="none"/>
        </w:rPr>
      </w:pPr>
      <w:bookmarkStart w:id="81" w:name="_Toc15377224"/>
      <w:bookmarkStart w:id="82" w:name="_Toc11332"/>
      <w:r>
        <w:rPr>
          <w:rFonts w:hint="eastAsia" w:ascii="仿宋" w:hAnsi="仿宋" w:eastAsia="仿宋"/>
          <w:b/>
          <w:color w:val="auto"/>
          <w:sz w:val="32"/>
          <w:szCs w:val="32"/>
          <w:highlight w:val="none"/>
        </w:rPr>
        <w:t>（三）国有资产占有使用情况</w:t>
      </w:r>
      <w:bookmarkEnd w:id="81"/>
      <w:bookmarkEnd w:id="82"/>
    </w:p>
    <w:p>
      <w:pPr>
        <w:keepNext w:val="0"/>
        <w:keepLines w:val="0"/>
        <w:pageBreakBefore w:val="0"/>
        <w:widowControl w:val="0"/>
        <w:kinsoku/>
        <w:wordWrap/>
        <w:overflowPunct/>
        <w:topLinePunct w:val="0"/>
        <w:autoSpaceDE w:val="0"/>
        <w:autoSpaceDN w:val="0"/>
        <w:bidi w:val="0"/>
        <w:adjustRightInd w:val="0"/>
        <w:snapToGrid/>
        <w:spacing w:line="36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广元市中医医院</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辆，其中：其他用车</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hAnsi="仿宋_GB2312" w:eastAsia="仿宋_GB2312" w:cs="仿宋_GB2312"/>
          <w:color w:val="auto"/>
          <w:sz w:val="32"/>
          <w:szCs w:val="32"/>
        </w:rPr>
        <w:t>患者急救、送血、公务</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36</w:t>
      </w:r>
      <w:r>
        <w:rPr>
          <w:rFonts w:hint="eastAsia" w:ascii="仿宋_GB2312" w:eastAsia="仿宋_GB2312"/>
          <w:color w:val="auto"/>
          <w:sz w:val="32"/>
          <w:szCs w:val="32"/>
          <w:highlight w:val="none"/>
        </w:rPr>
        <w:t>台（套）。</w:t>
      </w:r>
    </w:p>
    <w:p>
      <w:pPr>
        <w:keepNext w:val="0"/>
        <w:keepLines w:val="0"/>
        <w:pageBreakBefore w:val="0"/>
        <w:widowControl w:val="0"/>
        <w:kinsoku/>
        <w:wordWrap/>
        <w:overflowPunct/>
        <w:topLinePunct w:val="0"/>
        <w:autoSpaceDE w:val="0"/>
        <w:autoSpaceDN w:val="0"/>
        <w:bidi w:val="0"/>
        <w:adjustRightInd w:val="0"/>
        <w:snapToGrid/>
        <w:spacing w:line="360" w:lineRule="auto"/>
        <w:ind w:firstLine="643" w:firstLineChars="200"/>
        <w:jc w:val="left"/>
        <w:textAlignment w:val="auto"/>
        <w:outlineLvl w:val="2"/>
        <w:rPr>
          <w:rFonts w:hint="eastAsia" w:ascii="仿宋" w:hAnsi="仿宋" w:eastAsia="仿宋"/>
          <w:b/>
          <w:color w:val="auto"/>
          <w:sz w:val="32"/>
          <w:szCs w:val="32"/>
          <w:highlight w:val="none"/>
          <w:lang w:eastAsia="zh-CN"/>
        </w:rPr>
      </w:pPr>
      <w:bookmarkStart w:id="83" w:name="_Toc20434"/>
      <w:r>
        <w:rPr>
          <w:rFonts w:hint="eastAsia" w:ascii="仿宋" w:hAnsi="仿宋" w:eastAsia="仿宋"/>
          <w:b/>
          <w:color w:val="auto"/>
          <w:sz w:val="32"/>
          <w:szCs w:val="32"/>
          <w:highlight w:val="none"/>
        </w:rPr>
        <w:t>（四）预算绩效管理情况</w:t>
      </w:r>
      <w:bookmarkEnd w:id="83"/>
    </w:p>
    <w:p>
      <w:pPr>
        <w:pStyle w:val="7"/>
        <w:keepNext w:val="0"/>
        <w:keepLines w:val="0"/>
        <w:pageBreakBefore w:val="0"/>
        <w:widowControl w:val="0"/>
        <w:kinsoku/>
        <w:wordWrap/>
        <w:overflowPunct/>
        <w:topLinePunct w:val="0"/>
        <w:bidi w:val="0"/>
        <w:snapToGrid/>
        <w:spacing w:line="36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年度预算编制阶段，组织对医疗设备、通用设备与信息化软件购置项目等</w:t>
      </w:r>
      <w:r>
        <w:rPr>
          <w:rFonts w:hint="eastAsia" w:hAnsi="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个项目开展绩效监控，组织对</w:t>
      </w:r>
      <w:r>
        <w:rPr>
          <w:rFonts w:hint="eastAsia" w:hAnsi="仿宋_GB2312" w:cs="仿宋_GB2312"/>
          <w:color w:val="auto"/>
          <w:sz w:val="32"/>
          <w:szCs w:val="32"/>
          <w:highlight w:val="none"/>
          <w:lang w:val="en-US" w:eastAsia="zh-CN"/>
        </w:rPr>
        <w:t>11</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pStyle w:val="3"/>
        <w:keepNext w:val="0"/>
        <w:keepLines w:val="0"/>
        <w:pageBreakBefore w:val="0"/>
        <w:widowControl w:val="0"/>
        <w:kinsoku/>
        <w:wordWrap/>
        <w:overflowPunct/>
        <w:topLinePunct w:val="0"/>
        <w:autoSpaceDE/>
        <w:autoSpaceDN/>
        <w:bidi w:val="0"/>
        <w:adjustRightInd/>
        <w:snapToGrid/>
        <w:spacing w:before="340" w:after="340" w:line="360" w:lineRule="auto"/>
        <w:jc w:val="center"/>
        <w:textAlignment w:val="auto"/>
        <w:rPr>
          <w:rFonts w:ascii="宋体"/>
          <w:b/>
          <w:color w:val="auto"/>
          <w:sz w:val="44"/>
          <w:szCs w:val="44"/>
          <w:highlight w:val="none"/>
        </w:rPr>
      </w:pPr>
      <w:bookmarkStart w:id="84" w:name="_Toc30660"/>
      <w:bookmarkStart w:id="85" w:name="_Toc15396613"/>
      <w:bookmarkStart w:id="86" w:name="_Toc15377225"/>
      <w:r>
        <w:rPr>
          <w:rFonts w:hint="eastAsia" w:ascii="黑体" w:hAnsi="黑体" w:eastAsia="黑体"/>
          <w:b w:val="0"/>
          <w:color w:val="auto"/>
          <w:highlight w:val="none"/>
          <w:lang w:val="en-US" w:eastAsia="zh-CN"/>
        </w:rPr>
        <w:t>三、</w:t>
      </w:r>
      <w:r>
        <w:rPr>
          <w:rFonts w:hint="eastAsia" w:ascii="黑体" w:hAnsi="黑体" w:eastAsia="黑体"/>
          <w:b w:val="0"/>
          <w:color w:val="auto"/>
          <w:highlight w:val="none"/>
        </w:rPr>
        <w:t>名词解释</w:t>
      </w:r>
      <w:bookmarkEnd w:id="84"/>
      <w:bookmarkEnd w:id="85"/>
      <w:bookmarkEnd w:id="86"/>
    </w:p>
    <w:p>
      <w:pPr>
        <w:pStyle w:val="29"/>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ascii="仿宋_GB2312" w:eastAsia="仿宋_GB2312"/>
          <w:color w:val="auto"/>
          <w:sz w:val="32"/>
          <w:szCs w:val="32"/>
          <w:highlight w:val="none"/>
        </w:rPr>
      </w:pPr>
      <w:bookmarkStart w:id="87" w:name="_Toc29822"/>
      <w:r>
        <w:rPr>
          <w:rFonts w:hint="eastAsia" w:ascii="仿宋_GB2312" w:eastAsia="仿宋_GB2312"/>
          <w:color w:val="auto"/>
          <w:sz w:val="32"/>
          <w:szCs w:val="32"/>
          <w:highlight w:val="none"/>
        </w:rPr>
        <w:t>财政拨款收入：指单位从同级财政部门取得的财政预算资金。</w:t>
      </w:r>
      <w:bookmarkEnd w:id="87"/>
    </w:p>
    <w:p>
      <w:pPr>
        <w:pStyle w:val="29"/>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ascii="仿宋_GB2312" w:eastAsia="仿宋_GB2312"/>
          <w:color w:val="auto"/>
          <w:sz w:val="32"/>
          <w:szCs w:val="32"/>
          <w:highlight w:val="none"/>
        </w:rPr>
      </w:pPr>
      <w:r>
        <w:rPr>
          <w:rFonts w:hint="eastAsia" w:ascii="仿宋_GB2312" w:eastAsia="仿宋_GB2312"/>
          <w:color w:val="auto"/>
          <w:sz w:val="32"/>
          <w:szCs w:val="32"/>
          <w:highlight w:val="none"/>
        </w:rPr>
        <w:t>事业收入：指事业单位开展专业业务活动及辅助活动取得的收入。如</w:t>
      </w:r>
      <w:r>
        <w:rPr>
          <w:rFonts w:hint="eastAsia" w:ascii="仿宋_GB2312" w:eastAsia="仿宋_GB2312"/>
          <w:color w:val="auto"/>
          <w:sz w:val="32"/>
          <w:szCs w:val="32"/>
          <w:highlight w:val="none"/>
          <w:lang w:eastAsia="zh-CN"/>
        </w:rPr>
        <w:t>医疗收入、科教收入</w:t>
      </w:r>
      <w:r>
        <w:rPr>
          <w:rFonts w:hint="eastAsia" w:ascii="仿宋_GB2312" w:eastAsia="仿宋_GB2312"/>
          <w:color w:val="auto"/>
          <w:sz w:val="32"/>
          <w:szCs w:val="32"/>
          <w:highlight w:val="none"/>
        </w:rPr>
        <w:t>等。</w:t>
      </w:r>
    </w:p>
    <w:p>
      <w:pPr>
        <w:pStyle w:val="29"/>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ascii="仿宋_GB2312" w:eastAsia="仿宋_GB2312"/>
          <w:color w:val="auto"/>
          <w:sz w:val="32"/>
          <w:szCs w:val="32"/>
          <w:highlight w:val="none"/>
        </w:rPr>
      </w:pPr>
      <w:r>
        <w:rPr>
          <w:rFonts w:hint="eastAsia" w:ascii="仿宋_GB2312" w:eastAsia="仿宋_GB2312"/>
          <w:color w:val="auto"/>
          <w:sz w:val="32"/>
          <w:szCs w:val="32"/>
          <w:highlight w:val="none"/>
        </w:rPr>
        <w:t>其他收入：指单位取得的除上述收入以外的各项收入。主要是</w:t>
      </w:r>
      <w:r>
        <w:rPr>
          <w:rFonts w:hint="eastAsia" w:ascii="仿宋_GB2312" w:eastAsia="仿宋_GB2312"/>
          <w:color w:val="auto"/>
          <w:sz w:val="32"/>
          <w:szCs w:val="32"/>
          <w:highlight w:val="none"/>
          <w:lang w:eastAsia="zh-CN"/>
        </w:rPr>
        <w:t>利息收入、停车费收入</w:t>
      </w:r>
      <w:r>
        <w:rPr>
          <w:rFonts w:hint="eastAsia" w:ascii="仿宋_GB2312" w:eastAsia="仿宋_GB2312"/>
          <w:color w:val="auto"/>
          <w:sz w:val="32"/>
          <w:szCs w:val="32"/>
          <w:highlight w:val="none"/>
        </w:rPr>
        <w:t>等。</w:t>
      </w:r>
      <w:r>
        <w:rPr>
          <w:rFonts w:ascii="仿宋_GB2312" w:eastAsia="仿宋_GB2312"/>
          <w:color w:val="auto"/>
          <w:sz w:val="32"/>
          <w:szCs w:val="32"/>
          <w:highlight w:val="none"/>
        </w:rPr>
        <w:t xml:space="preserve"> </w:t>
      </w:r>
    </w:p>
    <w:p>
      <w:pPr>
        <w:pStyle w:val="29"/>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eastAsia="zh-CN"/>
        </w:rPr>
        <w:t>使用非财政拨款结余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p>
    <w:p>
      <w:pPr>
        <w:pStyle w:val="29"/>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ascii="仿宋_GB2312" w:eastAsia="仿宋_GB2312"/>
          <w:color w:val="auto"/>
          <w:sz w:val="32"/>
          <w:szCs w:val="32"/>
          <w:highlight w:val="none"/>
        </w:rPr>
      </w:pP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9"/>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年末结转和结余：指单位按有关规定结转到下年或以后年度继续使用的资金。</w:t>
      </w:r>
    </w:p>
    <w:p>
      <w:pPr>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科学技术支出（类）科技重大项目（款）重点研发计划（项）2060902：反映用于重点研发计划的有关经费支出。</w:t>
      </w:r>
    </w:p>
    <w:p>
      <w:pPr>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社会保障和就业支出（类）行政事业单位养老支出（款）机关事业单位基本养老保险缴费支出（项）2080505：指反映机关事业单位实施养老保险制度由单位缴纳的基本养老保险费支出。</w:t>
      </w:r>
    </w:p>
    <w:p>
      <w:pPr>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社会保障和就业支出（类）行政事业单位养老支出（款）机关事业单位职业年金缴费支出（项）2080506：指反映机关事业单位实施养老保险制度由单位实际缴纳的职业年金支出。</w:t>
      </w:r>
    </w:p>
    <w:p>
      <w:pPr>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卫生健康支出（类）公立医院（款）中医（民族）医院（项）2100202：指反映卫生健康、中医部门所属的中医院、中西医结合医院、民族医院的支出。</w:t>
      </w:r>
    </w:p>
    <w:p>
      <w:pPr>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hint="eastAsia" w:ascii="仿宋_GB2312" w:eastAsia="仿宋_GB2312" w:cs="仿宋_GB2312"/>
          <w:color w:val="auto"/>
          <w:sz w:val="32"/>
          <w:szCs w:val="32"/>
          <w:lang w:bidi="ar-SA"/>
        </w:rPr>
      </w:pPr>
      <w:r>
        <w:rPr>
          <w:rFonts w:hint="eastAsia" w:ascii="仿宋_GB2312" w:eastAsia="仿宋_GB2312" w:cs="仿宋_GB2312"/>
          <w:color w:val="auto"/>
          <w:sz w:val="32"/>
          <w:szCs w:val="32"/>
          <w:lang w:bidi="ar-SA"/>
        </w:rPr>
        <w:t>卫生健康支出（类）公立医院（款）其他公立医院支出（项）2100299：指反映除上述项目以外的其他用于公立医院方面的支出。</w:t>
      </w:r>
    </w:p>
    <w:p>
      <w:pPr>
        <w:pStyle w:val="29"/>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卫生健康支出（类）公共卫生（款）重大公共卫生服务（项）2100409:</w:t>
      </w:r>
      <w:r>
        <w:rPr>
          <w:rFonts w:hint="eastAsia" w:ascii="仿宋_GB2312" w:eastAsia="仿宋_GB2312"/>
          <w:color w:val="auto"/>
          <w:sz w:val="32"/>
          <w:szCs w:val="32"/>
          <w:highlight w:val="none"/>
          <w:lang w:val="en-US" w:eastAsia="zh-CN"/>
        </w:rPr>
        <w:t>反映重大疾病、重大传染病预防控制等重大公共卫生服务项目支出。</w:t>
      </w:r>
    </w:p>
    <w:p>
      <w:pPr>
        <w:pStyle w:val="29"/>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卫生健康支出（类）公共卫生（款）其他公共卫生支出（项）21004</w:t>
      </w:r>
      <w:r>
        <w:rPr>
          <w:rFonts w:hint="eastAsia" w:ascii="仿宋_GB2312" w:eastAsia="仿宋_GB2312"/>
          <w:color w:val="auto"/>
          <w:sz w:val="32"/>
          <w:szCs w:val="32"/>
          <w:highlight w:val="none"/>
          <w:lang w:val="en-US" w:eastAsia="zh-CN"/>
        </w:rPr>
        <w:t>99：反映其他用于公共卫生方面的支出。</w:t>
      </w:r>
    </w:p>
    <w:p>
      <w:pPr>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hint="eastAsia" w:ascii="仿宋_GB2312" w:eastAsia="仿宋_GB2312" w:cs="仿宋_GB2312"/>
          <w:color w:val="auto"/>
          <w:w w:val="80"/>
          <w:sz w:val="32"/>
          <w:szCs w:val="32"/>
          <w:lang w:bidi="ar-SA"/>
        </w:rPr>
      </w:pPr>
      <w:r>
        <w:rPr>
          <w:rFonts w:hint="eastAsia" w:ascii="仿宋_GB2312" w:eastAsia="仿宋_GB2312" w:cs="仿宋_GB2312"/>
          <w:color w:val="auto"/>
          <w:sz w:val="32"/>
          <w:szCs w:val="32"/>
          <w:lang w:bidi="ar-SA"/>
        </w:rPr>
        <w:t>卫生健康支出（类）中医药（款）中医（民族医）药专项（项）2100601：指反映中医（民族医）药方面的专项支出。</w:t>
      </w:r>
    </w:p>
    <w:p>
      <w:pPr>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hint="eastAsia" w:ascii="仿宋_GB2312" w:hAnsi="Times New Roman" w:eastAsia="仿宋_GB2312" w:cs="仿宋_GB2312"/>
          <w:color w:val="auto"/>
          <w:sz w:val="32"/>
          <w:szCs w:val="32"/>
          <w:lang w:val="en-US" w:eastAsia="zh-CN" w:bidi="ar-SA"/>
        </w:rPr>
      </w:pPr>
      <w:r>
        <w:rPr>
          <w:rFonts w:hint="eastAsia" w:ascii="仿宋_GB2312" w:hAnsi="Times New Roman" w:eastAsia="仿宋_GB2312" w:cs="仿宋_GB2312"/>
          <w:color w:val="auto"/>
          <w:sz w:val="32"/>
          <w:szCs w:val="32"/>
          <w:lang w:val="en-US" w:eastAsia="zh-CN" w:bidi="ar-SA"/>
        </w:rPr>
        <w:t>卫生健康支出（类）中医药（款）其他中医药支出（项）2100699：指反映除中医（民族医）药专项支出以外的其他中医药支出。</w:t>
      </w:r>
    </w:p>
    <w:p>
      <w:pPr>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hint="default" w:ascii="仿宋_GB2312" w:hAnsi="仿宋_GB2312" w:eastAsia="仿宋_GB2312" w:cs="仿宋_GB2312"/>
          <w:color w:val="auto"/>
          <w:sz w:val="32"/>
          <w:szCs w:val="32"/>
          <w:highlight w:val="none"/>
          <w:lang w:val="en-US" w:eastAsia="zh-CN" w:bidi="ar-SA"/>
        </w:rPr>
      </w:pPr>
      <w:r>
        <w:rPr>
          <w:rFonts w:hint="eastAsia" w:ascii="仿宋_GB2312" w:eastAsia="仿宋_GB2312" w:cs="仿宋_GB2312"/>
          <w:color w:val="auto"/>
          <w:sz w:val="32"/>
          <w:szCs w:val="32"/>
          <w:lang w:bidi="ar-SA"/>
        </w:rPr>
        <w:t>卫生健康支出（类）其他卫生健康支出（款）其他卫生健康支出（项）21099</w:t>
      </w:r>
      <w:r>
        <w:rPr>
          <w:rFonts w:hint="eastAsia" w:ascii="仿宋_GB2312" w:eastAsia="仿宋_GB2312" w:cs="仿宋_GB2312"/>
          <w:color w:val="auto"/>
          <w:sz w:val="32"/>
          <w:szCs w:val="32"/>
          <w:lang w:val="en-US" w:eastAsia="zh-CN" w:bidi="ar-SA"/>
        </w:rPr>
        <w:t>99</w:t>
      </w:r>
      <w:r>
        <w:rPr>
          <w:rFonts w:hint="eastAsia" w:ascii="仿宋_GB2312" w:eastAsia="仿宋_GB2312" w:cs="仿宋_GB2312"/>
          <w:color w:val="auto"/>
          <w:sz w:val="32"/>
          <w:szCs w:val="32"/>
          <w:lang w:bidi="ar-SA"/>
        </w:rPr>
        <w:t>：指反映除上述项目以外其他用于卫生健康方面的支出。</w:t>
      </w:r>
    </w:p>
    <w:p>
      <w:pPr>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hint="default" w:ascii="仿宋_GB2312" w:hAnsi="仿宋_GB2312" w:eastAsia="仿宋_GB2312" w:cs="仿宋_GB2312"/>
          <w:color w:val="auto"/>
          <w:sz w:val="32"/>
          <w:szCs w:val="32"/>
          <w:highlight w:val="none"/>
          <w:lang w:val="en-US" w:eastAsia="zh-CN" w:bidi="ar-SA"/>
        </w:rPr>
      </w:pPr>
      <w:r>
        <w:rPr>
          <w:rFonts w:hint="default" w:ascii="仿宋_GB2312" w:hAnsi="仿宋_GB2312" w:eastAsia="仿宋_GB2312" w:cs="仿宋_GB2312"/>
          <w:color w:val="auto"/>
          <w:sz w:val="32"/>
          <w:szCs w:val="32"/>
          <w:highlight w:val="none"/>
          <w:lang w:bidi="ar-SA"/>
        </w:rPr>
        <w:t>卫生健康支出</w:t>
      </w:r>
      <w:r>
        <w:rPr>
          <w:rFonts w:hint="eastAsia" w:ascii="仿宋_GB2312" w:hAnsi="仿宋_GB2312" w:eastAsia="仿宋_GB2312" w:cs="仿宋_GB2312"/>
          <w:color w:val="auto"/>
          <w:sz w:val="32"/>
          <w:szCs w:val="32"/>
          <w:highlight w:val="none"/>
          <w:lang w:eastAsia="zh-CN" w:bidi="ar-SA"/>
        </w:rPr>
        <w:t>（</w:t>
      </w:r>
      <w:r>
        <w:rPr>
          <w:rFonts w:hint="eastAsia" w:ascii="仿宋_GB2312" w:hAnsi="仿宋_GB2312" w:eastAsia="仿宋_GB2312" w:cs="仿宋_GB2312"/>
          <w:color w:val="auto"/>
          <w:sz w:val="32"/>
          <w:szCs w:val="32"/>
          <w:highlight w:val="none"/>
          <w:lang w:val="en-US" w:eastAsia="zh-CN" w:bidi="ar-SA"/>
        </w:rPr>
        <w:t>类</w:t>
      </w:r>
      <w:r>
        <w:rPr>
          <w:rFonts w:hint="eastAsia" w:ascii="仿宋_GB2312" w:hAnsi="仿宋_GB2312" w:eastAsia="仿宋_GB2312" w:cs="仿宋_GB2312"/>
          <w:color w:val="auto"/>
          <w:sz w:val="32"/>
          <w:szCs w:val="32"/>
          <w:highlight w:val="none"/>
          <w:lang w:eastAsia="zh-CN" w:bidi="ar-SA"/>
        </w:rPr>
        <w:t>）行政事业单位医疗（</w:t>
      </w:r>
      <w:r>
        <w:rPr>
          <w:rFonts w:hint="eastAsia" w:ascii="仿宋_GB2312" w:hAnsi="仿宋_GB2312" w:eastAsia="仿宋_GB2312" w:cs="仿宋_GB2312"/>
          <w:color w:val="auto"/>
          <w:sz w:val="32"/>
          <w:szCs w:val="32"/>
          <w:highlight w:val="none"/>
          <w:lang w:val="en-US" w:eastAsia="zh-CN" w:bidi="ar-SA"/>
        </w:rPr>
        <w:t>款）</w:t>
      </w:r>
      <w:r>
        <w:rPr>
          <w:rFonts w:hint="eastAsia" w:ascii="仿宋_GB2312" w:hAnsi="仿宋_GB2312" w:eastAsia="仿宋_GB2312" w:cs="仿宋_GB2312"/>
          <w:color w:val="auto"/>
          <w:sz w:val="32"/>
          <w:szCs w:val="32"/>
          <w:highlight w:val="none"/>
          <w:lang w:eastAsia="zh-CN" w:bidi="ar-SA"/>
        </w:rPr>
        <w:t>事业单位医疗（</w:t>
      </w:r>
      <w:r>
        <w:rPr>
          <w:rFonts w:hint="eastAsia" w:ascii="仿宋_GB2312" w:hAnsi="仿宋_GB2312" w:eastAsia="仿宋_GB2312" w:cs="仿宋_GB2312"/>
          <w:color w:val="auto"/>
          <w:sz w:val="32"/>
          <w:szCs w:val="32"/>
          <w:highlight w:val="none"/>
          <w:lang w:val="en-US" w:eastAsia="zh-CN" w:bidi="ar-SA"/>
        </w:rPr>
        <w:t>项</w:t>
      </w:r>
      <w:r>
        <w:rPr>
          <w:rFonts w:hint="eastAsia" w:ascii="仿宋_GB2312" w:hAnsi="仿宋_GB2312" w:eastAsia="仿宋_GB2312" w:cs="仿宋_GB2312"/>
          <w:color w:val="auto"/>
          <w:sz w:val="32"/>
          <w:szCs w:val="32"/>
          <w:highlight w:val="none"/>
          <w:lang w:eastAsia="zh-CN" w:bidi="ar-SA"/>
        </w:rPr>
        <w:t>）</w:t>
      </w:r>
      <w:r>
        <w:rPr>
          <w:rFonts w:hint="default" w:ascii="仿宋_GB2312" w:hAnsi="仿宋_GB2312" w:eastAsia="仿宋_GB2312" w:cs="仿宋_GB2312"/>
          <w:color w:val="auto"/>
          <w:sz w:val="32"/>
          <w:szCs w:val="32"/>
          <w:highlight w:val="none"/>
          <w:lang w:bidi="ar-SA"/>
        </w:rPr>
        <w:t>2101102</w:t>
      </w:r>
      <w:r>
        <w:rPr>
          <w:rFonts w:hint="eastAsia" w:ascii="仿宋_GB2312" w:hAnsi="仿宋_GB2312" w:eastAsia="仿宋_GB2312" w:cs="仿宋_GB2312"/>
          <w:color w:val="auto"/>
          <w:sz w:val="32"/>
          <w:szCs w:val="32"/>
          <w:highlight w:val="none"/>
          <w:lang w:eastAsia="zh-CN" w:bidi="ar-SA"/>
        </w:rPr>
        <w:t>：</w:t>
      </w:r>
      <w:r>
        <w:rPr>
          <w:rFonts w:hint="eastAsia" w:ascii="仿宋_GB2312" w:hAnsi="仿宋_GB2312" w:eastAsia="仿宋_GB2312" w:cs="仿宋_GB2312"/>
          <w:color w:val="auto"/>
          <w:sz w:val="32"/>
          <w:szCs w:val="32"/>
          <w:highlight w:val="none"/>
          <w:lang w:val="en-US" w:eastAsia="zh-CN" w:bidi="ar-SA"/>
        </w:rPr>
        <w:t>反映财政部门安排的事业单位基本医疗保险缴费经费，未参加医疗保险的事业单位的公费医疗经费，按国家规定享受离休人员待遇的医疗经费。</w:t>
      </w:r>
    </w:p>
    <w:p>
      <w:pPr>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hint="default" w:ascii="仿宋_GB2312" w:hAnsi="仿宋_GB2312" w:eastAsia="仿宋_GB2312" w:cs="仿宋_GB2312"/>
          <w:color w:val="auto"/>
          <w:sz w:val="32"/>
          <w:szCs w:val="32"/>
          <w:highlight w:val="none"/>
          <w:lang w:val="en-US" w:eastAsia="zh-CN" w:bidi="ar-SA"/>
        </w:rPr>
      </w:pPr>
      <w:r>
        <w:rPr>
          <w:rFonts w:hint="default" w:ascii="仿宋_GB2312" w:hAnsi="仿宋_GB2312" w:eastAsia="仿宋_GB2312" w:cs="仿宋_GB2312"/>
          <w:color w:val="auto"/>
          <w:sz w:val="32"/>
          <w:szCs w:val="32"/>
          <w:highlight w:val="none"/>
          <w:lang w:bidi="ar-SA"/>
        </w:rPr>
        <w:t>住房保障支出</w:t>
      </w:r>
      <w:r>
        <w:rPr>
          <w:rFonts w:hint="eastAsia" w:ascii="仿宋_GB2312" w:hAnsi="仿宋_GB2312" w:eastAsia="仿宋_GB2312" w:cs="仿宋_GB2312"/>
          <w:color w:val="auto"/>
          <w:sz w:val="32"/>
          <w:szCs w:val="32"/>
          <w:highlight w:val="none"/>
          <w:lang w:eastAsia="zh-CN" w:bidi="ar-SA"/>
        </w:rPr>
        <w:t>（</w:t>
      </w:r>
      <w:r>
        <w:rPr>
          <w:rFonts w:hint="eastAsia" w:ascii="仿宋_GB2312" w:hAnsi="仿宋_GB2312" w:eastAsia="仿宋_GB2312" w:cs="仿宋_GB2312"/>
          <w:color w:val="auto"/>
          <w:sz w:val="32"/>
          <w:szCs w:val="32"/>
          <w:highlight w:val="none"/>
          <w:lang w:val="en-US" w:eastAsia="zh-CN" w:bidi="ar-SA"/>
        </w:rPr>
        <w:t>类</w:t>
      </w:r>
      <w:r>
        <w:rPr>
          <w:rFonts w:hint="eastAsia" w:ascii="仿宋_GB2312" w:hAnsi="仿宋_GB2312" w:eastAsia="仿宋_GB2312" w:cs="仿宋_GB2312"/>
          <w:color w:val="auto"/>
          <w:sz w:val="32"/>
          <w:szCs w:val="32"/>
          <w:highlight w:val="none"/>
          <w:lang w:eastAsia="zh-CN" w:bidi="ar-SA"/>
        </w:rPr>
        <w:t>）住房改革支出（</w:t>
      </w:r>
      <w:r>
        <w:rPr>
          <w:rFonts w:hint="eastAsia" w:ascii="仿宋_GB2312" w:hAnsi="仿宋_GB2312" w:eastAsia="仿宋_GB2312" w:cs="仿宋_GB2312"/>
          <w:color w:val="auto"/>
          <w:sz w:val="32"/>
          <w:szCs w:val="32"/>
          <w:highlight w:val="none"/>
          <w:lang w:val="en-US" w:eastAsia="zh-CN" w:bidi="ar-SA"/>
        </w:rPr>
        <w:t>款</w:t>
      </w:r>
      <w:r>
        <w:rPr>
          <w:rFonts w:hint="eastAsia" w:ascii="仿宋_GB2312" w:hAnsi="仿宋_GB2312" w:eastAsia="仿宋_GB2312" w:cs="仿宋_GB2312"/>
          <w:color w:val="auto"/>
          <w:sz w:val="32"/>
          <w:szCs w:val="32"/>
          <w:highlight w:val="none"/>
          <w:lang w:eastAsia="zh-CN" w:bidi="ar-SA"/>
        </w:rPr>
        <w:t>）住房公积金（</w:t>
      </w:r>
      <w:r>
        <w:rPr>
          <w:rFonts w:hint="eastAsia" w:ascii="仿宋_GB2312" w:hAnsi="仿宋_GB2312" w:eastAsia="仿宋_GB2312" w:cs="仿宋_GB2312"/>
          <w:color w:val="auto"/>
          <w:sz w:val="32"/>
          <w:szCs w:val="32"/>
          <w:highlight w:val="none"/>
          <w:lang w:val="en-US" w:eastAsia="zh-CN" w:bidi="ar-SA"/>
        </w:rPr>
        <w:t>项</w:t>
      </w:r>
      <w:r>
        <w:rPr>
          <w:rFonts w:hint="eastAsia" w:ascii="仿宋_GB2312" w:hAnsi="仿宋_GB2312" w:eastAsia="仿宋_GB2312" w:cs="仿宋_GB2312"/>
          <w:color w:val="auto"/>
          <w:sz w:val="32"/>
          <w:szCs w:val="32"/>
          <w:highlight w:val="none"/>
          <w:lang w:eastAsia="zh-CN" w:bidi="ar-SA"/>
        </w:rPr>
        <w:t>）</w:t>
      </w:r>
      <w:r>
        <w:rPr>
          <w:rFonts w:hint="default" w:ascii="仿宋_GB2312" w:hAnsi="仿宋_GB2312" w:eastAsia="仿宋_GB2312" w:cs="仿宋_GB2312"/>
          <w:color w:val="auto"/>
          <w:sz w:val="32"/>
          <w:szCs w:val="32"/>
          <w:highlight w:val="none"/>
          <w:lang w:bidi="ar-SA"/>
        </w:rPr>
        <w:t>2210201</w:t>
      </w:r>
      <w:r>
        <w:rPr>
          <w:rFonts w:hint="eastAsia" w:ascii="仿宋_GB2312" w:hAnsi="仿宋_GB2312" w:eastAsia="仿宋_GB2312" w:cs="仿宋_GB2312"/>
          <w:color w:val="auto"/>
          <w:sz w:val="32"/>
          <w:szCs w:val="32"/>
          <w:highlight w:val="none"/>
          <w:lang w:eastAsia="zh-CN" w:bidi="ar-SA"/>
        </w:rPr>
        <w:t>：</w:t>
      </w:r>
      <w:r>
        <w:rPr>
          <w:rFonts w:hint="eastAsia" w:ascii="仿宋_GB2312" w:hAnsi="仿宋_GB2312" w:eastAsia="仿宋_GB2312" w:cs="仿宋_GB2312"/>
          <w:color w:val="auto"/>
          <w:sz w:val="32"/>
          <w:szCs w:val="32"/>
          <w:highlight w:val="none"/>
          <w:lang w:val="en-US" w:eastAsia="zh-CN" w:bidi="ar-SA"/>
        </w:rPr>
        <w:t xml:space="preserve">反映行政事业单位按人力资源和社会保障部、财政部规定的基本工资和津贴补贴以及规定比例为职工缴纳的住房公积金。                       </w:t>
      </w:r>
    </w:p>
    <w:p>
      <w:pPr>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pPr>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outlineLvl w:val="9"/>
        <w:rPr>
          <w:rFonts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
        <w:keepNext w:val="0"/>
        <w:keepLines w:val="0"/>
        <w:pageBreakBefore w:val="0"/>
        <w:widowControl w:val="0"/>
        <w:numPr>
          <w:ilvl w:val="0"/>
          <w:numId w:val="4"/>
        </w:numPr>
        <w:kinsoku/>
        <w:wordWrap/>
        <w:overflowPunct/>
        <w:topLinePunct w:val="0"/>
        <w:bidi w:val="0"/>
        <w:snapToGrid/>
        <w:spacing w:line="360" w:lineRule="auto"/>
        <w:ind w:left="20" w:leftChars="0" w:firstLine="400" w:firstLineChars="0"/>
        <w:textAlignment w:val="auto"/>
        <w:rPr>
          <w:rFonts w:hint="eastAsia"/>
          <w:lang w:val="en-US" w:eastAsia="zh-CN"/>
        </w:rPr>
      </w:pP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88" w:name="_Toc15377226"/>
      <w:r>
        <w:rPr>
          <w:rFonts w:hint="eastAsia" w:ascii="仿宋_GB2312" w:eastAsia="仿宋_GB2312"/>
          <w:color w:val="auto"/>
          <w:sz w:val="32"/>
          <w:szCs w:val="32"/>
          <w:highlight w:val="none"/>
          <w:lang w:eastAsia="zh-CN"/>
        </w:rPr>
        <w:t>。</w:t>
      </w:r>
      <w:bookmarkStart w:id="89" w:name="_Toc23052"/>
      <w:bookmarkStart w:id="90" w:name="_Toc15396614"/>
    </w:p>
    <w:p>
      <w:pPr>
        <w:pStyle w:val="3"/>
        <w:keepNext/>
        <w:keepLines/>
        <w:pageBreakBefore w:val="0"/>
        <w:widowControl w:val="0"/>
        <w:kinsoku/>
        <w:wordWrap/>
        <w:overflowPunct/>
        <w:topLinePunct w:val="0"/>
        <w:autoSpaceDE/>
        <w:autoSpaceDN/>
        <w:bidi w:val="0"/>
        <w:adjustRightInd/>
        <w:snapToGrid/>
        <w:spacing w:before="340" w:after="340" w:line="579" w:lineRule="auto"/>
        <w:jc w:val="center"/>
        <w:textAlignment w:val="auto"/>
        <w:rPr>
          <w:rFonts w:hint="eastAsia" w:ascii="黑体" w:hAnsi="黑体" w:eastAsia="黑体"/>
          <w:b w:val="0"/>
          <w:color w:val="auto"/>
          <w:highlight w:val="none"/>
          <w:lang w:val="en-US" w:eastAsia="zh-CN"/>
        </w:rPr>
      </w:pPr>
      <w:r>
        <w:rPr>
          <w:rFonts w:hint="eastAsia" w:ascii="黑体" w:hAnsi="黑体" w:eastAsia="黑体"/>
          <w:b w:val="0"/>
          <w:color w:val="auto"/>
          <w:highlight w:val="none"/>
          <w:lang w:val="en-US" w:eastAsia="zh-CN"/>
        </w:rPr>
        <w:t>第四部分 附件</w:t>
      </w:r>
      <w:bookmarkEnd w:id="89"/>
      <w:bookmarkEnd w:id="90"/>
    </w:p>
    <w:tbl>
      <w:tblPr>
        <w:tblStyle w:val="15"/>
        <w:tblW w:w="10220" w:type="dxa"/>
        <w:jc w:val="center"/>
        <w:shd w:val="clear" w:color="auto" w:fill="auto"/>
        <w:tblLayout w:type="fixed"/>
        <w:tblCellMar>
          <w:top w:w="0" w:type="dxa"/>
          <w:left w:w="0" w:type="dxa"/>
          <w:bottom w:w="0" w:type="dxa"/>
          <w:right w:w="0" w:type="dxa"/>
        </w:tblCellMar>
      </w:tblPr>
      <w:tblGrid>
        <w:gridCol w:w="464"/>
        <w:gridCol w:w="1689"/>
        <w:gridCol w:w="902"/>
        <w:gridCol w:w="1536"/>
        <w:gridCol w:w="353"/>
        <w:gridCol w:w="2"/>
        <w:gridCol w:w="1132"/>
        <w:gridCol w:w="332"/>
        <w:gridCol w:w="730"/>
        <w:gridCol w:w="628"/>
        <w:gridCol w:w="540"/>
        <w:gridCol w:w="1912"/>
      </w:tblGrid>
      <w:tr>
        <w:tblPrEx>
          <w:shd w:val="clear" w:color="auto" w:fill="auto"/>
          <w:tblCellMar>
            <w:top w:w="0" w:type="dxa"/>
            <w:left w:w="0" w:type="dxa"/>
            <w:bottom w:w="0" w:type="dxa"/>
            <w:right w:w="0" w:type="dxa"/>
          </w:tblCellMar>
        </w:tblPrEx>
        <w:trPr>
          <w:trHeight w:val="659" w:hRule="atLeast"/>
          <w:jc w:val="center"/>
        </w:trPr>
        <w:tc>
          <w:tcPr>
            <w:tcW w:w="1022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CellMar>
            <w:top w:w="0" w:type="dxa"/>
            <w:left w:w="0" w:type="dxa"/>
            <w:bottom w:w="0" w:type="dxa"/>
            <w:right w:w="0" w:type="dxa"/>
          </w:tblCellMar>
        </w:tblPrEx>
        <w:trPr>
          <w:trHeight w:val="342" w:hRule="atLeast"/>
          <w:jc w:val="center"/>
        </w:trPr>
        <w:tc>
          <w:tcPr>
            <w:tcW w:w="21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806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51080022R000000267546-工资性支出（事业）</w:t>
            </w:r>
          </w:p>
        </w:tc>
      </w:tr>
      <w:tr>
        <w:tblPrEx>
          <w:tblCellMar>
            <w:top w:w="0" w:type="dxa"/>
            <w:left w:w="0" w:type="dxa"/>
            <w:bottom w:w="0" w:type="dxa"/>
            <w:right w:w="0" w:type="dxa"/>
          </w:tblCellMar>
        </w:tblPrEx>
        <w:trPr>
          <w:trHeight w:val="659" w:hRule="atLeast"/>
          <w:jc w:val="center"/>
        </w:trPr>
        <w:tc>
          <w:tcPr>
            <w:tcW w:w="215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392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1062" w:type="dxa"/>
            <w:gridSpan w:val="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实施单位 （盖章）</w:t>
            </w:r>
          </w:p>
        </w:tc>
        <w:tc>
          <w:tcPr>
            <w:tcW w:w="30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广元市中医医院</w:t>
            </w:r>
          </w:p>
        </w:tc>
      </w:tr>
      <w:tr>
        <w:tblPrEx>
          <w:tblCellMar>
            <w:top w:w="0" w:type="dxa"/>
            <w:left w:w="0" w:type="dxa"/>
            <w:bottom w:w="0" w:type="dxa"/>
            <w:right w:w="0" w:type="dxa"/>
          </w:tblCellMar>
        </w:tblPrEx>
        <w:trPr>
          <w:trHeight w:val="342" w:hRule="atLeast"/>
          <w:jc w:val="center"/>
        </w:trPr>
        <w:tc>
          <w:tcPr>
            <w:tcW w:w="4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6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392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14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659" w:hRule="atLeast"/>
          <w:jc w:val="center"/>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92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严格执行相关政策，保障工资及时发放、足额发放，预算编制科学合理，减少结余资金</w:t>
            </w:r>
          </w:p>
        </w:tc>
        <w:tc>
          <w:tcPr>
            <w:tcW w:w="414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工资足额及时发放</w:t>
            </w:r>
          </w:p>
        </w:tc>
      </w:tr>
      <w:tr>
        <w:tblPrEx>
          <w:tblCellMar>
            <w:top w:w="0" w:type="dxa"/>
            <w:left w:w="0" w:type="dxa"/>
            <w:bottom w:w="0" w:type="dxa"/>
            <w:right w:w="0" w:type="dxa"/>
          </w:tblCellMar>
        </w:tblPrEx>
        <w:trPr>
          <w:trHeight w:val="659" w:hRule="atLeast"/>
          <w:jc w:val="center"/>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806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严格按照相关政策及时足额发放工资。</w:t>
            </w:r>
          </w:p>
        </w:tc>
      </w:tr>
      <w:tr>
        <w:tblPrEx>
          <w:tblCellMar>
            <w:top w:w="0" w:type="dxa"/>
            <w:left w:w="0" w:type="dxa"/>
            <w:bottom w:w="0" w:type="dxa"/>
            <w:right w:w="0" w:type="dxa"/>
          </w:tblCellMar>
        </w:tblPrEx>
        <w:trPr>
          <w:trHeight w:val="342" w:hRule="atLeast"/>
          <w:jc w:val="center"/>
        </w:trPr>
        <w:tc>
          <w:tcPr>
            <w:tcW w:w="4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48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342" w:hRule="atLeast"/>
          <w:jc w:val="center"/>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18,033.13</w:t>
            </w:r>
          </w:p>
        </w:tc>
        <w:tc>
          <w:tcPr>
            <w:tcW w:w="1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18,033.13</w:t>
            </w:r>
          </w:p>
        </w:tc>
        <w:tc>
          <w:tcPr>
            <w:tcW w:w="148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19,800.15</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109.80%</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191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6"/>
                <w:szCs w:val="16"/>
                <w:u w:val="none"/>
                <w:lang w:val="en-US" w:eastAsia="zh-CN" w:bidi="ar"/>
              </w:rPr>
              <w:t>一是为加强人才队伍建设，满足第三住院楼各楼层逐步投入使用后业务规模扩容，用工人数上升导致人员经费较年初预算数超支；二是加强应急防控，增加人力投入，一定程度增加了人员经费支出。</w:t>
            </w:r>
          </w:p>
        </w:tc>
      </w:tr>
      <w:tr>
        <w:tblPrEx>
          <w:tblCellMar>
            <w:top w:w="0" w:type="dxa"/>
            <w:left w:w="0" w:type="dxa"/>
            <w:bottom w:w="0" w:type="dxa"/>
            <w:right w:w="0" w:type="dxa"/>
          </w:tblCellMar>
        </w:tblPrEx>
        <w:trPr>
          <w:trHeight w:val="342" w:hRule="atLeast"/>
          <w:jc w:val="center"/>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300.00</w:t>
            </w:r>
          </w:p>
        </w:tc>
        <w:tc>
          <w:tcPr>
            <w:tcW w:w="148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300.00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42" w:hRule="atLeast"/>
          <w:jc w:val="center"/>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48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42" w:hRule="atLeast"/>
          <w:jc w:val="center"/>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17,733.13</w:t>
            </w:r>
          </w:p>
        </w:tc>
        <w:tc>
          <w:tcPr>
            <w:tcW w:w="1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17,733.13</w:t>
            </w:r>
          </w:p>
        </w:tc>
        <w:tc>
          <w:tcPr>
            <w:tcW w:w="148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19,500.15</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958" w:hRule="atLeast"/>
          <w:jc w:val="center"/>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148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91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1293" w:hRule="atLeast"/>
          <w:jc w:val="center"/>
        </w:trPr>
        <w:tc>
          <w:tcPr>
            <w:tcW w:w="46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342" w:hRule="atLeast"/>
          <w:jc w:val="center"/>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90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42" w:hRule="atLeast"/>
          <w:jc w:val="center"/>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w:t>
            </w:r>
          </w:p>
        </w:tc>
        <w:tc>
          <w:tcPr>
            <w:tcW w:w="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42" w:hRule="atLeast"/>
          <w:jc w:val="center"/>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1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按时发放率</w:t>
            </w:r>
          </w:p>
        </w:tc>
        <w:tc>
          <w:tcPr>
            <w:tcW w:w="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976" w:hRule="atLeast"/>
          <w:jc w:val="center"/>
        </w:trPr>
        <w:tc>
          <w:tcPr>
            <w:tcW w:w="46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90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1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结余率（计算方法为：结余数/预算数）</w:t>
            </w:r>
          </w:p>
        </w:tc>
        <w:tc>
          <w:tcPr>
            <w:tcW w:w="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1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42" w:hRule="atLeast"/>
          <w:jc w:val="center"/>
        </w:trPr>
        <w:tc>
          <w:tcPr>
            <w:tcW w:w="714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6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w:t>
            </w:r>
          </w:p>
        </w:tc>
        <w:tc>
          <w:tcPr>
            <w:tcW w:w="19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59" w:hRule="atLeast"/>
          <w:jc w:val="center"/>
        </w:trPr>
        <w:tc>
          <w:tcPr>
            <w:tcW w:w="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9756"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按时发放及足额保障均100%完成，预算完成率及预算结余率均符合预期。</w:t>
            </w:r>
          </w:p>
        </w:tc>
      </w:tr>
      <w:tr>
        <w:tblPrEx>
          <w:tblCellMar>
            <w:top w:w="0" w:type="dxa"/>
            <w:left w:w="0" w:type="dxa"/>
            <w:bottom w:w="0" w:type="dxa"/>
            <w:right w:w="0" w:type="dxa"/>
          </w:tblCellMar>
        </w:tblPrEx>
        <w:trPr>
          <w:trHeight w:val="659" w:hRule="atLeast"/>
          <w:jc w:val="center"/>
        </w:trPr>
        <w:tc>
          <w:tcPr>
            <w:tcW w:w="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9756"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无</w:t>
            </w:r>
          </w:p>
        </w:tc>
      </w:tr>
      <w:tr>
        <w:tblPrEx>
          <w:tblCellMar>
            <w:top w:w="0" w:type="dxa"/>
            <w:left w:w="0" w:type="dxa"/>
            <w:bottom w:w="0" w:type="dxa"/>
            <w:right w:w="0" w:type="dxa"/>
          </w:tblCellMar>
        </w:tblPrEx>
        <w:trPr>
          <w:trHeight w:val="659" w:hRule="atLeast"/>
          <w:jc w:val="center"/>
        </w:trPr>
        <w:tc>
          <w:tcPr>
            <w:tcW w:w="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9756"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无</w:t>
            </w:r>
          </w:p>
        </w:tc>
      </w:tr>
      <w:tr>
        <w:tblPrEx>
          <w:tblCellMar>
            <w:top w:w="0" w:type="dxa"/>
            <w:left w:w="0" w:type="dxa"/>
            <w:bottom w:w="0" w:type="dxa"/>
            <w:right w:w="0" w:type="dxa"/>
          </w:tblCellMar>
        </w:tblPrEx>
        <w:trPr>
          <w:trHeight w:val="352" w:hRule="atLeast"/>
          <w:jc w:val="center"/>
        </w:trPr>
        <w:tc>
          <w:tcPr>
            <w:tcW w:w="494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项目负责人：</w:t>
            </w:r>
          </w:p>
        </w:tc>
        <w:tc>
          <w:tcPr>
            <w:tcW w:w="527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财务负责人：</w:t>
            </w:r>
          </w:p>
        </w:tc>
      </w:tr>
    </w:tbl>
    <w:tbl>
      <w:tblPr>
        <w:tblStyle w:val="15"/>
        <w:tblpPr w:leftFromText="180" w:rightFromText="180" w:vertAnchor="text" w:horzAnchor="page" w:tblpXSpec="center" w:tblpY="336"/>
        <w:tblOverlap w:val="never"/>
        <w:tblW w:w="11140" w:type="dxa"/>
        <w:jc w:val="center"/>
        <w:shd w:val="clear" w:color="auto" w:fill="auto"/>
        <w:tblLayout w:type="fixed"/>
        <w:tblCellMar>
          <w:top w:w="0" w:type="dxa"/>
          <w:left w:w="0" w:type="dxa"/>
          <w:bottom w:w="0" w:type="dxa"/>
          <w:right w:w="0" w:type="dxa"/>
        </w:tblCellMar>
      </w:tblPr>
      <w:tblGrid>
        <w:gridCol w:w="507"/>
        <w:gridCol w:w="1528"/>
        <w:gridCol w:w="1321"/>
        <w:gridCol w:w="1685"/>
        <w:gridCol w:w="515"/>
        <w:gridCol w:w="1016"/>
        <w:gridCol w:w="495"/>
        <w:gridCol w:w="811"/>
        <w:gridCol w:w="374"/>
        <w:gridCol w:w="612"/>
        <w:gridCol w:w="2276"/>
      </w:tblGrid>
      <w:tr>
        <w:tblPrEx>
          <w:shd w:val="clear" w:color="auto" w:fill="auto"/>
          <w:tblCellMar>
            <w:top w:w="0" w:type="dxa"/>
            <w:left w:w="0" w:type="dxa"/>
            <w:bottom w:w="0" w:type="dxa"/>
            <w:right w:w="0" w:type="dxa"/>
          </w:tblCellMar>
        </w:tblPrEx>
        <w:trPr>
          <w:trHeight w:val="627" w:hRule="atLeast"/>
          <w:jc w:val="center"/>
        </w:trPr>
        <w:tc>
          <w:tcPr>
            <w:tcW w:w="1114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CellMar>
            <w:top w:w="0" w:type="dxa"/>
            <w:left w:w="0" w:type="dxa"/>
            <w:bottom w:w="0" w:type="dxa"/>
            <w:right w:w="0" w:type="dxa"/>
          </w:tblCellMar>
        </w:tblPrEx>
        <w:trPr>
          <w:trHeight w:val="393" w:hRule="atLeast"/>
          <w:jc w:val="center"/>
        </w:trPr>
        <w:tc>
          <w:tcPr>
            <w:tcW w:w="20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9105"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51080022T000000426796-专用设备购置项目</w:t>
            </w:r>
          </w:p>
        </w:tc>
      </w:tr>
      <w:tr>
        <w:tblPrEx>
          <w:tblCellMar>
            <w:top w:w="0" w:type="dxa"/>
            <w:left w:w="0" w:type="dxa"/>
            <w:bottom w:w="0" w:type="dxa"/>
            <w:right w:w="0" w:type="dxa"/>
          </w:tblCellMar>
        </w:tblPrEx>
        <w:trPr>
          <w:trHeight w:val="544" w:hRule="atLeast"/>
          <w:jc w:val="center"/>
        </w:trPr>
        <w:tc>
          <w:tcPr>
            <w:tcW w:w="20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503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811"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实施单位 （盖章）</w:t>
            </w:r>
          </w:p>
        </w:tc>
        <w:tc>
          <w:tcPr>
            <w:tcW w:w="326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广元市中医医院</w:t>
            </w:r>
          </w:p>
        </w:tc>
      </w:tr>
      <w:tr>
        <w:tblPrEx>
          <w:tblCellMar>
            <w:top w:w="0" w:type="dxa"/>
            <w:left w:w="0" w:type="dxa"/>
            <w:bottom w:w="0" w:type="dxa"/>
            <w:right w:w="0" w:type="dxa"/>
          </w:tblCellMar>
        </w:tblPrEx>
        <w:trPr>
          <w:trHeight w:val="393" w:hRule="atLeast"/>
          <w:jc w:val="center"/>
        </w:trPr>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15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503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07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900" w:hRule="atLeast"/>
          <w:jc w:val="center"/>
        </w:trPr>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5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5032"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通过设备添购、更新，确保设备完好率能够满足临床医疗和各项管理活动正常进行以及新项目、新技术的顺利开展，为群众医疗、健康服务需求提供必要的硬件支持。</w:t>
            </w:r>
          </w:p>
        </w:tc>
        <w:tc>
          <w:tcPr>
            <w:tcW w:w="407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 xml:space="preserve">根据临床科室的需要，购置了相关专用设备 </w:t>
            </w:r>
          </w:p>
        </w:tc>
      </w:tr>
      <w:tr>
        <w:tblPrEx>
          <w:tblCellMar>
            <w:top w:w="0" w:type="dxa"/>
            <w:left w:w="0" w:type="dxa"/>
            <w:bottom w:w="0" w:type="dxa"/>
            <w:right w:w="0" w:type="dxa"/>
          </w:tblCellMar>
        </w:tblPrEx>
        <w:trPr>
          <w:trHeight w:val="582" w:hRule="atLeast"/>
          <w:jc w:val="center"/>
        </w:trPr>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9105"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通过设备添购、更新，确保设备完好率能够满足临床医疗和各项管理活动正常进行以及新项目、新技术的顺利开展，为群众医疗、健康服务需求提供必要的硬件支持。</w:t>
            </w:r>
          </w:p>
        </w:tc>
      </w:tr>
      <w:tr>
        <w:tblPrEx>
          <w:tblCellMar>
            <w:top w:w="0" w:type="dxa"/>
            <w:left w:w="0" w:type="dxa"/>
            <w:bottom w:w="0" w:type="dxa"/>
            <w:right w:w="0" w:type="dxa"/>
          </w:tblCellMar>
        </w:tblPrEx>
        <w:trPr>
          <w:trHeight w:val="712" w:hRule="atLeast"/>
          <w:jc w:val="center"/>
        </w:trPr>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1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02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308" w:hRule="atLeast"/>
          <w:jc w:val="center"/>
        </w:trPr>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5,607.86</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5,607.86</w:t>
            </w:r>
          </w:p>
        </w:tc>
        <w:tc>
          <w:tcPr>
            <w:tcW w:w="202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2,229.44</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39.76%</w:t>
            </w:r>
          </w:p>
        </w:tc>
        <w:tc>
          <w:tcPr>
            <w:tcW w:w="3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w:t>
            </w:r>
          </w:p>
        </w:tc>
        <w:tc>
          <w:tcPr>
            <w:tcW w:w="22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hint="eastAsia" w:ascii="宋体" w:hAnsi="宋体" w:cs="宋体"/>
                <w:i w:val="0"/>
                <w:color w:val="000000"/>
                <w:kern w:val="0"/>
                <w:sz w:val="16"/>
                <w:szCs w:val="16"/>
                <w:u w:val="none"/>
                <w:lang w:val="en-US" w:eastAsia="zh-CN" w:bidi="ar"/>
              </w:rPr>
              <w:t>一</w:t>
            </w:r>
            <w:r>
              <w:rPr>
                <w:rFonts w:ascii="宋体" w:hAnsi="宋体" w:eastAsia="宋体" w:cs="宋体"/>
                <w:i w:val="0"/>
                <w:color w:val="000000"/>
                <w:kern w:val="0"/>
                <w:sz w:val="16"/>
                <w:szCs w:val="16"/>
                <w:u w:val="none"/>
                <w:lang w:val="en-US" w:eastAsia="zh-CN" w:bidi="ar"/>
              </w:rPr>
              <w:t>是设备从采购招标、安装试用，到验收入账流程环节较多耗时较长</w:t>
            </w:r>
            <w:r>
              <w:rPr>
                <w:rFonts w:hint="eastAsia" w:ascii="宋体" w:hAnsi="宋体" w:cs="宋体"/>
                <w:i w:val="0"/>
                <w:color w:val="000000"/>
                <w:kern w:val="0"/>
                <w:sz w:val="16"/>
                <w:szCs w:val="16"/>
                <w:u w:val="none"/>
                <w:lang w:val="en-US" w:eastAsia="zh-CN" w:bidi="ar"/>
              </w:rPr>
              <w:t>；</w:t>
            </w:r>
            <w:r>
              <w:rPr>
                <w:rFonts w:ascii="宋体" w:hAnsi="宋体" w:eastAsia="宋体" w:cs="宋体"/>
                <w:i w:val="0"/>
                <w:color w:val="000000"/>
                <w:kern w:val="0"/>
                <w:sz w:val="16"/>
                <w:szCs w:val="16"/>
                <w:u w:val="none"/>
                <w:lang w:val="en-US" w:eastAsia="zh-CN" w:bidi="ar"/>
              </w:rPr>
              <w:t>二是业务运转过程中需求变化、预算调整等原因影响到采购延迟，未能如期完成。</w:t>
            </w:r>
          </w:p>
        </w:tc>
      </w:tr>
      <w:tr>
        <w:tblPrEx>
          <w:tblCellMar>
            <w:top w:w="0" w:type="dxa"/>
            <w:left w:w="0" w:type="dxa"/>
            <w:bottom w:w="0" w:type="dxa"/>
            <w:right w:w="0" w:type="dxa"/>
          </w:tblCellMar>
        </w:tblPrEx>
        <w:trPr>
          <w:trHeight w:val="368" w:hRule="atLeast"/>
          <w:jc w:val="center"/>
        </w:trPr>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2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38" w:hRule="atLeast"/>
          <w:jc w:val="center"/>
        </w:trPr>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2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323" w:hRule="atLeast"/>
          <w:jc w:val="center"/>
        </w:trPr>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5,607.86</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5,607.86</w:t>
            </w:r>
          </w:p>
        </w:tc>
        <w:tc>
          <w:tcPr>
            <w:tcW w:w="202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2,229.44</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39.76%</w:t>
            </w:r>
          </w:p>
        </w:tc>
        <w:tc>
          <w:tcPr>
            <w:tcW w:w="3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263" w:hRule="atLeast"/>
          <w:jc w:val="center"/>
        </w:trPr>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202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3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2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657" w:hRule="atLeast"/>
          <w:jc w:val="center"/>
        </w:trPr>
        <w:tc>
          <w:tcPr>
            <w:tcW w:w="50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1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1492" w:hRule="atLeast"/>
          <w:jc w:val="center"/>
        </w:trPr>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购买专用设备数量</w:t>
            </w:r>
          </w:p>
        </w:tc>
        <w:tc>
          <w:tcPr>
            <w:tcW w:w="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180</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套</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150</w:t>
            </w:r>
          </w:p>
        </w:tc>
        <w:tc>
          <w:tcPr>
            <w:tcW w:w="3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w:t>
            </w:r>
          </w:p>
        </w:tc>
        <w:tc>
          <w:tcPr>
            <w:tcW w:w="2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6"/>
                <w:szCs w:val="16"/>
                <w:u w:val="none"/>
                <w:lang w:val="en-US" w:eastAsia="zh-CN" w:bidi="ar"/>
              </w:rPr>
              <w:t>设备从采购招标、安装试用，到验收入账流程环节较多耗时较长</w:t>
            </w:r>
            <w:r>
              <w:rPr>
                <w:rFonts w:hint="eastAsia" w:ascii="宋体" w:hAnsi="宋体" w:cs="宋体"/>
                <w:i w:val="0"/>
                <w:color w:val="000000"/>
                <w:kern w:val="0"/>
                <w:sz w:val="16"/>
                <w:szCs w:val="16"/>
                <w:u w:val="none"/>
                <w:lang w:val="en-US" w:eastAsia="zh-CN" w:bidi="ar"/>
              </w:rPr>
              <w:t>；</w:t>
            </w:r>
            <w:r>
              <w:rPr>
                <w:rFonts w:ascii="宋体" w:hAnsi="宋体" w:eastAsia="宋体" w:cs="宋体"/>
                <w:i w:val="0"/>
                <w:color w:val="000000"/>
                <w:kern w:val="0"/>
                <w:sz w:val="16"/>
                <w:szCs w:val="16"/>
                <w:u w:val="none"/>
                <w:lang w:val="en-US" w:eastAsia="zh-CN" w:bidi="ar"/>
              </w:rPr>
              <w:t>二是业务运转过程中需求变化、预算调整等原因影响到采购延迟，未能如期完成。</w:t>
            </w:r>
          </w:p>
        </w:tc>
      </w:tr>
      <w:tr>
        <w:tblPrEx>
          <w:tblCellMar>
            <w:top w:w="0" w:type="dxa"/>
            <w:left w:w="0" w:type="dxa"/>
            <w:bottom w:w="0" w:type="dxa"/>
            <w:right w:w="0" w:type="dxa"/>
          </w:tblCellMar>
        </w:tblPrEx>
        <w:trPr>
          <w:trHeight w:val="557" w:hRule="atLeast"/>
          <w:jc w:val="center"/>
        </w:trPr>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满足群众就医、康复业务工作需要</w:t>
            </w:r>
          </w:p>
        </w:tc>
        <w:tc>
          <w:tcPr>
            <w:tcW w:w="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完成</w:t>
            </w:r>
          </w:p>
        </w:tc>
        <w:tc>
          <w:tcPr>
            <w:tcW w:w="3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2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color w:val="000000"/>
                <w:sz w:val="16"/>
                <w:szCs w:val="16"/>
                <w:u w:val="none"/>
              </w:rPr>
            </w:pPr>
          </w:p>
        </w:tc>
      </w:tr>
      <w:tr>
        <w:tblPrEx>
          <w:tblCellMar>
            <w:top w:w="0" w:type="dxa"/>
            <w:left w:w="0" w:type="dxa"/>
            <w:bottom w:w="0" w:type="dxa"/>
            <w:right w:w="0" w:type="dxa"/>
          </w:tblCellMar>
        </w:tblPrEx>
        <w:trPr>
          <w:trHeight w:val="90" w:hRule="atLeast"/>
          <w:jc w:val="center"/>
        </w:trPr>
        <w:tc>
          <w:tcPr>
            <w:tcW w:w="50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5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病员及家属对医院服务的满意度</w:t>
            </w:r>
          </w:p>
        </w:tc>
        <w:tc>
          <w:tcPr>
            <w:tcW w:w="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4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宋体" w:hAnsi="宋体" w:eastAsia="宋体" w:cs="宋体"/>
                <w:i w:val="0"/>
                <w:color w:val="000000"/>
                <w:kern w:val="0"/>
                <w:sz w:val="18"/>
                <w:szCs w:val="18"/>
                <w:u w:val="none"/>
                <w:lang w:val="en-US" w:eastAsia="zh-CN" w:bidi="ar"/>
              </w:rPr>
              <w:t>95</w:t>
            </w:r>
          </w:p>
        </w:tc>
        <w:tc>
          <w:tcPr>
            <w:tcW w:w="3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28</w:t>
            </w:r>
          </w:p>
        </w:tc>
        <w:tc>
          <w:tcPr>
            <w:tcW w:w="2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微软雅黑" w:hAnsi="微软雅黑" w:eastAsia="微软雅黑" w:cs="微软雅黑"/>
                <w:i/>
                <w:color w:val="000000"/>
                <w:sz w:val="16"/>
                <w:szCs w:val="16"/>
                <w:u w:val="none"/>
              </w:rPr>
            </w:pPr>
            <w:r>
              <w:rPr>
                <w:rFonts w:hint="eastAsia" w:ascii="宋体" w:hAnsi="宋体" w:eastAsia="宋体" w:cs="宋体"/>
                <w:i w:val="0"/>
                <w:color w:val="000000"/>
                <w:kern w:val="0"/>
                <w:sz w:val="16"/>
                <w:szCs w:val="16"/>
                <w:u w:val="none"/>
                <w:lang w:val="en-US" w:eastAsia="zh-CN" w:bidi="ar"/>
              </w:rPr>
              <w:t>2022年度全国公立医院移动互联网满意度调查报告尚未出来，暂未确定，但预计满意度指标在90%以上。</w:t>
            </w:r>
          </w:p>
        </w:tc>
      </w:tr>
      <w:tr>
        <w:tblPrEx>
          <w:tblCellMar>
            <w:top w:w="0" w:type="dxa"/>
            <w:left w:w="0" w:type="dxa"/>
            <w:bottom w:w="0" w:type="dxa"/>
            <w:right w:w="0" w:type="dxa"/>
          </w:tblCellMar>
        </w:tblPrEx>
        <w:trPr>
          <w:trHeight w:val="393" w:hRule="atLeast"/>
          <w:jc w:val="center"/>
        </w:trPr>
        <w:tc>
          <w:tcPr>
            <w:tcW w:w="787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3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6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2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945" w:hRule="atLeast"/>
          <w:jc w:val="center"/>
        </w:trPr>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063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sz w:val="16"/>
                <w:szCs w:val="16"/>
                <w:u w:val="none"/>
              </w:rPr>
            </w:pPr>
            <w:r>
              <w:rPr>
                <w:rFonts w:ascii="宋体" w:hAnsi="宋体" w:eastAsia="宋体" w:cs="宋体"/>
                <w:i w:val="0"/>
                <w:color w:val="000000"/>
                <w:kern w:val="0"/>
                <w:sz w:val="16"/>
                <w:szCs w:val="16"/>
                <w:u w:val="none"/>
                <w:lang w:val="en-US" w:eastAsia="zh-CN" w:bidi="ar"/>
              </w:rPr>
              <w:t>2022年医院从需求、论证、审批、实施和验收等五大环节着手，从预算项目绩效支出必要性可行性两个方面切实加强资金、资源统筹分配与管控，加强预算与成本、资产、采购、业务等各方面业务的融合，保障医院医护中心业务顺利开展，圆满完成2022年度医疗、教学、急救、抗疫等各项中心任务，预算绩效管理工作基本达到本年预期目标。</w:t>
            </w:r>
          </w:p>
        </w:tc>
      </w:tr>
      <w:tr>
        <w:tblPrEx>
          <w:tblCellMar>
            <w:top w:w="0" w:type="dxa"/>
            <w:left w:w="0" w:type="dxa"/>
            <w:bottom w:w="0" w:type="dxa"/>
            <w:right w:w="0" w:type="dxa"/>
          </w:tblCellMar>
        </w:tblPrEx>
        <w:trPr>
          <w:trHeight w:val="642" w:hRule="atLeast"/>
          <w:jc w:val="center"/>
        </w:trPr>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063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无</w:t>
            </w:r>
          </w:p>
        </w:tc>
      </w:tr>
      <w:tr>
        <w:tblPrEx>
          <w:tblCellMar>
            <w:top w:w="0" w:type="dxa"/>
            <w:left w:w="0" w:type="dxa"/>
            <w:bottom w:w="0" w:type="dxa"/>
            <w:right w:w="0" w:type="dxa"/>
          </w:tblCellMar>
        </w:tblPrEx>
        <w:trPr>
          <w:trHeight w:val="642" w:hRule="atLeast"/>
          <w:jc w:val="center"/>
        </w:trPr>
        <w:tc>
          <w:tcPr>
            <w:tcW w:w="5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063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无</w:t>
            </w:r>
          </w:p>
        </w:tc>
      </w:tr>
      <w:tr>
        <w:tblPrEx>
          <w:tblCellMar>
            <w:top w:w="0" w:type="dxa"/>
            <w:left w:w="0" w:type="dxa"/>
            <w:bottom w:w="0" w:type="dxa"/>
            <w:right w:w="0" w:type="dxa"/>
          </w:tblCellMar>
        </w:tblPrEx>
        <w:trPr>
          <w:trHeight w:val="363" w:hRule="atLeast"/>
          <w:jc w:val="center"/>
        </w:trPr>
        <w:tc>
          <w:tcPr>
            <w:tcW w:w="55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项目负责人：</w:t>
            </w:r>
          </w:p>
        </w:tc>
        <w:tc>
          <w:tcPr>
            <w:tcW w:w="558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财务负责人：</w:t>
            </w:r>
          </w:p>
        </w:tc>
      </w:tr>
    </w:tbl>
    <w:tbl>
      <w:tblPr>
        <w:tblStyle w:val="15"/>
        <w:tblpPr w:leftFromText="180" w:rightFromText="180" w:vertAnchor="text" w:horzAnchor="page" w:tblpX="957" w:tblpY="780"/>
        <w:tblOverlap w:val="never"/>
        <w:tblW w:w="10480" w:type="dxa"/>
        <w:tblInd w:w="0" w:type="dxa"/>
        <w:shd w:val="clear" w:color="auto" w:fill="auto"/>
        <w:tblLayout w:type="fixed"/>
        <w:tblCellMar>
          <w:top w:w="0" w:type="dxa"/>
          <w:left w:w="0" w:type="dxa"/>
          <w:bottom w:w="0" w:type="dxa"/>
          <w:right w:w="0" w:type="dxa"/>
        </w:tblCellMar>
      </w:tblPr>
      <w:tblGrid>
        <w:gridCol w:w="477"/>
        <w:gridCol w:w="1437"/>
        <w:gridCol w:w="1243"/>
        <w:gridCol w:w="1584"/>
        <w:gridCol w:w="477"/>
        <w:gridCol w:w="3"/>
        <w:gridCol w:w="1059"/>
        <w:gridCol w:w="367"/>
        <w:gridCol w:w="942"/>
        <w:gridCol w:w="382"/>
        <w:gridCol w:w="579"/>
        <w:gridCol w:w="1930"/>
      </w:tblGrid>
      <w:tr>
        <w:tblPrEx>
          <w:shd w:val="clear" w:color="auto" w:fill="auto"/>
          <w:tblCellMar>
            <w:top w:w="0" w:type="dxa"/>
            <w:left w:w="0" w:type="dxa"/>
            <w:bottom w:w="0" w:type="dxa"/>
            <w:right w:w="0" w:type="dxa"/>
          </w:tblCellMar>
        </w:tblPrEx>
        <w:trPr>
          <w:trHeight w:val="670" w:hRule="atLeast"/>
        </w:trPr>
        <w:tc>
          <w:tcPr>
            <w:tcW w:w="1048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color w:val="000000"/>
                <w:sz w:val="30"/>
                <w:szCs w:val="30"/>
                <w:u w:val="none"/>
              </w:rPr>
            </w:pPr>
            <w:r>
              <w:rPr>
                <w:rFonts w:hint="eastAsia" w:asciiTheme="minorEastAsia" w:hAnsiTheme="minorEastAsia" w:eastAsiaTheme="minorEastAsia" w:cstheme="minorEastAsia"/>
                <w:b/>
                <w:i w:val="0"/>
                <w:color w:val="000000"/>
                <w:kern w:val="0"/>
                <w:sz w:val="30"/>
                <w:szCs w:val="30"/>
                <w:u w:val="none"/>
                <w:lang w:val="en-US" w:eastAsia="zh-CN" w:bidi="ar"/>
              </w:rPr>
              <w:t>部门预算项目支出绩效自评表（2022年度）</w:t>
            </w:r>
          </w:p>
        </w:tc>
      </w:tr>
      <w:tr>
        <w:tblPrEx>
          <w:tblCellMar>
            <w:top w:w="0" w:type="dxa"/>
            <w:left w:w="0" w:type="dxa"/>
            <w:bottom w:w="0" w:type="dxa"/>
            <w:right w:w="0" w:type="dxa"/>
          </w:tblCellMar>
        </w:tblPrEx>
        <w:trPr>
          <w:trHeight w:val="348" w:hRule="atLeast"/>
        </w:trPr>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项目名称</w:t>
            </w:r>
          </w:p>
        </w:tc>
        <w:tc>
          <w:tcPr>
            <w:tcW w:w="8566"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51080022T000004682627-药品采购</w:t>
            </w:r>
          </w:p>
        </w:tc>
      </w:tr>
      <w:tr>
        <w:tblPrEx>
          <w:tblCellMar>
            <w:top w:w="0" w:type="dxa"/>
            <w:left w:w="0" w:type="dxa"/>
            <w:bottom w:w="0" w:type="dxa"/>
            <w:right w:w="0" w:type="dxa"/>
          </w:tblCellMar>
        </w:tblPrEx>
        <w:trPr>
          <w:trHeight w:val="670" w:hRule="atLeast"/>
        </w:trPr>
        <w:tc>
          <w:tcPr>
            <w:tcW w:w="1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主管部门</w:t>
            </w:r>
          </w:p>
        </w:tc>
        <w:tc>
          <w:tcPr>
            <w:tcW w:w="473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广元市卫生健康委员会部门</w:t>
            </w:r>
          </w:p>
        </w:tc>
        <w:tc>
          <w:tcPr>
            <w:tcW w:w="942"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实施单位 （盖章）</w:t>
            </w:r>
          </w:p>
        </w:tc>
        <w:tc>
          <w:tcPr>
            <w:tcW w:w="289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广元市中医医院</w:t>
            </w:r>
          </w:p>
        </w:tc>
      </w:tr>
      <w:tr>
        <w:tblPrEx>
          <w:tblCellMar>
            <w:top w:w="0" w:type="dxa"/>
            <w:left w:w="0" w:type="dxa"/>
            <w:bottom w:w="0" w:type="dxa"/>
            <w:right w:w="0" w:type="dxa"/>
          </w:tblCellMar>
        </w:tblPrEx>
        <w:trPr>
          <w:trHeight w:val="348" w:hRule="atLeast"/>
        </w:trPr>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项目基本情况</w:t>
            </w:r>
          </w:p>
        </w:tc>
        <w:tc>
          <w:tcPr>
            <w:tcW w:w="14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1.项目年度目标完成情况</w:t>
            </w:r>
          </w:p>
        </w:tc>
        <w:tc>
          <w:tcPr>
            <w:tcW w:w="473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项目年度目标</w:t>
            </w:r>
          </w:p>
        </w:tc>
        <w:tc>
          <w:tcPr>
            <w:tcW w:w="383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555"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000000"/>
                <w:sz w:val="18"/>
                <w:szCs w:val="18"/>
                <w:u w:val="none"/>
              </w:rPr>
            </w:pPr>
          </w:p>
        </w:tc>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000000"/>
                <w:sz w:val="18"/>
                <w:szCs w:val="18"/>
                <w:u w:val="none"/>
              </w:rPr>
            </w:pPr>
          </w:p>
        </w:tc>
        <w:tc>
          <w:tcPr>
            <w:tcW w:w="4733"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2022年西药、中成药、中药采购，满足门诊、住院医疗业务需要。</w:t>
            </w:r>
          </w:p>
        </w:tc>
        <w:tc>
          <w:tcPr>
            <w:tcW w:w="383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2022年门诊、住院医疗业务的药品需求得到保障，医院各项业务正常开展</w:t>
            </w:r>
          </w:p>
        </w:tc>
      </w:tr>
      <w:tr>
        <w:tblPrEx>
          <w:tblCellMar>
            <w:top w:w="0" w:type="dxa"/>
            <w:left w:w="0" w:type="dxa"/>
            <w:bottom w:w="0" w:type="dxa"/>
            <w:right w:w="0" w:type="dxa"/>
          </w:tblCellMar>
        </w:tblPrEx>
        <w:trPr>
          <w:trHeight w:val="570"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000000"/>
                <w:sz w:val="18"/>
                <w:szCs w:val="18"/>
                <w:u w:val="none"/>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2.项目实施内容及过程概述</w:t>
            </w:r>
          </w:p>
        </w:tc>
        <w:tc>
          <w:tcPr>
            <w:tcW w:w="8566"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采购西药、中成药、中药，满足门诊、住院医疗业务需要。</w:t>
            </w:r>
          </w:p>
        </w:tc>
      </w:tr>
      <w:tr>
        <w:tblPrEx>
          <w:tblCellMar>
            <w:top w:w="0" w:type="dxa"/>
            <w:left w:w="0" w:type="dxa"/>
            <w:bottom w:w="0" w:type="dxa"/>
            <w:right w:w="0" w:type="dxa"/>
          </w:tblCellMar>
        </w:tblPrEx>
        <w:trPr>
          <w:trHeight w:val="670" w:hRule="atLeast"/>
        </w:trPr>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预算执行情况（10分）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年度预算数（万元）</w:t>
            </w:r>
          </w:p>
        </w:tc>
        <w:tc>
          <w:tcPr>
            <w:tcW w:w="1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年初预算</w:t>
            </w:r>
          </w:p>
        </w:tc>
        <w:tc>
          <w:tcPr>
            <w:tcW w:w="1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调整后预算数</w:t>
            </w:r>
          </w:p>
        </w:tc>
        <w:tc>
          <w:tcPr>
            <w:tcW w:w="190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预算执行数</w:t>
            </w:r>
          </w:p>
        </w:tc>
        <w:tc>
          <w:tcPr>
            <w:tcW w:w="9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预算执行率</w:t>
            </w:r>
          </w:p>
        </w:tc>
        <w:tc>
          <w:tcPr>
            <w:tcW w:w="3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权重</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得分</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348"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18"/>
                <w:szCs w:val="18"/>
                <w:u w:val="none"/>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总额</w:t>
            </w:r>
          </w:p>
        </w:tc>
        <w:tc>
          <w:tcPr>
            <w:tcW w:w="1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8,013.25</w:t>
            </w:r>
          </w:p>
        </w:tc>
        <w:tc>
          <w:tcPr>
            <w:tcW w:w="1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8,013.25</w:t>
            </w:r>
          </w:p>
        </w:tc>
        <w:tc>
          <w:tcPr>
            <w:tcW w:w="190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8,208.00</w:t>
            </w:r>
          </w:p>
        </w:tc>
        <w:tc>
          <w:tcPr>
            <w:tcW w:w="9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102.43%</w:t>
            </w:r>
          </w:p>
        </w:tc>
        <w:tc>
          <w:tcPr>
            <w:tcW w:w="3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10</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8</w:t>
            </w:r>
          </w:p>
        </w:tc>
        <w:tc>
          <w:tcPr>
            <w:tcW w:w="1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color w:val="000000"/>
                <w:sz w:val="18"/>
                <w:szCs w:val="18"/>
                <w:u w:val="none"/>
              </w:rPr>
            </w:pPr>
          </w:p>
        </w:tc>
      </w:tr>
      <w:tr>
        <w:tblPrEx>
          <w:tblCellMar>
            <w:top w:w="0" w:type="dxa"/>
            <w:left w:w="0" w:type="dxa"/>
            <w:bottom w:w="0" w:type="dxa"/>
            <w:right w:w="0" w:type="dxa"/>
          </w:tblCellMar>
        </w:tblPrEx>
        <w:trPr>
          <w:trHeight w:val="348"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18"/>
                <w:szCs w:val="18"/>
                <w:u w:val="none"/>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其中：财政资金</w:t>
            </w:r>
          </w:p>
        </w:tc>
        <w:tc>
          <w:tcPr>
            <w:tcW w:w="1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190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9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3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w:t>
            </w:r>
          </w:p>
        </w:tc>
        <w:tc>
          <w:tcPr>
            <w:tcW w:w="1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color w:val="000000"/>
                <w:sz w:val="18"/>
                <w:szCs w:val="18"/>
                <w:u w:val="none"/>
              </w:rPr>
            </w:pPr>
          </w:p>
        </w:tc>
      </w:tr>
      <w:tr>
        <w:tblPrEx>
          <w:tblCellMar>
            <w:top w:w="0" w:type="dxa"/>
            <w:left w:w="0" w:type="dxa"/>
            <w:bottom w:w="0" w:type="dxa"/>
            <w:right w:w="0" w:type="dxa"/>
          </w:tblCellMar>
        </w:tblPrEx>
        <w:trPr>
          <w:trHeight w:val="670"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18"/>
                <w:szCs w:val="18"/>
                <w:u w:val="none"/>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财政专户管理资金</w:t>
            </w:r>
          </w:p>
        </w:tc>
        <w:tc>
          <w:tcPr>
            <w:tcW w:w="1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1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190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9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0.00%</w:t>
            </w:r>
          </w:p>
        </w:tc>
        <w:tc>
          <w:tcPr>
            <w:tcW w:w="3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w:t>
            </w:r>
          </w:p>
        </w:tc>
        <w:tc>
          <w:tcPr>
            <w:tcW w:w="1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color w:val="000000"/>
                <w:sz w:val="18"/>
                <w:szCs w:val="18"/>
                <w:u w:val="none"/>
              </w:rPr>
            </w:pPr>
          </w:p>
        </w:tc>
      </w:tr>
      <w:tr>
        <w:tblPrEx>
          <w:tblCellMar>
            <w:top w:w="0" w:type="dxa"/>
            <w:left w:w="0" w:type="dxa"/>
            <w:bottom w:w="0" w:type="dxa"/>
            <w:right w:w="0" w:type="dxa"/>
          </w:tblCellMar>
        </w:tblPrEx>
        <w:trPr>
          <w:trHeight w:val="348"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18"/>
                <w:szCs w:val="18"/>
                <w:u w:val="none"/>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单位资金</w:t>
            </w:r>
          </w:p>
        </w:tc>
        <w:tc>
          <w:tcPr>
            <w:tcW w:w="1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8,013.25</w:t>
            </w:r>
          </w:p>
        </w:tc>
        <w:tc>
          <w:tcPr>
            <w:tcW w:w="1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8,013.25</w:t>
            </w:r>
          </w:p>
        </w:tc>
        <w:tc>
          <w:tcPr>
            <w:tcW w:w="190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8,208.00</w:t>
            </w:r>
          </w:p>
        </w:tc>
        <w:tc>
          <w:tcPr>
            <w:tcW w:w="9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102.43%</w:t>
            </w:r>
          </w:p>
        </w:tc>
        <w:tc>
          <w:tcPr>
            <w:tcW w:w="3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w:t>
            </w:r>
          </w:p>
        </w:tc>
        <w:tc>
          <w:tcPr>
            <w:tcW w:w="1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color w:val="000000"/>
                <w:sz w:val="18"/>
                <w:szCs w:val="18"/>
                <w:u w:val="none"/>
              </w:rPr>
            </w:pPr>
          </w:p>
        </w:tc>
      </w:tr>
      <w:tr>
        <w:tblPrEx>
          <w:tblCellMar>
            <w:top w:w="0" w:type="dxa"/>
            <w:left w:w="0" w:type="dxa"/>
            <w:bottom w:w="0" w:type="dxa"/>
            <w:right w:w="0" w:type="dxa"/>
          </w:tblCellMar>
        </w:tblPrEx>
        <w:trPr>
          <w:trHeight w:val="348"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18"/>
                <w:szCs w:val="18"/>
                <w:u w:val="none"/>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其他资金</w:t>
            </w:r>
          </w:p>
        </w:tc>
        <w:tc>
          <w:tcPr>
            <w:tcW w:w="1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color w:val="000000"/>
                <w:sz w:val="16"/>
                <w:szCs w:val="16"/>
                <w:u w:val="none"/>
              </w:rPr>
            </w:pPr>
          </w:p>
        </w:tc>
        <w:tc>
          <w:tcPr>
            <w:tcW w:w="1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color w:val="000000"/>
                <w:sz w:val="16"/>
                <w:szCs w:val="16"/>
                <w:u w:val="none"/>
              </w:rPr>
            </w:pPr>
          </w:p>
        </w:tc>
        <w:tc>
          <w:tcPr>
            <w:tcW w:w="190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color w:val="000000"/>
                <w:sz w:val="16"/>
                <w:szCs w:val="16"/>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color w:val="000000"/>
                <w:sz w:val="16"/>
                <w:szCs w:val="16"/>
                <w:u w:val="none"/>
              </w:rPr>
            </w:pPr>
          </w:p>
        </w:tc>
        <w:tc>
          <w:tcPr>
            <w:tcW w:w="3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w:t>
            </w:r>
          </w:p>
        </w:tc>
        <w:tc>
          <w:tcPr>
            <w:tcW w:w="1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color w:val="000000"/>
                <w:sz w:val="18"/>
                <w:szCs w:val="18"/>
                <w:u w:val="none"/>
              </w:rPr>
            </w:pPr>
          </w:p>
        </w:tc>
      </w:tr>
      <w:tr>
        <w:tblPrEx>
          <w:tblCellMar>
            <w:top w:w="0" w:type="dxa"/>
            <w:left w:w="0" w:type="dxa"/>
            <w:bottom w:w="0" w:type="dxa"/>
            <w:right w:w="0" w:type="dxa"/>
          </w:tblCellMar>
        </w:tblPrEx>
        <w:trPr>
          <w:trHeight w:val="1315" w:hRule="atLeast"/>
        </w:trPr>
        <w:tc>
          <w:tcPr>
            <w:tcW w:w="47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绩效指标（90分）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一级指标</w:t>
            </w:r>
          </w:p>
        </w:tc>
        <w:tc>
          <w:tcPr>
            <w:tcW w:w="1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二级指标</w:t>
            </w:r>
          </w:p>
        </w:tc>
        <w:tc>
          <w:tcPr>
            <w:tcW w:w="1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三级指标</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指标性质</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指标值</w:t>
            </w:r>
          </w:p>
        </w:tc>
        <w:tc>
          <w:tcPr>
            <w:tcW w:w="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度量单位</w:t>
            </w:r>
          </w:p>
        </w:tc>
        <w:tc>
          <w:tcPr>
            <w:tcW w:w="9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完成值</w:t>
            </w:r>
          </w:p>
        </w:tc>
        <w:tc>
          <w:tcPr>
            <w:tcW w:w="3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权重</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得分</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670"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18"/>
                <w:szCs w:val="18"/>
                <w:u w:val="none"/>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产出指标</w:t>
            </w:r>
          </w:p>
        </w:tc>
        <w:tc>
          <w:tcPr>
            <w:tcW w:w="1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成本指标</w:t>
            </w:r>
          </w:p>
        </w:tc>
        <w:tc>
          <w:tcPr>
            <w:tcW w:w="1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全年药品支出金额</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8013.25</w:t>
            </w:r>
          </w:p>
        </w:tc>
        <w:tc>
          <w:tcPr>
            <w:tcW w:w="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万元</w:t>
            </w:r>
          </w:p>
        </w:tc>
        <w:tc>
          <w:tcPr>
            <w:tcW w:w="9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color w:val="000000"/>
                <w:sz w:val="16"/>
                <w:szCs w:val="16"/>
                <w:u w:val="none"/>
              </w:rPr>
            </w:pPr>
            <w:r>
              <w:rPr>
                <w:rFonts w:hint="eastAsia" w:asciiTheme="minorEastAsia" w:hAnsiTheme="minorEastAsia" w:eastAsiaTheme="minorEastAsia" w:cstheme="minorEastAsia"/>
                <w:i w:val="0"/>
                <w:iCs/>
                <w:color w:val="000000"/>
                <w:kern w:val="0"/>
                <w:sz w:val="16"/>
                <w:szCs w:val="16"/>
                <w:u w:val="none"/>
                <w:lang w:val="en-US" w:eastAsia="zh-CN" w:bidi="ar"/>
              </w:rPr>
              <w:t>8208</w:t>
            </w:r>
          </w:p>
        </w:tc>
        <w:tc>
          <w:tcPr>
            <w:tcW w:w="3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30</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29.27</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color w:val="000000"/>
                <w:sz w:val="16"/>
                <w:szCs w:val="16"/>
                <w:u w:val="none"/>
              </w:rPr>
            </w:pPr>
            <w:r>
              <w:rPr>
                <w:rFonts w:hint="eastAsia" w:asciiTheme="minorEastAsia" w:hAnsiTheme="minorEastAsia" w:eastAsiaTheme="minorEastAsia" w:cstheme="minorEastAsia"/>
                <w:i w:val="0"/>
                <w:color w:val="000000"/>
                <w:kern w:val="0"/>
                <w:sz w:val="16"/>
                <w:szCs w:val="16"/>
                <w:u w:val="none"/>
                <w:lang w:val="en-US" w:eastAsia="zh-CN" w:bidi="ar"/>
              </w:rPr>
              <w:t>2022年12月，病毒预防用药和治疗用药大幅增加</w:t>
            </w:r>
          </w:p>
        </w:tc>
      </w:tr>
      <w:tr>
        <w:tblPrEx>
          <w:tblCellMar>
            <w:top w:w="0" w:type="dxa"/>
            <w:left w:w="0" w:type="dxa"/>
            <w:bottom w:w="0" w:type="dxa"/>
            <w:right w:w="0" w:type="dxa"/>
          </w:tblCellMar>
        </w:tblPrEx>
        <w:trPr>
          <w:trHeight w:val="348"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18"/>
                <w:szCs w:val="18"/>
                <w:u w:val="none"/>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效益指标</w:t>
            </w:r>
          </w:p>
        </w:tc>
        <w:tc>
          <w:tcPr>
            <w:tcW w:w="1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社会效益指标</w:t>
            </w:r>
          </w:p>
        </w:tc>
        <w:tc>
          <w:tcPr>
            <w:tcW w:w="1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合理用药</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定性</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优良中低差</w:t>
            </w:r>
          </w:p>
        </w:tc>
        <w:tc>
          <w:tcPr>
            <w:tcW w:w="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w:t>
            </w:r>
          </w:p>
        </w:tc>
        <w:tc>
          <w:tcPr>
            <w:tcW w:w="9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color w:val="000000"/>
                <w:sz w:val="16"/>
                <w:szCs w:val="16"/>
                <w:u w:val="none"/>
              </w:rPr>
            </w:pPr>
            <w:r>
              <w:rPr>
                <w:rFonts w:hint="eastAsia" w:asciiTheme="minorEastAsia" w:hAnsiTheme="minorEastAsia" w:eastAsiaTheme="minorEastAsia" w:cstheme="minorEastAsia"/>
                <w:i w:val="0"/>
                <w:iCs/>
                <w:color w:val="000000"/>
                <w:kern w:val="0"/>
                <w:sz w:val="16"/>
                <w:szCs w:val="16"/>
                <w:u w:val="none"/>
                <w:lang w:val="en-US" w:eastAsia="zh-CN" w:bidi="ar"/>
              </w:rPr>
              <w:t>完成</w:t>
            </w:r>
          </w:p>
        </w:tc>
        <w:tc>
          <w:tcPr>
            <w:tcW w:w="3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30</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28</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color w:val="000000"/>
                <w:sz w:val="16"/>
                <w:szCs w:val="16"/>
                <w:u w:val="none"/>
              </w:rPr>
            </w:pPr>
          </w:p>
        </w:tc>
      </w:tr>
      <w:tr>
        <w:tblPrEx>
          <w:tblCellMar>
            <w:top w:w="0" w:type="dxa"/>
            <w:left w:w="0" w:type="dxa"/>
            <w:bottom w:w="0" w:type="dxa"/>
            <w:right w:w="0" w:type="dxa"/>
          </w:tblCellMar>
        </w:tblPrEx>
        <w:trPr>
          <w:trHeight w:val="670" w:hRule="atLeast"/>
        </w:trPr>
        <w:tc>
          <w:tcPr>
            <w:tcW w:w="47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color w:val="000000"/>
                <w:sz w:val="18"/>
                <w:szCs w:val="18"/>
                <w:u w:val="none"/>
              </w:rPr>
            </w:pP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满意度指标</w:t>
            </w:r>
          </w:p>
        </w:tc>
        <w:tc>
          <w:tcPr>
            <w:tcW w:w="12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服务对象满意度指标</w:t>
            </w:r>
          </w:p>
        </w:tc>
        <w:tc>
          <w:tcPr>
            <w:tcW w:w="15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病员对医院服务满意度</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90</w:t>
            </w:r>
          </w:p>
        </w:tc>
        <w:tc>
          <w:tcPr>
            <w:tcW w:w="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w:t>
            </w:r>
          </w:p>
        </w:tc>
        <w:tc>
          <w:tcPr>
            <w:tcW w:w="9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i w:val="0"/>
                <w:iCs/>
                <w:color w:val="000000"/>
                <w:sz w:val="16"/>
                <w:szCs w:val="16"/>
                <w:u w:val="none"/>
                <w:lang w:val="en-US" w:eastAsia="zh-CN"/>
              </w:rPr>
            </w:pPr>
            <w:r>
              <w:rPr>
                <w:rFonts w:hint="eastAsia" w:asciiTheme="minorEastAsia" w:hAnsiTheme="minorEastAsia" w:eastAsiaTheme="minorEastAsia" w:cstheme="minorEastAsia"/>
                <w:i w:val="0"/>
                <w:iCs/>
                <w:color w:val="000000"/>
                <w:sz w:val="16"/>
                <w:szCs w:val="16"/>
                <w:u w:val="none"/>
                <w:lang w:val="en-US" w:eastAsia="zh-CN"/>
              </w:rPr>
              <w:t>90</w:t>
            </w:r>
          </w:p>
        </w:tc>
        <w:tc>
          <w:tcPr>
            <w:tcW w:w="3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30</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26</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color w:val="000000"/>
                <w:sz w:val="16"/>
                <w:szCs w:val="16"/>
                <w:u w:val="none"/>
              </w:rPr>
            </w:pPr>
            <w:r>
              <w:rPr>
                <w:rFonts w:hint="eastAsia" w:ascii="宋体" w:hAnsi="宋体" w:eastAsia="宋体" w:cs="宋体"/>
                <w:i w:val="0"/>
                <w:color w:val="000000"/>
                <w:kern w:val="0"/>
                <w:sz w:val="16"/>
                <w:szCs w:val="16"/>
                <w:u w:val="none"/>
                <w:lang w:val="en-US" w:eastAsia="zh-CN" w:bidi="ar"/>
              </w:rPr>
              <w:t>2022年度全国公立医院移动互联网满意度调查报告尚未出来，暂未确定，但预计满意度指标在90%以上。</w:t>
            </w:r>
          </w:p>
        </w:tc>
      </w:tr>
      <w:tr>
        <w:tblPrEx>
          <w:tblCellMar>
            <w:top w:w="0" w:type="dxa"/>
            <w:left w:w="0" w:type="dxa"/>
            <w:bottom w:w="0" w:type="dxa"/>
            <w:right w:w="0" w:type="dxa"/>
          </w:tblCellMar>
        </w:tblPrEx>
        <w:trPr>
          <w:trHeight w:val="348" w:hRule="atLeast"/>
        </w:trPr>
        <w:tc>
          <w:tcPr>
            <w:tcW w:w="7589"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合计</w:t>
            </w:r>
          </w:p>
        </w:tc>
        <w:tc>
          <w:tcPr>
            <w:tcW w:w="3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100</w:t>
            </w:r>
          </w:p>
        </w:tc>
        <w:tc>
          <w:tcPr>
            <w:tcW w:w="5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000000"/>
                <w:sz w:val="18"/>
                <w:szCs w:val="18"/>
                <w:u w:val="none"/>
                <w:lang w:val="en-US" w:eastAsia="zh-CN"/>
              </w:rPr>
            </w:pPr>
            <w:r>
              <w:rPr>
                <w:rFonts w:hint="eastAsia" w:asciiTheme="minorEastAsia" w:hAnsiTheme="minorEastAsia" w:eastAsiaTheme="minorEastAsia" w:cstheme="minorEastAsia"/>
                <w:i w:val="0"/>
                <w:color w:val="000000"/>
                <w:sz w:val="18"/>
                <w:szCs w:val="18"/>
                <w:u w:val="none"/>
                <w:lang w:val="en-US" w:eastAsia="zh-CN"/>
              </w:rPr>
              <w:t>91.27</w:t>
            </w:r>
          </w:p>
        </w:tc>
        <w:tc>
          <w:tcPr>
            <w:tcW w:w="1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color w:val="000000"/>
                <w:sz w:val="18"/>
                <w:szCs w:val="18"/>
                <w:u w:val="none"/>
              </w:rPr>
            </w:pPr>
          </w:p>
        </w:tc>
      </w:tr>
      <w:tr>
        <w:tblPrEx>
          <w:tblCellMar>
            <w:top w:w="0" w:type="dxa"/>
            <w:left w:w="0" w:type="dxa"/>
            <w:bottom w:w="0" w:type="dxa"/>
            <w:right w:w="0" w:type="dxa"/>
          </w:tblCellMar>
        </w:tblPrEx>
        <w:trPr>
          <w:trHeight w:val="992" w:hRule="atLeast"/>
        </w:trPr>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评价结论</w:t>
            </w:r>
          </w:p>
        </w:tc>
        <w:tc>
          <w:tcPr>
            <w:tcW w:w="1000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color w:val="000000"/>
                <w:sz w:val="16"/>
                <w:szCs w:val="16"/>
                <w:u w:val="none"/>
              </w:rPr>
            </w:pPr>
            <w:r>
              <w:rPr>
                <w:rFonts w:hint="eastAsia" w:asciiTheme="minorEastAsia" w:hAnsiTheme="minorEastAsia" w:eastAsiaTheme="minorEastAsia" w:cstheme="minorEastAsia"/>
                <w:i w:val="0"/>
                <w:color w:val="000000"/>
                <w:kern w:val="0"/>
                <w:sz w:val="16"/>
                <w:szCs w:val="16"/>
                <w:u w:val="none"/>
                <w:lang w:val="en-US" w:eastAsia="zh-CN" w:bidi="ar"/>
              </w:rPr>
              <w:t>2022年医院从需求、论证、审批、实施和验收等五大环节着手，从预算项目绩效支出必要性可行性两个方面切实加强资金、资源统筹分配与管控，加强预算与成本、资产、采购、业务等各方面业务的融合，保障医院医护中心业务顺利开展，圆满完成2022年度医疗、教学、急救、抗疫等各项中心任务，预算绩效管理工作基本达到本年预期目标。</w:t>
            </w:r>
          </w:p>
        </w:tc>
      </w:tr>
      <w:tr>
        <w:tblPrEx>
          <w:tblCellMar>
            <w:top w:w="0" w:type="dxa"/>
            <w:left w:w="0" w:type="dxa"/>
            <w:bottom w:w="0" w:type="dxa"/>
            <w:right w:w="0" w:type="dxa"/>
          </w:tblCellMar>
        </w:tblPrEx>
        <w:trPr>
          <w:trHeight w:val="670" w:hRule="atLeast"/>
        </w:trPr>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存在问题</w:t>
            </w:r>
          </w:p>
        </w:tc>
        <w:tc>
          <w:tcPr>
            <w:tcW w:w="1000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无</w:t>
            </w:r>
          </w:p>
        </w:tc>
      </w:tr>
      <w:tr>
        <w:tblPrEx>
          <w:tblCellMar>
            <w:top w:w="0" w:type="dxa"/>
            <w:left w:w="0" w:type="dxa"/>
            <w:bottom w:w="0" w:type="dxa"/>
            <w:right w:w="0" w:type="dxa"/>
          </w:tblCellMar>
        </w:tblPrEx>
        <w:trPr>
          <w:trHeight w:val="670" w:hRule="atLeast"/>
        </w:trPr>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color w:val="000000"/>
                <w:sz w:val="18"/>
                <w:szCs w:val="18"/>
                <w:u w:val="none"/>
              </w:rPr>
            </w:pPr>
            <w:r>
              <w:rPr>
                <w:rFonts w:hint="eastAsia" w:asciiTheme="minorEastAsia" w:hAnsiTheme="minorEastAsia" w:eastAsiaTheme="minorEastAsia" w:cstheme="minorEastAsia"/>
                <w:i w:val="0"/>
                <w:color w:val="000000"/>
                <w:kern w:val="0"/>
                <w:sz w:val="18"/>
                <w:szCs w:val="18"/>
                <w:u w:val="none"/>
                <w:lang w:val="en-US" w:eastAsia="zh-CN" w:bidi="ar"/>
              </w:rPr>
              <w:t>改进措施</w:t>
            </w:r>
          </w:p>
        </w:tc>
        <w:tc>
          <w:tcPr>
            <w:tcW w:w="1000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无</w:t>
            </w:r>
          </w:p>
        </w:tc>
      </w:tr>
      <w:tr>
        <w:tblPrEx>
          <w:tblCellMar>
            <w:top w:w="0" w:type="dxa"/>
            <w:left w:w="0" w:type="dxa"/>
            <w:bottom w:w="0" w:type="dxa"/>
            <w:right w:w="0" w:type="dxa"/>
          </w:tblCellMar>
        </w:tblPrEx>
        <w:trPr>
          <w:trHeight w:val="358" w:hRule="atLeast"/>
        </w:trPr>
        <w:tc>
          <w:tcPr>
            <w:tcW w:w="522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项目负责人：</w:t>
            </w:r>
          </w:p>
        </w:tc>
        <w:tc>
          <w:tcPr>
            <w:tcW w:w="525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color w:val="000000"/>
                <w:kern w:val="0"/>
                <w:sz w:val="18"/>
                <w:szCs w:val="18"/>
                <w:u w:val="none"/>
                <w:lang w:val="en-US" w:eastAsia="zh-CN" w:bidi="ar"/>
              </w:rPr>
            </w:pPr>
            <w:r>
              <w:rPr>
                <w:rFonts w:hint="eastAsia" w:asciiTheme="minorEastAsia" w:hAnsiTheme="minorEastAsia" w:eastAsiaTheme="minorEastAsia" w:cstheme="minorEastAsia"/>
                <w:i w:val="0"/>
                <w:color w:val="000000"/>
                <w:kern w:val="0"/>
                <w:sz w:val="18"/>
                <w:szCs w:val="18"/>
                <w:u w:val="none"/>
                <w:lang w:val="en-US" w:eastAsia="zh-CN" w:bidi="ar"/>
              </w:rPr>
              <w:t>财务负责人：</w:t>
            </w:r>
          </w:p>
        </w:tc>
      </w:tr>
    </w:tbl>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tbl>
      <w:tblPr>
        <w:tblStyle w:val="15"/>
        <w:tblW w:w="11180" w:type="dxa"/>
        <w:jc w:val="center"/>
        <w:shd w:val="clear" w:color="auto" w:fill="auto"/>
        <w:tblLayout w:type="fixed"/>
        <w:tblCellMar>
          <w:top w:w="0" w:type="dxa"/>
          <w:left w:w="0" w:type="dxa"/>
          <w:bottom w:w="0" w:type="dxa"/>
          <w:right w:w="0" w:type="dxa"/>
        </w:tblCellMar>
      </w:tblPr>
      <w:tblGrid>
        <w:gridCol w:w="509"/>
        <w:gridCol w:w="1534"/>
        <w:gridCol w:w="1327"/>
        <w:gridCol w:w="1691"/>
        <w:gridCol w:w="548"/>
        <w:gridCol w:w="1095"/>
        <w:gridCol w:w="390"/>
        <w:gridCol w:w="815"/>
        <w:gridCol w:w="379"/>
        <w:gridCol w:w="616"/>
        <w:gridCol w:w="2276"/>
      </w:tblGrid>
      <w:tr>
        <w:tblPrEx>
          <w:shd w:val="clear" w:color="auto" w:fill="auto"/>
          <w:tblCellMar>
            <w:top w:w="0" w:type="dxa"/>
            <w:left w:w="0" w:type="dxa"/>
            <w:bottom w:w="0" w:type="dxa"/>
            <w:right w:w="0" w:type="dxa"/>
          </w:tblCellMar>
        </w:tblPrEx>
        <w:trPr>
          <w:trHeight w:val="713" w:hRule="atLeast"/>
          <w:jc w:val="center"/>
        </w:trPr>
        <w:tc>
          <w:tcPr>
            <w:tcW w:w="1118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iCs w:val="0"/>
                <w:color w:val="000000"/>
                <w:sz w:val="30"/>
                <w:szCs w:val="30"/>
                <w:u w:val="none"/>
              </w:rPr>
            </w:pPr>
            <w:r>
              <w:rPr>
                <w:rFonts w:hint="eastAsia" w:asciiTheme="minorEastAsia" w:hAnsiTheme="minorEastAsia" w:eastAsiaTheme="minorEastAsia" w:cstheme="minorEastAsia"/>
                <w:b/>
                <w:i w:val="0"/>
                <w:iCs w:val="0"/>
                <w:color w:val="000000"/>
                <w:kern w:val="0"/>
                <w:sz w:val="30"/>
                <w:szCs w:val="30"/>
                <w:u w:val="none"/>
                <w:lang w:val="en-US" w:eastAsia="zh-CN" w:bidi="ar"/>
              </w:rPr>
              <w:t>部门预算项目支出绩效自评表（2022年度）</w:t>
            </w:r>
          </w:p>
        </w:tc>
      </w:tr>
      <w:tr>
        <w:tblPrEx>
          <w:tblCellMar>
            <w:top w:w="0" w:type="dxa"/>
            <w:left w:w="0" w:type="dxa"/>
            <w:bottom w:w="0" w:type="dxa"/>
            <w:right w:w="0" w:type="dxa"/>
          </w:tblCellMar>
        </w:tblPrEx>
        <w:trPr>
          <w:trHeight w:val="370" w:hRule="atLeast"/>
          <w:jc w:val="center"/>
        </w:trPr>
        <w:tc>
          <w:tcPr>
            <w:tcW w:w="20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项目名称</w:t>
            </w:r>
          </w:p>
        </w:tc>
        <w:tc>
          <w:tcPr>
            <w:tcW w:w="913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51080022T000004682661-卫生材料、低值易耗及其他材料采购</w:t>
            </w:r>
          </w:p>
        </w:tc>
      </w:tr>
      <w:tr>
        <w:tblPrEx>
          <w:tblCellMar>
            <w:top w:w="0" w:type="dxa"/>
            <w:left w:w="0" w:type="dxa"/>
            <w:bottom w:w="0" w:type="dxa"/>
            <w:right w:w="0" w:type="dxa"/>
          </w:tblCellMar>
        </w:tblPrEx>
        <w:trPr>
          <w:trHeight w:val="713" w:hRule="atLeast"/>
          <w:jc w:val="center"/>
        </w:trPr>
        <w:tc>
          <w:tcPr>
            <w:tcW w:w="20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主管部门</w:t>
            </w:r>
          </w:p>
        </w:tc>
        <w:tc>
          <w:tcPr>
            <w:tcW w:w="505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广元市卫生健康委员会部门</w:t>
            </w:r>
          </w:p>
        </w:tc>
        <w:tc>
          <w:tcPr>
            <w:tcW w:w="815"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实施单位 （盖章）</w:t>
            </w:r>
          </w:p>
        </w:tc>
        <w:tc>
          <w:tcPr>
            <w:tcW w:w="3271"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广元市中医医院</w:t>
            </w:r>
          </w:p>
        </w:tc>
      </w:tr>
      <w:tr>
        <w:tblPrEx>
          <w:tblCellMar>
            <w:top w:w="0" w:type="dxa"/>
            <w:left w:w="0" w:type="dxa"/>
            <w:bottom w:w="0" w:type="dxa"/>
            <w:right w:w="0" w:type="dxa"/>
          </w:tblCellMar>
        </w:tblPrEx>
        <w:trPr>
          <w:trHeight w:val="370" w:hRule="atLeast"/>
          <w:jc w:val="center"/>
        </w:trPr>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项目基本情况</w:t>
            </w:r>
          </w:p>
        </w:tc>
        <w:tc>
          <w:tcPr>
            <w:tcW w:w="15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1.项目年度目标完成情况</w:t>
            </w:r>
          </w:p>
        </w:tc>
        <w:tc>
          <w:tcPr>
            <w:tcW w:w="505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项目年度目标</w:t>
            </w:r>
          </w:p>
        </w:tc>
        <w:tc>
          <w:tcPr>
            <w:tcW w:w="408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370" w:hRule="atLeast"/>
          <w:jc w:val="center"/>
        </w:trPr>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15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505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保障医院正常运转所需卫生材料、维修材料及其他材料使用需要</w:t>
            </w:r>
          </w:p>
        </w:tc>
        <w:tc>
          <w:tcPr>
            <w:tcW w:w="408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2022年度医院正常运转，项目年度目标符合预期</w:t>
            </w:r>
          </w:p>
        </w:tc>
      </w:tr>
      <w:tr>
        <w:tblPrEx>
          <w:tblCellMar>
            <w:top w:w="0" w:type="dxa"/>
            <w:left w:w="0" w:type="dxa"/>
            <w:bottom w:w="0" w:type="dxa"/>
            <w:right w:w="0" w:type="dxa"/>
          </w:tblCellMar>
        </w:tblPrEx>
        <w:trPr>
          <w:trHeight w:val="713" w:hRule="atLeast"/>
          <w:jc w:val="center"/>
        </w:trPr>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2.项目实施内容及过程概述</w:t>
            </w:r>
          </w:p>
        </w:tc>
        <w:tc>
          <w:tcPr>
            <w:tcW w:w="913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采购卫生材料、低值易耗及其他材料，满足医疗、教学、急救、抗疫等任务。</w:t>
            </w:r>
          </w:p>
        </w:tc>
      </w:tr>
      <w:tr>
        <w:tblPrEx>
          <w:tblCellMar>
            <w:top w:w="0" w:type="dxa"/>
            <w:left w:w="0" w:type="dxa"/>
            <w:bottom w:w="0" w:type="dxa"/>
            <w:right w:w="0" w:type="dxa"/>
          </w:tblCellMar>
        </w:tblPrEx>
        <w:trPr>
          <w:trHeight w:val="713" w:hRule="atLeast"/>
          <w:jc w:val="center"/>
        </w:trPr>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预算执行情况（10分）</w:t>
            </w:r>
          </w:p>
        </w:tc>
        <w:tc>
          <w:tcPr>
            <w:tcW w:w="1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年度预算数（万元）</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年初预算</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调整后预算数</w:t>
            </w:r>
          </w:p>
        </w:tc>
        <w:tc>
          <w:tcPr>
            <w:tcW w:w="203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预算执行数</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预算执行率</w:t>
            </w:r>
          </w:p>
        </w:tc>
        <w:tc>
          <w:tcPr>
            <w:tcW w:w="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2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370" w:hRule="atLeast"/>
          <w:jc w:val="center"/>
        </w:trPr>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总额</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6,400.00</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6,400.00</w:t>
            </w:r>
          </w:p>
        </w:tc>
        <w:tc>
          <w:tcPr>
            <w:tcW w:w="203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5,946.51</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92.91%</w:t>
            </w:r>
          </w:p>
        </w:tc>
        <w:tc>
          <w:tcPr>
            <w:tcW w:w="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9.29</w:t>
            </w:r>
          </w:p>
        </w:tc>
        <w:tc>
          <w:tcPr>
            <w:tcW w:w="22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主要是零星维修费用及材料受应急防控情影响，一部分货款支付在2023年完成。</w:t>
            </w:r>
          </w:p>
        </w:tc>
      </w:tr>
      <w:tr>
        <w:tblPrEx>
          <w:tblCellMar>
            <w:top w:w="0" w:type="dxa"/>
            <w:left w:w="0" w:type="dxa"/>
            <w:bottom w:w="0" w:type="dxa"/>
            <w:right w:w="0" w:type="dxa"/>
          </w:tblCellMar>
        </w:tblPrEx>
        <w:trPr>
          <w:trHeight w:val="370" w:hRule="atLeast"/>
          <w:jc w:val="center"/>
        </w:trPr>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其中：财政资金</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203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2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370" w:hRule="atLeast"/>
          <w:jc w:val="center"/>
        </w:trPr>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财政专户管理资金</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203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2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370" w:hRule="atLeast"/>
          <w:jc w:val="center"/>
        </w:trPr>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单位资金</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6,400.00</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6,400.00</w:t>
            </w:r>
          </w:p>
        </w:tc>
        <w:tc>
          <w:tcPr>
            <w:tcW w:w="203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5,946.51</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92.91%</w:t>
            </w:r>
          </w:p>
        </w:tc>
        <w:tc>
          <w:tcPr>
            <w:tcW w:w="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2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370" w:hRule="atLeast"/>
          <w:jc w:val="center"/>
        </w:trPr>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其他资金</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203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2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713" w:hRule="atLeast"/>
          <w:jc w:val="center"/>
        </w:trPr>
        <w:tc>
          <w:tcPr>
            <w:tcW w:w="5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绩效指标（90分）</w:t>
            </w:r>
          </w:p>
        </w:tc>
        <w:tc>
          <w:tcPr>
            <w:tcW w:w="1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一级指标</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二级指标</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三级指标</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指标性质</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指标值</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度量单位</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完成值</w:t>
            </w:r>
          </w:p>
        </w:tc>
        <w:tc>
          <w:tcPr>
            <w:tcW w:w="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2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1055" w:hRule="atLeast"/>
          <w:jc w:val="center"/>
        </w:trPr>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产出指标</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成本指标</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耗材支出总额</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6400</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万元</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5946.51</w:t>
            </w:r>
          </w:p>
        </w:tc>
        <w:tc>
          <w:tcPr>
            <w:tcW w:w="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27.87</w:t>
            </w:r>
          </w:p>
        </w:tc>
        <w:tc>
          <w:tcPr>
            <w:tcW w:w="2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主要是零星维修费用及材料受应急防控情影响，一部分货款支付在2023年完成。</w:t>
            </w:r>
          </w:p>
        </w:tc>
      </w:tr>
      <w:tr>
        <w:tblPrEx>
          <w:tblCellMar>
            <w:top w:w="0" w:type="dxa"/>
            <w:left w:w="0" w:type="dxa"/>
            <w:bottom w:w="0" w:type="dxa"/>
            <w:right w:w="0" w:type="dxa"/>
          </w:tblCellMar>
        </w:tblPrEx>
        <w:trPr>
          <w:trHeight w:val="713" w:hRule="atLeast"/>
          <w:jc w:val="center"/>
        </w:trPr>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效益指标</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可持续发展指标</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满足临床业务工作需要</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定性</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优良中低差</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优</w:t>
            </w:r>
          </w:p>
        </w:tc>
        <w:tc>
          <w:tcPr>
            <w:tcW w:w="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29</w:t>
            </w:r>
          </w:p>
        </w:tc>
        <w:tc>
          <w:tcPr>
            <w:tcW w:w="2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r>
      <w:tr>
        <w:tblPrEx>
          <w:tblCellMar>
            <w:top w:w="0" w:type="dxa"/>
            <w:left w:w="0" w:type="dxa"/>
            <w:bottom w:w="0" w:type="dxa"/>
            <w:right w:w="0" w:type="dxa"/>
          </w:tblCellMar>
        </w:tblPrEx>
        <w:trPr>
          <w:trHeight w:val="713" w:hRule="atLeast"/>
          <w:jc w:val="center"/>
        </w:trPr>
        <w:tc>
          <w:tcPr>
            <w:tcW w:w="5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满意度指标</w:t>
            </w:r>
          </w:p>
        </w:tc>
        <w:tc>
          <w:tcPr>
            <w:tcW w:w="13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服务对象满意度指标</w:t>
            </w:r>
          </w:p>
        </w:tc>
        <w:tc>
          <w:tcPr>
            <w:tcW w:w="16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病员对医院工作满意度</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90</w:t>
            </w:r>
          </w:p>
        </w:tc>
        <w:tc>
          <w:tcPr>
            <w:tcW w:w="3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i w:val="0"/>
                <w:iCs w:val="0"/>
                <w:color w:val="000000"/>
                <w:sz w:val="16"/>
                <w:szCs w:val="16"/>
                <w:u w:val="none"/>
                <w:lang w:val="en-US" w:eastAsia="zh-CN"/>
              </w:rPr>
            </w:pPr>
            <w:r>
              <w:rPr>
                <w:rFonts w:hint="eastAsia" w:asciiTheme="minorEastAsia" w:hAnsiTheme="minorEastAsia" w:eastAsiaTheme="minorEastAsia" w:cstheme="minorEastAsia"/>
                <w:i w:val="0"/>
                <w:iCs w:val="0"/>
                <w:color w:val="000000"/>
                <w:sz w:val="16"/>
                <w:szCs w:val="16"/>
                <w:u w:val="none"/>
                <w:lang w:val="en-US" w:eastAsia="zh-CN"/>
              </w:rPr>
              <w:t>90</w:t>
            </w:r>
          </w:p>
        </w:tc>
        <w:tc>
          <w:tcPr>
            <w:tcW w:w="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26</w:t>
            </w:r>
          </w:p>
        </w:tc>
        <w:tc>
          <w:tcPr>
            <w:tcW w:w="2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i w:val="0"/>
                <w:iCs w:val="0"/>
                <w:color w:val="000000"/>
                <w:sz w:val="16"/>
                <w:szCs w:val="16"/>
                <w:u w:val="none"/>
              </w:rPr>
            </w:pPr>
            <w:r>
              <w:rPr>
                <w:rFonts w:hint="eastAsia" w:ascii="宋体" w:hAnsi="宋体" w:eastAsia="宋体" w:cs="宋体"/>
                <w:i w:val="0"/>
                <w:color w:val="000000"/>
                <w:kern w:val="0"/>
                <w:sz w:val="16"/>
                <w:szCs w:val="16"/>
                <w:u w:val="none"/>
                <w:lang w:val="en-US" w:eastAsia="zh-CN" w:bidi="ar"/>
              </w:rPr>
              <w:t>2022年度全国公立医院移动互联网满意度调查报告尚未出来，暂未确定，但预计满意度指标在90%以上。</w:t>
            </w:r>
          </w:p>
        </w:tc>
      </w:tr>
      <w:tr>
        <w:tblPrEx>
          <w:tblCellMar>
            <w:top w:w="0" w:type="dxa"/>
            <w:left w:w="0" w:type="dxa"/>
            <w:bottom w:w="0" w:type="dxa"/>
            <w:right w:w="0" w:type="dxa"/>
          </w:tblCellMar>
        </w:tblPrEx>
        <w:trPr>
          <w:trHeight w:val="370" w:hRule="atLeast"/>
          <w:jc w:val="center"/>
        </w:trPr>
        <w:tc>
          <w:tcPr>
            <w:tcW w:w="7909"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合计</w:t>
            </w:r>
          </w:p>
        </w:tc>
        <w:tc>
          <w:tcPr>
            <w:tcW w:w="3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92.16</w:t>
            </w:r>
          </w:p>
        </w:tc>
        <w:tc>
          <w:tcPr>
            <w:tcW w:w="2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1055" w:hRule="atLeast"/>
          <w:jc w:val="center"/>
        </w:trPr>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评价结论</w:t>
            </w:r>
          </w:p>
        </w:tc>
        <w:tc>
          <w:tcPr>
            <w:tcW w:w="10671"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2022年医院从需求、论证、审批、实施和验收等五大环节着手，从预算项目绩效支出必要性可行性两个方面切实加强资金、资源统筹分配与管控，加强预算与成本、资产、采购、业务等各方面业务的融合，保障医院医护中心业务顺利开展，圆满完成2022年度医疗、教学、急救、抗疫等各项中心任务，预算绩效管理工作基本达到本年预期目标。</w:t>
            </w:r>
          </w:p>
        </w:tc>
      </w:tr>
      <w:tr>
        <w:tblPrEx>
          <w:tblCellMar>
            <w:top w:w="0" w:type="dxa"/>
            <w:left w:w="0" w:type="dxa"/>
            <w:bottom w:w="0" w:type="dxa"/>
            <w:right w:w="0" w:type="dxa"/>
          </w:tblCellMar>
        </w:tblPrEx>
        <w:trPr>
          <w:trHeight w:val="713" w:hRule="atLeast"/>
          <w:jc w:val="center"/>
        </w:trPr>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存在问题</w:t>
            </w:r>
          </w:p>
        </w:tc>
        <w:tc>
          <w:tcPr>
            <w:tcW w:w="10671"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无</w:t>
            </w:r>
          </w:p>
        </w:tc>
      </w:tr>
      <w:tr>
        <w:tblPrEx>
          <w:tblCellMar>
            <w:top w:w="0" w:type="dxa"/>
            <w:left w:w="0" w:type="dxa"/>
            <w:bottom w:w="0" w:type="dxa"/>
            <w:right w:w="0" w:type="dxa"/>
          </w:tblCellMar>
        </w:tblPrEx>
        <w:trPr>
          <w:trHeight w:val="713" w:hRule="atLeast"/>
          <w:jc w:val="center"/>
        </w:trPr>
        <w:tc>
          <w:tcPr>
            <w:tcW w:w="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改进措施</w:t>
            </w:r>
          </w:p>
        </w:tc>
        <w:tc>
          <w:tcPr>
            <w:tcW w:w="10671"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无</w:t>
            </w:r>
          </w:p>
        </w:tc>
      </w:tr>
      <w:tr>
        <w:tblPrEx>
          <w:tblCellMar>
            <w:top w:w="0" w:type="dxa"/>
            <w:left w:w="0" w:type="dxa"/>
            <w:bottom w:w="0" w:type="dxa"/>
            <w:right w:w="0" w:type="dxa"/>
          </w:tblCellMar>
        </w:tblPrEx>
        <w:trPr>
          <w:trHeight w:val="381" w:hRule="atLeast"/>
          <w:jc w:val="center"/>
        </w:trPr>
        <w:tc>
          <w:tcPr>
            <w:tcW w:w="560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项目负责人：</w:t>
            </w:r>
          </w:p>
        </w:tc>
        <w:tc>
          <w:tcPr>
            <w:tcW w:w="557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财务负责人：</w:t>
            </w:r>
          </w:p>
        </w:tc>
      </w:tr>
    </w:tbl>
    <w:p>
      <w:pPr>
        <w:pStyle w:val="2"/>
      </w:pPr>
    </w:p>
    <w:tbl>
      <w:tblPr>
        <w:tblStyle w:val="15"/>
        <w:tblW w:w="11280" w:type="dxa"/>
        <w:jc w:val="center"/>
        <w:shd w:val="clear" w:color="auto" w:fill="auto"/>
        <w:tblLayout w:type="fixed"/>
        <w:tblCellMar>
          <w:top w:w="0" w:type="dxa"/>
          <w:left w:w="0" w:type="dxa"/>
          <w:bottom w:w="0" w:type="dxa"/>
          <w:right w:w="0" w:type="dxa"/>
        </w:tblCellMar>
      </w:tblPr>
      <w:tblGrid>
        <w:gridCol w:w="505"/>
        <w:gridCol w:w="1474"/>
        <w:gridCol w:w="1298"/>
        <w:gridCol w:w="1644"/>
        <w:gridCol w:w="538"/>
        <w:gridCol w:w="1061"/>
        <w:gridCol w:w="414"/>
        <w:gridCol w:w="750"/>
        <w:gridCol w:w="550"/>
        <w:gridCol w:w="725"/>
        <w:gridCol w:w="2321"/>
      </w:tblGrid>
      <w:tr>
        <w:tblPrEx>
          <w:shd w:val="clear" w:color="auto" w:fill="auto"/>
          <w:tblCellMar>
            <w:top w:w="0" w:type="dxa"/>
            <w:left w:w="0" w:type="dxa"/>
            <w:bottom w:w="0" w:type="dxa"/>
            <w:right w:w="0" w:type="dxa"/>
          </w:tblCellMar>
        </w:tblPrEx>
        <w:trPr>
          <w:trHeight w:val="1060" w:hRule="atLeast"/>
          <w:jc w:val="center"/>
        </w:trPr>
        <w:tc>
          <w:tcPr>
            <w:tcW w:w="1128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iCs w:val="0"/>
                <w:color w:val="000000"/>
                <w:sz w:val="30"/>
                <w:szCs w:val="30"/>
                <w:u w:val="none"/>
              </w:rPr>
            </w:pPr>
            <w:bookmarkStart w:id="91" w:name="_Toc15396618"/>
            <w:r>
              <w:rPr>
                <w:rFonts w:hint="eastAsia" w:asciiTheme="minorEastAsia" w:hAnsiTheme="minorEastAsia" w:eastAsiaTheme="minorEastAsia" w:cstheme="minorEastAsia"/>
                <w:b/>
                <w:i w:val="0"/>
                <w:iCs w:val="0"/>
                <w:color w:val="000000"/>
                <w:kern w:val="0"/>
                <w:sz w:val="30"/>
                <w:szCs w:val="30"/>
                <w:u w:val="none"/>
                <w:lang w:val="en-US" w:eastAsia="zh-CN" w:bidi="ar"/>
              </w:rPr>
              <w:t>部门预算项目支出绩效自评表（2022年度）</w:t>
            </w:r>
          </w:p>
        </w:tc>
      </w:tr>
      <w:tr>
        <w:tblPrEx>
          <w:tblCellMar>
            <w:top w:w="0" w:type="dxa"/>
            <w:left w:w="0" w:type="dxa"/>
            <w:bottom w:w="0" w:type="dxa"/>
            <w:right w:w="0" w:type="dxa"/>
          </w:tblCellMar>
        </w:tblPrEx>
        <w:trPr>
          <w:trHeight w:val="400" w:hRule="atLeast"/>
          <w:jc w:val="center"/>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项目名称</w:t>
            </w:r>
          </w:p>
        </w:tc>
        <w:tc>
          <w:tcPr>
            <w:tcW w:w="9301"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51080022T000004954130-运转类</w:t>
            </w:r>
          </w:p>
        </w:tc>
      </w:tr>
      <w:tr>
        <w:tblPrEx>
          <w:tblCellMar>
            <w:top w:w="0" w:type="dxa"/>
            <w:left w:w="0" w:type="dxa"/>
            <w:bottom w:w="0" w:type="dxa"/>
            <w:right w:w="0" w:type="dxa"/>
          </w:tblCellMar>
        </w:tblPrEx>
        <w:trPr>
          <w:trHeight w:val="748" w:hRule="atLeast"/>
          <w:jc w:val="center"/>
        </w:trPr>
        <w:tc>
          <w:tcPr>
            <w:tcW w:w="197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主管部门</w:t>
            </w:r>
          </w:p>
        </w:tc>
        <w:tc>
          <w:tcPr>
            <w:tcW w:w="454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广元市卫生健康委员会部门</w:t>
            </w:r>
          </w:p>
        </w:tc>
        <w:tc>
          <w:tcPr>
            <w:tcW w:w="1164" w:type="dxa"/>
            <w:gridSpan w:val="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实施单位  （盖章）</w:t>
            </w:r>
          </w:p>
        </w:tc>
        <w:tc>
          <w:tcPr>
            <w:tcW w:w="359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广元市中医医院</w:t>
            </w:r>
          </w:p>
        </w:tc>
      </w:tr>
      <w:tr>
        <w:tblPrEx>
          <w:tblCellMar>
            <w:top w:w="0" w:type="dxa"/>
            <w:left w:w="0" w:type="dxa"/>
            <w:bottom w:w="0" w:type="dxa"/>
            <w:right w:w="0" w:type="dxa"/>
          </w:tblCellMar>
        </w:tblPrEx>
        <w:trPr>
          <w:trHeight w:val="400" w:hRule="atLeast"/>
          <w:jc w:val="center"/>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项目基本情况</w:t>
            </w:r>
          </w:p>
        </w:tc>
        <w:tc>
          <w:tcPr>
            <w:tcW w:w="147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1.项目年度目标完成情况</w:t>
            </w:r>
          </w:p>
        </w:tc>
        <w:tc>
          <w:tcPr>
            <w:tcW w:w="454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项目年度目标</w:t>
            </w:r>
          </w:p>
        </w:tc>
        <w:tc>
          <w:tcPr>
            <w:tcW w:w="476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842" w:hRule="atLeast"/>
          <w:jc w:val="center"/>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14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454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运转类项目本着厉行节约原则，维持医院正常运转，根据各职能部门上报的经费预算申请，结合往年运转类实际支出申报</w:t>
            </w:r>
          </w:p>
        </w:tc>
        <w:tc>
          <w:tcPr>
            <w:tcW w:w="476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2022年度医院正常运转，项目年度目标符合预期</w:t>
            </w:r>
          </w:p>
        </w:tc>
      </w:tr>
      <w:tr>
        <w:tblPrEx>
          <w:tblCellMar>
            <w:top w:w="0" w:type="dxa"/>
            <w:left w:w="0" w:type="dxa"/>
            <w:bottom w:w="0" w:type="dxa"/>
            <w:right w:w="0" w:type="dxa"/>
          </w:tblCellMar>
        </w:tblPrEx>
        <w:trPr>
          <w:trHeight w:val="623" w:hRule="atLeast"/>
          <w:jc w:val="center"/>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2.项目实施内容及过程概述</w:t>
            </w:r>
          </w:p>
        </w:tc>
        <w:tc>
          <w:tcPr>
            <w:tcW w:w="9301"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维持医院正常的运转。</w:t>
            </w:r>
          </w:p>
        </w:tc>
      </w:tr>
      <w:tr>
        <w:tblPrEx>
          <w:tblCellMar>
            <w:top w:w="0" w:type="dxa"/>
            <w:left w:w="0" w:type="dxa"/>
            <w:bottom w:w="0" w:type="dxa"/>
            <w:right w:w="0" w:type="dxa"/>
          </w:tblCellMar>
        </w:tblPrEx>
        <w:trPr>
          <w:trHeight w:val="650" w:hRule="atLeast"/>
          <w:jc w:val="center"/>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预算执行情况（10分）</w:t>
            </w: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年度预算数（万元）</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年初预算</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调整后预算数</w:t>
            </w:r>
          </w:p>
        </w:tc>
        <w:tc>
          <w:tcPr>
            <w:tcW w:w="1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预算执行数</w:t>
            </w: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预算执行率</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2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483" w:hRule="atLeast"/>
          <w:jc w:val="center"/>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总额</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5,564.20</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5,564.20</w:t>
            </w:r>
          </w:p>
        </w:tc>
        <w:tc>
          <w:tcPr>
            <w:tcW w:w="1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9,638.05</w:t>
            </w: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173.22%</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7</w:t>
            </w:r>
          </w:p>
        </w:tc>
        <w:tc>
          <w:tcPr>
            <w:tcW w:w="23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425" w:hRule="atLeast"/>
          <w:jc w:val="center"/>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其中：财政资金</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3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430" w:hRule="atLeast"/>
          <w:jc w:val="center"/>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财政专户管理资金</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3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455" w:hRule="atLeast"/>
          <w:jc w:val="center"/>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单位资金</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5,564.20</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5,564.20</w:t>
            </w:r>
          </w:p>
        </w:tc>
        <w:tc>
          <w:tcPr>
            <w:tcW w:w="1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9,638.05</w:t>
            </w: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173.22%</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3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316" w:hRule="atLeast"/>
          <w:jc w:val="center"/>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其他资金</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59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3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748" w:hRule="atLeast"/>
          <w:jc w:val="center"/>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绩效指标（90分）</w:t>
            </w: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一级指标</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二级指标</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三级指标</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指标性质</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指标值</w:t>
            </w:r>
          </w:p>
        </w:tc>
        <w:tc>
          <w:tcPr>
            <w:tcW w:w="4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度量单位</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完成值</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2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1014" w:hRule="atLeast"/>
          <w:jc w:val="center"/>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产出指标</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成本指标</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支出总额</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5564.2</w:t>
            </w:r>
          </w:p>
        </w:tc>
        <w:tc>
          <w:tcPr>
            <w:tcW w:w="4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万元</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9638.05</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21.96</w:t>
            </w:r>
          </w:p>
        </w:tc>
        <w:tc>
          <w:tcPr>
            <w:tcW w:w="2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一是应急防控需要增加了物资投入元；二是2022年提取坏账准备，三是政府转贷利息支出较大。</w:t>
            </w:r>
          </w:p>
        </w:tc>
      </w:tr>
      <w:tr>
        <w:tblPrEx>
          <w:tblCellMar>
            <w:top w:w="0" w:type="dxa"/>
            <w:left w:w="0" w:type="dxa"/>
            <w:bottom w:w="0" w:type="dxa"/>
            <w:right w:w="0" w:type="dxa"/>
          </w:tblCellMar>
        </w:tblPrEx>
        <w:trPr>
          <w:trHeight w:val="650" w:hRule="atLeast"/>
          <w:jc w:val="center"/>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效益指标</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可持续影响指标</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保障医院各项工作正常运行</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定性</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优良中低差</w:t>
            </w:r>
          </w:p>
        </w:tc>
        <w:tc>
          <w:tcPr>
            <w:tcW w:w="4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优</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30</w:t>
            </w:r>
          </w:p>
        </w:tc>
        <w:tc>
          <w:tcPr>
            <w:tcW w:w="2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r>
      <w:tr>
        <w:tblPrEx>
          <w:tblCellMar>
            <w:top w:w="0" w:type="dxa"/>
            <w:left w:w="0" w:type="dxa"/>
            <w:bottom w:w="0" w:type="dxa"/>
            <w:right w:w="0" w:type="dxa"/>
          </w:tblCellMar>
        </w:tblPrEx>
        <w:trPr>
          <w:trHeight w:val="650" w:hRule="atLeast"/>
          <w:jc w:val="center"/>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满意度指标</w:t>
            </w:r>
          </w:p>
        </w:tc>
        <w:tc>
          <w:tcPr>
            <w:tcW w:w="12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服务对象满意度指标</w:t>
            </w:r>
          </w:p>
        </w:tc>
        <w:tc>
          <w:tcPr>
            <w:tcW w:w="1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病院及家属对医院的满意度</w:t>
            </w:r>
          </w:p>
        </w:tc>
        <w:tc>
          <w:tcPr>
            <w:tcW w:w="5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0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90</w:t>
            </w:r>
          </w:p>
        </w:tc>
        <w:tc>
          <w:tcPr>
            <w:tcW w:w="4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i w:val="0"/>
                <w:iCs w:val="0"/>
                <w:color w:val="000000"/>
                <w:sz w:val="16"/>
                <w:szCs w:val="16"/>
                <w:u w:val="none"/>
                <w:lang w:val="en-US" w:eastAsia="zh-CN"/>
              </w:rPr>
            </w:pPr>
            <w:r>
              <w:rPr>
                <w:rFonts w:hint="eastAsia" w:asciiTheme="minorEastAsia" w:hAnsiTheme="minorEastAsia" w:eastAsiaTheme="minorEastAsia" w:cstheme="minorEastAsia"/>
                <w:i w:val="0"/>
                <w:iCs w:val="0"/>
                <w:color w:val="000000"/>
                <w:sz w:val="16"/>
                <w:szCs w:val="16"/>
                <w:u w:val="none"/>
                <w:lang w:val="en-US" w:eastAsia="zh-CN"/>
              </w:rPr>
              <w:t>90</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28</w:t>
            </w:r>
          </w:p>
        </w:tc>
        <w:tc>
          <w:tcPr>
            <w:tcW w:w="2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i w:val="0"/>
                <w:iCs w:val="0"/>
                <w:color w:val="000000"/>
                <w:sz w:val="16"/>
                <w:szCs w:val="16"/>
                <w:u w:val="none"/>
              </w:rPr>
            </w:pPr>
            <w:r>
              <w:rPr>
                <w:rFonts w:hint="eastAsia" w:ascii="宋体" w:hAnsi="宋体" w:eastAsia="宋体" w:cs="宋体"/>
                <w:i w:val="0"/>
                <w:color w:val="000000"/>
                <w:kern w:val="0"/>
                <w:sz w:val="16"/>
                <w:szCs w:val="16"/>
                <w:u w:val="none"/>
                <w:lang w:val="en-US" w:eastAsia="zh-CN" w:bidi="ar"/>
              </w:rPr>
              <w:t>2022年度全国公立医院移动互联网满意度调查报告尚未出来，暂未确定，但预计满意度指标在90%以上。</w:t>
            </w:r>
          </w:p>
        </w:tc>
      </w:tr>
      <w:tr>
        <w:tblPrEx>
          <w:tblCellMar>
            <w:top w:w="0" w:type="dxa"/>
            <w:left w:w="0" w:type="dxa"/>
            <w:bottom w:w="0" w:type="dxa"/>
            <w:right w:w="0" w:type="dxa"/>
          </w:tblCellMar>
        </w:tblPrEx>
        <w:trPr>
          <w:trHeight w:val="400" w:hRule="atLeast"/>
          <w:jc w:val="center"/>
        </w:trPr>
        <w:tc>
          <w:tcPr>
            <w:tcW w:w="7684"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合计</w:t>
            </w:r>
          </w:p>
        </w:tc>
        <w:tc>
          <w:tcPr>
            <w:tcW w:w="5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7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86.96</w:t>
            </w:r>
          </w:p>
        </w:tc>
        <w:tc>
          <w:tcPr>
            <w:tcW w:w="23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663" w:hRule="atLeast"/>
          <w:jc w:val="center"/>
        </w:trPr>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评价结论</w:t>
            </w:r>
          </w:p>
        </w:tc>
        <w:tc>
          <w:tcPr>
            <w:tcW w:w="1077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我院本着厉行节约的原则进行预算申报，保障了医院正常运转，预期目标基本符合。</w:t>
            </w:r>
          </w:p>
        </w:tc>
      </w:tr>
      <w:tr>
        <w:tblPrEx>
          <w:tblCellMar>
            <w:top w:w="0" w:type="dxa"/>
            <w:left w:w="0" w:type="dxa"/>
            <w:bottom w:w="0" w:type="dxa"/>
            <w:right w:w="0" w:type="dxa"/>
          </w:tblCellMar>
        </w:tblPrEx>
        <w:trPr>
          <w:trHeight w:val="588" w:hRule="atLeast"/>
          <w:jc w:val="center"/>
        </w:trPr>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存在问题</w:t>
            </w:r>
          </w:p>
        </w:tc>
        <w:tc>
          <w:tcPr>
            <w:tcW w:w="1077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存在的主要问题是预算申报不够准确，主要原因是公共卫生事件具有不可预见性，在预算申报时没有预见性，未预计支出。</w:t>
            </w:r>
          </w:p>
        </w:tc>
      </w:tr>
      <w:tr>
        <w:tblPrEx>
          <w:tblCellMar>
            <w:top w:w="0" w:type="dxa"/>
            <w:left w:w="0" w:type="dxa"/>
            <w:bottom w:w="0" w:type="dxa"/>
            <w:right w:w="0" w:type="dxa"/>
          </w:tblCellMar>
        </w:tblPrEx>
        <w:trPr>
          <w:trHeight w:val="643" w:hRule="atLeast"/>
          <w:jc w:val="center"/>
        </w:trPr>
        <w:tc>
          <w:tcPr>
            <w:tcW w:w="5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改进措施</w:t>
            </w:r>
          </w:p>
        </w:tc>
        <w:tc>
          <w:tcPr>
            <w:tcW w:w="1077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加强相关业务学习及培训，提高预算申报的准确性。</w:t>
            </w:r>
          </w:p>
        </w:tc>
      </w:tr>
      <w:tr>
        <w:tblPrEx>
          <w:tblCellMar>
            <w:top w:w="0" w:type="dxa"/>
            <w:left w:w="0" w:type="dxa"/>
            <w:bottom w:w="0" w:type="dxa"/>
            <w:right w:w="0" w:type="dxa"/>
          </w:tblCellMar>
        </w:tblPrEx>
        <w:trPr>
          <w:trHeight w:val="421" w:hRule="atLeast"/>
          <w:jc w:val="center"/>
        </w:trPr>
        <w:tc>
          <w:tcPr>
            <w:tcW w:w="545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项目负责人：</w:t>
            </w:r>
          </w:p>
        </w:tc>
        <w:tc>
          <w:tcPr>
            <w:tcW w:w="582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财务负责人：</w:t>
            </w:r>
          </w:p>
        </w:tc>
      </w:tr>
    </w:tbl>
    <w:tbl>
      <w:tblPr>
        <w:tblStyle w:val="15"/>
        <w:tblpPr w:leftFromText="180" w:rightFromText="180" w:vertAnchor="text" w:horzAnchor="page" w:tblpXSpec="center" w:tblpY="339"/>
        <w:tblOverlap w:val="never"/>
        <w:tblW w:w="10020" w:type="dxa"/>
        <w:jc w:val="center"/>
        <w:shd w:val="clear" w:color="auto" w:fill="auto"/>
        <w:tblLayout w:type="fixed"/>
        <w:tblCellMar>
          <w:top w:w="0" w:type="dxa"/>
          <w:left w:w="0" w:type="dxa"/>
          <w:bottom w:w="0" w:type="dxa"/>
          <w:right w:w="0" w:type="dxa"/>
        </w:tblCellMar>
      </w:tblPr>
      <w:tblGrid>
        <w:gridCol w:w="457"/>
        <w:gridCol w:w="1476"/>
        <w:gridCol w:w="1089"/>
        <w:gridCol w:w="1516"/>
        <w:gridCol w:w="442"/>
        <w:gridCol w:w="1"/>
        <w:gridCol w:w="905"/>
        <w:gridCol w:w="472"/>
        <w:gridCol w:w="846"/>
        <w:gridCol w:w="312"/>
        <w:gridCol w:w="465"/>
        <w:gridCol w:w="2039"/>
      </w:tblGrid>
      <w:tr>
        <w:tblPrEx>
          <w:shd w:val="clear" w:color="auto" w:fill="auto"/>
          <w:tblCellMar>
            <w:top w:w="0" w:type="dxa"/>
            <w:left w:w="0" w:type="dxa"/>
            <w:bottom w:w="0" w:type="dxa"/>
            <w:right w:w="0" w:type="dxa"/>
          </w:tblCellMar>
        </w:tblPrEx>
        <w:trPr>
          <w:trHeight w:val="90" w:hRule="atLeast"/>
          <w:jc w:val="center"/>
        </w:trPr>
        <w:tc>
          <w:tcPr>
            <w:tcW w:w="1002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iCs w:val="0"/>
                <w:color w:val="000000"/>
                <w:sz w:val="30"/>
                <w:szCs w:val="30"/>
                <w:u w:val="none"/>
              </w:rPr>
            </w:pPr>
            <w:r>
              <w:rPr>
                <w:rFonts w:hint="eastAsia" w:asciiTheme="minorEastAsia" w:hAnsiTheme="minorEastAsia" w:eastAsiaTheme="minorEastAsia" w:cstheme="minorEastAsia"/>
                <w:b/>
                <w:i w:val="0"/>
                <w:iCs w:val="0"/>
                <w:color w:val="000000"/>
                <w:kern w:val="0"/>
                <w:sz w:val="30"/>
                <w:szCs w:val="30"/>
                <w:u w:val="none"/>
                <w:lang w:val="en-US" w:eastAsia="zh-CN" w:bidi="ar"/>
              </w:rPr>
              <w:t>部门预算项目支出绩效自评表（2022年度）</w:t>
            </w:r>
          </w:p>
        </w:tc>
      </w:tr>
      <w:tr>
        <w:tblPrEx>
          <w:tblCellMar>
            <w:top w:w="0" w:type="dxa"/>
            <w:left w:w="0" w:type="dxa"/>
            <w:bottom w:w="0" w:type="dxa"/>
            <w:right w:w="0" w:type="dxa"/>
          </w:tblCellMar>
        </w:tblPrEx>
        <w:trPr>
          <w:trHeight w:val="90" w:hRule="atLeast"/>
          <w:jc w:val="center"/>
        </w:trPr>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项目名称</w:t>
            </w:r>
          </w:p>
        </w:tc>
        <w:tc>
          <w:tcPr>
            <w:tcW w:w="808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51080022T000004955207-信息化软件设备购置及维保</w:t>
            </w:r>
          </w:p>
        </w:tc>
      </w:tr>
      <w:tr>
        <w:tblPrEx>
          <w:tblCellMar>
            <w:top w:w="0" w:type="dxa"/>
            <w:left w:w="0" w:type="dxa"/>
            <w:bottom w:w="0" w:type="dxa"/>
            <w:right w:w="0" w:type="dxa"/>
          </w:tblCellMar>
        </w:tblPrEx>
        <w:trPr>
          <w:trHeight w:val="90" w:hRule="atLeast"/>
          <w:jc w:val="center"/>
        </w:trPr>
        <w:tc>
          <w:tcPr>
            <w:tcW w:w="19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主管部门</w:t>
            </w:r>
          </w:p>
        </w:tc>
        <w:tc>
          <w:tcPr>
            <w:tcW w:w="442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广元市卫生健康委员会部门</w:t>
            </w:r>
          </w:p>
        </w:tc>
        <w:tc>
          <w:tcPr>
            <w:tcW w:w="846"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实施单位 （盖章）</w:t>
            </w:r>
          </w:p>
        </w:tc>
        <w:tc>
          <w:tcPr>
            <w:tcW w:w="281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广元市中医医院</w:t>
            </w:r>
          </w:p>
        </w:tc>
      </w:tr>
      <w:tr>
        <w:tblPrEx>
          <w:tblCellMar>
            <w:top w:w="0" w:type="dxa"/>
            <w:left w:w="0" w:type="dxa"/>
            <w:bottom w:w="0" w:type="dxa"/>
            <w:right w:w="0" w:type="dxa"/>
          </w:tblCellMar>
        </w:tblPrEx>
        <w:trPr>
          <w:trHeight w:val="90" w:hRule="atLeast"/>
          <w:jc w:val="center"/>
        </w:trPr>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项目基本情况</w:t>
            </w:r>
          </w:p>
        </w:tc>
        <w:tc>
          <w:tcPr>
            <w:tcW w:w="1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1.项目年度目标完成情况</w:t>
            </w:r>
          </w:p>
        </w:tc>
        <w:tc>
          <w:tcPr>
            <w:tcW w:w="442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项目年度目标</w:t>
            </w:r>
          </w:p>
        </w:tc>
        <w:tc>
          <w:tcPr>
            <w:tcW w:w="366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90" w:hRule="atLeast"/>
          <w:jc w:val="center"/>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4425"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采购信息化软件14套，加强设备、物资、财务、等各方面工作信息化建设，提升医院管理智能化程度和数据安全性、群众就医便捷性。</w:t>
            </w:r>
          </w:p>
        </w:tc>
        <w:tc>
          <w:tcPr>
            <w:tcW w:w="366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根据科室需要，采购相关软件，目前项目全部完成合同签订，已有两套软件入账。</w:t>
            </w:r>
          </w:p>
        </w:tc>
      </w:tr>
      <w:tr>
        <w:tblPrEx>
          <w:tblCellMar>
            <w:top w:w="0" w:type="dxa"/>
            <w:left w:w="0" w:type="dxa"/>
            <w:bottom w:w="0" w:type="dxa"/>
            <w:right w:w="0" w:type="dxa"/>
          </w:tblCellMar>
        </w:tblPrEx>
        <w:trPr>
          <w:trHeight w:val="90" w:hRule="atLeast"/>
          <w:jc w:val="center"/>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2.项目实施内容及过程概述</w:t>
            </w:r>
          </w:p>
        </w:tc>
        <w:tc>
          <w:tcPr>
            <w:tcW w:w="808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sz w:val="18"/>
                <w:szCs w:val="18"/>
                <w:u w:val="none"/>
              </w:rPr>
              <w:t>采购信息化软件14套，加强设备、物资、财务、等各方面工作信息化建设，提升医院管理智能化程度和数据安全性、群众就医便捷性。</w:t>
            </w:r>
          </w:p>
        </w:tc>
      </w:tr>
      <w:tr>
        <w:tblPrEx>
          <w:tblCellMar>
            <w:top w:w="0" w:type="dxa"/>
            <w:left w:w="0" w:type="dxa"/>
            <w:bottom w:w="0" w:type="dxa"/>
            <w:right w:w="0" w:type="dxa"/>
          </w:tblCellMar>
        </w:tblPrEx>
        <w:trPr>
          <w:trHeight w:val="90" w:hRule="atLeast"/>
          <w:jc w:val="center"/>
        </w:trPr>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预算执行情况（10分）</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年度预算数（万元）</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年初预算</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调整后预算数</w:t>
            </w:r>
          </w:p>
        </w:tc>
        <w:tc>
          <w:tcPr>
            <w:tcW w:w="182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预算执行数</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预算执行率</w:t>
            </w:r>
          </w:p>
        </w:tc>
        <w:tc>
          <w:tcPr>
            <w:tcW w:w="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2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90" w:hRule="atLeast"/>
          <w:jc w:val="center"/>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总额</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2,242.00</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2,282.00</w:t>
            </w:r>
          </w:p>
        </w:tc>
        <w:tc>
          <w:tcPr>
            <w:tcW w:w="182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24.70</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1.08%</w:t>
            </w:r>
          </w:p>
        </w:tc>
        <w:tc>
          <w:tcPr>
            <w:tcW w:w="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w:t>
            </w:r>
          </w:p>
        </w:tc>
        <w:tc>
          <w:tcPr>
            <w:tcW w:w="203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截止2022年12月底，项目全部完成合同签订，因实施周期较长，已有两套软件入账，其余部分预计将在2023及以后年度陆续验收入账</w:t>
            </w:r>
          </w:p>
        </w:tc>
      </w:tr>
      <w:tr>
        <w:tblPrEx>
          <w:tblCellMar>
            <w:top w:w="0" w:type="dxa"/>
            <w:left w:w="0" w:type="dxa"/>
            <w:bottom w:w="0" w:type="dxa"/>
            <w:right w:w="0" w:type="dxa"/>
          </w:tblCellMar>
        </w:tblPrEx>
        <w:trPr>
          <w:trHeight w:val="90" w:hRule="atLeast"/>
          <w:jc w:val="center"/>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其中：财政资金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82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0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90" w:hRule="atLeast"/>
          <w:jc w:val="center"/>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财政专户管理资金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82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0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90" w:hRule="atLeast"/>
          <w:jc w:val="center"/>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单位资金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2,242.00</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2,282.00</w:t>
            </w:r>
          </w:p>
        </w:tc>
        <w:tc>
          <w:tcPr>
            <w:tcW w:w="182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24.70</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1.08%</w:t>
            </w:r>
          </w:p>
        </w:tc>
        <w:tc>
          <w:tcPr>
            <w:tcW w:w="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0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90" w:hRule="atLeast"/>
          <w:jc w:val="center"/>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其他资金</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82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0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90" w:hRule="atLeast"/>
          <w:jc w:val="center"/>
        </w:trPr>
        <w:tc>
          <w:tcPr>
            <w:tcW w:w="4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绩效指标（90分）</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一级指标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二级指标</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三级指标</w:t>
            </w:r>
          </w:p>
        </w:tc>
        <w:tc>
          <w:tcPr>
            <w:tcW w:w="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指标性质</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指标值</w:t>
            </w:r>
          </w:p>
        </w:tc>
        <w:tc>
          <w:tcPr>
            <w:tcW w:w="4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度量单位</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完成值</w:t>
            </w:r>
          </w:p>
        </w:tc>
        <w:tc>
          <w:tcPr>
            <w:tcW w:w="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2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90" w:hRule="atLeast"/>
          <w:jc w:val="center"/>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产出指标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数量指标</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采购信息化软件、服务数量</w:t>
            </w:r>
          </w:p>
        </w:tc>
        <w:tc>
          <w:tcPr>
            <w:tcW w:w="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14</w:t>
            </w:r>
          </w:p>
        </w:tc>
        <w:tc>
          <w:tcPr>
            <w:tcW w:w="4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套</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2</w:t>
            </w:r>
          </w:p>
        </w:tc>
        <w:tc>
          <w:tcPr>
            <w:tcW w:w="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2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截止2022年12月底，项目全部完成合同签订，因实施周期较长，已有两套软件入账，其余部分预计将在2023及以后年度陆续验收入账</w:t>
            </w:r>
          </w:p>
        </w:tc>
      </w:tr>
      <w:tr>
        <w:tblPrEx>
          <w:tblCellMar>
            <w:top w:w="0" w:type="dxa"/>
            <w:left w:w="0" w:type="dxa"/>
            <w:bottom w:w="0" w:type="dxa"/>
            <w:right w:w="0" w:type="dxa"/>
          </w:tblCellMar>
        </w:tblPrEx>
        <w:trPr>
          <w:trHeight w:val="90" w:hRule="atLeast"/>
          <w:jc w:val="center"/>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效益指标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可持续发展指标</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信息化程度进一步提升</w:t>
            </w:r>
          </w:p>
        </w:tc>
        <w:tc>
          <w:tcPr>
            <w:tcW w:w="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定性</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优良中低差</w:t>
            </w:r>
          </w:p>
        </w:tc>
        <w:tc>
          <w:tcPr>
            <w:tcW w:w="4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优</w:t>
            </w:r>
          </w:p>
        </w:tc>
        <w:tc>
          <w:tcPr>
            <w:tcW w:w="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2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r>
      <w:tr>
        <w:tblPrEx>
          <w:tblCellMar>
            <w:top w:w="0" w:type="dxa"/>
            <w:left w:w="0" w:type="dxa"/>
            <w:bottom w:w="0" w:type="dxa"/>
            <w:right w:w="0" w:type="dxa"/>
          </w:tblCellMar>
        </w:tblPrEx>
        <w:trPr>
          <w:trHeight w:val="90" w:hRule="atLeast"/>
          <w:jc w:val="center"/>
        </w:trPr>
        <w:tc>
          <w:tcPr>
            <w:tcW w:w="4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满意度指标</w:t>
            </w:r>
          </w:p>
        </w:tc>
        <w:tc>
          <w:tcPr>
            <w:tcW w:w="10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服务对象满意度指标</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软件使用者满意度</w:t>
            </w:r>
          </w:p>
        </w:tc>
        <w:tc>
          <w:tcPr>
            <w:tcW w:w="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9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80</w:t>
            </w:r>
          </w:p>
        </w:tc>
        <w:tc>
          <w:tcPr>
            <w:tcW w:w="4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90</w:t>
            </w:r>
          </w:p>
        </w:tc>
        <w:tc>
          <w:tcPr>
            <w:tcW w:w="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2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i w:val="0"/>
                <w:iCs w:val="0"/>
                <w:color w:val="000000"/>
                <w:sz w:val="16"/>
                <w:szCs w:val="16"/>
                <w:u w:val="none"/>
              </w:rPr>
            </w:pPr>
            <w:r>
              <w:rPr>
                <w:rFonts w:hint="eastAsia" w:ascii="宋体" w:hAnsi="宋体" w:eastAsia="宋体" w:cs="宋体"/>
                <w:i w:val="0"/>
                <w:color w:val="000000"/>
                <w:kern w:val="0"/>
                <w:sz w:val="16"/>
                <w:szCs w:val="16"/>
                <w:u w:val="none"/>
                <w:lang w:val="en-US" w:eastAsia="zh-CN" w:bidi="ar"/>
              </w:rPr>
              <w:t>2022年度全国公立医院移动互联网满意度调查报告尚未出来，暂未确定，但预计满意度指标在90%以上。</w:t>
            </w:r>
          </w:p>
        </w:tc>
      </w:tr>
      <w:tr>
        <w:tblPrEx>
          <w:tblCellMar>
            <w:top w:w="0" w:type="dxa"/>
            <w:left w:w="0" w:type="dxa"/>
            <w:bottom w:w="0" w:type="dxa"/>
            <w:right w:w="0" w:type="dxa"/>
          </w:tblCellMar>
        </w:tblPrEx>
        <w:trPr>
          <w:trHeight w:val="90" w:hRule="atLeast"/>
          <w:jc w:val="center"/>
        </w:trPr>
        <w:tc>
          <w:tcPr>
            <w:tcW w:w="7204"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合计</w:t>
            </w:r>
          </w:p>
        </w:tc>
        <w:tc>
          <w:tcPr>
            <w:tcW w:w="3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4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84</w:t>
            </w:r>
          </w:p>
        </w:tc>
        <w:tc>
          <w:tcPr>
            <w:tcW w:w="20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90" w:hRule="atLeast"/>
          <w:jc w:val="center"/>
        </w:trPr>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评价结论</w:t>
            </w:r>
          </w:p>
        </w:tc>
        <w:tc>
          <w:tcPr>
            <w:tcW w:w="956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2022年医院从需求、论证、审批、实施和验收等五大环节着手，从预算项目绩效支出必要性可行性两个方面切实加强资金、资源统筹分配与管控，加强预算与成本、资产、采购、业务等各方面业务的融合，保障医院医护中心业务顺利开展，圆满完成2022年度医疗、教学、急救、抗疫等各项中心任务，预算绩效管理工作基本达到本年预期目标。</w:t>
            </w:r>
          </w:p>
        </w:tc>
      </w:tr>
      <w:tr>
        <w:tblPrEx>
          <w:tblCellMar>
            <w:top w:w="0" w:type="dxa"/>
            <w:left w:w="0" w:type="dxa"/>
            <w:bottom w:w="0" w:type="dxa"/>
            <w:right w:w="0" w:type="dxa"/>
          </w:tblCellMar>
        </w:tblPrEx>
        <w:trPr>
          <w:trHeight w:val="90" w:hRule="atLeast"/>
          <w:jc w:val="center"/>
        </w:trPr>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存在问题</w:t>
            </w:r>
          </w:p>
        </w:tc>
        <w:tc>
          <w:tcPr>
            <w:tcW w:w="956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无</w:t>
            </w:r>
          </w:p>
        </w:tc>
      </w:tr>
      <w:tr>
        <w:tblPrEx>
          <w:tblCellMar>
            <w:top w:w="0" w:type="dxa"/>
            <w:left w:w="0" w:type="dxa"/>
            <w:bottom w:w="0" w:type="dxa"/>
            <w:right w:w="0" w:type="dxa"/>
          </w:tblCellMar>
        </w:tblPrEx>
        <w:trPr>
          <w:trHeight w:val="90" w:hRule="atLeast"/>
          <w:jc w:val="center"/>
        </w:trPr>
        <w:tc>
          <w:tcPr>
            <w:tcW w:w="4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改进措施</w:t>
            </w:r>
          </w:p>
        </w:tc>
        <w:tc>
          <w:tcPr>
            <w:tcW w:w="9563"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无</w:t>
            </w:r>
          </w:p>
        </w:tc>
      </w:tr>
      <w:tr>
        <w:tblPrEx>
          <w:tblCellMar>
            <w:top w:w="0" w:type="dxa"/>
            <w:left w:w="0" w:type="dxa"/>
            <w:bottom w:w="0" w:type="dxa"/>
            <w:right w:w="0" w:type="dxa"/>
          </w:tblCellMar>
        </w:tblPrEx>
        <w:trPr>
          <w:trHeight w:val="90" w:hRule="atLeast"/>
          <w:jc w:val="center"/>
        </w:trPr>
        <w:tc>
          <w:tcPr>
            <w:tcW w:w="498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项目负责人：</w:t>
            </w:r>
          </w:p>
        </w:tc>
        <w:tc>
          <w:tcPr>
            <w:tcW w:w="504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财务负责人：</w:t>
            </w:r>
          </w:p>
        </w:tc>
      </w:tr>
    </w:tbl>
    <w:p>
      <w:pPr>
        <w:keepNext w:val="0"/>
        <w:keepLines w:val="0"/>
        <w:pageBreakBefore w:val="0"/>
        <w:kinsoku/>
        <w:wordWrap/>
        <w:overflowPunct/>
        <w:topLinePunct w:val="0"/>
        <w:autoSpaceDE/>
        <w:autoSpaceDN/>
        <w:bidi w:val="0"/>
        <w:spacing w:line="360" w:lineRule="auto"/>
        <w:contextualSpacing/>
        <w:textAlignment w:val="auto"/>
        <w:outlineLvl w:val="9"/>
        <w:rPr>
          <w:rFonts w:hint="default" w:ascii="黑体" w:hAnsi="黑体" w:eastAsia="黑体" w:cs="黑体"/>
          <w:b w:val="0"/>
          <w:bCs w:val="0"/>
          <w:sz w:val="32"/>
          <w:szCs w:val="32"/>
          <w:highlight w:val="none"/>
          <w:lang w:val="en-US" w:eastAsia="zh-CN"/>
        </w:rPr>
      </w:pPr>
    </w:p>
    <w:tbl>
      <w:tblPr>
        <w:tblStyle w:val="15"/>
        <w:tblW w:w="10180" w:type="dxa"/>
        <w:jc w:val="center"/>
        <w:shd w:val="clear" w:color="auto" w:fill="auto"/>
        <w:tblLayout w:type="fixed"/>
        <w:tblCellMar>
          <w:top w:w="0" w:type="dxa"/>
          <w:left w:w="0" w:type="dxa"/>
          <w:bottom w:w="0" w:type="dxa"/>
          <w:right w:w="0" w:type="dxa"/>
        </w:tblCellMar>
      </w:tblPr>
      <w:tblGrid>
        <w:gridCol w:w="491"/>
        <w:gridCol w:w="1555"/>
        <w:gridCol w:w="1019"/>
        <w:gridCol w:w="1524"/>
        <w:gridCol w:w="482"/>
        <w:gridCol w:w="994"/>
        <w:gridCol w:w="469"/>
        <w:gridCol w:w="759"/>
        <w:gridCol w:w="356"/>
        <w:gridCol w:w="493"/>
        <w:gridCol w:w="2038"/>
      </w:tblGrid>
      <w:tr>
        <w:tblPrEx>
          <w:shd w:val="clear" w:color="auto" w:fill="auto"/>
          <w:tblCellMar>
            <w:top w:w="0" w:type="dxa"/>
            <w:left w:w="0" w:type="dxa"/>
            <w:bottom w:w="0" w:type="dxa"/>
            <w:right w:w="0" w:type="dxa"/>
          </w:tblCellMar>
        </w:tblPrEx>
        <w:trPr>
          <w:trHeight w:val="685" w:hRule="atLeast"/>
          <w:jc w:val="center"/>
        </w:trPr>
        <w:tc>
          <w:tcPr>
            <w:tcW w:w="1018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iCs w:val="0"/>
                <w:color w:val="000000"/>
                <w:sz w:val="30"/>
                <w:szCs w:val="30"/>
                <w:u w:val="none"/>
              </w:rPr>
            </w:pPr>
            <w:r>
              <w:rPr>
                <w:rFonts w:hint="eastAsia" w:asciiTheme="minorEastAsia" w:hAnsiTheme="minorEastAsia" w:eastAsiaTheme="minorEastAsia" w:cstheme="minorEastAsia"/>
                <w:b/>
                <w:i w:val="0"/>
                <w:iCs w:val="0"/>
                <w:color w:val="000000"/>
                <w:kern w:val="0"/>
                <w:sz w:val="30"/>
                <w:szCs w:val="30"/>
                <w:u w:val="none"/>
                <w:lang w:val="en-US" w:eastAsia="zh-CN" w:bidi="ar"/>
              </w:rPr>
              <w:t>部门预算项目支出绩效自评表（2022年度）</w:t>
            </w:r>
          </w:p>
        </w:tc>
      </w:tr>
      <w:tr>
        <w:tblPrEx>
          <w:tblCellMar>
            <w:top w:w="0" w:type="dxa"/>
            <w:left w:w="0" w:type="dxa"/>
            <w:bottom w:w="0" w:type="dxa"/>
            <w:right w:w="0" w:type="dxa"/>
          </w:tblCellMar>
        </w:tblPrEx>
        <w:trPr>
          <w:trHeight w:val="355" w:hRule="atLeast"/>
          <w:jc w:val="center"/>
        </w:trPr>
        <w:tc>
          <w:tcPr>
            <w:tcW w:w="20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项目名称</w:t>
            </w:r>
          </w:p>
        </w:tc>
        <w:tc>
          <w:tcPr>
            <w:tcW w:w="8134"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51080022T000004956005-房屋及附属设施维修改造</w:t>
            </w:r>
          </w:p>
        </w:tc>
      </w:tr>
      <w:tr>
        <w:tblPrEx>
          <w:tblCellMar>
            <w:top w:w="0" w:type="dxa"/>
            <w:left w:w="0" w:type="dxa"/>
            <w:bottom w:w="0" w:type="dxa"/>
            <w:right w:w="0" w:type="dxa"/>
          </w:tblCellMar>
        </w:tblPrEx>
        <w:trPr>
          <w:trHeight w:val="685" w:hRule="atLeast"/>
          <w:jc w:val="center"/>
        </w:trPr>
        <w:tc>
          <w:tcPr>
            <w:tcW w:w="204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主管部门</w:t>
            </w:r>
          </w:p>
        </w:tc>
        <w:tc>
          <w:tcPr>
            <w:tcW w:w="448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广元市卫生健康委员会部门</w:t>
            </w:r>
          </w:p>
        </w:tc>
        <w:tc>
          <w:tcPr>
            <w:tcW w:w="759"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实施单位 （盖章）</w:t>
            </w:r>
          </w:p>
        </w:tc>
        <w:tc>
          <w:tcPr>
            <w:tcW w:w="288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广元市中医医院</w:t>
            </w:r>
          </w:p>
        </w:tc>
      </w:tr>
      <w:tr>
        <w:tblPrEx>
          <w:tblCellMar>
            <w:top w:w="0" w:type="dxa"/>
            <w:left w:w="0" w:type="dxa"/>
            <w:bottom w:w="0" w:type="dxa"/>
            <w:right w:w="0" w:type="dxa"/>
          </w:tblCellMar>
        </w:tblPrEx>
        <w:trPr>
          <w:trHeight w:val="355" w:hRule="atLeast"/>
          <w:jc w:val="center"/>
        </w:trPr>
        <w:tc>
          <w:tcPr>
            <w:tcW w:w="4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项目基本情况</w:t>
            </w:r>
          </w:p>
        </w:tc>
        <w:tc>
          <w:tcPr>
            <w:tcW w:w="155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1.项目年度目标完成情况</w:t>
            </w:r>
          </w:p>
        </w:tc>
        <w:tc>
          <w:tcPr>
            <w:tcW w:w="448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项目年度目标</w:t>
            </w:r>
          </w:p>
        </w:tc>
        <w:tc>
          <w:tcPr>
            <w:tcW w:w="364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685"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155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448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完成部分房屋、建筑布局调整、功能改造和公共区域环境整治，保障医院中心业务发展和新项目开展。</w:t>
            </w:r>
          </w:p>
        </w:tc>
        <w:tc>
          <w:tcPr>
            <w:tcW w:w="364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完成部分项目的维修改造和重新布局，提升了患者就医环境。</w:t>
            </w:r>
          </w:p>
        </w:tc>
      </w:tr>
      <w:tr>
        <w:tblPrEx>
          <w:tblCellMar>
            <w:top w:w="0" w:type="dxa"/>
            <w:left w:w="0" w:type="dxa"/>
            <w:bottom w:w="0" w:type="dxa"/>
            <w:right w:w="0" w:type="dxa"/>
          </w:tblCellMar>
        </w:tblPrEx>
        <w:trPr>
          <w:trHeight w:val="590"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1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2.项目实施内容及过程概述</w:t>
            </w:r>
          </w:p>
        </w:tc>
        <w:tc>
          <w:tcPr>
            <w:tcW w:w="8134"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lang w:eastAsia="zh-CN"/>
              </w:rPr>
            </w:pPr>
            <w:r>
              <w:rPr>
                <w:rFonts w:hint="eastAsia" w:asciiTheme="minorEastAsia" w:hAnsiTheme="minorEastAsia" w:eastAsiaTheme="minorEastAsia" w:cstheme="minorEastAsia"/>
                <w:i w:val="0"/>
                <w:iCs w:val="0"/>
                <w:color w:val="000000"/>
                <w:sz w:val="18"/>
                <w:szCs w:val="18"/>
                <w:u w:val="none"/>
                <w:lang w:val="en-US" w:eastAsia="zh-CN"/>
              </w:rPr>
              <w:t>对</w:t>
            </w:r>
            <w:r>
              <w:rPr>
                <w:rFonts w:hint="eastAsia" w:asciiTheme="minorEastAsia" w:hAnsiTheme="minorEastAsia" w:eastAsiaTheme="minorEastAsia" w:cstheme="minorEastAsia"/>
                <w:i w:val="0"/>
                <w:iCs w:val="0"/>
                <w:color w:val="000000"/>
                <w:sz w:val="18"/>
                <w:szCs w:val="18"/>
                <w:u w:val="none"/>
              </w:rPr>
              <w:t>部分房屋、建筑</w:t>
            </w:r>
            <w:r>
              <w:rPr>
                <w:rFonts w:hint="eastAsia" w:asciiTheme="minorEastAsia" w:hAnsiTheme="minorEastAsia" w:eastAsiaTheme="minorEastAsia" w:cstheme="minorEastAsia"/>
                <w:i w:val="0"/>
                <w:iCs w:val="0"/>
                <w:color w:val="000000"/>
                <w:sz w:val="18"/>
                <w:szCs w:val="18"/>
                <w:u w:val="none"/>
                <w:lang w:val="en-US" w:eastAsia="zh-CN"/>
              </w:rPr>
              <w:t>进行</w:t>
            </w:r>
            <w:r>
              <w:rPr>
                <w:rFonts w:hint="eastAsia" w:asciiTheme="minorEastAsia" w:hAnsiTheme="minorEastAsia" w:eastAsiaTheme="minorEastAsia" w:cstheme="minorEastAsia"/>
                <w:i w:val="0"/>
                <w:iCs w:val="0"/>
                <w:color w:val="000000"/>
                <w:sz w:val="18"/>
                <w:szCs w:val="18"/>
                <w:u w:val="none"/>
              </w:rPr>
              <w:t>布局调整、功能改造</w:t>
            </w:r>
            <w:r>
              <w:rPr>
                <w:rFonts w:hint="eastAsia" w:asciiTheme="minorEastAsia" w:hAnsiTheme="minorEastAsia" w:eastAsiaTheme="minorEastAsia" w:cstheme="minorEastAsia"/>
                <w:i w:val="0"/>
                <w:iCs w:val="0"/>
                <w:color w:val="000000"/>
                <w:sz w:val="18"/>
                <w:szCs w:val="18"/>
                <w:u w:val="none"/>
                <w:lang w:eastAsia="zh-CN"/>
              </w:rPr>
              <w:t>，</w:t>
            </w:r>
            <w:r>
              <w:rPr>
                <w:rFonts w:hint="eastAsia" w:asciiTheme="minorEastAsia" w:hAnsiTheme="minorEastAsia" w:eastAsiaTheme="minorEastAsia" w:cstheme="minorEastAsia"/>
                <w:i w:val="0"/>
                <w:iCs w:val="0"/>
                <w:color w:val="000000"/>
                <w:sz w:val="18"/>
                <w:szCs w:val="18"/>
                <w:u w:val="none"/>
                <w:lang w:val="en-US" w:eastAsia="zh-CN"/>
              </w:rPr>
              <w:t>对</w:t>
            </w:r>
            <w:r>
              <w:rPr>
                <w:rFonts w:hint="eastAsia" w:asciiTheme="minorEastAsia" w:hAnsiTheme="minorEastAsia" w:eastAsiaTheme="minorEastAsia" w:cstheme="minorEastAsia"/>
                <w:i w:val="0"/>
                <w:iCs w:val="0"/>
                <w:color w:val="000000"/>
                <w:sz w:val="18"/>
                <w:szCs w:val="18"/>
                <w:u w:val="none"/>
              </w:rPr>
              <w:t>公共区域环境整治</w:t>
            </w:r>
            <w:r>
              <w:rPr>
                <w:rFonts w:hint="eastAsia" w:asciiTheme="minorEastAsia" w:hAnsiTheme="minorEastAsia" w:eastAsiaTheme="minorEastAsia" w:cstheme="minorEastAsia"/>
                <w:i w:val="0"/>
                <w:iCs w:val="0"/>
                <w:color w:val="000000"/>
                <w:sz w:val="18"/>
                <w:szCs w:val="18"/>
                <w:u w:val="none"/>
                <w:lang w:eastAsia="zh-CN"/>
              </w:rPr>
              <w:t>。</w:t>
            </w:r>
          </w:p>
        </w:tc>
      </w:tr>
      <w:tr>
        <w:tblPrEx>
          <w:tblCellMar>
            <w:top w:w="0" w:type="dxa"/>
            <w:left w:w="0" w:type="dxa"/>
            <w:bottom w:w="0" w:type="dxa"/>
            <w:right w:w="0" w:type="dxa"/>
          </w:tblCellMar>
        </w:tblPrEx>
        <w:trPr>
          <w:trHeight w:val="685" w:hRule="atLeast"/>
          <w:jc w:val="center"/>
        </w:trPr>
        <w:tc>
          <w:tcPr>
            <w:tcW w:w="4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预算执行情况（10分）</w:t>
            </w:r>
          </w:p>
        </w:tc>
        <w:tc>
          <w:tcPr>
            <w:tcW w:w="1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年度预算数（万元）</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年初预算</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调整后预算数</w:t>
            </w:r>
          </w:p>
        </w:tc>
        <w:tc>
          <w:tcPr>
            <w:tcW w:w="19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预算执行数</w:t>
            </w: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预算执行率</w:t>
            </w:r>
          </w:p>
        </w:tc>
        <w:tc>
          <w:tcPr>
            <w:tcW w:w="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355"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总额</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566.00</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566.00</w:t>
            </w:r>
          </w:p>
        </w:tc>
        <w:tc>
          <w:tcPr>
            <w:tcW w:w="19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383.37</w:t>
            </w: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67.73%</w:t>
            </w:r>
          </w:p>
        </w:tc>
        <w:tc>
          <w:tcPr>
            <w:tcW w:w="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7.01</w:t>
            </w:r>
          </w:p>
        </w:tc>
        <w:tc>
          <w:tcPr>
            <w:tcW w:w="20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一是因为部分项目根据需要进行了调整，目前还未进行结算；二是基建相关造价咨询、工程审计、设计评审费用在2023年1月结算。</w:t>
            </w:r>
          </w:p>
        </w:tc>
      </w:tr>
      <w:tr>
        <w:tblPrEx>
          <w:tblCellMar>
            <w:top w:w="0" w:type="dxa"/>
            <w:left w:w="0" w:type="dxa"/>
            <w:bottom w:w="0" w:type="dxa"/>
            <w:right w:w="0" w:type="dxa"/>
          </w:tblCellMar>
        </w:tblPrEx>
        <w:trPr>
          <w:trHeight w:val="355"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其中：财政资金</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9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685"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财政专户管理资金</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9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355"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单位资金</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566.00</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566.00</w:t>
            </w:r>
          </w:p>
        </w:tc>
        <w:tc>
          <w:tcPr>
            <w:tcW w:w="19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383.37</w:t>
            </w: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67.73%</w:t>
            </w:r>
          </w:p>
        </w:tc>
        <w:tc>
          <w:tcPr>
            <w:tcW w:w="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355"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其他资金</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94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0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1011" w:hRule="atLeast"/>
          <w:jc w:val="center"/>
        </w:trPr>
        <w:tc>
          <w:tcPr>
            <w:tcW w:w="4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绩效指标（90分）</w:t>
            </w:r>
          </w:p>
        </w:tc>
        <w:tc>
          <w:tcPr>
            <w:tcW w:w="1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一级指标</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二级指标</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三级指标</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指标性质</w:t>
            </w:r>
          </w:p>
        </w:tc>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指标值</w:t>
            </w:r>
          </w:p>
        </w:tc>
        <w:tc>
          <w:tcPr>
            <w:tcW w:w="4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度量单位</w:t>
            </w: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完成值</w:t>
            </w:r>
          </w:p>
        </w:tc>
        <w:tc>
          <w:tcPr>
            <w:tcW w:w="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685"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产出指标</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质量指标</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不断提升服务质量</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定性</w:t>
            </w:r>
          </w:p>
        </w:tc>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高中低</w:t>
            </w:r>
          </w:p>
        </w:tc>
        <w:tc>
          <w:tcPr>
            <w:tcW w:w="4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高</w:t>
            </w:r>
          </w:p>
        </w:tc>
        <w:tc>
          <w:tcPr>
            <w:tcW w:w="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29</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r>
      <w:tr>
        <w:tblPrEx>
          <w:tblCellMar>
            <w:top w:w="0" w:type="dxa"/>
            <w:left w:w="0" w:type="dxa"/>
            <w:bottom w:w="0" w:type="dxa"/>
            <w:right w:w="0" w:type="dxa"/>
          </w:tblCellMar>
        </w:tblPrEx>
        <w:trPr>
          <w:trHeight w:val="685"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效益指标</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社会效益指标</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改善就医环境</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定性</w:t>
            </w:r>
          </w:p>
        </w:tc>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高中低</w:t>
            </w:r>
          </w:p>
        </w:tc>
        <w:tc>
          <w:tcPr>
            <w:tcW w:w="4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高</w:t>
            </w:r>
          </w:p>
        </w:tc>
        <w:tc>
          <w:tcPr>
            <w:tcW w:w="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28</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r>
      <w:tr>
        <w:tblPrEx>
          <w:tblCellMar>
            <w:top w:w="0" w:type="dxa"/>
            <w:left w:w="0" w:type="dxa"/>
            <w:bottom w:w="0" w:type="dxa"/>
            <w:right w:w="0" w:type="dxa"/>
          </w:tblCellMar>
        </w:tblPrEx>
        <w:trPr>
          <w:trHeight w:val="685"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满意度指标</w:t>
            </w:r>
          </w:p>
        </w:tc>
        <w:tc>
          <w:tcPr>
            <w:tcW w:w="10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服务对象满意度指标</w:t>
            </w:r>
          </w:p>
        </w:tc>
        <w:tc>
          <w:tcPr>
            <w:tcW w:w="15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定性</w:t>
            </w:r>
          </w:p>
        </w:tc>
        <w:tc>
          <w:tcPr>
            <w:tcW w:w="9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高中低</w:t>
            </w:r>
          </w:p>
        </w:tc>
        <w:tc>
          <w:tcPr>
            <w:tcW w:w="4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高</w:t>
            </w:r>
          </w:p>
        </w:tc>
        <w:tc>
          <w:tcPr>
            <w:tcW w:w="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28</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i w:val="0"/>
                <w:iCs w:val="0"/>
                <w:color w:val="000000"/>
                <w:sz w:val="16"/>
                <w:szCs w:val="16"/>
                <w:u w:val="none"/>
              </w:rPr>
            </w:pPr>
            <w:r>
              <w:rPr>
                <w:rFonts w:hint="eastAsia" w:ascii="宋体" w:hAnsi="宋体" w:eastAsia="宋体" w:cs="宋体"/>
                <w:i w:val="0"/>
                <w:color w:val="000000"/>
                <w:kern w:val="0"/>
                <w:sz w:val="16"/>
                <w:szCs w:val="16"/>
                <w:u w:val="none"/>
                <w:lang w:val="en-US" w:eastAsia="zh-CN" w:bidi="ar"/>
              </w:rPr>
              <w:t>2022年度全国公立医院移动互联网满意度调查报告尚未出来，暂未确定，但预计满意度指标在90%以上。</w:t>
            </w:r>
          </w:p>
        </w:tc>
      </w:tr>
      <w:tr>
        <w:tblPrEx>
          <w:tblCellMar>
            <w:top w:w="0" w:type="dxa"/>
            <w:left w:w="0" w:type="dxa"/>
            <w:bottom w:w="0" w:type="dxa"/>
            <w:right w:w="0" w:type="dxa"/>
          </w:tblCellMar>
        </w:tblPrEx>
        <w:trPr>
          <w:trHeight w:val="355" w:hRule="atLeast"/>
          <w:jc w:val="center"/>
        </w:trPr>
        <w:tc>
          <w:tcPr>
            <w:tcW w:w="7293"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合计</w:t>
            </w:r>
          </w:p>
        </w:tc>
        <w:tc>
          <w:tcPr>
            <w:tcW w:w="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4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92.01</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1014" w:hRule="atLeast"/>
          <w:jc w:val="center"/>
        </w:trPr>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评价结论</w:t>
            </w:r>
          </w:p>
        </w:tc>
        <w:tc>
          <w:tcPr>
            <w:tcW w:w="9689"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2022年医院从需求、论证、审批、实施和验收等五大环节着手，从预算项目绩效支出必要性可行性两个方面切实加强资金、资源统筹分配与管控，加强预算与成本、资产、采购、业务等各方面业务的融合，保障医院医护中心业务顺利开展，圆满完成2022年度医疗、教学、急救、抗疫等各项中心任务，预算绩效管理工作基本达到本年预期目标。</w:t>
            </w:r>
          </w:p>
        </w:tc>
      </w:tr>
      <w:tr>
        <w:tblPrEx>
          <w:tblCellMar>
            <w:top w:w="0" w:type="dxa"/>
            <w:left w:w="0" w:type="dxa"/>
            <w:bottom w:w="0" w:type="dxa"/>
            <w:right w:w="0" w:type="dxa"/>
          </w:tblCellMar>
        </w:tblPrEx>
        <w:trPr>
          <w:trHeight w:val="685" w:hRule="atLeast"/>
          <w:jc w:val="center"/>
        </w:trPr>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存在问题</w:t>
            </w:r>
          </w:p>
        </w:tc>
        <w:tc>
          <w:tcPr>
            <w:tcW w:w="9689"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无</w:t>
            </w:r>
          </w:p>
        </w:tc>
      </w:tr>
      <w:tr>
        <w:tblPrEx>
          <w:tblCellMar>
            <w:top w:w="0" w:type="dxa"/>
            <w:left w:w="0" w:type="dxa"/>
            <w:bottom w:w="0" w:type="dxa"/>
            <w:right w:w="0" w:type="dxa"/>
          </w:tblCellMar>
        </w:tblPrEx>
        <w:trPr>
          <w:trHeight w:val="685" w:hRule="atLeast"/>
          <w:jc w:val="center"/>
        </w:trPr>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改进措施</w:t>
            </w:r>
          </w:p>
        </w:tc>
        <w:tc>
          <w:tcPr>
            <w:tcW w:w="9689"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无</w:t>
            </w:r>
          </w:p>
        </w:tc>
      </w:tr>
      <w:tr>
        <w:tblPrEx>
          <w:tblCellMar>
            <w:top w:w="0" w:type="dxa"/>
            <w:left w:w="0" w:type="dxa"/>
            <w:bottom w:w="0" w:type="dxa"/>
            <w:right w:w="0" w:type="dxa"/>
          </w:tblCellMar>
        </w:tblPrEx>
        <w:trPr>
          <w:trHeight w:val="366" w:hRule="atLeast"/>
          <w:jc w:val="center"/>
        </w:trPr>
        <w:tc>
          <w:tcPr>
            <w:tcW w:w="507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项目负责人：</w:t>
            </w:r>
          </w:p>
        </w:tc>
        <w:tc>
          <w:tcPr>
            <w:tcW w:w="5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财务负责人：</w:t>
            </w:r>
          </w:p>
        </w:tc>
      </w:tr>
    </w:tbl>
    <w:tbl>
      <w:tblPr>
        <w:tblStyle w:val="15"/>
        <w:tblpPr w:leftFromText="180" w:rightFromText="180" w:vertAnchor="text" w:horzAnchor="page" w:tblpXSpec="center" w:tblpY="414"/>
        <w:tblOverlap w:val="never"/>
        <w:tblW w:w="10520" w:type="dxa"/>
        <w:jc w:val="center"/>
        <w:shd w:val="clear" w:color="auto" w:fill="auto"/>
        <w:tblLayout w:type="fixed"/>
        <w:tblCellMar>
          <w:top w:w="0" w:type="dxa"/>
          <w:left w:w="0" w:type="dxa"/>
          <w:bottom w:w="0" w:type="dxa"/>
          <w:right w:w="0" w:type="dxa"/>
        </w:tblCellMar>
      </w:tblPr>
      <w:tblGrid>
        <w:gridCol w:w="480"/>
        <w:gridCol w:w="1514"/>
        <w:gridCol w:w="1176"/>
        <w:gridCol w:w="1593"/>
        <w:gridCol w:w="500"/>
        <w:gridCol w:w="1046"/>
        <w:gridCol w:w="474"/>
        <w:gridCol w:w="855"/>
        <w:gridCol w:w="330"/>
        <w:gridCol w:w="409"/>
        <w:gridCol w:w="2143"/>
      </w:tblGrid>
      <w:tr>
        <w:tblPrEx>
          <w:shd w:val="clear" w:color="auto" w:fill="auto"/>
          <w:tblCellMar>
            <w:top w:w="0" w:type="dxa"/>
            <w:left w:w="0" w:type="dxa"/>
            <w:bottom w:w="0" w:type="dxa"/>
            <w:right w:w="0" w:type="dxa"/>
          </w:tblCellMar>
        </w:tblPrEx>
        <w:trPr>
          <w:trHeight w:val="894" w:hRule="atLeast"/>
          <w:jc w:val="center"/>
        </w:trPr>
        <w:tc>
          <w:tcPr>
            <w:tcW w:w="1052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iCs w:val="0"/>
                <w:color w:val="000000"/>
                <w:sz w:val="30"/>
                <w:szCs w:val="30"/>
                <w:u w:val="none"/>
              </w:rPr>
            </w:pPr>
            <w:r>
              <w:rPr>
                <w:rFonts w:hint="eastAsia" w:asciiTheme="minorEastAsia" w:hAnsiTheme="minorEastAsia" w:eastAsiaTheme="minorEastAsia" w:cstheme="minorEastAsia"/>
                <w:b/>
                <w:i w:val="0"/>
                <w:iCs w:val="0"/>
                <w:color w:val="000000"/>
                <w:kern w:val="0"/>
                <w:sz w:val="30"/>
                <w:szCs w:val="30"/>
                <w:u w:val="none"/>
                <w:lang w:val="en-US" w:eastAsia="zh-CN" w:bidi="ar"/>
              </w:rPr>
              <w:t>部门预算项目支出绩效自评表（2022年度）</w:t>
            </w:r>
          </w:p>
        </w:tc>
      </w:tr>
      <w:tr>
        <w:tblPrEx>
          <w:tblCellMar>
            <w:top w:w="0" w:type="dxa"/>
            <w:left w:w="0" w:type="dxa"/>
            <w:bottom w:w="0" w:type="dxa"/>
            <w:right w:w="0" w:type="dxa"/>
          </w:tblCellMar>
        </w:tblPrEx>
        <w:trPr>
          <w:trHeight w:val="428" w:hRule="atLeast"/>
          <w:jc w:val="center"/>
        </w:trPr>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项目名称</w:t>
            </w:r>
          </w:p>
        </w:tc>
        <w:tc>
          <w:tcPr>
            <w:tcW w:w="852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51080022T000004957852-通用设备、其他设备购置项目</w:t>
            </w:r>
          </w:p>
        </w:tc>
      </w:tr>
      <w:tr>
        <w:tblPrEx>
          <w:tblCellMar>
            <w:top w:w="0" w:type="dxa"/>
            <w:left w:w="0" w:type="dxa"/>
            <w:bottom w:w="0" w:type="dxa"/>
            <w:right w:w="0" w:type="dxa"/>
          </w:tblCellMar>
        </w:tblPrEx>
        <w:trPr>
          <w:trHeight w:val="855" w:hRule="atLeast"/>
          <w:jc w:val="center"/>
        </w:trPr>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主管部门</w:t>
            </w:r>
          </w:p>
        </w:tc>
        <w:tc>
          <w:tcPr>
            <w:tcW w:w="478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广元市卫生健康委员会部门</w:t>
            </w:r>
          </w:p>
        </w:tc>
        <w:tc>
          <w:tcPr>
            <w:tcW w:w="855"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实施单位 （盖章）</w:t>
            </w:r>
          </w:p>
        </w:tc>
        <w:tc>
          <w:tcPr>
            <w:tcW w:w="288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广元市中医医院</w:t>
            </w:r>
          </w:p>
        </w:tc>
      </w:tr>
      <w:tr>
        <w:tblPrEx>
          <w:tblCellMar>
            <w:top w:w="0" w:type="dxa"/>
            <w:left w:w="0" w:type="dxa"/>
            <w:bottom w:w="0" w:type="dxa"/>
            <w:right w:w="0" w:type="dxa"/>
          </w:tblCellMar>
        </w:tblPrEx>
        <w:trPr>
          <w:trHeight w:val="428" w:hRule="atLeast"/>
          <w:jc w:val="center"/>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项目基本情况</w:t>
            </w:r>
          </w:p>
        </w:tc>
        <w:tc>
          <w:tcPr>
            <w:tcW w:w="151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1.项目年度目标完成情况</w:t>
            </w:r>
          </w:p>
        </w:tc>
        <w:tc>
          <w:tcPr>
            <w:tcW w:w="478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项目年度目标</w:t>
            </w:r>
          </w:p>
        </w:tc>
        <w:tc>
          <w:tcPr>
            <w:tcW w:w="373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489" w:hRule="atLeast"/>
          <w:jc w:val="center"/>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15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478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保障临床及行政后勤科室业务、管理、服务工作需要。</w:t>
            </w:r>
          </w:p>
        </w:tc>
        <w:tc>
          <w:tcPr>
            <w:tcW w:w="373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根据临床科室的需要，购置了相关设备</w:t>
            </w:r>
          </w:p>
        </w:tc>
      </w:tr>
      <w:tr>
        <w:tblPrEx>
          <w:tblCellMar>
            <w:top w:w="0" w:type="dxa"/>
            <w:left w:w="0" w:type="dxa"/>
            <w:bottom w:w="0" w:type="dxa"/>
            <w:right w:w="0" w:type="dxa"/>
          </w:tblCellMar>
        </w:tblPrEx>
        <w:trPr>
          <w:trHeight w:val="577" w:hRule="atLeast"/>
          <w:jc w:val="center"/>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2.项目实施内容及过程概述</w:t>
            </w:r>
          </w:p>
        </w:tc>
        <w:tc>
          <w:tcPr>
            <w:tcW w:w="852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保障2022年度各科室业务工作需要的设备更新、新科室、业务项目开展需要添置的设备设施采购</w:t>
            </w:r>
          </w:p>
        </w:tc>
      </w:tr>
      <w:tr>
        <w:tblPrEx>
          <w:tblCellMar>
            <w:top w:w="0" w:type="dxa"/>
            <w:left w:w="0" w:type="dxa"/>
            <w:bottom w:w="0" w:type="dxa"/>
            <w:right w:w="0" w:type="dxa"/>
          </w:tblCellMar>
        </w:tblPrEx>
        <w:trPr>
          <w:trHeight w:val="690" w:hRule="atLeast"/>
          <w:jc w:val="center"/>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预算执行情况（10分）</w:t>
            </w:r>
          </w:p>
        </w:tc>
        <w:tc>
          <w:tcPr>
            <w:tcW w:w="1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年度预算数（万元）</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年初预算</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调整后预算数</w:t>
            </w:r>
          </w:p>
        </w:tc>
        <w:tc>
          <w:tcPr>
            <w:tcW w:w="20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预算执行数</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预算执行率</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2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440" w:hRule="atLeast"/>
          <w:jc w:val="center"/>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总额</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518.60</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518.60</w:t>
            </w:r>
          </w:p>
        </w:tc>
        <w:tc>
          <w:tcPr>
            <w:tcW w:w="20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510.44</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98.43%</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9.84</w:t>
            </w:r>
          </w:p>
        </w:tc>
        <w:tc>
          <w:tcPr>
            <w:tcW w:w="214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414" w:hRule="atLeast"/>
          <w:jc w:val="center"/>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其中：财政资金</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20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458" w:hRule="atLeast"/>
          <w:jc w:val="center"/>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财政专户管理资金</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20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393" w:hRule="atLeast"/>
          <w:jc w:val="center"/>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单位资金</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518.60</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518.60</w:t>
            </w:r>
          </w:p>
        </w:tc>
        <w:tc>
          <w:tcPr>
            <w:tcW w:w="20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510.44</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98.43%</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343" w:hRule="atLeast"/>
          <w:jc w:val="center"/>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其他资金</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20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14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778" w:hRule="atLeast"/>
          <w:jc w:val="center"/>
        </w:trPr>
        <w:tc>
          <w:tcPr>
            <w:tcW w:w="4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绩效指标（90分）</w:t>
            </w:r>
          </w:p>
        </w:tc>
        <w:tc>
          <w:tcPr>
            <w:tcW w:w="1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二级指标</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三级指标</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指标性质</w:t>
            </w:r>
          </w:p>
        </w:tc>
        <w:tc>
          <w:tcPr>
            <w:tcW w:w="1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指标值</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度量单位</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完成值</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2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459" w:hRule="atLeast"/>
          <w:jc w:val="center"/>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产出指标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成本指标</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投资总额</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518.6</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510.44</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29</w:t>
            </w:r>
          </w:p>
        </w:tc>
        <w:tc>
          <w:tcPr>
            <w:tcW w:w="2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r>
      <w:tr>
        <w:tblPrEx>
          <w:tblCellMar>
            <w:top w:w="0" w:type="dxa"/>
            <w:left w:w="0" w:type="dxa"/>
            <w:bottom w:w="0" w:type="dxa"/>
            <w:right w:w="0" w:type="dxa"/>
          </w:tblCellMar>
        </w:tblPrEx>
        <w:trPr>
          <w:trHeight w:val="690" w:hRule="atLeast"/>
          <w:jc w:val="center"/>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效益指标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可持续发展指标</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保障相关工作正常运转</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80</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100</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2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r>
      <w:tr>
        <w:tblPrEx>
          <w:tblCellMar>
            <w:top w:w="0" w:type="dxa"/>
            <w:left w:w="0" w:type="dxa"/>
            <w:bottom w:w="0" w:type="dxa"/>
            <w:right w:w="0" w:type="dxa"/>
          </w:tblCellMar>
        </w:tblPrEx>
        <w:trPr>
          <w:trHeight w:val="778" w:hRule="atLeast"/>
          <w:jc w:val="center"/>
        </w:trPr>
        <w:tc>
          <w:tcPr>
            <w:tcW w:w="4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服务对象满意度指标</w:t>
            </w:r>
          </w:p>
        </w:tc>
        <w:tc>
          <w:tcPr>
            <w:tcW w:w="15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病员及家属对医院服务满意度</w:t>
            </w:r>
          </w:p>
        </w:tc>
        <w:tc>
          <w:tcPr>
            <w:tcW w:w="5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0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90</w:t>
            </w:r>
          </w:p>
        </w:tc>
        <w:tc>
          <w:tcPr>
            <w:tcW w:w="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8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i w:val="0"/>
                <w:iCs w:val="0"/>
                <w:color w:val="000000"/>
                <w:sz w:val="16"/>
                <w:szCs w:val="16"/>
                <w:u w:val="none"/>
                <w:lang w:val="en-US" w:eastAsia="zh-CN"/>
              </w:rPr>
            </w:pPr>
            <w:r>
              <w:rPr>
                <w:rFonts w:hint="eastAsia" w:asciiTheme="minorEastAsia" w:hAnsiTheme="minorEastAsia" w:eastAsiaTheme="minorEastAsia" w:cstheme="minorEastAsia"/>
                <w:i w:val="0"/>
                <w:iCs w:val="0"/>
                <w:color w:val="000000"/>
                <w:sz w:val="16"/>
                <w:szCs w:val="16"/>
                <w:u w:val="none"/>
                <w:lang w:val="en-US" w:eastAsia="zh-CN"/>
              </w:rPr>
              <w:t>90</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26</w:t>
            </w:r>
          </w:p>
        </w:tc>
        <w:tc>
          <w:tcPr>
            <w:tcW w:w="2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i w:val="0"/>
                <w:iCs w:val="0"/>
                <w:color w:val="000000"/>
                <w:sz w:val="16"/>
                <w:szCs w:val="16"/>
                <w:u w:val="none"/>
              </w:rPr>
            </w:pPr>
            <w:r>
              <w:rPr>
                <w:rFonts w:hint="eastAsia" w:ascii="宋体" w:hAnsi="宋体" w:eastAsia="宋体" w:cs="宋体"/>
                <w:i w:val="0"/>
                <w:color w:val="000000"/>
                <w:kern w:val="0"/>
                <w:sz w:val="16"/>
                <w:szCs w:val="16"/>
                <w:u w:val="none"/>
                <w:lang w:val="en-US" w:eastAsia="zh-CN" w:bidi="ar"/>
              </w:rPr>
              <w:t>2022年度全国公立医院移动互联网满意度调查报告尚未出来，暂未确定，但预计满意度指标在90%以上。</w:t>
            </w:r>
          </w:p>
        </w:tc>
      </w:tr>
      <w:tr>
        <w:tblPrEx>
          <w:tblCellMar>
            <w:top w:w="0" w:type="dxa"/>
            <w:left w:w="0" w:type="dxa"/>
            <w:bottom w:w="0" w:type="dxa"/>
            <w:right w:w="0" w:type="dxa"/>
          </w:tblCellMar>
        </w:tblPrEx>
        <w:trPr>
          <w:trHeight w:val="428" w:hRule="atLeast"/>
          <w:jc w:val="center"/>
        </w:trPr>
        <w:tc>
          <w:tcPr>
            <w:tcW w:w="763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合计</w:t>
            </w:r>
          </w:p>
        </w:tc>
        <w:tc>
          <w:tcPr>
            <w:tcW w:w="3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4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21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1011" w:hRule="atLeast"/>
          <w:jc w:val="center"/>
        </w:trPr>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评价结论</w:t>
            </w:r>
          </w:p>
        </w:tc>
        <w:tc>
          <w:tcPr>
            <w:tcW w:w="10040"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2022年医院从需求、论证、审批、实施和验收等五大环节着手，从预算项目绩效支出必要性可行性两个方面切实加强资金、资源统筹分配与管控，加强预算与成本、资产、采购、业务等各方面业务的融合，保障医院医护中心业务顺利开展，圆满完成2022年度医疗、教学、急救、抗疫等各项中心任务，预算绩效管理工作基本达到本年预期目标。</w:t>
            </w:r>
          </w:p>
        </w:tc>
      </w:tr>
      <w:tr>
        <w:tblPrEx>
          <w:tblCellMar>
            <w:top w:w="0" w:type="dxa"/>
            <w:left w:w="0" w:type="dxa"/>
            <w:bottom w:w="0" w:type="dxa"/>
            <w:right w:w="0" w:type="dxa"/>
          </w:tblCellMar>
        </w:tblPrEx>
        <w:trPr>
          <w:trHeight w:val="648" w:hRule="atLeast"/>
          <w:jc w:val="center"/>
        </w:trPr>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存在问题</w:t>
            </w:r>
          </w:p>
        </w:tc>
        <w:tc>
          <w:tcPr>
            <w:tcW w:w="10040"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无</w:t>
            </w:r>
          </w:p>
        </w:tc>
      </w:tr>
      <w:tr>
        <w:tblPrEx>
          <w:tblCellMar>
            <w:top w:w="0" w:type="dxa"/>
            <w:left w:w="0" w:type="dxa"/>
            <w:bottom w:w="0" w:type="dxa"/>
            <w:right w:w="0" w:type="dxa"/>
          </w:tblCellMar>
        </w:tblPrEx>
        <w:trPr>
          <w:trHeight w:val="788" w:hRule="atLeast"/>
          <w:jc w:val="center"/>
        </w:trPr>
        <w:tc>
          <w:tcPr>
            <w:tcW w:w="4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改进措施</w:t>
            </w:r>
          </w:p>
        </w:tc>
        <w:tc>
          <w:tcPr>
            <w:tcW w:w="10040"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无</w:t>
            </w:r>
          </w:p>
        </w:tc>
      </w:tr>
      <w:tr>
        <w:tblPrEx>
          <w:tblCellMar>
            <w:top w:w="0" w:type="dxa"/>
            <w:left w:w="0" w:type="dxa"/>
            <w:bottom w:w="0" w:type="dxa"/>
            <w:right w:w="0" w:type="dxa"/>
          </w:tblCellMar>
        </w:tblPrEx>
        <w:trPr>
          <w:trHeight w:val="460" w:hRule="atLeast"/>
          <w:jc w:val="center"/>
        </w:trPr>
        <w:tc>
          <w:tcPr>
            <w:tcW w:w="526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项目负责人：</w:t>
            </w:r>
          </w:p>
        </w:tc>
        <w:tc>
          <w:tcPr>
            <w:tcW w:w="525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财务负责人：</w:t>
            </w:r>
          </w:p>
        </w:tc>
      </w:tr>
    </w:tbl>
    <w:tbl>
      <w:tblPr>
        <w:tblStyle w:val="15"/>
        <w:tblW w:w="10760" w:type="dxa"/>
        <w:jc w:val="center"/>
        <w:shd w:val="clear" w:color="auto" w:fill="auto"/>
        <w:tblLayout w:type="fixed"/>
        <w:tblCellMar>
          <w:top w:w="0" w:type="dxa"/>
          <w:left w:w="0" w:type="dxa"/>
          <w:bottom w:w="0" w:type="dxa"/>
          <w:right w:w="0" w:type="dxa"/>
        </w:tblCellMar>
      </w:tblPr>
      <w:tblGrid>
        <w:gridCol w:w="491"/>
        <w:gridCol w:w="1476"/>
        <w:gridCol w:w="1276"/>
        <w:gridCol w:w="1629"/>
        <w:gridCol w:w="455"/>
        <w:gridCol w:w="1"/>
        <w:gridCol w:w="1124"/>
        <w:gridCol w:w="376"/>
        <w:gridCol w:w="785"/>
        <w:gridCol w:w="362"/>
        <w:gridCol w:w="594"/>
        <w:gridCol w:w="2191"/>
      </w:tblGrid>
      <w:tr>
        <w:tblPrEx>
          <w:shd w:val="clear" w:color="auto" w:fill="auto"/>
          <w:tblCellMar>
            <w:top w:w="0" w:type="dxa"/>
            <w:left w:w="0" w:type="dxa"/>
            <w:bottom w:w="0" w:type="dxa"/>
            <w:right w:w="0" w:type="dxa"/>
          </w:tblCellMar>
        </w:tblPrEx>
        <w:trPr>
          <w:trHeight w:val="659" w:hRule="atLeast"/>
          <w:jc w:val="center"/>
        </w:trPr>
        <w:tc>
          <w:tcPr>
            <w:tcW w:w="1076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iCs w:val="0"/>
                <w:color w:val="000000"/>
                <w:sz w:val="30"/>
                <w:szCs w:val="30"/>
                <w:u w:val="none"/>
              </w:rPr>
            </w:pPr>
            <w:r>
              <w:rPr>
                <w:rFonts w:hint="eastAsia" w:asciiTheme="minorEastAsia" w:hAnsiTheme="minorEastAsia" w:eastAsiaTheme="minorEastAsia" w:cstheme="minorEastAsia"/>
                <w:b/>
                <w:i w:val="0"/>
                <w:iCs w:val="0"/>
                <w:color w:val="000000"/>
                <w:kern w:val="0"/>
                <w:sz w:val="30"/>
                <w:szCs w:val="30"/>
                <w:u w:val="none"/>
                <w:lang w:val="en-US" w:eastAsia="zh-CN" w:bidi="ar"/>
              </w:rPr>
              <w:t>部门预算项目支出绩效自评表（2022年度）</w:t>
            </w:r>
          </w:p>
        </w:tc>
      </w:tr>
      <w:tr>
        <w:tblPrEx>
          <w:tblCellMar>
            <w:top w:w="0" w:type="dxa"/>
            <w:left w:w="0" w:type="dxa"/>
            <w:bottom w:w="0" w:type="dxa"/>
            <w:right w:w="0" w:type="dxa"/>
          </w:tblCellMar>
        </w:tblPrEx>
        <w:trPr>
          <w:trHeight w:val="342"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项目名称</w:t>
            </w:r>
          </w:p>
        </w:tc>
        <w:tc>
          <w:tcPr>
            <w:tcW w:w="879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51080022T000004957861-维修维保服务项目</w:t>
            </w:r>
          </w:p>
        </w:tc>
      </w:tr>
      <w:tr>
        <w:tblPrEx>
          <w:tblCellMar>
            <w:top w:w="0" w:type="dxa"/>
            <w:left w:w="0" w:type="dxa"/>
            <w:bottom w:w="0" w:type="dxa"/>
            <w:right w:w="0" w:type="dxa"/>
          </w:tblCellMar>
        </w:tblPrEx>
        <w:trPr>
          <w:trHeight w:val="659" w:hRule="atLeast"/>
          <w:jc w:val="center"/>
        </w:trPr>
        <w:tc>
          <w:tcPr>
            <w:tcW w:w="19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主管部门</w:t>
            </w:r>
          </w:p>
        </w:tc>
        <w:tc>
          <w:tcPr>
            <w:tcW w:w="486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广元市卫生健康委员会部门</w:t>
            </w:r>
          </w:p>
        </w:tc>
        <w:tc>
          <w:tcPr>
            <w:tcW w:w="785" w:type="dxa"/>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实施单位 （盖章）</w:t>
            </w:r>
          </w:p>
        </w:tc>
        <w:tc>
          <w:tcPr>
            <w:tcW w:w="314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广元市中医医院</w:t>
            </w:r>
          </w:p>
        </w:tc>
      </w:tr>
      <w:tr>
        <w:tblPrEx>
          <w:tblCellMar>
            <w:top w:w="0" w:type="dxa"/>
            <w:left w:w="0" w:type="dxa"/>
            <w:bottom w:w="0" w:type="dxa"/>
            <w:right w:w="0" w:type="dxa"/>
          </w:tblCellMar>
        </w:tblPrEx>
        <w:trPr>
          <w:trHeight w:val="342" w:hRule="atLeast"/>
          <w:jc w:val="center"/>
        </w:trPr>
        <w:tc>
          <w:tcPr>
            <w:tcW w:w="4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项目基本情况</w:t>
            </w:r>
          </w:p>
        </w:tc>
        <w:tc>
          <w:tcPr>
            <w:tcW w:w="147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1.项目年度目标完成情况</w:t>
            </w:r>
          </w:p>
        </w:tc>
        <w:tc>
          <w:tcPr>
            <w:tcW w:w="486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项目年度目标</w:t>
            </w:r>
          </w:p>
        </w:tc>
        <w:tc>
          <w:tcPr>
            <w:tcW w:w="393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659"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14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486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按相关政策、要求采购、实施，保障临床及行政后勤科室业务、管理、服务工作需要</w:t>
            </w:r>
          </w:p>
        </w:tc>
        <w:tc>
          <w:tcPr>
            <w:tcW w:w="3932"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2022年门诊、住院医疗业务的维修维保需求得到保障，医院各项业务正常开展</w:t>
            </w:r>
          </w:p>
        </w:tc>
      </w:tr>
      <w:tr>
        <w:tblPrEx>
          <w:tblCellMar>
            <w:top w:w="0" w:type="dxa"/>
            <w:left w:w="0" w:type="dxa"/>
            <w:bottom w:w="0" w:type="dxa"/>
            <w:right w:w="0" w:type="dxa"/>
          </w:tblCellMar>
        </w:tblPrEx>
        <w:trPr>
          <w:trHeight w:val="659"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2.项目实施内容及过程概述</w:t>
            </w:r>
          </w:p>
        </w:tc>
        <w:tc>
          <w:tcPr>
            <w:tcW w:w="8793"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按照相关政策要求进行维修维保服务，满足临床及后勤科室业务需求。</w:t>
            </w:r>
          </w:p>
        </w:tc>
      </w:tr>
      <w:tr>
        <w:tblPrEx>
          <w:tblCellMar>
            <w:top w:w="0" w:type="dxa"/>
            <w:left w:w="0" w:type="dxa"/>
            <w:bottom w:w="0" w:type="dxa"/>
            <w:right w:w="0" w:type="dxa"/>
          </w:tblCellMar>
        </w:tblPrEx>
        <w:trPr>
          <w:trHeight w:val="659" w:hRule="atLeast"/>
          <w:jc w:val="center"/>
        </w:trPr>
        <w:tc>
          <w:tcPr>
            <w:tcW w:w="4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预算执行情况（10分）</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年度预算数（万元）</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年初预算</w:t>
            </w:r>
          </w:p>
        </w:tc>
        <w:tc>
          <w:tcPr>
            <w:tcW w:w="1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调整后预算数</w:t>
            </w:r>
          </w:p>
        </w:tc>
        <w:tc>
          <w:tcPr>
            <w:tcW w:w="195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预算执行数</w:t>
            </w: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预算执行率</w:t>
            </w:r>
          </w:p>
        </w:tc>
        <w:tc>
          <w:tcPr>
            <w:tcW w:w="3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2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342"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总额</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1,954.00</w:t>
            </w:r>
          </w:p>
        </w:tc>
        <w:tc>
          <w:tcPr>
            <w:tcW w:w="1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1,954.00</w:t>
            </w:r>
          </w:p>
        </w:tc>
        <w:tc>
          <w:tcPr>
            <w:tcW w:w="195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1,046.52</w:t>
            </w: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53.56%</w:t>
            </w:r>
          </w:p>
        </w:tc>
        <w:tc>
          <w:tcPr>
            <w:tcW w:w="3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5.36</w:t>
            </w:r>
          </w:p>
        </w:tc>
        <w:tc>
          <w:tcPr>
            <w:tcW w:w="21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大型医疗设备维保预算是一次性申报的三年维保964.00万元，但实际执行是按年签订合同及支付货款。</w:t>
            </w:r>
          </w:p>
        </w:tc>
      </w:tr>
      <w:tr>
        <w:tblPrEx>
          <w:tblCellMar>
            <w:top w:w="0" w:type="dxa"/>
            <w:left w:w="0" w:type="dxa"/>
            <w:bottom w:w="0" w:type="dxa"/>
            <w:right w:w="0" w:type="dxa"/>
          </w:tblCellMar>
        </w:tblPrEx>
        <w:trPr>
          <w:trHeight w:val="342"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其中：财政资金</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95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1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342"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财政专户管理资金</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95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1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342"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单位资金</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1,954.00</w:t>
            </w:r>
          </w:p>
        </w:tc>
        <w:tc>
          <w:tcPr>
            <w:tcW w:w="1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1,954.00</w:t>
            </w:r>
          </w:p>
        </w:tc>
        <w:tc>
          <w:tcPr>
            <w:tcW w:w="195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1,046.52</w:t>
            </w: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53.56%</w:t>
            </w:r>
          </w:p>
        </w:tc>
        <w:tc>
          <w:tcPr>
            <w:tcW w:w="3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1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342"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其他资金</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95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3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21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1293" w:hRule="atLeast"/>
          <w:jc w:val="center"/>
        </w:trPr>
        <w:tc>
          <w:tcPr>
            <w:tcW w:w="49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绩效指标（90分）</w:t>
            </w: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一级指标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二级指标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三级指标</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指标性质</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指标值</w:t>
            </w:r>
          </w:p>
        </w:tc>
        <w:tc>
          <w:tcPr>
            <w:tcW w:w="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度量单位</w:t>
            </w: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完成值</w:t>
            </w:r>
          </w:p>
        </w:tc>
        <w:tc>
          <w:tcPr>
            <w:tcW w:w="3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2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1293"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产出指标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成本指标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投资总额</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1954</w:t>
            </w:r>
          </w:p>
        </w:tc>
        <w:tc>
          <w:tcPr>
            <w:tcW w:w="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万元</w:t>
            </w: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1046.52</w:t>
            </w:r>
          </w:p>
        </w:tc>
        <w:tc>
          <w:tcPr>
            <w:tcW w:w="3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26</w:t>
            </w:r>
          </w:p>
        </w:tc>
        <w:tc>
          <w:tcPr>
            <w:tcW w:w="2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大型医疗设备维保预算是一次性申报的三年维保964.00万元，但实际执行是按年签订合同及支付货款。</w:t>
            </w:r>
          </w:p>
        </w:tc>
      </w:tr>
      <w:tr>
        <w:tblPrEx>
          <w:tblCellMar>
            <w:top w:w="0" w:type="dxa"/>
            <w:left w:w="0" w:type="dxa"/>
            <w:bottom w:w="0" w:type="dxa"/>
            <w:right w:w="0" w:type="dxa"/>
          </w:tblCellMar>
        </w:tblPrEx>
        <w:trPr>
          <w:trHeight w:val="659"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效益指标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可持续发展指标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保障相关工作正常运转</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定性</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优良中低差</w:t>
            </w:r>
          </w:p>
        </w:tc>
        <w:tc>
          <w:tcPr>
            <w:tcW w:w="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lang w:eastAsia="zh-CN"/>
              </w:rPr>
            </w:pPr>
            <w:r>
              <w:rPr>
                <w:rFonts w:hint="eastAsia" w:asciiTheme="minorEastAsia" w:hAnsiTheme="minorEastAsia" w:eastAsiaTheme="minorEastAsia" w:cstheme="minorEastAsia"/>
                <w:i w:val="0"/>
                <w:iCs w:val="0"/>
                <w:color w:val="000000"/>
                <w:sz w:val="16"/>
                <w:szCs w:val="16"/>
                <w:u w:val="none"/>
                <w:lang w:eastAsia="zh-CN"/>
              </w:rPr>
              <w:t>优</w:t>
            </w:r>
          </w:p>
        </w:tc>
        <w:tc>
          <w:tcPr>
            <w:tcW w:w="3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2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r>
      <w:tr>
        <w:tblPrEx>
          <w:tblCellMar>
            <w:top w:w="0" w:type="dxa"/>
            <w:left w:w="0" w:type="dxa"/>
            <w:bottom w:w="0" w:type="dxa"/>
            <w:right w:w="0" w:type="dxa"/>
          </w:tblCellMar>
        </w:tblPrEx>
        <w:trPr>
          <w:trHeight w:val="659" w:hRule="atLeast"/>
          <w:jc w:val="center"/>
        </w:trPr>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满意度指标</w:t>
            </w:r>
          </w:p>
        </w:tc>
        <w:tc>
          <w:tcPr>
            <w:tcW w:w="12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服务对象满意度指标</w:t>
            </w:r>
          </w:p>
        </w:tc>
        <w:tc>
          <w:tcPr>
            <w:tcW w:w="16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病员及家属对医院服务满意度</w:t>
            </w:r>
          </w:p>
        </w:tc>
        <w:tc>
          <w:tcPr>
            <w:tcW w:w="4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1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90</w:t>
            </w:r>
          </w:p>
        </w:tc>
        <w:tc>
          <w:tcPr>
            <w:tcW w:w="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Theme="minorEastAsia" w:hAnsiTheme="minorEastAsia" w:eastAsiaTheme="minorEastAsia" w:cstheme="minorEastAsia"/>
                <w:i w:val="0"/>
                <w:iCs w:val="0"/>
                <w:color w:val="000000"/>
                <w:sz w:val="16"/>
                <w:szCs w:val="16"/>
                <w:u w:val="none"/>
                <w:lang w:val="en-US" w:eastAsia="zh-CN"/>
              </w:rPr>
            </w:pPr>
            <w:r>
              <w:rPr>
                <w:rFonts w:hint="eastAsia" w:asciiTheme="minorEastAsia" w:hAnsiTheme="minorEastAsia" w:eastAsiaTheme="minorEastAsia" w:cstheme="minorEastAsia"/>
                <w:i w:val="0"/>
                <w:iCs w:val="0"/>
                <w:color w:val="000000"/>
                <w:sz w:val="16"/>
                <w:szCs w:val="16"/>
                <w:u w:val="none"/>
                <w:lang w:val="en-US" w:eastAsia="zh-CN"/>
              </w:rPr>
              <w:t>90</w:t>
            </w:r>
          </w:p>
        </w:tc>
        <w:tc>
          <w:tcPr>
            <w:tcW w:w="3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29</w:t>
            </w:r>
          </w:p>
        </w:tc>
        <w:tc>
          <w:tcPr>
            <w:tcW w:w="2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i w:val="0"/>
                <w:iCs w:val="0"/>
                <w:color w:val="000000"/>
                <w:sz w:val="16"/>
                <w:szCs w:val="16"/>
                <w:u w:val="none"/>
              </w:rPr>
            </w:pPr>
            <w:r>
              <w:rPr>
                <w:rFonts w:hint="eastAsia" w:ascii="宋体" w:hAnsi="宋体" w:eastAsia="宋体" w:cs="宋体"/>
                <w:i w:val="0"/>
                <w:color w:val="000000"/>
                <w:kern w:val="0"/>
                <w:sz w:val="16"/>
                <w:szCs w:val="16"/>
                <w:u w:val="none"/>
                <w:lang w:val="en-US" w:eastAsia="zh-CN" w:bidi="ar"/>
              </w:rPr>
              <w:t>2022年度全国公立医院移动互联网满意度调查报告尚未出来，暂未确定，但预计满意度指标在90%以上。</w:t>
            </w:r>
          </w:p>
        </w:tc>
      </w:tr>
      <w:tr>
        <w:tblPrEx>
          <w:tblCellMar>
            <w:top w:w="0" w:type="dxa"/>
            <w:left w:w="0" w:type="dxa"/>
            <w:bottom w:w="0" w:type="dxa"/>
            <w:right w:w="0" w:type="dxa"/>
          </w:tblCellMar>
        </w:tblPrEx>
        <w:trPr>
          <w:trHeight w:val="342" w:hRule="atLeast"/>
          <w:jc w:val="center"/>
        </w:trPr>
        <w:tc>
          <w:tcPr>
            <w:tcW w:w="7613"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合计</w:t>
            </w:r>
          </w:p>
        </w:tc>
        <w:tc>
          <w:tcPr>
            <w:tcW w:w="3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5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90.36</w:t>
            </w:r>
          </w:p>
        </w:tc>
        <w:tc>
          <w:tcPr>
            <w:tcW w:w="21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976" w:hRule="atLeast"/>
          <w:jc w:val="center"/>
        </w:trPr>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评价结论</w:t>
            </w:r>
          </w:p>
        </w:tc>
        <w:tc>
          <w:tcPr>
            <w:tcW w:w="10269"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2022年医院从需求、论证、审批、实施和验收等五大环节着手，从预算项目绩效支出必要性可行性两个方面切实加强资金、资源统筹分配与管控，加强预算与成本、资产、采购、业务等各方面业务的融合，保障医院医护中心业务顺利开展，圆满完成2022年度医疗、教学、急救、抗疫等各项中心任务，预算绩效管理工作基本达到本年预期目标。</w:t>
            </w:r>
          </w:p>
        </w:tc>
      </w:tr>
      <w:tr>
        <w:tblPrEx>
          <w:tblCellMar>
            <w:top w:w="0" w:type="dxa"/>
            <w:left w:w="0" w:type="dxa"/>
            <w:bottom w:w="0" w:type="dxa"/>
            <w:right w:w="0" w:type="dxa"/>
          </w:tblCellMar>
        </w:tblPrEx>
        <w:trPr>
          <w:trHeight w:val="619" w:hRule="atLeast"/>
          <w:jc w:val="center"/>
        </w:trPr>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存在问题</w:t>
            </w:r>
          </w:p>
        </w:tc>
        <w:tc>
          <w:tcPr>
            <w:tcW w:w="10269"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无</w:t>
            </w:r>
          </w:p>
        </w:tc>
      </w:tr>
      <w:tr>
        <w:tblPrEx>
          <w:tblCellMar>
            <w:top w:w="0" w:type="dxa"/>
            <w:left w:w="0" w:type="dxa"/>
            <w:bottom w:w="0" w:type="dxa"/>
            <w:right w:w="0" w:type="dxa"/>
          </w:tblCellMar>
        </w:tblPrEx>
        <w:trPr>
          <w:trHeight w:val="659" w:hRule="atLeast"/>
          <w:jc w:val="center"/>
        </w:trPr>
        <w:tc>
          <w:tcPr>
            <w:tcW w:w="4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改进措施</w:t>
            </w:r>
          </w:p>
        </w:tc>
        <w:tc>
          <w:tcPr>
            <w:tcW w:w="10269"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无</w:t>
            </w:r>
          </w:p>
        </w:tc>
      </w:tr>
      <w:tr>
        <w:tblPrEx>
          <w:tblCellMar>
            <w:top w:w="0" w:type="dxa"/>
            <w:left w:w="0" w:type="dxa"/>
            <w:bottom w:w="0" w:type="dxa"/>
            <w:right w:w="0" w:type="dxa"/>
          </w:tblCellMar>
        </w:tblPrEx>
        <w:trPr>
          <w:trHeight w:val="352" w:hRule="atLeast"/>
          <w:jc w:val="center"/>
        </w:trPr>
        <w:tc>
          <w:tcPr>
            <w:tcW w:w="5327"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项目负责人：</w:t>
            </w:r>
          </w:p>
        </w:tc>
        <w:tc>
          <w:tcPr>
            <w:tcW w:w="543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财务负责人：</w:t>
            </w:r>
          </w:p>
        </w:tc>
      </w:tr>
    </w:tbl>
    <w:p>
      <w:pPr>
        <w:pStyle w:val="7"/>
        <w:rPr>
          <w:rFonts w:hint="eastAsia" w:ascii="仿宋_GB2312" w:hAnsi="Calibri" w:eastAsia="仿宋_GB2312" w:cs="仿宋"/>
          <w:color w:val="auto"/>
          <w:kern w:val="0"/>
          <w:sz w:val="32"/>
          <w:szCs w:val="32"/>
          <w:highlight w:val="none"/>
          <w:lang w:val="en-US" w:eastAsia="zh-CN" w:bidi="ar-SA"/>
        </w:rPr>
      </w:pPr>
    </w:p>
    <w:tbl>
      <w:tblPr>
        <w:tblStyle w:val="15"/>
        <w:tblW w:w="9520" w:type="dxa"/>
        <w:jc w:val="center"/>
        <w:shd w:val="clear" w:color="auto" w:fill="auto"/>
        <w:tblLayout w:type="fixed"/>
        <w:tblCellMar>
          <w:top w:w="0" w:type="dxa"/>
          <w:left w:w="0" w:type="dxa"/>
          <w:bottom w:w="0" w:type="dxa"/>
          <w:right w:w="0" w:type="dxa"/>
        </w:tblCellMar>
      </w:tblPr>
      <w:tblGrid>
        <w:gridCol w:w="428"/>
        <w:gridCol w:w="1275"/>
        <w:gridCol w:w="1126"/>
        <w:gridCol w:w="1474"/>
        <w:gridCol w:w="478"/>
        <w:gridCol w:w="598"/>
        <w:gridCol w:w="712"/>
        <w:gridCol w:w="731"/>
        <w:gridCol w:w="316"/>
        <w:gridCol w:w="515"/>
        <w:gridCol w:w="1867"/>
      </w:tblGrid>
      <w:tr>
        <w:tblPrEx>
          <w:shd w:val="clear" w:color="auto" w:fill="auto"/>
          <w:tblCellMar>
            <w:top w:w="0" w:type="dxa"/>
            <w:left w:w="0" w:type="dxa"/>
            <w:bottom w:w="0" w:type="dxa"/>
            <w:right w:w="0" w:type="dxa"/>
          </w:tblCellMar>
        </w:tblPrEx>
        <w:trPr>
          <w:trHeight w:val="670" w:hRule="atLeast"/>
          <w:jc w:val="center"/>
        </w:trPr>
        <w:tc>
          <w:tcPr>
            <w:tcW w:w="952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iCs w:val="0"/>
                <w:color w:val="000000"/>
                <w:sz w:val="30"/>
                <w:szCs w:val="30"/>
                <w:u w:val="none"/>
              </w:rPr>
            </w:pPr>
            <w:r>
              <w:rPr>
                <w:rFonts w:hint="eastAsia" w:asciiTheme="minorEastAsia" w:hAnsiTheme="minorEastAsia" w:eastAsiaTheme="minorEastAsia" w:cstheme="minorEastAsia"/>
                <w:b/>
                <w:i w:val="0"/>
                <w:iCs w:val="0"/>
                <w:color w:val="000000"/>
                <w:kern w:val="0"/>
                <w:sz w:val="30"/>
                <w:szCs w:val="30"/>
                <w:u w:val="none"/>
                <w:lang w:val="en-US" w:eastAsia="zh-CN" w:bidi="ar"/>
              </w:rPr>
              <w:t>部门预算项目支出绩效自评表（2022年度）</w:t>
            </w:r>
          </w:p>
        </w:tc>
      </w:tr>
      <w:tr>
        <w:tblPrEx>
          <w:tblCellMar>
            <w:top w:w="0" w:type="dxa"/>
            <w:left w:w="0" w:type="dxa"/>
            <w:bottom w:w="0" w:type="dxa"/>
            <w:right w:w="0" w:type="dxa"/>
          </w:tblCellMar>
        </w:tblPrEx>
        <w:trPr>
          <w:trHeight w:val="348" w:hRule="atLeast"/>
          <w:jc w:val="center"/>
        </w:trPr>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项目名称</w:t>
            </w:r>
          </w:p>
        </w:tc>
        <w:tc>
          <w:tcPr>
            <w:tcW w:w="781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51080022T000005764284-2021重大传染病防控中央补助资金（第二批））</w:t>
            </w:r>
          </w:p>
        </w:tc>
      </w:tr>
      <w:tr>
        <w:tblPrEx>
          <w:tblCellMar>
            <w:top w:w="0" w:type="dxa"/>
            <w:left w:w="0" w:type="dxa"/>
            <w:bottom w:w="0" w:type="dxa"/>
            <w:right w:w="0" w:type="dxa"/>
          </w:tblCellMar>
        </w:tblPrEx>
        <w:trPr>
          <w:trHeight w:val="670" w:hRule="atLeast"/>
          <w:jc w:val="center"/>
        </w:trPr>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主管部门</w:t>
            </w:r>
          </w:p>
        </w:tc>
        <w:tc>
          <w:tcPr>
            <w:tcW w:w="367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广元市卫生健康委员会部门</w:t>
            </w:r>
          </w:p>
        </w:tc>
        <w:tc>
          <w:tcPr>
            <w:tcW w:w="1443" w:type="dxa"/>
            <w:gridSpan w:val="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实施单位 （盖章）</w:t>
            </w:r>
          </w:p>
        </w:tc>
        <w:tc>
          <w:tcPr>
            <w:tcW w:w="269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广元市中医医院</w:t>
            </w:r>
          </w:p>
        </w:tc>
      </w:tr>
      <w:tr>
        <w:tblPrEx>
          <w:tblCellMar>
            <w:top w:w="0" w:type="dxa"/>
            <w:left w:w="0" w:type="dxa"/>
            <w:bottom w:w="0" w:type="dxa"/>
            <w:right w:w="0" w:type="dxa"/>
          </w:tblCellMar>
        </w:tblPrEx>
        <w:trPr>
          <w:trHeight w:val="348" w:hRule="atLeast"/>
          <w:jc w:val="center"/>
        </w:trPr>
        <w:tc>
          <w:tcPr>
            <w:tcW w:w="4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项目基本情况</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1.项目年度目标完成情况</w:t>
            </w:r>
          </w:p>
        </w:tc>
        <w:tc>
          <w:tcPr>
            <w:tcW w:w="367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项目年度目标</w:t>
            </w:r>
          </w:p>
        </w:tc>
        <w:tc>
          <w:tcPr>
            <w:tcW w:w="414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670" w:hRule="atLeast"/>
          <w:jc w:val="center"/>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3676"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筛查上消化道病例5300人次；胃镜检查人数3616人次。</w:t>
            </w:r>
          </w:p>
        </w:tc>
        <w:tc>
          <w:tcPr>
            <w:tcW w:w="414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sz w:val="18"/>
                <w:szCs w:val="18"/>
                <w:u w:val="none"/>
                <w:lang w:val="en-US"/>
              </w:rPr>
            </w:pPr>
            <w:r>
              <w:rPr>
                <w:rFonts w:hint="eastAsia" w:asciiTheme="minorEastAsia" w:hAnsiTheme="minorEastAsia" w:eastAsiaTheme="minorEastAsia" w:cstheme="minorEastAsia"/>
                <w:i w:val="0"/>
                <w:iCs w:val="0"/>
                <w:color w:val="000000"/>
                <w:kern w:val="0"/>
                <w:sz w:val="18"/>
                <w:szCs w:val="18"/>
                <w:u w:val="none"/>
                <w:lang w:val="en-US" w:eastAsia="zh-CN" w:bidi="ar"/>
              </w:rPr>
              <w:t>各项指标均达到预期</w:t>
            </w:r>
          </w:p>
        </w:tc>
      </w:tr>
      <w:tr>
        <w:tblPrEx>
          <w:tblCellMar>
            <w:top w:w="0" w:type="dxa"/>
            <w:left w:w="0" w:type="dxa"/>
            <w:bottom w:w="0" w:type="dxa"/>
            <w:right w:w="0" w:type="dxa"/>
          </w:tblCellMar>
        </w:tblPrEx>
        <w:trPr>
          <w:trHeight w:val="670" w:hRule="atLeast"/>
          <w:jc w:val="center"/>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2.项目实施内容及过程概述</w:t>
            </w:r>
          </w:p>
        </w:tc>
        <w:tc>
          <w:tcPr>
            <w:tcW w:w="781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sz w:val="18"/>
                <w:szCs w:val="18"/>
                <w:u w:val="none"/>
              </w:rPr>
              <w:t>通过每年数千例上消化道病例早期筛查，对上消化道癌变早期病例做到早发现、早诊断、早治疗</w:t>
            </w:r>
          </w:p>
        </w:tc>
      </w:tr>
      <w:tr>
        <w:tblPrEx>
          <w:tblCellMar>
            <w:top w:w="0" w:type="dxa"/>
            <w:left w:w="0" w:type="dxa"/>
            <w:bottom w:w="0" w:type="dxa"/>
            <w:right w:w="0" w:type="dxa"/>
          </w:tblCellMar>
        </w:tblPrEx>
        <w:trPr>
          <w:trHeight w:val="670" w:hRule="atLeast"/>
          <w:jc w:val="center"/>
        </w:trPr>
        <w:tc>
          <w:tcPr>
            <w:tcW w:w="4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预算执行情况（10分）</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年度预算数（万元）</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年初预算</w:t>
            </w: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调整后预算数</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预算执行数</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预算执行率</w:t>
            </w:r>
          </w:p>
        </w:tc>
        <w:tc>
          <w:tcPr>
            <w:tcW w:w="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1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348" w:hRule="atLeast"/>
          <w:jc w:val="center"/>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总额</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4.30</w:t>
            </w: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4.30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2.16</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50.23%</w:t>
            </w:r>
          </w:p>
        </w:tc>
        <w:tc>
          <w:tcPr>
            <w:tcW w:w="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5.02</w:t>
            </w:r>
          </w:p>
        </w:tc>
        <w:tc>
          <w:tcPr>
            <w:tcW w:w="18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项目各项任务已完成，受公共卫生防控影响，资金支付滞后。</w:t>
            </w:r>
          </w:p>
        </w:tc>
      </w:tr>
      <w:tr>
        <w:tblPrEx>
          <w:tblCellMar>
            <w:top w:w="0" w:type="dxa"/>
            <w:left w:w="0" w:type="dxa"/>
            <w:bottom w:w="0" w:type="dxa"/>
            <w:right w:w="0" w:type="dxa"/>
          </w:tblCellMar>
        </w:tblPrEx>
        <w:trPr>
          <w:trHeight w:val="348" w:hRule="atLeast"/>
          <w:jc w:val="center"/>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其中：财政资金</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4.30</w:t>
            </w: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4.30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2.16</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50.23%</w:t>
            </w:r>
          </w:p>
        </w:tc>
        <w:tc>
          <w:tcPr>
            <w:tcW w:w="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8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670" w:hRule="atLeast"/>
          <w:jc w:val="center"/>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财政专户管理资金</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8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348" w:hRule="atLeast"/>
          <w:jc w:val="center"/>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单位资金</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8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348" w:hRule="atLeast"/>
          <w:jc w:val="center"/>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其他资金</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07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44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8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670" w:hRule="atLeast"/>
          <w:jc w:val="center"/>
        </w:trPr>
        <w:tc>
          <w:tcPr>
            <w:tcW w:w="4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绩效指标（90分）</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一级指标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二级指标</w:t>
            </w:r>
          </w:p>
        </w:tc>
        <w:tc>
          <w:tcPr>
            <w:tcW w:w="14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三级指标</w:t>
            </w:r>
          </w:p>
        </w:tc>
        <w:tc>
          <w:tcPr>
            <w:tcW w:w="4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指标性质</w:t>
            </w:r>
          </w:p>
        </w:tc>
        <w:tc>
          <w:tcPr>
            <w:tcW w:w="5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指标值</w:t>
            </w:r>
          </w:p>
        </w:tc>
        <w:tc>
          <w:tcPr>
            <w:tcW w:w="71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度量单位</w:t>
            </w:r>
          </w:p>
        </w:tc>
        <w:tc>
          <w:tcPr>
            <w:tcW w:w="7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完成值</w:t>
            </w:r>
          </w:p>
        </w:tc>
        <w:tc>
          <w:tcPr>
            <w:tcW w:w="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1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670" w:hRule="atLeast"/>
          <w:jc w:val="center"/>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产出指标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数量指标</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筛查上消化道病例</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5300</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人次</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5300</w:t>
            </w:r>
          </w:p>
        </w:tc>
        <w:tc>
          <w:tcPr>
            <w:tcW w:w="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1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348" w:hRule="atLeast"/>
          <w:jc w:val="center"/>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产出指标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数量指标</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胃镜检查人数</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3616</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人次</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3616</w:t>
            </w:r>
          </w:p>
        </w:tc>
        <w:tc>
          <w:tcPr>
            <w:tcW w:w="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1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670" w:hRule="atLeast"/>
          <w:jc w:val="center"/>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效益指标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社会效益指标</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减轻病员及家庭和社会医疗负担</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定性</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符合</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符合</w:t>
            </w:r>
          </w:p>
        </w:tc>
        <w:tc>
          <w:tcPr>
            <w:tcW w:w="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1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670" w:hRule="atLeast"/>
          <w:jc w:val="center"/>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满意度指标</w:t>
            </w:r>
          </w:p>
        </w:tc>
        <w:tc>
          <w:tcPr>
            <w:tcW w:w="112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服务对象满意度指标</w:t>
            </w:r>
          </w:p>
        </w:tc>
        <w:tc>
          <w:tcPr>
            <w:tcW w:w="14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患者对医院服务满意度</w:t>
            </w:r>
          </w:p>
        </w:tc>
        <w:tc>
          <w:tcPr>
            <w:tcW w:w="47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5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90</w:t>
            </w:r>
          </w:p>
        </w:tc>
        <w:tc>
          <w:tcPr>
            <w:tcW w:w="71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90</w:t>
            </w:r>
          </w:p>
        </w:tc>
        <w:tc>
          <w:tcPr>
            <w:tcW w:w="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1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i w:val="0"/>
                <w:iCs w:val="0"/>
                <w:color w:val="000000"/>
                <w:sz w:val="18"/>
                <w:szCs w:val="18"/>
                <w:u w:val="none"/>
              </w:rPr>
            </w:pPr>
            <w:r>
              <w:rPr>
                <w:rFonts w:hint="eastAsia" w:ascii="宋体" w:hAnsi="宋体" w:eastAsia="宋体" w:cs="宋体"/>
                <w:i w:val="0"/>
                <w:color w:val="000000"/>
                <w:kern w:val="0"/>
                <w:sz w:val="16"/>
                <w:szCs w:val="16"/>
                <w:u w:val="none"/>
                <w:lang w:val="en-US" w:eastAsia="zh-CN" w:bidi="ar"/>
              </w:rPr>
              <w:t>2022年度全国公立医院移动互联网满意度调查报告尚未出来，暂未确定，但预计满意度指标在90%以上。</w:t>
            </w:r>
          </w:p>
        </w:tc>
      </w:tr>
      <w:tr>
        <w:tblPrEx>
          <w:tblCellMar>
            <w:top w:w="0" w:type="dxa"/>
            <w:left w:w="0" w:type="dxa"/>
            <w:bottom w:w="0" w:type="dxa"/>
            <w:right w:w="0" w:type="dxa"/>
          </w:tblCellMar>
        </w:tblPrEx>
        <w:trPr>
          <w:trHeight w:val="348" w:hRule="atLeast"/>
          <w:jc w:val="center"/>
        </w:trPr>
        <w:tc>
          <w:tcPr>
            <w:tcW w:w="6822"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合计</w:t>
            </w:r>
          </w:p>
        </w:tc>
        <w:tc>
          <w:tcPr>
            <w:tcW w:w="3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5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righ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95.02</w:t>
            </w:r>
          </w:p>
        </w:tc>
        <w:tc>
          <w:tcPr>
            <w:tcW w:w="18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67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评价结论</w:t>
            </w:r>
          </w:p>
        </w:tc>
        <w:tc>
          <w:tcPr>
            <w:tcW w:w="9092"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sz w:val="16"/>
                <w:szCs w:val="16"/>
                <w:u w:val="none"/>
                <w:lang w:val="en-US"/>
              </w:rPr>
            </w:pPr>
            <w:r>
              <w:rPr>
                <w:rFonts w:hint="eastAsia" w:asciiTheme="minorEastAsia" w:hAnsiTheme="minorEastAsia" w:eastAsiaTheme="minorEastAsia" w:cstheme="minorEastAsia"/>
                <w:i w:val="0"/>
                <w:iCs w:val="0"/>
                <w:color w:val="000000"/>
                <w:kern w:val="0"/>
                <w:sz w:val="16"/>
                <w:szCs w:val="16"/>
                <w:u w:val="none"/>
                <w:lang w:val="en-US" w:eastAsia="zh-CN" w:bidi="ar"/>
              </w:rPr>
              <w:t>项目各项指标符合预期。</w:t>
            </w:r>
          </w:p>
        </w:tc>
      </w:tr>
      <w:tr>
        <w:tblPrEx>
          <w:tblCellMar>
            <w:top w:w="0" w:type="dxa"/>
            <w:left w:w="0" w:type="dxa"/>
            <w:bottom w:w="0" w:type="dxa"/>
            <w:right w:w="0" w:type="dxa"/>
          </w:tblCellMar>
        </w:tblPrEx>
        <w:trPr>
          <w:trHeight w:val="67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存在问题</w:t>
            </w:r>
          </w:p>
        </w:tc>
        <w:tc>
          <w:tcPr>
            <w:tcW w:w="9092"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无</w:t>
            </w:r>
          </w:p>
        </w:tc>
      </w:tr>
      <w:tr>
        <w:tblPrEx>
          <w:tblCellMar>
            <w:top w:w="0" w:type="dxa"/>
            <w:left w:w="0" w:type="dxa"/>
            <w:bottom w:w="0" w:type="dxa"/>
            <w:right w:w="0" w:type="dxa"/>
          </w:tblCellMar>
        </w:tblPrEx>
        <w:trPr>
          <w:trHeight w:val="670" w:hRule="atLeast"/>
          <w:jc w:val="center"/>
        </w:trPr>
        <w:tc>
          <w:tcPr>
            <w:tcW w:w="4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改进措施</w:t>
            </w:r>
          </w:p>
        </w:tc>
        <w:tc>
          <w:tcPr>
            <w:tcW w:w="9092"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kern w:val="0"/>
                <w:sz w:val="16"/>
                <w:szCs w:val="16"/>
                <w:u w:val="none"/>
                <w:lang w:val="en-US" w:eastAsia="zh-CN" w:bidi="ar"/>
              </w:rPr>
              <w:t>无</w:t>
            </w:r>
          </w:p>
        </w:tc>
      </w:tr>
      <w:tr>
        <w:tblPrEx>
          <w:tblCellMar>
            <w:top w:w="0" w:type="dxa"/>
            <w:left w:w="0" w:type="dxa"/>
            <w:bottom w:w="0" w:type="dxa"/>
            <w:right w:w="0" w:type="dxa"/>
          </w:tblCellMar>
        </w:tblPrEx>
        <w:trPr>
          <w:trHeight w:val="358" w:hRule="atLeast"/>
          <w:jc w:val="center"/>
        </w:trPr>
        <w:tc>
          <w:tcPr>
            <w:tcW w:w="478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项目负责人：</w:t>
            </w:r>
          </w:p>
        </w:tc>
        <w:tc>
          <w:tcPr>
            <w:tcW w:w="473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财务负责人：</w:t>
            </w:r>
          </w:p>
        </w:tc>
      </w:tr>
    </w:tbl>
    <w:tbl>
      <w:tblPr>
        <w:tblStyle w:val="15"/>
        <w:tblpPr w:leftFromText="180" w:rightFromText="180" w:vertAnchor="text" w:horzAnchor="page" w:tblpX="1047" w:tblpY="473"/>
        <w:tblOverlap w:val="never"/>
        <w:tblW w:w="10040" w:type="dxa"/>
        <w:tblInd w:w="0" w:type="dxa"/>
        <w:shd w:val="clear" w:color="auto" w:fill="auto"/>
        <w:tblLayout w:type="fixed"/>
        <w:tblCellMar>
          <w:top w:w="0" w:type="dxa"/>
          <w:left w:w="0" w:type="dxa"/>
          <w:bottom w:w="0" w:type="dxa"/>
          <w:right w:w="0" w:type="dxa"/>
        </w:tblCellMar>
      </w:tblPr>
      <w:tblGrid>
        <w:gridCol w:w="486"/>
        <w:gridCol w:w="1609"/>
        <w:gridCol w:w="1113"/>
        <w:gridCol w:w="1411"/>
        <w:gridCol w:w="572"/>
        <w:gridCol w:w="903"/>
        <w:gridCol w:w="707"/>
        <w:gridCol w:w="545"/>
        <w:gridCol w:w="548"/>
        <w:gridCol w:w="471"/>
        <w:gridCol w:w="1675"/>
      </w:tblGrid>
      <w:tr>
        <w:tblPrEx>
          <w:shd w:val="clear" w:color="auto" w:fill="auto"/>
          <w:tblCellMar>
            <w:top w:w="0" w:type="dxa"/>
            <w:left w:w="0" w:type="dxa"/>
            <w:bottom w:w="0" w:type="dxa"/>
            <w:right w:w="0" w:type="dxa"/>
          </w:tblCellMar>
        </w:tblPrEx>
        <w:trPr>
          <w:trHeight w:val="743" w:hRule="atLeast"/>
        </w:trPr>
        <w:tc>
          <w:tcPr>
            <w:tcW w:w="1004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i w:val="0"/>
                <w:iCs w:val="0"/>
                <w:color w:val="000000"/>
                <w:sz w:val="30"/>
                <w:szCs w:val="30"/>
                <w:u w:val="none"/>
              </w:rPr>
            </w:pPr>
            <w:r>
              <w:rPr>
                <w:rFonts w:hint="eastAsia" w:asciiTheme="minorEastAsia" w:hAnsiTheme="minorEastAsia" w:eastAsiaTheme="minorEastAsia" w:cstheme="minorEastAsia"/>
                <w:b/>
                <w:i w:val="0"/>
                <w:iCs w:val="0"/>
                <w:color w:val="000000"/>
                <w:kern w:val="0"/>
                <w:sz w:val="30"/>
                <w:szCs w:val="30"/>
                <w:u w:val="none"/>
                <w:lang w:val="en-US" w:eastAsia="zh-CN" w:bidi="ar"/>
              </w:rPr>
              <w:t>部门预算项目支出绩效自评表（2022年度）</w:t>
            </w:r>
          </w:p>
        </w:tc>
      </w:tr>
      <w:tr>
        <w:tblPrEx>
          <w:tblCellMar>
            <w:top w:w="0" w:type="dxa"/>
            <w:left w:w="0" w:type="dxa"/>
            <w:bottom w:w="0" w:type="dxa"/>
            <w:right w:w="0" w:type="dxa"/>
          </w:tblCellMar>
        </w:tblPrEx>
        <w:trPr>
          <w:trHeight w:val="398" w:hRule="atLeast"/>
        </w:trPr>
        <w:tc>
          <w:tcPr>
            <w:tcW w:w="2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项目名称</w:t>
            </w:r>
          </w:p>
        </w:tc>
        <w:tc>
          <w:tcPr>
            <w:tcW w:w="7945"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51080022T000004954398-车辆购置</w:t>
            </w:r>
          </w:p>
        </w:tc>
      </w:tr>
      <w:tr>
        <w:tblPrEx>
          <w:tblCellMar>
            <w:top w:w="0" w:type="dxa"/>
            <w:left w:w="0" w:type="dxa"/>
            <w:bottom w:w="0" w:type="dxa"/>
            <w:right w:w="0" w:type="dxa"/>
          </w:tblCellMar>
        </w:tblPrEx>
        <w:trPr>
          <w:trHeight w:val="743" w:hRule="atLeast"/>
        </w:trPr>
        <w:tc>
          <w:tcPr>
            <w:tcW w:w="209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主管部门</w:t>
            </w:r>
          </w:p>
        </w:tc>
        <w:tc>
          <w:tcPr>
            <w:tcW w:w="399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广元市卫生健康委员会部门</w:t>
            </w:r>
          </w:p>
        </w:tc>
        <w:tc>
          <w:tcPr>
            <w:tcW w:w="1252" w:type="dxa"/>
            <w:gridSpan w:val="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实施单位 （盖章）</w:t>
            </w:r>
          </w:p>
        </w:tc>
        <w:tc>
          <w:tcPr>
            <w:tcW w:w="269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广元市中医医院</w:t>
            </w:r>
          </w:p>
        </w:tc>
      </w:tr>
      <w:tr>
        <w:tblPrEx>
          <w:tblCellMar>
            <w:top w:w="0" w:type="dxa"/>
            <w:left w:w="0" w:type="dxa"/>
            <w:bottom w:w="0" w:type="dxa"/>
            <w:right w:w="0" w:type="dxa"/>
          </w:tblCellMar>
        </w:tblPrEx>
        <w:trPr>
          <w:trHeight w:val="398"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项目基本情况</w:t>
            </w:r>
          </w:p>
        </w:tc>
        <w:tc>
          <w:tcPr>
            <w:tcW w:w="16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1.项目年度目标完成情况</w:t>
            </w:r>
          </w:p>
        </w:tc>
        <w:tc>
          <w:tcPr>
            <w:tcW w:w="399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项目年度目标</w:t>
            </w:r>
          </w:p>
        </w:tc>
        <w:tc>
          <w:tcPr>
            <w:tcW w:w="394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trHeight w:val="398"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16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399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保障医院业务运行正常开展</w:t>
            </w:r>
          </w:p>
        </w:tc>
        <w:tc>
          <w:tcPr>
            <w:tcW w:w="394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sz w:val="18"/>
                <w:szCs w:val="18"/>
                <w:u w:val="none"/>
                <w:lang w:val="en-US"/>
              </w:rPr>
            </w:pPr>
            <w:r>
              <w:rPr>
                <w:rFonts w:hint="eastAsia" w:asciiTheme="minorEastAsia" w:hAnsiTheme="minorEastAsia" w:eastAsiaTheme="minorEastAsia" w:cstheme="minorEastAsia"/>
                <w:i w:val="0"/>
                <w:iCs w:val="0"/>
                <w:color w:val="000000"/>
                <w:kern w:val="0"/>
                <w:sz w:val="18"/>
                <w:szCs w:val="18"/>
                <w:u w:val="none"/>
                <w:lang w:val="en-US" w:eastAsia="zh-CN" w:bidi="ar"/>
              </w:rPr>
              <w:t>车辆购置未完成</w:t>
            </w:r>
          </w:p>
        </w:tc>
      </w:tr>
      <w:tr>
        <w:tblPrEx>
          <w:tblCellMar>
            <w:top w:w="0" w:type="dxa"/>
            <w:left w:w="0" w:type="dxa"/>
            <w:bottom w:w="0" w:type="dxa"/>
            <w:right w:w="0" w:type="dxa"/>
          </w:tblCellMar>
        </w:tblPrEx>
        <w:trPr>
          <w:trHeight w:val="74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2.项目实施内容及过程概述</w:t>
            </w:r>
          </w:p>
        </w:tc>
        <w:tc>
          <w:tcPr>
            <w:tcW w:w="7945"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购置车辆2台。</w:t>
            </w:r>
          </w:p>
        </w:tc>
      </w:tr>
      <w:tr>
        <w:tblPrEx>
          <w:tblCellMar>
            <w:top w:w="0" w:type="dxa"/>
            <w:left w:w="0" w:type="dxa"/>
            <w:bottom w:w="0" w:type="dxa"/>
            <w:right w:w="0" w:type="dxa"/>
          </w:tblCellMar>
        </w:tblPrEx>
        <w:trPr>
          <w:trHeight w:val="74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预算执行情况（10分）</w:t>
            </w: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年度预算数（万元）</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年初预算</w:t>
            </w:r>
          </w:p>
        </w:tc>
        <w:tc>
          <w:tcPr>
            <w:tcW w:w="1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调整后预算数</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预算执行数</w:t>
            </w:r>
          </w:p>
        </w:tc>
        <w:tc>
          <w:tcPr>
            <w:tcW w:w="12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预算执行率</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原因</w:t>
            </w:r>
          </w:p>
        </w:tc>
      </w:tr>
      <w:tr>
        <w:tblPrEx>
          <w:tblCellMar>
            <w:top w:w="0" w:type="dxa"/>
            <w:left w:w="0" w:type="dxa"/>
            <w:bottom w:w="0" w:type="dxa"/>
            <w:right w:w="0" w:type="dxa"/>
          </w:tblCellMar>
        </w:tblPrEx>
        <w:trPr>
          <w:trHeight w:val="398"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总额</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100.00</w:t>
            </w:r>
          </w:p>
        </w:tc>
        <w:tc>
          <w:tcPr>
            <w:tcW w:w="1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100.00</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2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0</w:t>
            </w:r>
          </w:p>
        </w:tc>
        <w:tc>
          <w:tcPr>
            <w:tcW w:w="16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6"/>
                <w:szCs w:val="16"/>
                <w:u w:val="none"/>
                <w:lang w:val="en-US" w:eastAsia="zh-CN"/>
              </w:rPr>
              <w:t>一是车辆购置审批程序较长；二是受公共卫生事件影响，采购延迟。</w:t>
            </w:r>
          </w:p>
        </w:tc>
      </w:tr>
      <w:tr>
        <w:tblPrEx>
          <w:tblCellMar>
            <w:top w:w="0" w:type="dxa"/>
            <w:left w:w="0" w:type="dxa"/>
            <w:bottom w:w="0" w:type="dxa"/>
            <w:right w:w="0" w:type="dxa"/>
          </w:tblCellMar>
        </w:tblPrEx>
        <w:trPr>
          <w:trHeight w:val="398"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其中：财政资金</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2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74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财政专户管理资金</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2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398"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单位资金</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100.00</w:t>
            </w:r>
          </w:p>
        </w:tc>
        <w:tc>
          <w:tcPr>
            <w:tcW w:w="1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100.00</w:t>
            </w: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12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0.00%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398"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其他资金</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4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12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6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743" w:hRule="atLeast"/>
        </w:trPr>
        <w:tc>
          <w:tcPr>
            <w:tcW w:w="48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绩效指标（90分）</w:t>
            </w: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一级指标</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二级指标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三级指标</w:t>
            </w:r>
          </w:p>
        </w:tc>
        <w:tc>
          <w:tcPr>
            <w:tcW w:w="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指标性质</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指标值</w:t>
            </w:r>
          </w:p>
        </w:tc>
        <w:tc>
          <w:tcPr>
            <w:tcW w:w="7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度量单位</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完成值</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权重</w:t>
            </w:r>
          </w:p>
        </w:tc>
        <w:tc>
          <w:tcPr>
            <w:tcW w:w="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143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产出指标</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数量指标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采购车辆数量</w:t>
            </w:r>
          </w:p>
        </w:tc>
        <w:tc>
          <w:tcPr>
            <w:tcW w:w="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w:t>
            </w:r>
          </w:p>
        </w:tc>
        <w:tc>
          <w:tcPr>
            <w:tcW w:w="7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辆</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lang w:val="en-US" w:eastAsia="zh-CN"/>
              </w:rPr>
            </w:pPr>
            <w:r>
              <w:rPr>
                <w:rFonts w:hint="eastAsia" w:asciiTheme="minorEastAsia" w:hAnsiTheme="minorEastAsia" w:eastAsiaTheme="minorEastAsia" w:cstheme="minorEastAsia"/>
                <w:i w:val="0"/>
                <w:iCs w:val="0"/>
                <w:color w:val="000000"/>
                <w:sz w:val="16"/>
                <w:szCs w:val="16"/>
                <w:u w:val="none"/>
                <w:lang w:val="en-US" w:eastAsia="zh-CN"/>
              </w:rPr>
              <w:t>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Theme="minorEastAsia" w:hAnsiTheme="minorEastAsia" w:eastAsiaTheme="minorEastAsia" w:cstheme="minorEastAsia"/>
                <w:i w:val="0"/>
                <w:iCs w:val="0"/>
                <w:color w:val="000000"/>
                <w:sz w:val="16"/>
                <w:szCs w:val="16"/>
                <w:u w:val="none"/>
              </w:rPr>
            </w:pPr>
            <w:r>
              <w:rPr>
                <w:rFonts w:hint="eastAsia" w:asciiTheme="minorEastAsia" w:hAnsiTheme="minorEastAsia" w:eastAsiaTheme="minorEastAsia" w:cstheme="minorEastAsia"/>
                <w:i w:val="0"/>
                <w:iCs w:val="0"/>
                <w:color w:val="000000"/>
                <w:sz w:val="16"/>
                <w:szCs w:val="16"/>
                <w:u w:val="none"/>
                <w:lang w:val="en-US" w:eastAsia="zh-CN"/>
              </w:rPr>
              <w:t>一是车辆购置审批程序较长；二是受公共卫生事件影响，采购延迟。</w:t>
            </w:r>
          </w:p>
        </w:tc>
      </w:tr>
      <w:tr>
        <w:tblPrEx>
          <w:tblCellMar>
            <w:top w:w="0" w:type="dxa"/>
            <w:left w:w="0" w:type="dxa"/>
            <w:bottom w:w="0" w:type="dxa"/>
            <w:right w:w="0" w:type="dxa"/>
          </w:tblCellMar>
        </w:tblPrEx>
        <w:trPr>
          <w:trHeight w:val="398"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效益指标</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社会效益指标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满足工作需要</w:t>
            </w:r>
          </w:p>
        </w:tc>
        <w:tc>
          <w:tcPr>
            <w:tcW w:w="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80</w:t>
            </w:r>
          </w:p>
        </w:tc>
        <w:tc>
          <w:tcPr>
            <w:tcW w:w="7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lang w:val="en-US" w:eastAsia="zh-CN"/>
              </w:rPr>
            </w:pPr>
            <w:r>
              <w:rPr>
                <w:rFonts w:hint="eastAsia" w:asciiTheme="minorEastAsia" w:hAnsiTheme="minorEastAsia" w:eastAsiaTheme="minorEastAsia" w:cstheme="minorEastAsia"/>
                <w:i w:val="0"/>
                <w:iCs w:val="0"/>
                <w:color w:val="000000"/>
                <w:sz w:val="16"/>
                <w:szCs w:val="16"/>
                <w:u w:val="none"/>
                <w:lang w:val="en-US" w:eastAsia="zh-CN"/>
              </w:rPr>
              <w:t>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r>
      <w:tr>
        <w:tblPrEx>
          <w:tblCellMar>
            <w:top w:w="0" w:type="dxa"/>
            <w:left w:w="0" w:type="dxa"/>
            <w:bottom w:w="0" w:type="dxa"/>
            <w:right w:w="0" w:type="dxa"/>
          </w:tblCellMar>
        </w:tblPrEx>
        <w:trPr>
          <w:trHeight w:val="743" w:hRule="atLeast"/>
        </w:trPr>
        <w:tc>
          <w:tcPr>
            <w:tcW w:w="4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rPr>
            </w:pPr>
          </w:p>
        </w:tc>
        <w:tc>
          <w:tcPr>
            <w:tcW w:w="16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满意度指标</w:t>
            </w:r>
          </w:p>
        </w:tc>
        <w:tc>
          <w:tcPr>
            <w:tcW w:w="11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服务对象满意度指标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车辆完好率</w:t>
            </w:r>
          </w:p>
        </w:tc>
        <w:tc>
          <w:tcPr>
            <w:tcW w:w="5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9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80</w:t>
            </w:r>
          </w:p>
        </w:tc>
        <w:tc>
          <w:tcPr>
            <w:tcW w:w="7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lang w:val="en-US" w:eastAsia="zh-CN"/>
              </w:rPr>
            </w:pPr>
            <w:r>
              <w:rPr>
                <w:rFonts w:hint="eastAsia" w:asciiTheme="minorEastAsia" w:hAnsiTheme="minorEastAsia" w:eastAsiaTheme="minorEastAsia" w:cstheme="minorEastAsia"/>
                <w:i w:val="0"/>
                <w:iCs w:val="0"/>
                <w:color w:val="000000"/>
                <w:sz w:val="16"/>
                <w:szCs w:val="16"/>
                <w:u w:val="none"/>
                <w:lang w:val="en-US" w:eastAsia="zh-CN"/>
              </w:rPr>
              <w:t>0</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30</w:t>
            </w:r>
          </w:p>
        </w:tc>
        <w:tc>
          <w:tcPr>
            <w:tcW w:w="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6"/>
                <w:szCs w:val="16"/>
                <w:u w:val="none"/>
              </w:rPr>
            </w:pPr>
          </w:p>
        </w:tc>
      </w:tr>
      <w:tr>
        <w:tblPrEx>
          <w:tblCellMar>
            <w:top w:w="0" w:type="dxa"/>
            <w:left w:w="0" w:type="dxa"/>
            <w:bottom w:w="0" w:type="dxa"/>
            <w:right w:w="0" w:type="dxa"/>
          </w:tblCellMar>
        </w:tblPrEx>
        <w:trPr>
          <w:trHeight w:val="398" w:hRule="atLeast"/>
        </w:trPr>
        <w:tc>
          <w:tcPr>
            <w:tcW w:w="7346"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合计</w:t>
            </w:r>
          </w:p>
        </w:tc>
        <w:tc>
          <w:tcPr>
            <w:tcW w:w="5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4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0</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Theme="minorEastAsia" w:hAnsiTheme="minorEastAsia" w:eastAsiaTheme="minorEastAsia" w:cstheme="minorEastAsia"/>
                <w:i w:val="0"/>
                <w:iCs w:val="0"/>
                <w:color w:val="000000"/>
                <w:sz w:val="18"/>
                <w:szCs w:val="18"/>
                <w:u w:val="none"/>
              </w:rPr>
            </w:pPr>
          </w:p>
        </w:tc>
      </w:tr>
      <w:tr>
        <w:tblPrEx>
          <w:tblCellMar>
            <w:top w:w="0" w:type="dxa"/>
            <w:left w:w="0" w:type="dxa"/>
            <w:bottom w:w="0" w:type="dxa"/>
            <w:right w:w="0" w:type="dxa"/>
          </w:tblCellMar>
        </w:tblPrEx>
        <w:trPr>
          <w:trHeight w:val="74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评价结论</w:t>
            </w:r>
          </w:p>
        </w:tc>
        <w:tc>
          <w:tcPr>
            <w:tcW w:w="9554"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sz w:val="16"/>
                <w:szCs w:val="16"/>
                <w:u w:val="none"/>
                <w:lang w:val="en-US" w:eastAsia="zh-CN"/>
              </w:rPr>
            </w:pPr>
            <w:r>
              <w:rPr>
                <w:rFonts w:hint="eastAsia" w:asciiTheme="minorEastAsia" w:hAnsiTheme="minorEastAsia" w:eastAsiaTheme="minorEastAsia" w:cstheme="minorEastAsia"/>
                <w:i w:val="0"/>
                <w:iCs w:val="0"/>
                <w:color w:val="000000"/>
                <w:sz w:val="16"/>
                <w:szCs w:val="16"/>
                <w:u w:val="none"/>
                <w:lang w:val="en-US" w:eastAsia="zh-CN"/>
              </w:rPr>
              <w:t>车辆采购预算执行不符合预期，未达到预期目标。</w:t>
            </w:r>
          </w:p>
        </w:tc>
      </w:tr>
      <w:tr>
        <w:tblPrEx>
          <w:tblCellMar>
            <w:top w:w="0" w:type="dxa"/>
            <w:left w:w="0" w:type="dxa"/>
            <w:bottom w:w="0" w:type="dxa"/>
            <w:right w:w="0" w:type="dxa"/>
          </w:tblCellMar>
        </w:tblPrEx>
        <w:trPr>
          <w:trHeight w:val="74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存在问题</w:t>
            </w:r>
          </w:p>
        </w:tc>
        <w:tc>
          <w:tcPr>
            <w:tcW w:w="9554"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sz w:val="16"/>
                <w:szCs w:val="16"/>
                <w:u w:val="none"/>
                <w:lang w:val="en-US" w:eastAsia="zh-CN"/>
              </w:rPr>
            </w:pPr>
            <w:r>
              <w:rPr>
                <w:rFonts w:hint="eastAsia" w:asciiTheme="minorEastAsia" w:hAnsiTheme="minorEastAsia" w:eastAsiaTheme="minorEastAsia" w:cstheme="minorEastAsia"/>
                <w:i w:val="0"/>
                <w:iCs w:val="0"/>
                <w:color w:val="000000"/>
                <w:sz w:val="16"/>
                <w:szCs w:val="16"/>
                <w:u w:val="none"/>
                <w:lang w:val="en-US" w:eastAsia="zh-CN"/>
              </w:rPr>
              <w:t>预算申报考虑不全面。</w:t>
            </w:r>
          </w:p>
        </w:tc>
      </w:tr>
      <w:tr>
        <w:tblPrEx>
          <w:tblCellMar>
            <w:top w:w="0" w:type="dxa"/>
            <w:left w:w="0" w:type="dxa"/>
            <w:bottom w:w="0" w:type="dxa"/>
            <w:right w:w="0" w:type="dxa"/>
          </w:tblCellMar>
        </w:tblPrEx>
        <w:trPr>
          <w:trHeight w:val="743" w:hRule="atLeast"/>
        </w:trPr>
        <w:tc>
          <w:tcPr>
            <w:tcW w:w="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改进措施</w:t>
            </w:r>
          </w:p>
        </w:tc>
        <w:tc>
          <w:tcPr>
            <w:tcW w:w="9554"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Theme="minorEastAsia" w:hAnsiTheme="minorEastAsia" w:eastAsiaTheme="minorEastAsia" w:cstheme="minorEastAsia"/>
                <w:i w:val="0"/>
                <w:iCs w:val="0"/>
                <w:color w:val="000000"/>
                <w:sz w:val="16"/>
                <w:szCs w:val="16"/>
                <w:u w:val="none"/>
                <w:lang w:val="en-US" w:eastAsia="zh-CN"/>
              </w:rPr>
            </w:pPr>
            <w:r>
              <w:rPr>
                <w:rFonts w:hint="eastAsia" w:asciiTheme="minorEastAsia" w:hAnsiTheme="minorEastAsia" w:eastAsiaTheme="minorEastAsia" w:cstheme="minorEastAsia"/>
                <w:i w:val="0"/>
                <w:iCs w:val="0"/>
                <w:color w:val="000000"/>
                <w:sz w:val="16"/>
                <w:szCs w:val="16"/>
                <w:u w:val="none"/>
                <w:lang w:val="en-US" w:eastAsia="zh-CN"/>
              </w:rPr>
              <w:t>预算申报前需要全面考虑项目的各项审批条件及可能出现的情况，以提高预算的准确性。</w:t>
            </w:r>
          </w:p>
        </w:tc>
      </w:tr>
      <w:tr>
        <w:tblPrEx>
          <w:tblCellMar>
            <w:top w:w="0" w:type="dxa"/>
            <w:left w:w="0" w:type="dxa"/>
            <w:bottom w:w="0" w:type="dxa"/>
            <w:right w:w="0" w:type="dxa"/>
          </w:tblCellMar>
        </w:tblPrEx>
        <w:trPr>
          <w:trHeight w:val="419" w:hRule="atLeast"/>
        </w:trPr>
        <w:tc>
          <w:tcPr>
            <w:tcW w:w="519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项目负责人：</w:t>
            </w:r>
          </w:p>
        </w:tc>
        <w:tc>
          <w:tcPr>
            <w:tcW w:w="484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财务负责人：</w:t>
            </w:r>
          </w:p>
        </w:tc>
      </w:tr>
    </w:tbl>
    <w:p>
      <w:pPr>
        <w:spacing w:line="600" w:lineRule="exact"/>
        <w:jc w:val="center"/>
        <w:outlineLvl w:val="0"/>
        <w:rPr>
          <w:rFonts w:hint="eastAsia" w:ascii="仿宋" w:hAnsi="仿宋" w:eastAsia="仿宋"/>
          <w:b w:val="0"/>
          <w:color w:val="auto"/>
          <w:highlight w:val="none"/>
        </w:rPr>
      </w:pPr>
      <w:bookmarkStart w:id="92" w:name="_Toc24048"/>
      <w:r>
        <w:rPr>
          <w:rFonts w:hint="eastAsia" w:ascii="黑体" w:hAnsi="黑体" w:eastAsia="黑体"/>
          <w:color w:val="auto"/>
          <w:sz w:val="44"/>
          <w:szCs w:val="44"/>
          <w:highlight w:val="none"/>
        </w:rPr>
        <w:t>第</w:t>
      </w:r>
      <w:r>
        <w:rPr>
          <w:rStyle w:val="19"/>
          <w:rFonts w:hint="eastAsia" w:ascii="黑体" w:hAnsi="黑体" w:eastAsia="黑体"/>
          <w:b w:val="0"/>
          <w:color w:val="auto"/>
          <w:highlight w:val="none"/>
        </w:rPr>
        <w:t>五部分 附表</w:t>
      </w:r>
      <w:bookmarkEnd w:id="88"/>
      <w:bookmarkEnd w:id="91"/>
      <w:bookmarkEnd w:id="92"/>
      <w:bookmarkStart w:id="93" w:name="_Toc15396619"/>
    </w:p>
    <w:p>
      <w:pPr>
        <w:pStyle w:val="4"/>
        <w:rPr>
          <w:rFonts w:ascii="仿宋" w:hAnsi="仿宋" w:eastAsia="仿宋"/>
          <w:color w:val="auto"/>
          <w:highlight w:val="none"/>
        </w:rPr>
      </w:pPr>
      <w:bookmarkStart w:id="94" w:name="_Toc9036"/>
      <w:r>
        <w:rPr>
          <w:rFonts w:hint="eastAsia" w:ascii="仿宋" w:hAnsi="仿宋" w:eastAsia="仿宋"/>
          <w:b w:val="0"/>
          <w:color w:val="auto"/>
          <w:highlight w:val="none"/>
        </w:rPr>
        <w:t>一、收</w:t>
      </w:r>
      <w:r>
        <w:rPr>
          <w:rStyle w:val="20"/>
          <w:rFonts w:hint="eastAsia" w:ascii="仿宋" w:hAnsi="仿宋" w:eastAsia="仿宋"/>
          <w:b w:val="0"/>
          <w:bCs w:val="0"/>
          <w:color w:val="auto"/>
          <w:highlight w:val="none"/>
        </w:rPr>
        <w:t>入支出决算总表</w:t>
      </w:r>
      <w:bookmarkEnd w:id="93"/>
      <w:bookmarkEnd w:id="94"/>
    </w:p>
    <w:p>
      <w:pPr>
        <w:pStyle w:val="4"/>
        <w:rPr>
          <w:rFonts w:ascii="仿宋" w:hAnsi="仿宋" w:eastAsia="仿宋"/>
          <w:color w:val="auto"/>
          <w:highlight w:val="none"/>
        </w:rPr>
      </w:pPr>
      <w:bookmarkStart w:id="95" w:name="_Toc15396620"/>
      <w:bookmarkStart w:id="96" w:name="_Toc2580"/>
      <w:r>
        <w:rPr>
          <w:rFonts w:hint="eastAsia" w:ascii="仿宋" w:hAnsi="仿宋" w:eastAsia="仿宋"/>
          <w:b w:val="0"/>
          <w:color w:val="auto"/>
          <w:highlight w:val="none"/>
        </w:rPr>
        <w:t>二、收</w:t>
      </w:r>
      <w:r>
        <w:rPr>
          <w:rStyle w:val="20"/>
          <w:rFonts w:hint="eastAsia" w:ascii="仿宋" w:hAnsi="仿宋" w:eastAsia="仿宋"/>
          <w:b w:val="0"/>
          <w:bCs w:val="0"/>
          <w:color w:val="auto"/>
          <w:highlight w:val="none"/>
        </w:rPr>
        <w:t>入决算表</w:t>
      </w:r>
      <w:bookmarkEnd w:id="95"/>
      <w:bookmarkEnd w:id="96"/>
    </w:p>
    <w:p>
      <w:pPr>
        <w:pStyle w:val="4"/>
        <w:rPr>
          <w:rFonts w:ascii="仿宋" w:hAnsi="仿宋" w:eastAsia="仿宋"/>
          <w:color w:val="auto"/>
          <w:highlight w:val="none"/>
        </w:rPr>
      </w:pPr>
      <w:bookmarkStart w:id="97" w:name="_Toc27222"/>
      <w:bookmarkStart w:id="98" w:name="_Toc15396621"/>
      <w:r>
        <w:rPr>
          <w:rStyle w:val="2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0"/>
          <w:rFonts w:hint="eastAsia" w:ascii="仿宋" w:hAnsi="仿宋" w:eastAsia="仿宋"/>
          <w:b w:val="0"/>
          <w:bCs w:val="0"/>
          <w:color w:val="auto"/>
          <w:highlight w:val="none"/>
        </w:rPr>
        <w:t>出决算表</w:t>
      </w:r>
      <w:bookmarkEnd w:id="97"/>
      <w:bookmarkEnd w:id="98"/>
    </w:p>
    <w:p>
      <w:pPr>
        <w:pStyle w:val="4"/>
        <w:rPr>
          <w:rFonts w:ascii="仿宋" w:hAnsi="仿宋" w:eastAsia="仿宋"/>
          <w:b w:val="0"/>
          <w:color w:val="auto"/>
          <w:highlight w:val="none"/>
        </w:rPr>
      </w:pPr>
      <w:bookmarkStart w:id="99" w:name="_Toc8242"/>
      <w:bookmarkStart w:id="100" w:name="_Toc15396622"/>
      <w:r>
        <w:rPr>
          <w:rStyle w:val="2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0"/>
          <w:rFonts w:hint="eastAsia" w:ascii="仿宋" w:hAnsi="仿宋" w:eastAsia="仿宋"/>
          <w:b w:val="0"/>
          <w:bCs w:val="0"/>
          <w:color w:val="auto"/>
          <w:highlight w:val="none"/>
        </w:rPr>
        <w:t>政拨款收入支出决算总表</w:t>
      </w:r>
      <w:bookmarkEnd w:id="99"/>
      <w:bookmarkEnd w:id="100"/>
    </w:p>
    <w:p>
      <w:pPr>
        <w:pStyle w:val="4"/>
        <w:rPr>
          <w:rStyle w:val="20"/>
          <w:rFonts w:ascii="仿宋" w:hAnsi="仿宋" w:eastAsia="仿宋"/>
          <w:b w:val="0"/>
          <w:bCs w:val="0"/>
          <w:color w:val="auto"/>
          <w:highlight w:val="none"/>
        </w:rPr>
      </w:pPr>
      <w:bookmarkStart w:id="101" w:name="_Toc32106"/>
      <w:bookmarkStart w:id="102" w:name="_Toc15396623"/>
      <w:r>
        <w:rPr>
          <w:rStyle w:val="2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0"/>
          <w:rFonts w:hint="eastAsia" w:ascii="仿宋" w:hAnsi="仿宋" w:eastAsia="仿宋"/>
          <w:b w:val="0"/>
          <w:bCs w:val="0"/>
          <w:color w:val="auto"/>
          <w:highlight w:val="none"/>
        </w:rPr>
        <w:t>政拨款支出决算明细表</w:t>
      </w:r>
      <w:bookmarkEnd w:id="101"/>
      <w:bookmarkEnd w:id="102"/>
      <w:bookmarkStart w:id="103" w:name="_Toc15396624"/>
    </w:p>
    <w:p>
      <w:pPr>
        <w:pStyle w:val="4"/>
        <w:rPr>
          <w:rFonts w:ascii="仿宋" w:hAnsi="仿宋" w:eastAsia="仿宋"/>
          <w:color w:val="auto"/>
          <w:highlight w:val="none"/>
        </w:rPr>
      </w:pPr>
      <w:bookmarkStart w:id="104" w:name="_Toc8523"/>
      <w:r>
        <w:rPr>
          <w:rStyle w:val="2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般公共预算财政拨款支出决算表</w:t>
      </w:r>
      <w:bookmarkEnd w:id="103"/>
      <w:bookmarkEnd w:id="104"/>
    </w:p>
    <w:p>
      <w:pPr>
        <w:pStyle w:val="4"/>
        <w:rPr>
          <w:rFonts w:ascii="仿宋" w:hAnsi="仿宋" w:eastAsia="仿宋"/>
          <w:color w:val="auto"/>
          <w:highlight w:val="none"/>
        </w:rPr>
      </w:pPr>
      <w:bookmarkStart w:id="105" w:name="_Toc15396625"/>
      <w:bookmarkStart w:id="106" w:name="_Toc6975"/>
      <w:r>
        <w:rPr>
          <w:rStyle w:val="2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般公共预算财政拨款支出决算明细表</w:t>
      </w:r>
      <w:bookmarkEnd w:id="105"/>
      <w:bookmarkEnd w:id="106"/>
    </w:p>
    <w:p>
      <w:pPr>
        <w:pStyle w:val="4"/>
        <w:rPr>
          <w:rFonts w:ascii="仿宋" w:hAnsi="仿宋" w:eastAsia="仿宋"/>
          <w:color w:val="auto"/>
          <w:highlight w:val="none"/>
        </w:rPr>
      </w:pPr>
      <w:bookmarkStart w:id="107" w:name="_Toc15396626"/>
      <w:bookmarkStart w:id="108" w:name="_Toc29708"/>
      <w:r>
        <w:rPr>
          <w:rStyle w:val="2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般公共预算财政拨款基本支出决算表</w:t>
      </w:r>
      <w:bookmarkEnd w:id="107"/>
      <w:bookmarkEnd w:id="108"/>
    </w:p>
    <w:p>
      <w:pPr>
        <w:pStyle w:val="4"/>
        <w:rPr>
          <w:rFonts w:ascii="仿宋" w:hAnsi="仿宋" w:eastAsia="仿宋"/>
          <w:color w:val="auto"/>
          <w:highlight w:val="none"/>
        </w:rPr>
      </w:pPr>
      <w:bookmarkStart w:id="109" w:name="_Toc28500"/>
      <w:bookmarkStart w:id="110" w:name="_Toc15396627"/>
      <w:r>
        <w:rPr>
          <w:rStyle w:val="2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0"/>
          <w:rFonts w:hint="eastAsia" w:ascii="仿宋" w:hAnsi="仿宋" w:eastAsia="仿宋"/>
          <w:b w:val="0"/>
          <w:bCs w:val="0"/>
          <w:color w:val="auto"/>
          <w:highlight w:val="none"/>
        </w:rPr>
        <w:t>般公共预算财政拨款项目支出决算表</w:t>
      </w:r>
      <w:bookmarkEnd w:id="109"/>
      <w:bookmarkEnd w:id="110"/>
    </w:p>
    <w:p>
      <w:pPr>
        <w:pStyle w:val="4"/>
        <w:rPr>
          <w:rFonts w:ascii="仿宋" w:hAnsi="仿宋" w:eastAsia="仿宋"/>
          <w:color w:val="auto"/>
          <w:highlight w:val="none"/>
        </w:rPr>
      </w:pPr>
      <w:bookmarkStart w:id="111" w:name="_Toc15396628"/>
      <w:bookmarkStart w:id="112" w:name="_Toc8028"/>
      <w:r>
        <w:rPr>
          <w:rStyle w:val="20"/>
          <w:rFonts w:hint="eastAsia" w:ascii="仿宋" w:hAnsi="仿宋" w:eastAsia="仿宋"/>
          <w:b w:val="0"/>
          <w:bCs w:val="0"/>
          <w:color w:val="auto"/>
          <w:highlight w:val="none"/>
        </w:rPr>
        <w:t>十、</w:t>
      </w:r>
      <w:bookmarkEnd w:id="111"/>
      <w:r>
        <w:rPr>
          <w:rFonts w:hint="eastAsia" w:ascii="仿宋" w:hAnsi="仿宋" w:eastAsia="仿宋"/>
          <w:b w:val="0"/>
          <w:color w:val="auto"/>
          <w:highlight w:val="none"/>
        </w:rPr>
        <w:t>政</w:t>
      </w:r>
      <w:r>
        <w:rPr>
          <w:rStyle w:val="20"/>
          <w:rFonts w:hint="eastAsia" w:ascii="仿宋" w:hAnsi="仿宋" w:eastAsia="仿宋"/>
          <w:b w:val="0"/>
          <w:bCs w:val="0"/>
          <w:color w:val="auto"/>
          <w:highlight w:val="none"/>
        </w:rPr>
        <w:t>府性基金预算财政拨款收入支出决算表</w:t>
      </w:r>
      <w:bookmarkEnd w:id="112"/>
    </w:p>
    <w:p>
      <w:pPr>
        <w:pStyle w:val="4"/>
        <w:rPr>
          <w:rFonts w:ascii="仿宋" w:hAnsi="仿宋" w:eastAsia="仿宋"/>
          <w:color w:val="auto"/>
          <w:highlight w:val="none"/>
        </w:rPr>
      </w:pPr>
      <w:bookmarkStart w:id="113" w:name="_Toc15396629"/>
      <w:bookmarkStart w:id="114" w:name="_Toc20692"/>
      <w:r>
        <w:rPr>
          <w:rStyle w:val="20"/>
          <w:rFonts w:hint="eastAsia" w:ascii="仿宋" w:hAnsi="仿宋" w:eastAsia="仿宋"/>
          <w:b w:val="0"/>
          <w:bCs w:val="0"/>
          <w:color w:val="auto"/>
          <w:highlight w:val="none"/>
        </w:rPr>
        <w:t>十一、</w:t>
      </w:r>
      <w:bookmarkEnd w:id="113"/>
      <w:r>
        <w:rPr>
          <w:rFonts w:hint="eastAsia" w:ascii="仿宋" w:hAnsi="仿宋" w:eastAsia="仿宋"/>
          <w:b w:val="0"/>
          <w:color w:val="auto"/>
          <w:highlight w:val="none"/>
        </w:rPr>
        <w:t>国</w:t>
      </w:r>
      <w:r>
        <w:rPr>
          <w:rStyle w:val="20"/>
          <w:rFonts w:hint="eastAsia" w:ascii="仿宋" w:hAnsi="仿宋" w:eastAsia="仿宋"/>
          <w:b w:val="0"/>
          <w:bCs w:val="0"/>
          <w:color w:val="auto"/>
          <w:highlight w:val="none"/>
        </w:rPr>
        <w:t>有资本经营预算</w:t>
      </w:r>
      <w:r>
        <w:rPr>
          <w:rStyle w:val="20"/>
          <w:rFonts w:hint="eastAsia" w:ascii="仿宋" w:hAnsi="仿宋" w:eastAsia="仿宋"/>
          <w:b w:val="0"/>
          <w:bCs w:val="0"/>
          <w:color w:val="auto"/>
          <w:highlight w:val="none"/>
          <w:lang w:eastAsia="zh-CN"/>
        </w:rPr>
        <w:t>财政拨款收入</w:t>
      </w:r>
      <w:r>
        <w:rPr>
          <w:rStyle w:val="20"/>
          <w:rFonts w:hint="eastAsia" w:ascii="仿宋" w:hAnsi="仿宋" w:eastAsia="仿宋"/>
          <w:b w:val="0"/>
          <w:bCs w:val="0"/>
          <w:color w:val="auto"/>
          <w:highlight w:val="none"/>
        </w:rPr>
        <w:t>支出决算表</w:t>
      </w:r>
      <w:bookmarkEnd w:id="114"/>
    </w:p>
    <w:p>
      <w:pPr>
        <w:pStyle w:val="4"/>
        <w:rPr>
          <w:rFonts w:ascii="仿宋" w:hAnsi="仿宋" w:eastAsia="仿宋"/>
          <w:color w:val="auto"/>
          <w:highlight w:val="none"/>
        </w:rPr>
      </w:pPr>
      <w:bookmarkStart w:id="115" w:name="_Toc15396630"/>
      <w:bookmarkStart w:id="116" w:name="_Toc16941"/>
      <w:r>
        <w:rPr>
          <w:rStyle w:val="20"/>
          <w:rFonts w:hint="eastAsia" w:ascii="仿宋" w:hAnsi="仿宋" w:eastAsia="仿宋"/>
          <w:b w:val="0"/>
          <w:bCs w:val="0"/>
          <w:color w:val="auto"/>
          <w:highlight w:val="none"/>
        </w:rPr>
        <w:t>十二、</w:t>
      </w:r>
      <w:bookmarkEnd w:id="115"/>
      <w:r>
        <w:rPr>
          <w:rStyle w:val="20"/>
          <w:rFonts w:hint="eastAsia" w:ascii="仿宋" w:hAnsi="仿宋" w:eastAsia="仿宋"/>
          <w:b w:val="0"/>
          <w:bCs w:val="0"/>
          <w:color w:val="auto"/>
          <w:highlight w:val="none"/>
          <w:lang w:eastAsia="zh-CN"/>
        </w:rPr>
        <w:t>国有资本经营预算财政拨款支出决算表</w:t>
      </w:r>
      <w:bookmarkEnd w:id="116"/>
    </w:p>
    <w:p>
      <w:pPr>
        <w:pStyle w:val="4"/>
        <w:rPr>
          <w:rFonts w:hint="eastAsia" w:eastAsia="仿宋"/>
          <w:color w:val="auto"/>
          <w:highlight w:val="none"/>
          <w:lang w:eastAsia="zh-CN"/>
        </w:rPr>
      </w:pPr>
      <w:bookmarkStart w:id="117" w:name="_Toc15396631"/>
      <w:bookmarkStart w:id="118" w:name="_Toc15761"/>
      <w:r>
        <w:rPr>
          <w:rStyle w:val="20"/>
          <w:rFonts w:hint="eastAsia" w:ascii="仿宋" w:hAnsi="仿宋" w:eastAsia="仿宋"/>
          <w:b w:val="0"/>
          <w:bCs w:val="0"/>
          <w:color w:val="auto"/>
          <w:highlight w:val="none"/>
        </w:rPr>
        <w:t>十三、</w:t>
      </w:r>
      <w:bookmarkEnd w:id="117"/>
      <w:r>
        <w:rPr>
          <w:rStyle w:val="20"/>
          <w:rFonts w:hint="eastAsia" w:ascii="仿宋" w:hAnsi="仿宋" w:eastAsia="仿宋"/>
          <w:b w:val="0"/>
          <w:bCs w:val="0"/>
          <w:color w:val="auto"/>
          <w:highlight w:val="none"/>
          <w:lang w:eastAsia="zh-CN"/>
        </w:rPr>
        <w:t>财政拨款“三公”经费支出决算表</w:t>
      </w:r>
      <w:bookmarkEnd w:id="118"/>
    </w:p>
    <w:sectPr>
      <w:footerReference r:id="rId6" w:type="first"/>
      <w:footerReference r:id="rId5"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MingLiU">
    <w:panose1 w:val="02020509000000000000"/>
    <w:charset w:val="88"/>
    <w:family w:val="moder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10"/>
          <w:jc w:val="center"/>
        </w:pP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sdt>
      <w:sdtPr>
        <w:id w:val="625399877"/>
      </w:sdtPr>
      <w:sdtContent/>
    </w:sdt>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F4FCF1"/>
    <w:multiLevelType w:val="singleLevel"/>
    <w:tmpl w:val="C7F4FCF1"/>
    <w:lvl w:ilvl="0" w:tentative="0">
      <w:start w:val="1"/>
      <w:numFmt w:val="decimal"/>
      <w:suff w:val="nothing"/>
      <w:lvlText w:val="%1．"/>
      <w:lvlJc w:val="left"/>
      <w:pPr>
        <w:ind w:left="20" w:firstLine="400"/>
      </w:pPr>
      <w:rPr>
        <w:rFonts w:hint="default" w:ascii="Times New Roman" w:hAnsi="Times New Roman" w:cs="Times New Roman"/>
        <w:b w:val="0"/>
        <w:bCs w:val="0"/>
        <w:sz w:val="32"/>
        <w:szCs w:val="32"/>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wZDNhMjhkOWY3OTNiYjkxMjEyZjk4MDgwODIyNmY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25D3"/>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A529F"/>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941B07"/>
    <w:rsid w:val="04C138CF"/>
    <w:rsid w:val="053A62B5"/>
    <w:rsid w:val="058807B0"/>
    <w:rsid w:val="073E6243"/>
    <w:rsid w:val="082456DB"/>
    <w:rsid w:val="0A2032A3"/>
    <w:rsid w:val="0A784215"/>
    <w:rsid w:val="0B573746"/>
    <w:rsid w:val="0B8A37D8"/>
    <w:rsid w:val="0C2948C9"/>
    <w:rsid w:val="0D511D49"/>
    <w:rsid w:val="0E6B44E1"/>
    <w:rsid w:val="0E7E72D2"/>
    <w:rsid w:val="0EE80721"/>
    <w:rsid w:val="10C055FF"/>
    <w:rsid w:val="111D198B"/>
    <w:rsid w:val="118107EC"/>
    <w:rsid w:val="11DD6519"/>
    <w:rsid w:val="129A2158"/>
    <w:rsid w:val="13205154"/>
    <w:rsid w:val="16BB723D"/>
    <w:rsid w:val="18015F3F"/>
    <w:rsid w:val="1AAC082B"/>
    <w:rsid w:val="1BB2184F"/>
    <w:rsid w:val="1BE8440E"/>
    <w:rsid w:val="1CC9637C"/>
    <w:rsid w:val="1D102C34"/>
    <w:rsid w:val="1D155CEE"/>
    <w:rsid w:val="1FE15C3C"/>
    <w:rsid w:val="20F57F95"/>
    <w:rsid w:val="2139746A"/>
    <w:rsid w:val="240371BF"/>
    <w:rsid w:val="25711CC6"/>
    <w:rsid w:val="25A622E7"/>
    <w:rsid w:val="25C741E6"/>
    <w:rsid w:val="267E7852"/>
    <w:rsid w:val="27842671"/>
    <w:rsid w:val="27B47796"/>
    <w:rsid w:val="27DD7C75"/>
    <w:rsid w:val="28B14B81"/>
    <w:rsid w:val="29FD04D3"/>
    <w:rsid w:val="2ABE7A3E"/>
    <w:rsid w:val="2C072365"/>
    <w:rsid w:val="2CA234A8"/>
    <w:rsid w:val="2D0C0D7A"/>
    <w:rsid w:val="2E7002D8"/>
    <w:rsid w:val="2EFA178C"/>
    <w:rsid w:val="30B46D73"/>
    <w:rsid w:val="30D352F8"/>
    <w:rsid w:val="319F7F4E"/>
    <w:rsid w:val="32D542AC"/>
    <w:rsid w:val="338B42DF"/>
    <w:rsid w:val="367853EA"/>
    <w:rsid w:val="375E193E"/>
    <w:rsid w:val="383D272C"/>
    <w:rsid w:val="39AE70AB"/>
    <w:rsid w:val="39EB2FA9"/>
    <w:rsid w:val="3BCF1194"/>
    <w:rsid w:val="3C0C0783"/>
    <w:rsid w:val="3DD56F48"/>
    <w:rsid w:val="3F9F3A96"/>
    <w:rsid w:val="41085755"/>
    <w:rsid w:val="41EB1950"/>
    <w:rsid w:val="48BF60AB"/>
    <w:rsid w:val="48D468B2"/>
    <w:rsid w:val="493C27E9"/>
    <w:rsid w:val="496F39ED"/>
    <w:rsid w:val="49845854"/>
    <w:rsid w:val="49FF41D3"/>
    <w:rsid w:val="4B677452"/>
    <w:rsid w:val="4BE068DB"/>
    <w:rsid w:val="4BF6002B"/>
    <w:rsid w:val="4ECE2238"/>
    <w:rsid w:val="50E748BB"/>
    <w:rsid w:val="51016819"/>
    <w:rsid w:val="51C93880"/>
    <w:rsid w:val="51DB4B86"/>
    <w:rsid w:val="524627A6"/>
    <w:rsid w:val="5426265E"/>
    <w:rsid w:val="55333C3E"/>
    <w:rsid w:val="56E95EE5"/>
    <w:rsid w:val="57E61384"/>
    <w:rsid w:val="587618EB"/>
    <w:rsid w:val="5E9D21F6"/>
    <w:rsid w:val="5EAB7CEA"/>
    <w:rsid w:val="5F362081"/>
    <w:rsid w:val="63541E6D"/>
    <w:rsid w:val="64CA39A1"/>
    <w:rsid w:val="64D239BD"/>
    <w:rsid w:val="658D63C8"/>
    <w:rsid w:val="65E934B5"/>
    <w:rsid w:val="66DD06C9"/>
    <w:rsid w:val="677959E8"/>
    <w:rsid w:val="69630ADE"/>
    <w:rsid w:val="6A0D366D"/>
    <w:rsid w:val="6A2F65F3"/>
    <w:rsid w:val="6A8D6D5B"/>
    <w:rsid w:val="6C4A05C8"/>
    <w:rsid w:val="6D3B1A89"/>
    <w:rsid w:val="6DB225B5"/>
    <w:rsid w:val="6FD6324F"/>
    <w:rsid w:val="6FDE3B19"/>
    <w:rsid w:val="70147288"/>
    <w:rsid w:val="719E5DED"/>
    <w:rsid w:val="71BF4EC2"/>
    <w:rsid w:val="723D47B8"/>
    <w:rsid w:val="72734D90"/>
    <w:rsid w:val="732B73D1"/>
    <w:rsid w:val="7412278C"/>
    <w:rsid w:val="774861EC"/>
    <w:rsid w:val="78C93204"/>
    <w:rsid w:val="7904082E"/>
    <w:rsid w:val="79E7B28D"/>
    <w:rsid w:val="7D1766BC"/>
    <w:rsid w:val="7F0B23D3"/>
    <w:rsid w:val="7F2F7F0A"/>
    <w:rsid w:val="7F9F20EE"/>
    <w:rsid w:val="9E3A10E2"/>
    <w:rsid w:val="EEE7DD58"/>
    <w:rsid w:val="F2E1F9D4"/>
    <w:rsid w:val="F7880819"/>
    <w:rsid w:val="F9D77CA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paragraph" w:styleId="6">
    <w:name w:val="heading 4"/>
    <w:basedOn w:val="1"/>
    <w:next w:val="1"/>
    <w:qFormat/>
    <w:uiPriority w:val="99"/>
    <w:pPr>
      <w:keepNext/>
      <w:keepLines/>
      <w:spacing w:line="360" w:lineRule="auto"/>
      <w:outlineLvl w:val="3"/>
    </w:pPr>
    <w:rPr>
      <w:rFonts w:ascii="Arial" w:hAnsi="Arial"/>
      <w:sz w:val="24"/>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spacing w:after="0" w:line="360" w:lineRule="auto"/>
      <w:ind w:firstLine="480" w:firstLineChars="200"/>
    </w:pPr>
    <w:rPr>
      <w:rFonts w:ascii="微软雅黑" w:hAnsi="微软雅黑" w:eastAsia="微软雅黑"/>
      <w:sz w:val="24"/>
      <w:szCs w:val="24"/>
      <w:lang w:eastAsia="zh-CN"/>
    </w:rPr>
  </w:style>
  <w:style w:type="paragraph" w:styleId="7">
    <w:name w:val="Body Text"/>
    <w:basedOn w:val="1"/>
    <w:link w:val="28"/>
    <w:qFormat/>
    <w:uiPriority w:val="99"/>
    <w:pPr>
      <w:spacing w:beforeLines="30"/>
    </w:pPr>
    <w:rPr>
      <w:rFonts w:ascii="仿宋_GB2312" w:eastAsia="仿宋_GB2312"/>
      <w:kern w:val="0"/>
      <w:sz w:val="30"/>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标题 1 Char"/>
    <w:basedOn w:val="16"/>
    <w:link w:val="3"/>
    <w:qFormat/>
    <w:uiPriority w:val="9"/>
    <w:rPr>
      <w:rFonts w:ascii="Times New Roman" w:hAnsi="Times New Roman"/>
      <w:b/>
      <w:bCs/>
      <w:kern w:val="44"/>
      <w:sz w:val="44"/>
      <w:szCs w:val="44"/>
    </w:rPr>
  </w:style>
  <w:style w:type="character" w:customStyle="1" w:styleId="20">
    <w:name w:val="标题 2 Char"/>
    <w:basedOn w:val="16"/>
    <w:link w:val="4"/>
    <w:qFormat/>
    <w:uiPriority w:val="9"/>
    <w:rPr>
      <w:rFonts w:asciiTheme="majorHAnsi" w:hAnsiTheme="majorHAnsi" w:eastAsiaTheme="majorEastAsia" w:cstheme="majorBidi"/>
      <w:b/>
      <w:bCs/>
      <w:kern w:val="2"/>
      <w:sz w:val="32"/>
      <w:szCs w:val="32"/>
    </w:rPr>
  </w:style>
  <w:style w:type="character" w:customStyle="1" w:styleId="21">
    <w:name w:val="标题 3 Char"/>
    <w:basedOn w:val="16"/>
    <w:link w:val="5"/>
    <w:qFormat/>
    <w:uiPriority w:val="9"/>
    <w:rPr>
      <w:rFonts w:ascii="Times New Roman" w:hAnsi="Times New Roman"/>
      <w:b/>
      <w:bCs/>
      <w:kern w:val="2"/>
      <w:sz w:val="32"/>
      <w:szCs w:val="32"/>
    </w:rPr>
  </w:style>
  <w:style w:type="paragraph" w:customStyle="1" w:styleId="22">
    <w:name w:val="样式 行距: 固定值 28.9 磅"/>
    <w:qFormat/>
    <w:uiPriority w:val="0"/>
    <w:pPr>
      <w:widowControl w:val="0"/>
      <w:spacing w:line="578" w:lineRule="exact"/>
      <w:jc w:val="both"/>
    </w:pPr>
    <w:rPr>
      <w:rFonts w:ascii="Times New Roman" w:hAnsi="Times New Roman" w:eastAsia="宋体" w:cs="宋体"/>
      <w:kern w:val="2"/>
      <w:sz w:val="21"/>
      <w:szCs w:val="20"/>
      <w:lang w:val="en-US" w:eastAsia="zh-CN" w:bidi="ar-SA"/>
    </w:rPr>
  </w:style>
  <w:style w:type="character" w:customStyle="1" w:styleId="23">
    <w:name w:val="Header Char"/>
    <w:basedOn w:val="16"/>
    <w:semiHidden/>
    <w:qFormat/>
    <w:uiPriority w:val="99"/>
    <w:rPr>
      <w:rFonts w:ascii="Times New Roman" w:hAnsi="Times New Roman"/>
      <w:sz w:val="18"/>
      <w:szCs w:val="18"/>
    </w:rPr>
  </w:style>
  <w:style w:type="character" w:customStyle="1" w:styleId="24">
    <w:name w:val="页眉 Char"/>
    <w:link w:val="11"/>
    <w:semiHidden/>
    <w:qFormat/>
    <w:locked/>
    <w:uiPriority w:val="99"/>
    <w:rPr>
      <w:sz w:val="18"/>
    </w:rPr>
  </w:style>
  <w:style w:type="character" w:customStyle="1" w:styleId="25">
    <w:name w:val="Footer Char"/>
    <w:basedOn w:val="16"/>
    <w:semiHidden/>
    <w:qFormat/>
    <w:uiPriority w:val="99"/>
    <w:rPr>
      <w:rFonts w:ascii="Times New Roman" w:hAnsi="Times New Roman"/>
      <w:sz w:val="18"/>
      <w:szCs w:val="18"/>
    </w:rPr>
  </w:style>
  <w:style w:type="character" w:customStyle="1" w:styleId="26">
    <w:name w:val="页脚 Char"/>
    <w:link w:val="10"/>
    <w:qFormat/>
    <w:locked/>
    <w:uiPriority w:val="99"/>
    <w:rPr>
      <w:sz w:val="18"/>
    </w:rPr>
  </w:style>
  <w:style w:type="character" w:customStyle="1" w:styleId="27">
    <w:name w:val="Body Text Char"/>
    <w:basedOn w:val="16"/>
    <w:semiHidden/>
    <w:qFormat/>
    <w:uiPriority w:val="99"/>
    <w:rPr>
      <w:rFonts w:ascii="Times New Roman" w:hAnsi="Times New Roman"/>
      <w:szCs w:val="24"/>
    </w:rPr>
  </w:style>
  <w:style w:type="character" w:customStyle="1" w:styleId="28">
    <w:name w:val="正文文本 Char"/>
    <w:link w:val="7"/>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6"/>
    <w:link w:val="9"/>
    <w:semiHidden/>
    <w:qFormat/>
    <w:uiPriority w:val="99"/>
    <w:rPr>
      <w:rFonts w:ascii="Times New Roman" w:hAnsi="Times New Roman"/>
      <w:kern w:val="2"/>
      <w:sz w:val="18"/>
      <w:szCs w:val="18"/>
    </w:rPr>
  </w:style>
  <w:style w:type="paragraph" w:customStyle="1" w:styleId="33">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WPSOffice手动目录 1"/>
    <w:qFormat/>
    <w:uiPriority w:val="0"/>
    <w:pPr>
      <w:ind w:leftChars="0"/>
    </w:pPr>
    <w:rPr>
      <w:rFonts w:ascii="Times New Roman" w:hAnsi="Times New Roman" w:eastAsia="宋体" w:cs="Times New Roman"/>
      <w:sz w:val="20"/>
      <w:szCs w:val="20"/>
    </w:rPr>
  </w:style>
  <w:style w:type="paragraph" w:customStyle="1" w:styleId="35">
    <w:name w:val="WPSOffice手动目录 2"/>
    <w:qFormat/>
    <w:uiPriority w:val="0"/>
    <w:pPr>
      <w:ind w:leftChars="200"/>
    </w:pPr>
    <w:rPr>
      <w:rFonts w:ascii="Times New Roman" w:hAnsi="Times New Roman" w:eastAsia="宋体" w:cs="Times New Roman"/>
      <w:sz w:val="20"/>
      <w:szCs w:val="20"/>
    </w:rPr>
  </w:style>
  <w:style w:type="paragraph" w:customStyle="1" w:styleId="36">
    <w:name w:val="WPSOffice手动目录 3"/>
    <w:qFormat/>
    <w:uiPriority w:val="0"/>
    <w:pPr>
      <w:ind w:leftChars="400"/>
    </w:pPr>
    <w:rPr>
      <w:rFonts w:ascii="Times New Roman" w:hAnsi="Times New Roman" w:eastAsia="宋体" w:cs="Times New Roman"/>
      <w:sz w:val="20"/>
      <w:szCs w:val="20"/>
    </w:rPr>
  </w:style>
  <w:style w:type="character" w:customStyle="1" w:styleId="37">
    <w:name w:val="font71"/>
    <w:basedOn w:val="16"/>
    <w:qFormat/>
    <w:uiPriority w:val="0"/>
    <w:rPr>
      <w:rFonts w:hint="default" w:ascii="Arial" w:hAnsi="Arial" w:cs="Arial"/>
      <w:color w:val="000000"/>
      <w:sz w:val="16"/>
      <w:szCs w:val="16"/>
      <w:u w:val="none"/>
    </w:rPr>
  </w:style>
  <w:style w:type="character" w:customStyle="1" w:styleId="38">
    <w:name w:val="font51"/>
    <w:basedOn w:val="16"/>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33</TotalTime>
  <ScaleCrop>false</ScaleCrop>
  <LinksUpToDate>false</LinksUpToDate>
  <CharactersWithSpaces>8692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2020-08-05T09:49:00Z</dcterms:created>
  <dc:creator>曹颖</dc:creator>
  <cp:lastModifiedBy>鲁西西</cp:lastModifiedBy>
  <cp:lastPrinted>2023-10-13T01:35:00Z</cp:lastPrinted>
  <dcterms:modified xsi:type="dcterms:W3CDTF">2023-10-18T02:31:17Z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6B70361D626A4593B4A9C4A901EC4F63</vt:lpwstr>
  </property>
</Properties>
</file>