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szCs w:val="21"/>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7193"/>
      <w:bookmarkStart w:id="2" w:name="_Toc15378441"/>
      <w:bookmarkStart w:id="3" w:name="_Toc15377425"/>
      <w:bookmarkStart w:id="4" w:name="_Toc15396597"/>
      <w:bookmarkStart w:id="5" w:name="_Toc15396475"/>
      <w:r>
        <w:rPr>
          <w:rFonts w:hint="eastAsia" w:ascii="方正小标宋简体" w:hAnsi="方正小标宋简体" w:eastAsia="方正小标宋简体" w:cs="方正小标宋简体"/>
          <w:sz w:val="72"/>
          <w:szCs w:val="72"/>
        </w:rPr>
        <w:t>2022年度</w:t>
      </w:r>
      <w:bookmarkEnd w:id="1"/>
      <w:bookmarkEnd w:id="2"/>
      <w:bookmarkEnd w:id="3"/>
      <w:bookmarkEnd w:id="4"/>
      <w:bookmarkEnd w:id="5"/>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77194"/>
      <w:bookmarkStart w:id="7" w:name="_Toc15377426"/>
      <w:bookmarkStart w:id="8" w:name="_Toc15396598"/>
      <w:bookmarkStart w:id="9" w:name="_Toc15396476"/>
      <w:bookmarkStart w:id="10" w:name="_Toc15378442"/>
      <w:r>
        <w:rPr>
          <w:rFonts w:hint="eastAsia" w:ascii="方正小标宋简体" w:hAnsi="方正小标宋简体" w:eastAsia="方正小标宋简体" w:cs="方正小标宋简体"/>
          <w:sz w:val="72"/>
          <w:szCs w:val="72"/>
        </w:rPr>
        <w:t>广元市</w:t>
      </w:r>
      <w:bookmarkEnd w:id="0"/>
      <w:bookmarkStart w:id="11" w:name="_Toc15306268"/>
      <w:r>
        <w:rPr>
          <w:rFonts w:hint="eastAsia" w:ascii="方正小标宋简体" w:hAnsi="方正小标宋简体" w:eastAsia="方正小标宋简体" w:cs="方正小标宋简体"/>
          <w:sz w:val="72"/>
          <w:szCs w:val="72"/>
        </w:rPr>
        <w:t>救助管理站</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单位决算</w:t>
      </w:r>
      <w:bookmarkEnd w:id="6"/>
      <w:bookmarkEnd w:id="7"/>
      <w:bookmarkEnd w:id="8"/>
      <w:bookmarkEnd w:id="9"/>
      <w:bookmarkEnd w:id="10"/>
      <w:bookmarkEnd w:id="11"/>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0"/>
      </w:pPr>
      <w:r>
        <w:rPr>
          <w:rFonts w:hint="eastAsia"/>
        </w:rPr>
        <w:t>公开时间：2023年10 月1</w:t>
      </w:r>
      <w:r>
        <w:rPr>
          <w:rFonts w:hint="eastAsia"/>
          <w:lang w:val="en-US" w:eastAsia="zh-CN"/>
        </w:rPr>
        <w:t>6</w:t>
      </w:r>
      <w:r>
        <w:rPr>
          <w:rFonts w:hint="eastAsia"/>
        </w:rPr>
        <w:t xml:space="preserve"> 日</w:t>
      </w:r>
    </w:p>
    <w:p>
      <w:bookmarkStart w:id="67" w:name="_GoBack"/>
      <w:bookmarkEnd w:id="67"/>
    </w:p>
    <w:p>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 .............................................4</w:t>
      </w:r>
    </w:p>
    <w:p>
      <w:pPr>
        <w:pStyle w:val="11"/>
        <w:adjustRightInd w:val="0"/>
        <w:snapToGrid w:val="0"/>
        <w:spacing w:line="440" w:lineRule="exact"/>
        <w:jc w:val="left"/>
        <w:rPr>
          <w:sz w:val="24"/>
        </w:rPr>
      </w:pPr>
      <w:r>
        <w:rPr>
          <w:rFonts w:hint="eastAsia"/>
          <w:sz w:val="24"/>
        </w:rPr>
        <w:t>一、主要职责</w:t>
      </w:r>
    </w:p>
    <w:p>
      <w:pPr>
        <w:pStyle w:val="11"/>
        <w:adjustRightInd w:val="0"/>
        <w:snapToGrid w:val="0"/>
        <w:spacing w:line="440" w:lineRule="exact"/>
        <w:jc w:val="left"/>
      </w:pPr>
      <w:r>
        <w:rPr>
          <w:rFonts w:hint="eastAsia"/>
          <w:sz w:val="24"/>
        </w:rPr>
        <w:t>二、机构设置</w:t>
      </w:r>
    </w:p>
    <w:p>
      <w:pPr>
        <w:pStyle w:val="10"/>
        <w:adjustRightInd w:val="0"/>
        <w:snapToGrid w:val="0"/>
        <w:spacing w:before="0" w:line="440" w:lineRule="exact"/>
        <w:jc w:val="left"/>
        <w:rPr>
          <w:sz w:val="24"/>
          <w:szCs w:val="24"/>
        </w:rPr>
      </w:pPr>
      <w:r>
        <w:rPr>
          <w:rFonts w:hint="eastAsia"/>
          <w:sz w:val="24"/>
        </w:rPr>
        <w:t>第二部分 2022年度单位决算情况说明..............................4</w:t>
      </w:r>
    </w:p>
    <w:p>
      <w:pPr>
        <w:pStyle w:val="11"/>
        <w:adjustRightInd w:val="0"/>
        <w:snapToGrid w:val="0"/>
        <w:spacing w:line="440" w:lineRule="exact"/>
        <w:jc w:val="left"/>
        <w:rPr>
          <w:rFonts w:ascii="仿宋" w:hAnsi="仿宋" w:cstheme="minorBidi"/>
          <w:sz w:val="24"/>
        </w:rPr>
      </w:pPr>
      <w:r>
        <w:rPr>
          <w:rFonts w:hint="eastAsia"/>
          <w:sz w:val="24"/>
        </w:rPr>
        <w:t>一、收入支出决算总体情况说明................................................................4</w:t>
      </w:r>
    </w:p>
    <w:p>
      <w:pPr>
        <w:pStyle w:val="11"/>
        <w:adjustRightInd w:val="0"/>
        <w:snapToGrid w:val="0"/>
        <w:spacing w:line="440" w:lineRule="exact"/>
        <w:jc w:val="left"/>
        <w:rPr>
          <w:rFonts w:ascii="仿宋" w:hAnsi="仿宋" w:cstheme="minorBidi"/>
          <w:sz w:val="24"/>
        </w:rPr>
      </w:pPr>
      <w:r>
        <w:rPr>
          <w:rFonts w:hint="eastAsia"/>
          <w:sz w:val="24"/>
        </w:rPr>
        <w:t>二、收入决算情况说明................................................................................5</w:t>
      </w:r>
    </w:p>
    <w:p>
      <w:pPr>
        <w:pStyle w:val="11"/>
        <w:adjustRightInd w:val="0"/>
        <w:snapToGrid w:val="0"/>
        <w:spacing w:line="440" w:lineRule="exact"/>
        <w:jc w:val="left"/>
        <w:rPr>
          <w:rFonts w:ascii="仿宋" w:hAnsi="仿宋" w:cstheme="minorBidi"/>
          <w:sz w:val="24"/>
        </w:rPr>
      </w:pPr>
      <w:r>
        <w:rPr>
          <w:rFonts w:hint="eastAsia"/>
          <w:sz w:val="24"/>
        </w:rPr>
        <w:t>三、支出决算情况说明................................................................................5</w:t>
      </w:r>
    </w:p>
    <w:p>
      <w:pPr>
        <w:pStyle w:val="11"/>
        <w:adjustRightInd w:val="0"/>
        <w:snapToGrid w:val="0"/>
        <w:spacing w:line="440" w:lineRule="exact"/>
        <w:jc w:val="left"/>
        <w:rPr>
          <w:rFonts w:ascii="仿宋" w:hAnsi="仿宋" w:cstheme="minorBidi"/>
          <w:sz w:val="24"/>
        </w:rPr>
      </w:pPr>
      <w:r>
        <w:rPr>
          <w:rFonts w:hint="eastAsia"/>
          <w:sz w:val="24"/>
        </w:rPr>
        <w:t>四、财政拨款收入支出决算总体情况说明................................................5</w:t>
      </w:r>
    </w:p>
    <w:p>
      <w:pPr>
        <w:pStyle w:val="11"/>
        <w:adjustRightInd w:val="0"/>
        <w:snapToGrid w:val="0"/>
        <w:spacing w:line="440" w:lineRule="exact"/>
        <w:jc w:val="left"/>
        <w:rPr>
          <w:rFonts w:hint="eastAsia" w:ascii="仿宋" w:hAnsi="仿宋" w:eastAsia="宋体" w:cstheme="minorBidi"/>
          <w:sz w:val="24"/>
          <w:lang w:eastAsia="zh-CN"/>
        </w:rPr>
      </w:pPr>
      <w:r>
        <w:rPr>
          <w:rFonts w:hint="eastAsia"/>
          <w:sz w:val="24"/>
        </w:rPr>
        <w:t>五、一般公共预算财政拨款支出决算情况说明........................................</w:t>
      </w:r>
      <w:r>
        <w:rPr>
          <w:rFonts w:hint="eastAsia"/>
          <w:sz w:val="24"/>
          <w:lang w:val="en-US" w:eastAsia="zh-CN"/>
        </w:rPr>
        <w:t>6</w:t>
      </w:r>
    </w:p>
    <w:p>
      <w:pPr>
        <w:pStyle w:val="11"/>
        <w:adjustRightInd w:val="0"/>
        <w:snapToGrid w:val="0"/>
        <w:spacing w:line="440" w:lineRule="exact"/>
        <w:jc w:val="left"/>
        <w:rPr>
          <w:rFonts w:hint="eastAsia" w:ascii="仿宋" w:hAnsi="仿宋" w:eastAsia="宋体" w:cstheme="minorBidi"/>
          <w:sz w:val="24"/>
          <w:lang w:eastAsia="zh-CN"/>
        </w:rPr>
      </w:pPr>
      <w:r>
        <w:rPr>
          <w:rFonts w:hint="eastAsia"/>
          <w:sz w:val="24"/>
        </w:rPr>
        <w:t>六、一般公共预算财政拨款基本支出决算情况说明................................</w:t>
      </w:r>
      <w:r>
        <w:rPr>
          <w:rFonts w:hint="eastAsia"/>
          <w:sz w:val="24"/>
          <w:lang w:val="en-US" w:eastAsia="zh-CN"/>
        </w:rPr>
        <w:t>8</w:t>
      </w:r>
    </w:p>
    <w:p>
      <w:pPr>
        <w:pStyle w:val="11"/>
        <w:adjustRightInd w:val="0"/>
        <w:snapToGrid w:val="0"/>
        <w:spacing w:line="440" w:lineRule="exact"/>
        <w:jc w:val="left"/>
        <w:rPr>
          <w:rFonts w:ascii="仿宋" w:hAnsi="仿宋" w:cstheme="minorBidi"/>
          <w:sz w:val="24"/>
        </w:rPr>
      </w:pPr>
      <w:r>
        <w:rPr>
          <w:rFonts w:hint="eastAsia"/>
          <w:sz w:val="24"/>
        </w:rPr>
        <w:t>七、财政拨款“三公”经费支出决算情况说明........................................7</w:t>
      </w:r>
    </w:p>
    <w:p>
      <w:pPr>
        <w:pStyle w:val="11"/>
        <w:adjustRightInd w:val="0"/>
        <w:snapToGrid w:val="0"/>
        <w:spacing w:line="440" w:lineRule="exact"/>
        <w:jc w:val="left"/>
        <w:rPr>
          <w:rFonts w:hint="default" w:eastAsia="宋体"/>
          <w:sz w:val="24"/>
          <w:lang w:val="en-US" w:eastAsia="zh-CN"/>
        </w:rPr>
      </w:pPr>
      <w:r>
        <w:rPr>
          <w:rFonts w:hint="eastAsia"/>
          <w:sz w:val="24"/>
        </w:rPr>
        <w:t>八、政府性基金预算支出决算情况说明...................................................</w:t>
      </w:r>
      <w:r>
        <w:rPr>
          <w:rFonts w:hint="eastAsia"/>
          <w:sz w:val="24"/>
          <w:lang w:val="en-US" w:eastAsia="zh-CN"/>
        </w:rPr>
        <w:t>10</w:t>
      </w:r>
    </w:p>
    <w:p>
      <w:pPr>
        <w:pStyle w:val="11"/>
        <w:adjustRightInd w:val="0"/>
        <w:snapToGrid w:val="0"/>
        <w:spacing w:line="440" w:lineRule="exact"/>
        <w:jc w:val="left"/>
        <w:rPr>
          <w:rFonts w:hint="eastAsia"/>
          <w:sz w:val="24"/>
          <w:lang w:val="en-US" w:eastAsia="zh-CN"/>
        </w:rPr>
      </w:pPr>
      <w:r>
        <w:rPr>
          <w:rFonts w:hint="eastAsia"/>
          <w:sz w:val="24"/>
        </w:rPr>
        <w:t>九、国有资本经营预算支出决算情况说明...............................................</w:t>
      </w:r>
      <w:r>
        <w:rPr>
          <w:rFonts w:hint="eastAsia"/>
          <w:sz w:val="24"/>
          <w:lang w:val="en-US" w:eastAsia="zh-CN"/>
        </w:rPr>
        <w:t xml:space="preserve">10  </w:t>
      </w:r>
    </w:p>
    <w:p>
      <w:pPr>
        <w:pStyle w:val="11"/>
        <w:adjustRightInd w:val="0"/>
        <w:snapToGrid w:val="0"/>
        <w:spacing w:line="440" w:lineRule="exact"/>
        <w:jc w:val="left"/>
        <w:rPr>
          <w:rFonts w:hint="default" w:eastAsia="宋体"/>
          <w:sz w:val="24"/>
          <w:lang w:val="en-US" w:eastAsia="zh-CN"/>
        </w:rPr>
      </w:pPr>
      <w:r>
        <w:rPr>
          <w:rFonts w:hint="eastAsia"/>
          <w:sz w:val="24"/>
        </w:rPr>
        <w:t>十、其他重要事项的情况说明...................................................................</w:t>
      </w:r>
      <w:r>
        <w:rPr>
          <w:rFonts w:hint="eastAsia"/>
          <w:sz w:val="24"/>
          <w:lang w:val="en-US" w:eastAsia="zh-CN"/>
        </w:rPr>
        <w:t>10</w:t>
      </w:r>
    </w:p>
    <w:p>
      <w:pPr>
        <w:pStyle w:val="10"/>
        <w:adjustRightInd w:val="0"/>
        <w:snapToGrid w:val="0"/>
        <w:spacing w:before="0" w:line="440" w:lineRule="exact"/>
        <w:jc w:val="left"/>
        <w:rPr>
          <w:rFonts w:hint="eastAsia" w:eastAsia="仿宋" w:cstheme="minorBidi"/>
          <w:sz w:val="24"/>
          <w:szCs w:val="24"/>
          <w:lang w:val="en-US" w:eastAsia="zh-CN"/>
        </w:rPr>
      </w:pPr>
      <w:r>
        <w:rPr>
          <w:rFonts w:hint="eastAsia"/>
          <w:sz w:val="24"/>
        </w:rPr>
        <w:t>第三部分</w:t>
      </w:r>
      <w:r>
        <w:rPr>
          <w:sz w:val="24"/>
        </w:rPr>
        <w:t xml:space="preserve"> </w:t>
      </w:r>
      <w:r>
        <w:rPr>
          <w:rFonts w:hint="eastAsia"/>
          <w:sz w:val="24"/>
        </w:rPr>
        <w:t>名词解释..............................................1</w:t>
      </w:r>
      <w:r>
        <w:rPr>
          <w:rFonts w:hint="eastAsia"/>
          <w:sz w:val="24"/>
          <w:lang w:val="en-US" w:eastAsia="zh-CN"/>
        </w:rPr>
        <w:t>2</w:t>
      </w:r>
    </w:p>
    <w:p>
      <w:pPr>
        <w:pStyle w:val="10"/>
        <w:adjustRightInd w:val="0"/>
        <w:snapToGrid w:val="0"/>
        <w:spacing w:before="0" w:line="440" w:lineRule="exact"/>
        <w:jc w:val="left"/>
        <w:rPr>
          <w:rFonts w:hint="eastAsia" w:eastAsia="仿宋" w:cstheme="minorBidi"/>
          <w:sz w:val="24"/>
          <w:szCs w:val="24"/>
          <w:lang w:val="en-US" w:eastAsia="zh-CN"/>
        </w:rPr>
      </w:pPr>
      <w:r>
        <w:rPr>
          <w:rFonts w:hint="eastAsia"/>
          <w:sz w:val="24"/>
        </w:rPr>
        <w:t>第四部分</w:t>
      </w:r>
      <w:r>
        <w:rPr>
          <w:sz w:val="24"/>
        </w:rPr>
        <w:t xml:space="preserve"> </w:t>
      </w:r>
      <w:r>
        <w:rPr>
          <w:rFonts w:hint="eastAsia"/>
          <w:sz w:val="24"/>
        </w:rPr>
        <w:t>附件..................................................1</w:t>
      </w:r>
      <w:r>
        <w:rPr>
          <w:rFonts w:hint="eastAsia"/>
          <w:sz w:val="24"/>
          <w:lang w:val="en-US" w:eastAsia="zh-CN"/>
        </w:rPr>
        <w:t>4</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第五部分</w:t>
      </w:r>
      <w:r>
        <w:rPr>
          <w:sz w:val="24"/>
        </w:rPr>
        <w:t xml:space="preserve"> </w:t>
      </w:r>
      <w:r>
        <w:rPr>
          <w:rFonts w:hint="eastAsia"/>
          <w:sz w:val="24"/>
        </w:rPr>
        <w:t>附表</w:t>
      </w:r>
      <w:r>
        <w:rPr>
          <w:rFonts w:hint="eastAsia"/>
          <w:sz w:val="24"/>
          <w:lang w:val="en-US" w:eastAsia="zh-CN"/>
        </w:rPr>
        <w:t>..................................................28</w:t>
      </w:r>
    </w:p>
    <w:p>
      <w:pPr>
        <w:pStyle w:val="11"/>
        <w:adjustRightInd w:val="0"/>
        <w:snapToGrid w:val="0"/>
        <w:spacing w:line="440" w:lineRule="exact"/>
        <w:jc w:val="left"/>
        <w:rPr>
          <w:sz w:val="24"/>
        </w:rPr>
      </w:pPr>
      <w:r>
        <w:rPr>
          <w:rFonts w:hint="eastAsia"/>
          <w:sz w:val="24"/>
        </w:rPr>
        <w:t>一、收入支出决算总表</w:t>
      </w:r>
    </w:p>
    <w:p>
      <w:pPr>
        <w:pStyle w:val="11"/>
        <w:adjustRightInd w:val="0"/>
        <w:snapToGrid w:val="0"/>
        <w:spacing w:line="440" w:lineRule="exact"/>
        <w:jc w:val="left"/>
        <w:rPr>
          <w:sz w:val="24"/>
        </w:rPr>
      </w:pPr>
      <w:r>
        <w:rPr>
          <w:rFonts w:hint="eastAsia"/>
          <w:sz w:val="24"/>
        </w:rPr>
        <w:t>二、收入决算表</w:t>
      </w:r>
    </w:p>
    <w:p>
      <w:pPr>
        <w:pStyle w:val="11"/>
        <w:adjustRightInd w:val="0"/>
        <w:snapToGrid w:val="0"/>
        <w:spacing w:line="440" w:lineRule="exact"/>
        <w:jc w:val="left"/>
        <w:rPr>
          <w:sz w:val="24"/>
        </w:rPr>
      </w:pPr>
      <w:r>
        <w:rPr>
          <w:rFonts w:hint="eastAsia"/>
          <w:sz w:val="24"/>
        </w:rPr>
        <w:t>三、支出决算表</w:t>
      </w:r>
    </w:p>
    <w:p>
      <w:pPr>
        <w:pStyle w:val="11"/>
        <w:adjustRightInd w:val="0"/>
        <w:snapToGrid w:val="0"/>
        <w:spacing w:line="440" w:lineRule="exact"/>
        <w:jc w:val="left"/>
        <w:rPr>
          <w:sz w:val="24"/>
        </w:rPr>
      </w:pPr>
      <w:r>
        <w:rPr>
          <w:rFonts w:hint="eastAsia"/>
          <w:sz w:val="24"/>
        </w:rPr>
        <w:t>四、财政拨款收入支出决算总表</w:t>
      </w:r>
    </w:p>
    <w:p>
      <w:pPr>
        <w:pStyle w:val="11"/>
        <w:adjustRightInd w:val="0"/>
        <w:snapToGrid w:val="0"/>
        <w:spacing w:line="440" w:lineRule="exact"/>
        <w:jc w:val="left"/>
        <w:rPr>
          <w:sz w:val="24"/>
        </w:rPr>
      </w:pPr>
      <w:r>
        <w:rPr>
          <w:rFonts w:hint="eastAsia"/>
          <w:sz w:val="24"/>
        </w:rPr>
        <w:t>五、财政拨款支出决算明细表</w:t>
      </w:r>
    </w:p>
    <w:p>
      <w:pPr>
        <w:pStyle w:val="11"/>
        <w:adjustRightInd w:val="0"/>
        <w:snapToGrid w:val="0"/>
        <w:spacing w:line="440" w:lineRule="exact"/>
        <w:jc w:val="left"/>
        <w:rPr>
          <w:sz w:val="24"/>
        </w:rPr>
      </w:pPr>
      <w:r>
        <w:rPr>
          <w:rFonts w:hint="eastAsia"/>
          <w:sz w:val="24"/>
        </w:rPr>
        <w:t>六、一般公共预算财政拨款支出决算表</w:t>
      </w:r>
    </w:p>
    <w:p>
      <w:pPr>
        <w:pStyle w:val="11"/>
        <w:adjustRightInd w:val="0"/>
        <w:snapToGrid w:val="0"/>
        <w:spacing w:line="440" w:lineRule="exact"/>
        <w:jc w:val="left"/>
        <w:rPr>
          <w:sz w:val="24"/>
        </w:rPr>
      </w:pPr>
      <w:r>
        <w:rPr>
          <w:rFonts w:hint="eastAsia"/>
          <w:sz w:val="24"/>
        </w:rPr>
        <w:t>七、一般公共预算财政拨款支出决算明细表</w:t>
      </w:r>
    </w:p>
    <w:p>
      <w:pPr>
        <w:pStyle w:val="11"/>
        <w:adjustRightInd w:val="0"/>
        <w:snapToGrid w:val="0"/>
        <w:spacing w:line="440" w:lineRule="exact"/>
        <w:jc w:val="left"/>
        <w:rPr>
          <w:sz w:val="24"/>
        </w:rPr>
      </w:pPr>
      <w:r>
        <w:rPr>
          <w:rFonts w:hint="eastAsia"/>
          <w:sz w:val="24"/>
        </w:rPr>
        <w:t>八、一般公共预算财政拨款基本支出决算明细表</w:t>
      </w:r>
    </w:p>
    <w:p>
      <w:pPr>
        <w:pStyle w:val="11"/>
        <w:adjustRightInd w:val="0"/>
        <w:snapToGrid w:val="0"/>
        <w:spacing w:line="440" w:lineRule="exact"/>
        <w:jc w:val="left"/>
        <w:rPr>
          <w:sz w:val="24"/>
        </w:rPr>
      </w:pPr>
      <w:r>
        <w:rPr>
          <w:rFonts w:hint="eastAsia"/>
          <w:sz w:val="24"/>
        </w:rPr>
        <w:t>九、一般公共预算财政拨款项目支出决算表</w:t>
      </w:r>
    </w:p>
    <w:p>
      <w:pPr>
        <w:pStyle w:val="11"/>
        <w:adjustRightInd w:val="0"/>
        <w:snapToGrid w:val="0"/>
        <w:spacing w:line="440" w:lineRule="exact"/>
        <w:jc w:val="left"/>
        <w:rPr>
          <w:sz w:val="24"/>
        </w:rPr>
      </w:pPr>
      <w:r>
        <w:rPr>
          <w:rFonts w:hint="eastAsia"/>
          <w:sz w:val="24"/>
        </w:rPr>
        <w:t>十、政府性基金预算财政拨款收入支出决算表</w:t>
      </w:r>
    </w:p>
    <w:p>
      <w:pPr>
        <w:pStyle w:val="11"/>
        <w:adjustRightInd w:val="0"/>
        <w:snapToGrid w:val="0"/>
        <w:spacing w:line="440" w:lineRule="exact"/>
        <w:jc w:val="left"/>
        <w:rPr>
          <w:sz w:val="24"/>
        </w:rPr>
      </w:pPr>
      <w:r>
        <w:rPr>
          <w:rFonts w:hint="eastAsia"/>
          <w:sz w:val="24"/>
        </w:rPr>
        <w:t>十一、国有资本经营预算财政拨款收入支出决算表</w:t>
      </w:r>
    </w:p>
    <w:p>
      <w:pPr>
        <w:pStyle w:val="11"/>
        <w:adjustRightInd w:val="0"/>
        <w:snapToGrid w:val="0"/>
        <w:spacing w:line="440" w:lineRule="exact"/>
        <w:jc w:val="left"/>
        <w:rPr>
          <w:sz w:val="24"/>
        </w:rPr>
      </w:pPr>
      <w:r>
        <w:rPr>
          <w:rFonts w:hint="eastAsia"/>
          <w:sz w:val="24"/>
        </w:rPr>
        <w:t>十二、国有资本经营预算财政拨款支出决算表</w:t>
      </w:r>
    </w:p>
    <w:p>
      <w:pPr>
        <w:pStyle w:val="11"/>
        <w:adjustRightInd w:val="0"/>
        <w:snapToGrid w:val="0"/>
        <w:spacing w:line="440" w:lineRule="exact"/>
        <w:jc w:val="left"/>
        <w:rPr>
          <w:sz w:val="24"/>
        </w:rPr>
      </w:pPr>
      <w:r>
        <w:rPr>
          <w:rFonts w:hint="eastAsia"/>
          <w:sz w:val="24"/>
        </w:rPr>
        <w:t>十三、财政拨款“三公”经费支出决算表</w:t>
      </w:r>
    </w:p>
    <w:p>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pPr>
        <w:pStyle w:val="3"/>
        <w:jc w:val="center"/>
        <w:rPr>
          <w:rFonts w:ascii="黑体" w:eastAsia="黑体"/>
          <w:sz w:val="24"/>
          <w:szCs w:val="24"/>
        </w:rPr>
      </w:pPr>
      <w:r>
        <w:rPr>
          <w:rFonts w:hint="eastAsia" w:ascii="黑体" w:hAnsi="黑体" w:eastAsia="黑体"/>
          <w:b w:val="0"/>
        </w:rPr>
        <w:t>第一部分 单位</w:t>
      </w:r>
      <w:r>
        <w:rPr>
          <w:rStyle w:val="24"/>
          <w:rFonts w:hint="eastAsia" w:ascii="黑体" w:hAnsi="黑体" w:eastAsia="黑体"/>
          <w:b w:val="0"/>
          <w:bCs w:val="0"/>
        </w:rPr>
        <w:t>概况</w:t>
      </w:r>
      <w:bookmarkEnd w:id="12"/>
      <w:bookmarkEnd w:id="13"/>
    </w:p>
    <w:p>
      <w:pPr>
        <w:pStyle w:val="4"/>
        <w:numPr>
          <w:ilvl w:val="0"/>
          <w:numId w:val="1"/>
        </w:numPr>
        <w:rPr>
          <w:rFonts w:ascii="仿宋" w:hAnsi="仿宋" w:eastAsia="仿宋" w:cs="仿宋"/>
          <w:b w:val="0"/>
          <w:bCs w:val="0"/>
        </w:rPr>
      </w:pPr>
      <w:bookmarkStart w:id="14" w:name="_Toc15396600"/>
      <w:bookmarkStart w:id="15" w:name="_Toc15377197"/>
      <w:r>
        <w:rPr>
          <w:rStyle w:val="25"/>
          <w:rFonts w:hint="eastAsia" w:ascii="黑体" w:hAnsi="黑体" w:eastAsia="黑体"/>
          <w:b w:val="0"/>
          <w:bCs w:val="0"/>
        </w:rPr>
        <w:t>主要职责</w:t>
      </w:r>
    </w:p>
    <w:p>
      <w:pPr>
        <w:pStyle w:val="4"/>
        <w:ind w:firstLine="640" w:firstLineChars="200"/>
        <w:rPr>
          <w:rFonts w:ascii="黑体" w:hAnsi="黑体" w:eastAsia="黑体"/>
          <w:b w:val="0"/>
        </w:rPr>
      </w:pPr>
      <w:r>
        <w:rPr>
          <w:rFonts w:hint="eastAsia" w:ascii="仿宋" w:hAnsi="仿宋" w:eastAsia="仿宋" w:cs="仿宋"/>
          <w:b w:val="0"/>
          <w:bCs w:val="0"/>
          <w:color w:val="000000"/>
        </w:rPr>
        <w:t>广元市救助管理站为市民政局直属事业单位，其主要职能是对城市生活无着的流浪乞讨人员提供临时性救助，依法保护未成年人合法权益，构建覆盖城乡的未成年人保护网络。</w:t>
      </w:r>
      <w:r>
        <w:rPr>
          <w:rFonts w:hint="eastAsia" w:ascii="黑体" w:hAnsi="黑体" w:eastAsia="黑体"/>
          <w:b w:val="0"/>
        </w:rPr>
        <w:t>二、机构设置</w:t>
      </w:r>
    </w:p>
    <w:p>
      <w:pPr>
        <w:pStyle w:val="4"/>
        <w:ind w:firstLine="600" w:firstLineChars="200"/>
        <w:rPr>
          <w:rFonts w:ascii="仿宋" w:hAnsi="仿宋" w:eastAsia="仿宋"/>
          <w:b w:val="0"/>
          <w:bCs w:val="0"/>
          <w:sz w:val="30"/>
          <w:szCs w:val="30"/>
        </w:rPr>
      </w:pPr>
      <w:r>
        <w:rPr>
          <w:rFonts w:hint="eastAsia" w:ascii="仿宋" w:hAnsi="仿宋" w:eastAsia="仿宋" w:cs="仿宋"/>
          <w:b w:val="0"/>
          <w:bCs w:val="0"/>
          <w:color w:val="000000"/>
          <w:sz w:val="30"/>
          <w:szCs w:val="30"/>
        </w:rPr>
        <w:t>单位编制数为54人，现有在职职工51人，离休人员1人，退休人员31人,</w:t>
      </w:r>
      <w:r>
        <w:rPr>
          <w:rFonts w:hint="eastAsia" w:ascii="仿宋" w:hAnsi="仿宋" w:eastAsia="仿宋"/>
          <w:b w:val="0"/>
          <w:bCs w:val="0"/>
          <w:sz w:val="30"/>
          <w:szCs w:val="30"/>
        </w:rPr>
        <w:t>我站设有办公室、财务、后勤、安教、联系、成人、儿保、社工等股室。</w:t>
      </w:r>
      <w:bookmarkEnd w:id="14"/>
      <w:bookmarkEnd w:id="15"/>
      <w:bookmarkStart w:id="16" w:name="_Toc15396602"/>
      <w:bookmarkStart w:id="17" w:name="_Toc15377204"/>
    </w:p>
    <w:p>
      <w:pPr>
        <w:pStyle w:val="4"/>
        <w:ind w:firstLine="880" w:firstLineChars="200"/>
      </w:pPr>
      <w:r>
        <w:rPr>
          <w:rFonts w:hint="eastAsia" w:ascii="黑体" w:hAnsi="黑体" w:eastAsia="黑体"/>
          <w:b w:val="0"/>
          <w:sz w:val="44"/>
          <w:szCs w:val="44"/>
        </w:rPr>
        <w:t>第二部分 2022年度</w:t>
      </w:r>
      <w:r>
        <w:rPr>
          <w:rStyle w:val="24"/>
          <w:rFonts w:hint="eastAsia" w:ascii="黑体" w:hAnsi="黑体" w:eastAsia="黑体"/>
          <w:b w:val="0"/>
          <w:bCs/>
        </w:rPr>
        <w:t>单位决算情况说明</w:t>
      </w:r>
      <w:bookmarkEnd w:id="16"/>
      <w:bookmarkEnd w:id="17"/>
    </w:p>
    <w:p>
      <w:pPr>
        <w:pStyle w:val="23"/>
        <w:numPr>
          <w:ilvl w:val="0"/>
          <w:numId w:val="2"/>
        </w:numPr>
        <w:spacing w:line="600" w:lineRule="exact"/>
        <w:ind w:firstLineChars="0"/>
        <w:outlineLvl w:val="1"/>
        <w:rPr>
          <w:rStyle w:val="25"/>
          <w:rFonts w:ascii="黑体" w:hAnsi="黑体" w:eastAsia="黑体"/>
          <w:b w:val="0"/>
        </w:rPr>
      </w:pPr>
      <w:bookmarkStart w:id="18" w:name="_Toc15377205"/>
      <w:bookmarkStart w:id="19" w:name="_Toc15396603"/>
      <w:r>
        <w:rPr>
          <w:rFonts w:hint="eastAsia" w:ascii="黑体" w:hAnsi="黑体" w:eastAsia="黑体"/>
          <w:sz w:val="32"/>
          <w:szCs w:val="32"/>
        </w:rPr>
        <w:t>收</w:t>
      </w:r>
      <w:r>
        <w:rPr>
          <w:rStyle w:val="25"/>
          <w:rFonts w:hint="eastAsia" w:ascii="黑体" w:hAnsi="黑体" w:eastAsia="黑体"/>
          <w:b w:val="0"/>
        </w:rPr>
        <w:t>入支出决算总体情况说明</w:t>
      </w:r>
      <w:bookmarkEnd w:id="18"/>
      <w:bookmarkEnd w:id="19"/>
    </w:p>
    <w:p>
      <w:pPr>
        <w:spacing w:line="600" w:lineRule="exact"/>
        <w:ind w:firstLine="640" w:firstLineChars="200"/>
        <w:rPr>
          <w:rFonts w:ascii="仿宋" w:hAnsi="仿宋" w:eastAsia="仿宋"/>
          <w:sz w:val="32"/>
          <w:szCs w:val="32"/>
        </w:rPr>
      </w:pPr>
      <w:r>
        <w:rPr>
          <w:rFonts w:hint="eastAsia" w:ascii="仿宋" w:hAnsi="仿宋" w:eastAsia="仿宋"/>
          <w:sz w:val="32"/>
          <w:szCs w:val="32"/>
        </w:rPr>
        <w:drawing>
          <wp:anchor distT="0" distB="0" distL="114300" distR="114300" simplePos="0" relativeHeight="251659264" behindDoc="1" locked="0" layoutInCell="1" allowOverlap="1">
            <wp:simplePos x="0" y="0"/>
            <wp:positionH relativeFrom="column">
              <wp:posOffset>1325245</wp:posOffset>
            </wp:positionH>
            <wp:positionV relativeFrom="paragraph">
              <wp:posOffset>1829435</wp:posOffset>
            </wp:positionV>
            <wp:extent cx="2528570" cy="1277620"/>
            <wp:effectExtent l="19050" t="0" r="24130" b="0"/>
            <wp:wrapThrough wrapText="bothSides">
              <wp:wrapPolygon>
                <wp:start x="-163" y="0"/>
                <wp:lineTo x="-163" y="21579"/>
                <wp:lineTo x="21806" y="21579"/>
                <wp:lineTo x="21806" y="0"/>
                <wp:lineTo x="-163" y="0"/>
              </wp:wrapPolygon>
            </wp:wrapThrough>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sz w:val="32"/>
          <w:szCs w:val="32"/>
        </w:rPr>
        <w:t>2022年度收、支总计1452.16万元。与2021年相比，收、支总计各减少846.93万元，下降36</w:t>
      </w:r>
      <w:r>
        <w:rPr>
          <w:rFonts w:ascii="仿宋" w:hAnsi="仿宋" w:eastAsia="仿宋"/>
          <w:sz w:val="32"/>
          <w:szCs w:val="32"/>
        </w:rPr>
        <w:t>%</w:t>
      </w:r>
      <w:r>
        <w:rPr>
          <w:rFonts w:hint="eastAsia" w:ascii="仿宋" w:hAnsi="仿宋" w:eastAsia="仿宋"/>
          <w:sz w:val="32"/>
          <w:szCs w:val="32"/>
        </w:rPr>
        <w:t>。主要变动原因一是因为新冠疫情严重，我站救助业务无法正常开展，项目资金支付大幅减少，二是年终决算改革，当年结余资金不作为本年收入。</w:t>
      </w:r>
    </w:p>
    <w:p>
      <w:pPr>
        <w:spacing w:line="600" w:lineRule="exact"/>
        <w:ind w:firstLine="640" w:firstLineChars="200"/>
        <w:rPr>
          <w:rFonts w:ascii="仿宋" w:hAnsi="仿宋" w:eastAsia="仿宋"/>
          <w:sz w:val="32"/>
          <w:szCs w:val="32"/>
        </w:rPr>
      </w:pPr>
    </w:p>
    <w:p>
      <w:pPr>
        <w:spacing w:line="600" w:lineRule="exact"/>
        <w:ind w:firstLine="640" w:firstLineChars="200"/>
        <w:rPr>
          <w:rFonts w:ascii="仿宋" w:hAnsi="仿宋" w:eastAsia="仿宋"/>
          <w:sz w:val="32"/>
          <w:szCs w:val="32"/>
        </w:rPr>
      </w:pPr>
    </w:p>
    <w:p>
      <w:pPr>
        <w:pStyle w:val="2"/>
        <w:spacing w:before="93"/>
      </w:pPr>
    </w:p>
    <w:p>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pStyle w:val="23"/>
        <w:numPr>
          <w:ilvl w:val="0"/>
          <w:numId w:val="2"/>
        </w:numPr>
        <w:spacing w:line="600" w:lineRule="exact"/>
        <w:ind w:firstLineChars="0"/>
        <w:outlineLvl w:val="1"/>
        <w:rPr>
          <w:rStyle w:val="25"/>
          <w:rFonts w:ascii="黑体" w:hAnsi="黑体" w:eastAsia="黑体"/>
          <w:b w:val="0"/>
        </w:rPr>
      </w:pPr>
      <w:bookmarkStart w:id="20" w:name="_Toc15396604"/>
      <w:bookmarkStart w:id="21" w:name="_Toc15377206"/>
      <w:r>
        <w:rPr>
          <w:rFonts w:hint="eastAsia" w:ascii="黑体" w:hAnsi="黑体" w:eastAsia="黑体"/>
          <w:sz w:val="32"/>
          <w:szCs w:val="32"/>
        </w:rPr>
        <w:t>收</w:t>
      </w:r>
      <w:r>
        <w:rPr>
          <w:rStyle w:val="25"/>
          <w:rFonts w:hint="eastAsia" w:ascii="黑体" w:hAnsi="黑体" w:eastAsia="黑体"/>
          <w:b w:val="0"/>
        </w:rPr>
        <w:t>入决算情况说明</w:t>
      </w:r>
      <w:bookmarkEnd w:id="20"/>
      <w:bookmarkEnd w:id="21"/>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22年本年收入合计1242.6万元，其中：一般公共预算财政拨款收入1242.6万元，占100</w:t>
      </w:r>
      <w:r>
        <w:rPr>
          <w:rFonts w:ascii="仿宋" w:hAnsi="仿宋" w:eastAsia="仿宋"/>
          <w:sz w:val="32"/>
          <w:szCs w:val="32"/>
        </w:rPr>
        <w:t>%</w:t>
      </w:r>
      <w:r>
        <w:rPr>
          <w:rFonts w:hint="eastAsia" w:ascii="仿宋" w:hAnsi="仿宋" w:eastAsia="仿宋"/>
          <w:sz w:val="32"/>
          <w:szCs w:val="32"/>
        </w:rPr>
        <w:t>。</w:t>
      </w:r>
    </w:p>
    <w:p>
      <w:pPr>
        <w:pStyle w:val="2"/>
        <w:spacing w:before="93"/>
        <w:jc w:val="center"/>
        <w:rPr>
          <w:rFonts w:eastAsia="仿宋"/>
        </w:rPr>
      </w:pPr>
      <w:r>
        <w:rPr>
          <w:rFonts w:hint="eastAsia" w:eastAsia="仿宋"/>
        </w:rPr>
        <w:drawing>
          <wp:inline distT="0" distB="0" distL="114300" distR="114300">
            <wp:extent cx="2611755" cy="1416050"/>
            <wp:effectExtent l="4445" t="4445" r="12700" b="825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（图2：收入决算结构图）</w:t>
      </w:r>
    </w:p>
    <w:p>
      <w:pPr>
        <w:pStyle w:val="23"/>
        <w:numPr>
          <w:ilvl w:val="0"/>
          <w:numId w:val="2"/>
        </w:numPr>
        <w:spacing w:line="600" w:lineRule="exact"/>
        <w:ind w:firstLineChars="0"/>
        <w:outlineLvl w:val="1"/>
        <w:rPr>
          <w:rStyle w:val="25"/>
          <w:rFonts w:ascii="黑体" w:hAnsi="黑体" w:eastAsia="黑体"/>
          <w:b w:val="0"/>
        </w:rPr>
      </w:pPr>
      <w:bookmarkStart w:id="22" w:name="_Toc15377207"/>
      <w:bookmarkStart w:id="23" w:name="_Toc15396605"/>
      <w:r>
        <w:rPr>
          <w:rFonts w:hint="eastAsia" w:ascii="黑体" w:hAnsi="黑体" w:eastAsia="黑体"/>
          <w:sz w:val="32"/>
          <w:szCs w:val="32"/>
        </w:rPr>
        <w:t>支</w:t>
      </w:r>
      <w:r>
        <w:rPr>
          <w:rStyle w:val="25"/>
          <w:rFonts w:hint="eastAsia" w:ascii="黑体" w:hAnsi="黑体" w:eastAsia="黑体"/>
          <w:b w:val="0"/>
        </w:rPr>
        <w:t>出决算情况说明</w:t>
      </w:r>
      <w:bookmarkEnd w:id="22"/>
      <w:bookmarkEnd w:id="23"/>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22年本年支出合计1452.16万元，其中：基本支出967.6万元，占66.6</w:t>
      </w:r>
      <w:r>
        <w:rPr>
          <w:rFonts w:ascii="仿宋" w:hAnsi="仿宋" w:eastAsia="仿宋"/>
          <w:sz w:val="32"/>
          <w:szCs w:val="32"/>
        </w:rPr>
        <w:t>%</w:t>
      </w:r>
      <w:r>
        <w:rPr>
          <w:rFonts w:hint="eastAsia" w:ascii="仿宋" w:hAnsi="仿宋" w:eastAsia="仿宋"/>
          <w:sz w:val="32"/>
          <w:szCs w:val="32"/>
        </w:rPr>
        <w:t>；项目支出484.57万元，占33.4</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jc w:val="center"/>
        <w:rPr>
          <w:rFonts w:ascii="仿宋" w:hAnsi="仿宋" w:eastAsia="仿宋"/>
          <w:sz w:val="32"/>
          <w:szCs w:val="32"/>
        </w:rPr>
      </w:pPr>
      <w:r>
        <w:rPr>
          <w:rFonts w:hint="eastAsia" w:ascii="仿宋" w:hAnsi="仿宋" w:eastAsia="仿宋"/>
          <w:sz w:val="32"/>
          <w:szCs w:val="32"/>
          <w:shd w:val="pct10" w:color="auto" w:fill="FFFFFF"/>
        </w:rPr>
        <w:drawing>
          <wp:anchor distT="0" distB="0" distL="114300" distR="114300" simplePos="0" relativeHeight="251660288" behindDoc="0" locked="0" layoutInCell="1" allowOverlap="1">
            <wp:simplePos x="0" y="0"/>
            <wp:positionH relativeFrom="column">
              <wp:posOffset>1130300</wp:posOffset>
            </wp:positionH>
            <wp:positionV relativeFrom="paragraph">
              <wp:posOffset>127635</wp:posOffset>
            </wp:positionV>
            <wp:extent cx="2724785" cy="1336675"/>
            <wp:effectExtent l="4445" t="4445" r="13970" b="1143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sz w:val="32"/>
          <w:szCs w:val="32"/>
        </w:rPr>
        <w:t>（图3：支出决算结构图）</w:t>
      </w:r>
    </w:p>
    <w:p>
      <w:pPr>
        <w:spacing w:line="600" w:lineRule="exact"/>
        <w:ind w:firstLine="640" w:firstLineChars="200"/>
        <w:outlineLvl w:val="1"/>
        <w:rPr>
          <w:rStyle w:val="25"/>
          <w:rFonts w:ascii="黑体" w:hAnsi="黑体" w:eastAsia="黑体"/>
          <w:b w:val="0"/>
        </w:rPr>
      </w:pPr>
      <w:bookmarkStart w:id="24" w:name="_Toc15396606"/>
      <w:bookmarkStart w:id="25" w:name="_Toc15377208"/>
      <w:r>
        <w:rPr>
          <w:rFonts w:hint="eastAsia" w:ascii="黑体" w:hAnsi="黑体" w:eastAsia="黑体"/>
          <w:sz w:val="32"/>
          <w:szCs w:val="32"/>
        </w:rPr>
        <w:t>四、财</w:t>
      </w:r>
      <w:r>
        <w:rPr>
          <w:rStyle w:val="25"/>
          <w:rFonts w:hint="eastAsia" w:ascii="黑体" w:hAnsi="黑体" w:eastAsia="黑体"/>
          <w:b w:val="0"/>
        </w:rPr>
        <w:t>政拨款收入支出决算总体情况说明</w:t>
      </w:r>
      <w:bookmarkEnd w:id="24"/>
      <w:bookmarkEnd w:id="25"/>
    </w:p>
    <w:p>
      <w:pPr>
        <w:spacing w:line="600" w:lineRule="exact"/>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22年财政拨款收、支总计1452.16万元。与</w:t>
      </w:r>
      <w:r>
        <w:rPr>
          <w:rFonts w:ascii="仿宋" w:hAnsi="仿宋" w:eastAsia="仿宋"/>
          <w:sz w:val="32"/>
          <w:szCs w:val="32"/>
        </w:rPr>
        <w:t>20</w:t>
      </w:r>
      <w:r>
        <w:rPr>
          <w:rFonts w:hint="eastAsia" w:ascii="仿宋" w:hAnsi="仿宋" w:eastAsia="仿宋"/>
          <w:sz w:val="32"/>
          <w:szCs w:val="32"/>
        </w:rPr>
        <w:t>21年相比，财政拨款收、支总计各减少846.93万元，下降36</w:t>
      </w:r>
      <w:r>
        <w:rPr>
          <w:rFonts w:ascii="仿宋" w:hAnsi="仿宋" w:eastAsia="仿宋"/>
          <w:sz w:val="32"/>
          <w:szCs w:val="32"/>
        </w:rPr>
        <w:t>%</w:t>
      </w:r>
      <w:r>
        <w:rPr>
          <w:rFonts w:hint="eastAsia" w:ascii="仿宋" w:hAnsi="仿宋" w:eastAsia="仿宋"/>
          <w:sz w:val="32"/>
          <w:szCs w:val="32"/>
        </w:rPr>
        <w:t>。主要变动原因是主要变动原因一是因为新冠疫情严重，我站救助业务无法正常开展，项目资金支付大幅减少，二是年终决算改革，当年结余资金不作为本年收入。</w:t>
      </w:r>
    </w:p>
    <w:p>
      <w:pPr>
        <w:spacing w:line="600" w:lineRule="exact"/>
        <w:rPr>
          <w:rFonts w:ascii="仿宋" w:hAnsi="仿宋" w:eastAsia="仿宋"/>
          <w:sz w:val="32"/>
          <w:szCs w:val="32"/>
        </w:rPr>
      </w:pPr>
      <w:r>
        <w:rPr>
          <w:rFonts w:hint="eastAsia" w:ascii="仿宋" w:hAnsi="仿宋" w:eastAsia="仿宋"/>
          <w:sz w:val="32"/>
          <w:szCs w:val="32"/>
        </w:rPr>
        <w:drawing>
          <wp:anchor distT="0" distB="0" distL="114300" distR="114300" simplePos="0" relativeHeight="251661312" behindDoc="0" locked="0" layoutInCell="1" allowOverlap="1">
            <wp:simplePos x="0" y="0"/>
            <wp:positionH relativeFrom="column">
              <wp:posOffset>1466850</wp:posOffset>
            </wp:positionH>
            <wp:positionV relativeFrom="paragraph">
              <wp:posOffset>125095</wp:posOffset>
            </wp:positionV>
            <wp:extent cx="2528570" cy="1409065"/>
            <wp:effectExtent l="4445" t="4445" r="19685" b="15240"/>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sz w:val="32"/>
          <w:szCs w:val="32"/>
        </w:rPr>
        <w:t>（图4：财政拨款收、支决算总计变动情况）</w:t>
      </w:r>
    </w:p>
    <w:p>
      <w:pPr>
        <w:spacing w:line="600" w:lineRule="exact"/>
        <w:ind w:firstLine="640" w:firstLineChars="200"/>
        <w:outlineLvl w:val="1"/>
        <w:rPr>
          <w:rStyle w:val="25"/>
          <w:rFonts w:ascii="黑体" w:hAnsi="黑体" w:eastAsia="黑体"/>
          <w:b w:val="0"/>
        </w:rPr>
      </w:pPr>
      <w:bookmarkStart w:id="26" w:name="_Toc15377209"/>
      <w:bookmarkStart w:id="27" w:name="_Toc15396607"/>
      <w:r>
        <w:rPr>
          <w:rFonts w:hint="eastAsia" w:ascii="黑体" w:hAnsi="黑体" w:eastAsia="黑体"/>
          <w:sz w:val="32"/>
          <w:szCs w:val="32"/>
        </w:rPr>
        <w:t>五、</w:t>
      </w:r>
      <w:r>
        <w:rPr>
          <w:rFonts w:hint="eastAsia" w:ascii="黑体" w:hAnsi="黑体" w:eastAsia="黑体"/>
          <w:b/>
          <w:sz w:val="32"/>
          <w:szCs w:val="32"/>
        </w:rPr>
        <w:t>一</w:t>
      </w:r>
      <w:r>
        <w:rPr>
          <w:rStyle w:val="25"/>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spacing w:line="600" w:lineRule="exact"/>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22年一般公共预算财政拨款支出1392.18万元，占本年支出合计的95</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21年相比，一般公共预算财政拨款支出减少100.18万元，下降6</w:t>
      </w:r>
      <w:r>
        <w:rPr>
          <w:rFonts w:ascii="仿宋" w:hAnsi="仿宋" w:eastAsia="仿宋"/>
          <w:sz w:val="32"/>
          <w:szCs w:val="32"/>
        </w:rPr>
        <w:t>%</w:t>
      </w:r>
      <w:r>
        <w:rPr>
          <w:rFonts w:hint="eastAsia" w:ascii="仿宋" w:hAnsi="仿宋" w:eastAsia="仿宋"/>
          <w:sz w:val="32"/>
          <w:szCs w:val="32"/>
        </w:rPr>
        <w:t>。主要变动原因是当年人员经费增加147.06万元，项目支出减少247.24万元。</w:t>
      </w:r>
    </w:p>
    <w:p>
      <w:pPr>
        <w:spacing w:line="600" w:lineRule="exact"/>
        <w:ind w:firstLine="640" w:firstLineChars="200"/>
        <w:rPr>
          <w:rFonts w:ascii="仿宋" w:hAnsi="仿宋" w:eastAsia="仿宋"/>
          <w:sz w:val="32"/>
          <w:szCs w:val="32"/>
        </w:rPr>
      </w:pPr>
      <w:r>
        <w:rPr>
          <w:rFonts w:hint="eastAsia" w:ascii="仿宋" w:hAnsi="仿宋" w:eastAsia="仿宋"/>
          <w:sz w:val="32"/>
          <w:szCs w:val="32"/>
        </w:rPr>
        <w:drawing>
          <wp:anchor distT="0" distB="0" distL="114300" distR="114300" simplePos="0" relativeHeight="251662336" behindDoc="0" locked="0" layoutInCell="1" allowOverlap="1">
            <wp:simplePos x="0" y="0"/>
            <wp:positionH relativeFrom="column">
              <wp:posOffset>1449070</wp:posOffset>
            </wp:positionH>
            <wp:positionV relativeFrom="paragraph">
              <wp:posOffset>123190</wp:posOffset>
            </wp:positionV>
            <wp:extent cx="2802255" cy="1398270"/>
            <wp:effectExtent l="4445" t="4445" r="12700" b="6985"/>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sz w:val="32"/>
          <w:szCs w:val="32"/>
        </w:rPr>
        <w:t>（图5：一般公共预算财政拨款支出决算变动情况）</w:t>
      </w:r>
    </w:p>
    <w:p>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22年一般公共预算财政拨款支出1392.18万元，主要用于以下方面</w:t>
      </w:r>
      <w:r>
        <w:rPr>
          <w:rFonts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rPr>
        <w:t>1285.46万元，占92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rPr>
        <w:t>26.19万元，占1.8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rPr>
        <w:t>80.53万元，占6.2</w:t>
      </w:r>
      <w:r>
        <w:rPr>
          <w:rFonts w:ascii="仿宋" w:hAnsi="仿宋" w:eastAsia="仿宋"/>
          <w:sz w:val="32"/>
          <w:szCs w:val="32"/>
        </w:rPr>
        <w:t>%</w:t>
      </w:r>
      <w:r>
        <w:rPr>
          <w:rFonts w:hint="eastAsia" w:ascii="仿宋" w:hAnsi="仿宋" w:eastAsia="仿宋"/>
          <w:sz w:val="32"/>
          <w:szCs w:val="32"/>
        </w:rPr>
        <w:t>。</w:t>
      </w:r>
    </w:p>
    <w:p>
      <w:pPr>
        <w:spacing w:line="600" w:lineRule="exact"/>
        <w:rPr>
          <w:rFonts w:ascii="仿宋" w:hAnsi="仿宋" w:eastAsia="仿宋"/>
          <w:sz w:val="32"/>
          <w:szCs w:val="32"/>
        </w:rPr>
      </w:pPr>
      <w:r>
        <w:rPr>
          <w:rFonts w:hint="eastAsia" w:ascii="仿宋" w:hAnsi="仿宋" w:eastAsia="仿宋"/>
          <w:sz w:val="32"/>
          <w:szCs w:val="32"/>
        </w:rPr>
        <w:drawing>
          <wp:anchor distT="0" distB="0" distL="114300" distR="114300" simplePos="0" relativeHeight="251663360" behindDoc="0" locked="0" layoutInCell="1" allowOverlap="1">
            <wp:simplePos x="0" y="0"/>
            <wp:positionH relativeFrom="column">
              <wp:posOffset>857250</wp:posOffset>
            </wp:positionH>
            <wp:positionV relativeFrom="paragraph">
              <wp:posOffset>-52705</wp:posOffset>
            </wp:positionV>
            <wp:extent cx="3648075" cy="1863725"/>
            <wp:effectExtent l="4445" t="4445" r="5080" b="17780"/>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sz w:val="32"/>
          <w:szCs w:val="32"/>
        </w:rPr>
        <w:t>（图6：一般公共预算财政拨款支出决算结构）</w:t>
      </w:r>
    </w:p>
    <w:p>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8460"/>
      <w:bookmarkStart w:id="32" w:name="_Toc15377444"/>
      <w:bookmarkStart w:id="33" w:name="_Toc15377213"/>
      <w:r>
        <w:rPr>
          <w:rFonts w:hint="eastAsia" w:ascii="仿宋" w:hAnsi="仿宋" w:eastAsia="仿宋"/>
          <w:b/>
          <w:sz w:val="32"/>
          <w:szCs w:val="32"/>
        </w:rPr>
        <w:t>2022年一般公共预算支出决算数为1392.18</w:t>
      </w:r>
      <w:r>
        <w:rPr>
          <w:rFonts w:hint="eastAsia" w:ascii="仿宋" w:hAnsi="仿宋" w:eastAsia="仿宋"/>
          <w:sz w:val="32"/>
          <w:szCs w:val="32"/>
        </w:rPr>
        <w:t>，</w:t>
      </w:r>
      <w:r>
        <w:rPr>
          <w:rStyle w:val="14"/>
          <w:rFonts w:hint="eastAsia" w:ascii="仿宋" w:hAnsi="仿宋" w:eastAsia="仿宋"/>
          <w:bCs/>
          <w:sz w:val="32"/>
          <w:szCs w:val="32"/>
        </w:rPr>
        <w:t>完成预算100</w:t>
      </w:r>
      <w:r>
        <w:rPr>
          <w:rStyle w:val="14"/>
          <w:rFonts w:ascii="仿宋" w:hAnsi="仿宋" w:eastAsia="仿宋"/>
          <w:bCs/>
          <w:sz w:val="32"/>
          <w:szCs w:val="32"/>
        </w:rPr>
        <w:t>%</w:t>
      </w:r>
      <w:r>
        <w:rPr>
          <w:rStyle w:val="14"/>
          <w:rFonts w:hint="eastAsia" w:ascii="仿宋" w:hAnsi="仿宋" w:eastAsia="仿宋"/>
          <w:bCs/>
          <w:sz w:val="32"/>
          <w:szCs w:val="32"/>
        </w:rPr>
        <w:t>。其中：</w:t>
      </w:r>
      <w:bookmarkEnd w:id="31"/>
      <w:bookmarkEnd w:id="32"/>
      <w:bookmarkEnd w:id="33"/>
    </w:p>
    <w:p>
      <w:pPr>
        <w:numPr>
          <w:ilvl w:val="0"/>
          <w:numId w:val="3"/>
        </w:numPr>
        <w:spacing w:line="600" w:lineRule="exact"/>
        <w:ind w:firstLine="643" w:firstLineChars="200"/>
        <w:rPr>
          <w:rFonts w:ascii="仿宋" w:hAnsi="仿宋" w:eastAsia="仿宋"/>
          <w:b/>
          <w:sz w:val="32"/>
          <w:szCs w:val="32"/>
        </w:rPr>
      </w:pPr>
      <w:r>
        <w:rPr>
          <w:rStyle w:val="14"/>
          <w:rFonts w:hint="eastAsia" w:ascii="仿宋" w:hAnsi="仿宋" w:eastAsia="仿宋"/>
          <w:bCs/>
          <w:sz w:val="32"/>
          <w:szCs w:val="32"/>
        </w:rPr>
        <w:t>社会保障和就业（类）临时救助（款）流浪乞讨救助支出（项）</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支出决算为1076.95万元，完成预算100</w:t>
      </w:r>
      <w:r>
        <w:rPr>
          <w:rStyle w:val="14"/>
          <w:rFonts w:ascii="仿宋" w:hAnsi="仿宋" w:eastAsia="仿宋"/>
          <w:b w:val="0"/>
          <w:bCs/>
          <w:sz w:val="32"/>
          <w:szCs w:val="32"/>
        </w:rPr>
        <w:t>%</w:t>
      </w:r>
      <w:r>
        <w:rPr>
          <w:rStyle w:val="14"/>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4"/>
          <w:rFonts w:hint="eastAsia" w:ascii="仿宋" w:hAnsi="仿宋" w:eastAsia="仿宋"/>
          <w:bCs/>
          <w:sz w:val="32"/>
          <w:szCs w:val="32"/>
        </w:rPr>
        <w:t>2</w:t>
      </w:r>
      <w:r>
        <w:rPr>
          <w:rStyle w:val="14"/>
          <w:rFonts w:ascii="仿宋" w:hAnsi="仿宋" w:eastAsia="仿宋"/>
          <w:bCs/>
          <w:sz w:val="32"/>
          <w:szCs w:val="32"/>
        </w:rPr>
        <w:t>.</w:t>
      </w:r>
      <w:r>
        <w:rPr>
          <w:rStyle w:val="14"/>
          <w:rFonts w:hint="eastAsia" w:ascii="仿宋" w:hAnsi="仿宋" w:eastAsia="仿宋"/>
          <w:bCs/>
          <w:sz w:val="32"/>
          <w:szCs w:val="32"/>
        </w:rPr>
        <w:t>社会保障和就业（类）其它社会保障和就业支出（款）其它社会保障和就业支出（项）</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支出决算为149.58万元，完成预算100</w:t>
      </w:r>
      <w:r>
        <w:rPr>
          <w:rStyle w:val="14"/>
          <w:rFonts w:ascii="仿宋" w:hAnsi="仿宋" w:eastAsia="仿宋"/>
          <w:b w:val="0"/>
          <w:bCs/>
          <w:sz w:val="32"/>
          <w:szCs w:val="32"/>
        </w:rPr>
        <w:t>%</w:t>
      </w:r>
      <w:r>
        <w:rPr>
          <w:rStyle w:val="14"/>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4"/>
          <w:rFonts w:hint="eastAsia" w:ascii="仿宋" w:hAnsi="仿宋" w:eastAsia="仿宋"/>
          <w:bCs/>
          <w:sz w:val="32"/>
          <w:szCs w:val="32"/>
        </w:rPr>
        <w:t>3</w:t>
      </w:r>
      <w:r>
        <w:rPr>
          <w:rStyle w:val="14"/>
          <w:rFonts w:ascii="仿宋" w:hAnsi="仿宋" w:eastAsia="仿宋"/>
          <w:bCs/>
          <w:sz w:val="32"/>
          <w:szCs w:val="32"/>
        </w:rPr>
        <w:t>.</w:t>
      </w:r>
      <w:r>
        <w:rPr>
          <w:rStyle w:val="14"/>
          <w:rFonts w:hint="eastAsia" w:ascii="仿宋" w:hAnsi="仿宋" w:eastAsia="仿宋"/>
          <w:bCs/>
          <w:sz w:val="32"/>
          <w:szCs w:val="32"/>
        </w:rPr>
        <w:t>社会保障和就业（类）行政事业单位养老支出（款）机关事业单位基本养老保险缴费支出（项）</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支出决算为53.02万元，完成预算100</w:t>
      </w:r>
      <w:r>
        <w:rPr>
          <w:rStyle w:val="14"/>
          <w:rFonts w:ascii="仿宋" w:hAnsi="仿宋" w:eastAsia="仿宋"/>
          <w:b w:val="0"/>
          <w:bCs/>
          <w:sz w:val="32"/>
          <w:szCs w:val="32"/>
        </w:rPr>
        <w:t>%</w:t>
      </w:r>
      <w:r>
        <w:rPr>
          <w:rStyle w:val="14"/>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4"/>
          <w:rFonts w:hint="eastAsia" w:ascii="仿宋" w:hAnsi="仿宋" w:eastAsia="仿宋"/>
          <w:bCs/>
          <w:sz w:val="32"/>
          <w:szCs w:val="32"/>
        </w:rPr>
        <w:t>4</w:t>
      </w:r>
      <w:r>
        <w:rPr>
          <w:rStyle w:val="14"/>
          <w:rFonts w:ascii="仿宋" w:hAnsi="仿宋" w:eastAsia="仿宋"/>
          <w:bCs/>
          <w:sz w:val="32"/>
          <w:szCs w:val="32"/>
        </w:rPr>
        <w:t>.</w:t>
      </w:r>
      <w:r>
        <w:rPr>
          <w:rStyle w:val="14"/>
          <w:rFonts w:hint="eastAsia" w:ascii="仿宋" w:hAnsi="仿宋" w:eastAsia="仿宋"/>
          <w:bCs/>
          <w:sz w:val="32"/>
          <w:szCs w:val="32"/>
        </w:rPr>
        <w:t>社会保障和就业（类）行政事业单位养老支出（款）机关事业单位职业年金缴费支出（项）</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支出决算为5.91万元，完成预算100</w:t>
      </w:r>
      <w:r>
        <w:rPr>
          <w:rStyle w:val="14"/>
          <w:rFonts w:ascii="仿宋" w:hAnsi="仿宋" w:eastAsia="仿宋"/>
          <w:b w:val="0"/>
          <w:bCs/>
          <w:sz w:val="32"/>
          <w:szCs w:val="32"/>
        </w:rPr>
        <w:t>%</w:t>
      </w:r>
      <w:r>
        <w:rPr>
          <w:rStyle w:val="14"/>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4"/>
          <w:rFonts w:hint="eastAsia" w:ascii="仿宋" w:hAnsi="仿宋" w:eastAsia="仿宋"/>
          <w:bCs/>
          <w:sz w:val="32"/>
          <w:szCs w:val="32"/>
        </w:rPr>
        <w:t>5</w:t>
      </w:r>
      <w:r>
        <w:rPr>
          <w:rStyle w:val="14"/>
          <w:rFonts w:ascii="仿宋" w:hAnsi="仿宋" w:eastAsia="仿宋"/>
          <w:bCs/>
          <w:sz w:val="32"/>
          <w:szCs w:val="32"/>
        </w:rPr>
        <w:t>.</w:t>
      </w:r>
      <w:r>
        <w:rPr>
          <w:rFonts w:hint="eastAsia" w:ascii="仿宋" w:hAnsi="仿宋" w:eastAsia="仿宋"/>
          <w:b/>
          <w:bCs/>
          <w:sz w:val="32"/>
          <w:szCs w:val="32"/>
        </w:rPr>
        <w:t>卫生健康</w:t>
      </w:r>
      <w:r>
        <w:rPr>
          <w:rStyle w:val="14"/>
          <w:rFonts w:hint="eastAsia" w:ascii="仿宋" w:hAnsi="仿宋" w:eastAsia="仿宋"/>
          <w:bCs/>
          <w:sz w:val="32"/>
          <w:szCs w:val="32"/>
        </w:rPr>
        <w:t>（类）行政事业单位医疗（款）事业单位医疗（项）</w:t>
      </w:r>
      <w:r>
        <w:rPr>
          <w:rStyle w:val="14"/>
          <w:rFonts w:ascii="仿宋" w:hAnsi="仿宋" w:eastAsia="仿宋"/>
          <w:bCs/>
          <w:sz w:val="32"/>
          <w:szCs w:val="32"/>
        </w:rPr>
        <w:t>:</w:t>
      </w:r>
      <w:r>
        <w:rPr>
          <w:rStyle w:val="14"/>
          <w:rFonts w:hint="eastAsia" w:ascii="仿宋" w:hAnsi="仿宋" w:eastAsia="仿宋"/>
          <w:b w:val="0"/>
          <w:bCs/>
          <w:sz w:val="32"/>
          <w:szCs w:val="32"/>
        </w:rPr>
        <w:t>支出决算为26.19万元，完成预算100</w:t>
      </w:r>
      <w:r>
        <w:rPr>
          <w:rStyle w:val="14"/>
          <w:rFonts w:ascii="仿宋" w:hAnsi="仿宋" w:eastAsia="仿宋"/>
          <w:b w:val="0"/>
          <w:bCs/>
          <w:sz w:val="32"/>
          <w:szCs w:val="32"/>
        </w:rPr>
        <w:t>%</w:t>
      </w:r>
      <w:r>
        <w:rPr>
          <w:rStyle w:val="14"/>
          <w:rFonts w:hint="eastAsia" w:ascii="仿宋" w:hAnsi="仿宋" w:eastAsia="仿宋"/>
          <w:b w:val="0"/>
          <w:bCs/>
          <w:sz w:val="32"/>
          <w:szCs w:val="32"/>
        </w:rPr>
        <w:t>。</w:t>
      </w:r>
    </w:p>
    <w:p>
      <w:pPr>
        <w:spacing w:line="600" w:lineRule="exact"/>
        <w:ind w:firstLine="640" w:firstLineChars="200"/>
        <w:rPr>
          <w:rFonts w:ascii="仿宋" w:hAnsi="仿宋" w:eastAsia="仿宋"/>
          <w:b/>
          <w:sz w:val="32"/>
          <w:szCs w:val="32"/>
        </w:rPr>
      </w:pPr>
      <w:r>
        <w:rPr>
          <w:rFonts w:hint="eastAsia" w:ascii="仿宋" w:hAnsi="仿宋" w:eastAsia="仿宋"/>
          <w:sz w:val="32"/>
          <w:szCs w:val="32"/>
        </w:rPr>
        <w:t>6.</w:t>
      </w:r>
      <w:r>
        <w:rPr>
          <w:rStyle w:val="14"/>
          <w:rFonts w:hint="eastAsia" w:ascii="仿宋" w:hAnsi="仿宋" w:eastAsia="仿宋"/>
          <w:bCs/>
          <w:sz w:val="32"/>
          <w:szCs w:val="32"/>
        </w:rPr>
        <w:t>住房保障支出（类）住房改革支出（款）住房公积金（项）：</w:t>
      </w:r>
      <w:r>
        <w:rPr>
          <w:rStyle w:val="14"/>
          <w:rFonts w:hint="eastAsia" w:ascii="仿宋" w:hAnsi="仿宋" w:eastAsia="仿宋"/>
          <w:b w:val="0"/>
          <w:bCs/>
          <w:sz w:val="32"/>
          <w:szCs w:val="32"/>
        </w:rPr>
        <w:t>支出决算为80.53万元，完成预算100</w:t>
      </w:r>
      <w:r>
        <w:rPr>
          <w:rStyle w:val="14"/>
          <w:rFonts w:ascii="仿宋" w:hAnsi="仿宋" w:eastAsia="仿宋"/>
          <w:b w:val="0"/>
          <w:bCs/>
          <w:sz w:val="32"/>
          <w:szCs w:val="32"/>
        </w:rPr>
        <w:t>%</w:t>
      </w:r>
      <w:r>
        <w:rPr>
          <w:rStyle w:val="14"/>
          <w:rFonts w:hint="eastAsia" w:ascii="仿宋" w:hAnsi="仿宋" w:eastAsia="仿宋"/>
          <w:b w:val="0"/>
          <w:bCs/>
          <w:sz w:val="32"/>
          <w:szCs w:val="32"/>
        </w:rPr>
        <w:t>。</w:t>
      </w:r>
    </w:p>
    <w:p>
      <w:pPr>
        <w:tabs>
          <w:tab w:val="right" w:pos="8306"/>
        </w:tabs>
        <w:spacing w:line="600" w:lineRule="exact"/>
        <w:ind w:firstLine="640"/>
        <w:outlineLvl w:val="1"/>
        <w:rPr>
          <w:rStyle w:val="25"/>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5"/>
          <w:rFonts w:hint="eastAsia" w:ascii="黑体" w:hAnsi="黑体" w:eastAsia="黑体"/>
          <w:b w:val="0"/>
        </w:rPr>
        <w:t>般公共预算财政拨款基本支出决算情况说明</w:t>
      </w:r>
      <w:bookmarkEnd w:id="34"/>
      <w:bookmarkEnd w:id="35"/>
      <w:r>
        <w:rPr>
          <w:rStyle w:val="25"/>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22年一般公共预算财政拨款基本支出967.6万元，其中：</w:t>
      </w:r>
    </w:p>
    <w:p>
      <w:pPr>
        <w:spacing w:line="600" w:lineRule="exact"/>
        <w:ind w:firstLine="645"/>
        <w:rPr>
          <w:rFonts w:ascii="仿宋" w:hAnsi="仿宋" w:eastAsia="仿宋"/>
          <w:b/>
          <w:sz w:val="32"/>
          <w:szCs w:val="32"/>
        </w:rPr>
      </w:pPr>
      <w:r>
        <w:rPr>
          <w:rFonts w:hint="eastAsia" w:ascii="仿宋" w:hAnsi="仿宋" w:eastAsia="仿宋"/>
          <w:sz w:val="32"/>
          <w:szCs w:val="32"/>
        </w:rPr>
        <w:t>人员经费909.41万元，主要包括：基本工资、津贴补贴、绩效工资、机关事业单位基本养老保险缴费、职业年金缴费、其他社会保障缴费、其他工资福利支出、生活补助、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公用经费58.19万元，主要包括：办公费、咨询费、水费、电费、邮电费、物业管理费、差旅费、维修（护）费、公务接待费、劳务费、工会经费、福利费、公务用车运行维护费、其他商品和服务支出等。</w:t>
      </w:r>
    </w:p>
    <w:p>
      <w:pPr>
        <w:spacing w:line="600" w:lineRule="exact"/>
        <w:ind w:firstLine="640"/>
        <w:outlineLvl w:val="1"/>
        <w:rPr>
          <w:rStyle w:val="25"/>
          <w:rFonts w:ascii="黑体" w:hAnsi="黑体" w:eastAsia="黑体"/>
          <w:b w:val="0"/>
        </w:rPr>
      </w:pPr>
      <w:bookmarkStart w:id="36" w:name="_Toc15377215"/>
      <w:bookmarkStart w:id="37" w:name="_Toc15396609"/>
      <w:r>
        <w:rPr>
          <w:rFonts w:hint="eastAsia" w:ascii="黑体" w:eastAsia="黑体"/>
          <w:sz w:val="32"/>
          <w:szCs w:val="32"/>
        </w:rPr>
        <w:t>七、</w:t>
      </w:r>
      <w:r>
        <w:rPr>
          <w:rStyle w:val="25"/>
          <w:rFonts w:hint="eastAsia" w:ascii="黑体" w:hAnsi="黑体" w:eastAsia="黑体"/>
          <w:b w:val="0"/>
        </w:rPr>
        <w:t>财政拨款</w:t>
      </w:r>
      <w:r>
        <w:rPr>
          <w:rStyle w:val="25"/>
          <w:rFonts w:hint="eastAsia" w:ascii="黑体" w:hAnsi="黑体" w:eastAsia="黑体"/>
        </w:rPr>
        <w:t>“</w:t>
      </w:r>
      <w:r>
        <w:rPr>
          <w:rStyle w:val="25"/>
          <w:rFonts w:hint="eastAsia" w:ascii="黑体" w:hAnsi="黑体" w:eastAsia="黑体"/>
          <w:b w:val="0"/>
        </w:rPr>
        <w:t>三公”经费支出决算情况说明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22年“三公”经费财政拨款支出决算为3.81万元，完成预算53</w:t>
      </w:r>
      <w:r>
        <w:rPr>
          <w:rFonts w:ascii="仿宋" w:hAnsi="仿宋" w:eastAsia="仿宋"/>
          <w:sz w:val="32"/>
          <w:szCs w:val="32"/>
        </w:rPr>
        <w:t>%</w:t>
      </w:r>
      <w:r>
        <w:rPr>
          <w:rFonts w:hint="eastAsia" w:ascii="仿宋" w:hAnsi="仿宋" w:eastAsia="仿宋"/>
          <w:sz w:val="32"/>
          <w:szCs w:val="32"/>
        </w:rPr>
        <w:t>，较上年减少30.05万元，下降88%。决算数小于预算数的主要原因是因为新冠疫情严重，我站救助业务无法正常开展，致使接待人数大幅减少，接待费预算3.08万元，实际支出0.55万元。</w:t>
      </w:r>
    </w:p>
    <w:p>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；公务用车购置及运行维护费支出决算3.26万元，占85</w:t>
      </w:r>
      <w:r>
        <w:rPr>
          <w:rFonts w:ascii="仿宋" w:hAnsi="仿宋" w:eastAsia="仿宋"/>
          <w:sz w:val="32"/>
          <w:szCs w:val="32"/>
        </w:rPr>
        <w:t>%</w:t>
      </w:r>
      <w:r>
        <w:rPr>
          <w:rFonts w:hint="eastAsia" w:ascii="仿宋" w:hAnsi="仿宋" w:eastAsia="仿宋"/>
          <w:sz w:val="32"/>
          <w:szCs w:val="32"/>
        </w:rPr>
        <w:t>；公务接待费支出决算0.55万元，占15</w:t>
      </w:r>
      <w:r>
        <w:rPr>
          <w:rFonts w:ascii="仿宋" w:hAnsi="仿宋" w:eastAsia="仿宋"/>
          <w:sz w:val="32"/>
          <w:szCs w:val="32"/>
        </w:rPr>
        <w:t>%</w:t>
      </w:r>
      <w:r>
        <w:rPr>
          <w:rFonts w:hint="eastAsia" w:ascii="仿宋" w:hAnsi="仿宋" w:eastAsia="仿宋"/>
          <w:sz w:val="32"/>
          <w:szCs w:val="32"/>
        </w:rPr>
        <w:t>。具体情况如下：</w:t>
      </w:r>
    </w:p>
    <w:p>
      <w:pPr>
        <w:pStyle w:val="2"/>
        <w:spacing w:before="93"/>
        <w:rPr>
          <w:rFonts w:ascii="仿宋" w:hAnsi="仿宋" w:eastAsia="仿宋"/>
          <w:sz w:val="32"/>
          <w:szCs w:val="32"/>
        </w:rPr>
      </w:pPr>
      <w:r>
        <w:rPr>
          <w:rFonts w:hint="eastAsia" w:ascii="仿宋" w:hAnsi="仿宋" w:eastAsia="仿宋"/>
          <w:sz w:val="32"/>
          <w:szCs w:val="32"/>
        </w:rPr>
        <w:drawing>
          <wp:anchor distT="0" distB="0" distL="114300" distR="114300" simplePos="0" relativeHeight="251664384" behindDoc="0" locked="0" layoutInCell="1" allowOverlap="1">
            <wp:simplePos x="0" y="0"/>
            <wp:positionH relativeFrom="column">
              <wp:posOffset>718820</wp:posOffset>
            </wp:positionH>
            <wp:positionV relativeFrom="paragraph">
              <wp:posOffset>88900</wp:posOffset>
            </wp:positionV>
            <wp:extent cx="3505835" cy="1720850"/>
            <wp:effectExtent l="4445" t="4445" r="13970" b="8255"/>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sz w:val="32"/>
          <w:szCs w:val="32"/>
        </w:rPr>
        <w:t>（图7：“三公”经费财政拨款支出结构）</w:t>
      </w:r>
    </w:p>
    <w:p>
      <w:pPr>
        <w:spacing w:line="600" w:lineRule="exact"/>
        <w:ind w:firstLine="640"/>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0万元，年初未安排</w:t>
      </w:r>
      <w:r>
        <w:rPr>
          <w:rStyle w:val="14"/>
          <w:rFonts w:hint="eastAsia" w:ascii="仿宋" w:hAnsi="仿宋" w:eastAsia="仿宋"/>
          <w:b w:val="0"/>
          <w:bCs/>
          <w:sz w:val="32"/>
          <w:szCs w:val="32"/>
        </w:rPr>
        <w:t>预算</w:t>
      </w:r>
      <w:r>
        <w:rPr>
          <w:rFonts w:hint="eastAsia" w:ascii="仿宋_GB2312" w:eastAsia="仿宋_GB2312"/>
          <w:sz w:val="32"/>
          <w:szCs w:val="32"/>
        </w:rPr>
        <w:t>。因公出国（境）支出决算较</w:t>
      </w:r>
      <w:r>
        <w:rPr>
          <w:rFonts w:ascii="仿宋_GB2312" w:eastAsia="仿宋_GB2312"/>
          <w:sz w:val="32"/>
          <w:szCs w:val="32"/>
        </w:rPr>
        <w:t>20</w:t>
      </w:r>
      <w:r>
        <w:rPr>
          <w:rFonts w:hint="eastAsia" w:ascii="仿宋_GB2312" w:eastAsia="仿宋_GB2312"/>
          <w:sz w:val="32"/>
          <w:szCs w:val="32"/>
        </w:rPr>
        <w:t>21年无变化。</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rPr>
        <w:t>3.26万元,</w:t>
      </w:r>
      <w:r>
        <w:rPr>
          <w:rStyle w:val="14"/>
          <w:rFonts w:hint="eastAsia" w:ascii="仿宋" w:hAnsi="仿宋" w:eastAsia="仿宋"/>
          <w:b w:val="0"/>
          <w:bCs/>
          <w:sz w:val="32"/>
          <w:szCs w:val="32"/>
        </w:rPr>
        <w:t>完成预算80</w:t>
      </w:r>
      <w:r>
        <w:rPr>
          <w:rStyle w:val="14"/>
          <w:rFonts w:ascii="仿宋" w:hAnsi="仿宋" w:eastAsia="仿宋"/>
          <w:b w:val="0"/>
          <w:bCs/>
          <w:sz w:val="32"/>
          <w:szCs w:val="32"/>
        </w:rPr>
        <w:t>%</w:t>
      </w:r>
      <w:r>
        <w:rPr>
          <w:rStyle w:val="14"/>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21年减少27.56万元，下降89</w:t>
      </w:r>
      <w:r>
        <w:rPr>
          <w:rFonts w:ascii="仿宋_GB2312" w:eastAsia="仿宋_GB2312"/>
          <w:sz w:val="32"/>
          <w:szCs w:val="32"/>
        </w:rPr>
        <w:t>%</w:t>
      </w:r>
      <w:r>
        <w:rPr>
          <w:rFonts w:hint="eastAsia" w:ascii="仿宋_GB2312" w:eastAsia="仿宋_GB2312"/>
          <w:sz w:val="32"/>
          <w:szCs w:val="32"/>
        </w:rPr>
        <w:t>。主要原因是21年购置一辆救助车，22年未购置车辆。</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rPr>
        <w:t>0万元。截至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月底，单位共有公务用车4辆，其中：轿车1辆、载客汽车3辆。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rPr>
        <w:t>3.26万元。主要用于主要用于流浪乞讨人员的流动救助及特殊救助对象的护送工作等所需的公务用车燃料费、维修费、过路过桥费、保险费等支出。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rPr>
        <w:t>0.55万元，</w:t>
      </w:r>
      <w:r>
        <w:rPr>
          <w:rStyle w:val="14"/>
          <w:rFonts w:hint="eastAsia" w:ascii="仿宋" w:hAnsi="仿宋" w:eastAsia="仿宋"/>
          <w:b w:val="0"/>
          <w:bCs/>
          <w:sz w:val="32"/>
          <w:szCs w:val="32"/>
        </w:rPr>
        <w:t>完成预算18</w:t>
      </w:r>
      <w:r>
        <w:rPr>
          <w:rStyle w:val="14"/>
          <w:rFonts w:ascii="仿宋" w:hAnsi="仿宋" w:eastAsia="仿宋"/>
          <w:b w:val="0"/>
          <w:bCs/>
          <w:sz w:val="32"/>
          <w:szCs w:val="32"/>
        </w:rPr>
        <w:t>%</w:t>
      </w:r>
      <w:r>
        <w:rPr>
          <w:rStyle w:val="14"/>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21年减少2.49万元，下降81</w:t>
      </w:r>
      <w:r>
        <w:rPr>
          <w:rFonts w:ascii="仿宋_GB2312" w:eastAsia="仿宋_GB2312"/>
          <w:sz w:val="32"/>
          <w:szCs w:val="32"/>
        </w:rPr>
        <w:t>%</w:t>
      </w:r>
      <w:r>
        <w:rPr>
          <w:rFonts w:hint="eastAsia" w:ascii="仿宋_GB2312" w:eastAsia="仿宋_GB2312"/>
          <w:sz w:val="32"/>
          <w:szCs w:val="32"/>
        </w:rPr>
        <w:t>。主要原因是</w:t>
      </w:r>
      <w:r>
        <w:rPr>
          <w:rFonts w:hint="eastAsia" w:ascii="仿宋" w:hAnsi="仿宋" w:eastAsia="仿宋"/>
          <w:sz w:val="32"/>
          <w:szCs w:val="32"/>
        </w:rPr>
        <w:t>因为新冠疫情严重，我站救助业务无法正常开展，致使接待人数大幅减少</w:t>
      </w:r>
      <w:r>
        <w:rPr>
          <w:rFonts w:hint="eastAsia" w:ascii="仿宋_GB2312" w:eastAsia="仿宋_GB2312"/>
          <w:sz w:val="32"/>
          <w:szCs w:val="32"/>
        </w:rPr>
        <w:t>。其中：</w:t>
      </w:r>
    </w:p>
    <w:p>
      <w:pPr>
        <w:spacing w:line="576" w:lineRule="exact"/>
        <w:ind w:firstLine="643" w:firstLineChars="20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rPr>
        <w:t>0.55</w:t>
      </w:r>
      <w:r>
        <w:rPr>
          <w:rFonts w:hint="eastAsia" w:ascii="仿宋_GB2312" w:eastAsia="仿宋_GB2312"/>
          <w:sz w:val="32"/>
          <w:szCs w:val="32"/>
        </w:rPr>
        <w:t>万元，主要用于救助业务(执行公务、开展业务活动开支的交通费、住宿费、用餐费等)。国内公务接待19批次，58人次（不包括陪同人员），共计支出0.55万元，具体内容包括：</w:t>
      </w:r>
      <w:r>
        <w:rPr>
          <w:rFonts w:hint="eastAsia" w:ascii="仿宋" w:hAnsi="仿宋" w:eastAsia="仿宋" w:cs="仿宋"/>
          <w:sz w:val="32"/>
          <w:szCs w:val="32"/>
        </w:rPr>
        <w:t>接待对口站护送的工作人员及来我站学习参观的人员。</w:t>
      </w:r>
    </w:p>
    <w:p>
      <w:pPr>
        <w:spacing w:line="600" w:lineRule="exact"/>
        <w:ind w:firstLine="640"/>
        <w:outlineLvl w:val="1"/>
        <w:rPr>
          <w:rStyle w:val="25"/>
          <w:rFonts w:ascii="黑体" w:hAnsi="黑体" w:eastAsia="黑体"/>
        </w:rPr>
      </w:pPr>
      <w:bookmarkStart w:id="40" w:name="_Toc15396610"/>
      <w:bookmarkStart w:id="41" w:name="_Toc15377218"/>
      <w:r>
        <w:rPr>
          <w:rFonts w:hint="eastAsia" w:ascii="黑体" w:eastAsia="黑体"/>
          <w:sz w:val="32"/>
          <w:szCs w:val="32"/>
        </w:rPr>
        <w:t>八、</w:t>
      </w:r>
      <w:r>
        <w:rPr>
          <w:rStyle w:val="25"/>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22年政府性基金预算财政拨款支出59.98万元，用于我站未成年人社会保护救助工作。。</w:t>
      </w:r>
    </w:p>
    <w:p>
      <w:pPr>
        <w:spacing w:line="600" w:lineRule="exact"/>
        <w:ind w:firstLine="640"/>
        <w:rPr>
          <w:rFonts w:ascii="仿宋_GB2312" w:eastAsia="仿宋_GB2312"/>
          <w:sz w:val="32"/>
          <w:szCs w:val="32"/>
        </w:rPr>
      </w:pPr>
    </w:p>
    <w:p>
      <w:pPr>
        <w:numPr>
          <w:ilvl w:val="0"/>
          <w:numId w:val="4"/>
        </w:numPr>
        <w:spacing w:line="600" w:lineRule="exact"/>
        <w:ind w:firstLine="640"/>
        <w:outlineLvl w:val="1"/>
        <w:rPr>
          <w:rStyle w:val="25"/>
          <w:rFonts w:ascii="黑体" w:hAnsi="黑体" w:eastAsia="黑体"/>
          <w:b w:val="0"/>
        </w:rPr>
      </w:pPr>
      <w:bookmarkStart w:id="42" w:name="_Toc15377219"/>
      <w:bookmarkStart w:id="43" w:name="_Toc15396611"/>
      <w:r>
        <w:rPr>
          <w:rStyle w:val="25"/>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22年国有资本经营预算财政拨款支出0万元。</w:t>
      </w:r>
    </w:p>
    <w:p>
      <w:pPr>
        <w:spacing w:line="580" w:lineRule="exact"/>
        <w:jc w:val="center"/>
        <w:rPr>
          <w:rFonts w:ascii="方正小标宋简体" w:hAnsi="方正小标宋简体" w:eastAsia="方正小标宋简体" w:cs="方正小标宋简体"/>
          <w:sz w:val="44"/>
          <w:szCs w:val="44"/>
        </w:rPr>
      </w:pPr>
    </w:p>
    <w:p>
      <w:pPr>
        <w:numPr>
          <w:ilvl w:val="0"/>
          <w:numId w:val="4"/>
        </w:numPr>
        <w:spacing w:line="600" w:lineRule="exact"/>
        <w:ind w:firstLine="640"/>
        <w:outlineLvl w:val="1"/>
        <w:rPr>
          <w:rStyle w:val="25"/>
          <w:rFonts w:ascii="黑体" w:hAnsi="黑体" w:eastAsia="黑体"/>
          <w:b w:val="0"/>
        </w:rPr>
      </w:pPr>
      <w:bookmarkStart w:id="44" w:name="_Toc15396612"/>
      <w:bookmarkStart w:id="45" w:name="_Toc15377221"/>
      <w:r>
        <w:rPr>
          <w:rStyle w:val="25"/>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 w:hAnsi="仿宋" w:eastAsia="仿宋" w:cs="仿宋"/>
          <w:b/>
          <w:sz w:val="32"/>
          <w:szCs w:val="32"/>
        </w:rPr>
        <w:t>未发生机关运行经费支出，与2021年决算数持平。</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广元市救助管理站政府采购支出总额89.94万元，其中：政府采购货物支出49.88万元、政府采购服务支出40.06万元。主要用于未成年人社会保护工作的物品购置及流浪乞讨人员的照看服务。授予中小企业合同金额89.94万元，占政府采购支出总额的100</w:t>
      </w:r>
      <w:r>
        <w:rPr>
          <w:rFonts w:ascii="仿宋_GB2312" w:eastAsia="仿宋_GB2312"/>
          <w:sz w:val="32"/>
          <w:szCs w:val="32"/>
        </w:rPr>
        <w:t>%</w:t>
      </w:r>
      <w:r>
        <w:rPr>
          <w:rFonts w:hint="eastAsia" w:ascii="仿宋_GB2312" w:eastAsia="仿宋_GB2312"/>
          <w:sz w:val="32"/>
          <w:szCs w:val="32"/>
        </w:rPr>
        <w:t>，其中：授予小微企业合同金额89.94万元，占政府采购支出总额的100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日，广元市救助管理站共有车辆4辆，主要是用于我站的流浪乞讨人员救助工作及未成年人社会保护工作。单价</w:t>
      </w:r>
      <w:r>
        <w:rPr>
          <w:rFonts w:ascii="仿宋_GB2312" w:eastAsia="仿宋_GB2312"/>
          <w:sz w:val="32"/>
          <w:szCs w:val="32"/>
        </w:rPr>
        <w:t>100</w:t>
      </w:r>
      <w:r>
        <w:rPr>
          <w:rFonts w:hint="eastAsia" w:ascii="仿宋_GB2312" w:eastAsia="仿宋_GB2312"/>
          <w:sz w:val="32"/>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pStyle w:val="2"/>
        <w:spacing w:before="93"/>
        <w:ind w:firstLine="640" w:firstLineChars="200"/>
        <w:rPr>
          <w:rFonts w:hAnsi="仿宋_GB2312" w:cs="仿宋_GB2312"/>
          <w:sz w:val="32"/>
          <w:szCs w:val="32"/>
        </w:rPr>
      </w:pPr>
      <w:r>
        <w:rPr>
          <w:rFonts w:hint="eastAsia" w:hAnsi="仿宋_GB2312" w:cs="仿宋_GB2312"/>
          <w:sz w:val="32"/>
          <w:szCs w:val="32"/>
        </w:rPr>
        <w:t>根据预算绩效管理要求，本单位在2022年度预算编制阶段，组织对流浪乞讨人员救助项目等2个项目开展了预算事前绩效评估，对2个项目编制了绩效目标，预算执行过程中，选取2个项目开展绩效监控，组织对2个项目开展绩效自评，绩效自评表详见第四部分附件。</w:t>
      </w: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5"/>
        </w:numPr>
        <w:spacing w:line="600" w:lineRule="exact"/>
        <w:ind w:firstLine="660" w:firstLineChars="150"/>
        <w:jc w:val="center"/>
        <w:outlineLvl w:val="0"/>
        <w:rPr>
          <w:rStyle w:val="24"/>
          <w:rFonts w:ascii="黑体" w:hAnsi="黑体" w:eastAsia="黑体"/>
          <w:b w:val="0"/>
        </w:rPr>
      </w:pPr>
      <w:bookmarkStart w:id="49" w:name="_Toc15396613"/>
      <w:bookmarkStart w:id="50" w:name="_Toc15377225"/>
      <w:r>
        <w:rPr>
          <w:rFonts w:hint="eastAsia" w:ascii="黑体" w:hAnsi="黑体" w:eastAsia="黑体"/>
          <w:sz w:val="44"/>
          <w:szCs w:val="44"/>
        </w:rPr>
        <w:t>名</w:t>
      </w:r>
      <w:r>
        <w:rPr>
          <w:rStyle w:val="24"/>
          <w:rFonts w:hint="eastAsia" w:ascii="黑体" w:hAnsi="黑体" w:eastAsia="黑体"/>
          <w:b w:val="0"/>
        </w:rPr>
        <w:t>词解释</w:t>
      </w:r>
      <w:bookmarkEnd w:id="49"/>
      <w:bookmarkEnd w:id="50"/>
    </w:p>
    <w:p>
      <w:pPr>
        <w:spacing w:line="600" w:lineRule="exact"/>
        <w:jc w:val="left"/>
        <w:rPr>
          <w:rFonts w:ascii="宋体"/>
          <w:b/>
          <w:sz w:val="44"/>
          <w:szCs w:val="44"/>
        </w:rPr>
      </w:pP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3.年末结转和结余：指单位按有关规定结转到下年或以后年度继续使用的资金。</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w:t>
      </w:r>
      <w:r>
        <w:rPr>
          <w:rStyle w:val="14"/>
          <w:rFonts w:hint="eastAsia" w:ascii="仿宋" w:hAnsi="仿宋" w:eastAsia="仿宋"/>
          <w:b w:val="0"/>
          <w:bCs/>
          <w:sz w:val="32"/>
          <w:szCs w:val="32"/>
        </w:rPr>
        <w:t xml:space="preserve"> 社会保障和就业（类）其它社会保障和就业支出（款）其它社会保障和就业支出（项）</w:t>
      </w:r>
      <w:r>
        <w:rPr>
          <w:rFonts w:hint="eastAsia" w:ascii="仿宋_GB2312" w:eastAsia="仿宋_GB2312"/>
          <w:sz w:val="32"/>
          <w:szCs w:val="32"/>
        </w:rPr>
        <w:t>指反映上述项目以外其他用于</w:t>
      </w:r>
      <w:r>
        <w:rPr>
          <w:rStyle w:val="14"/>
          <w:rFonts w:hint="eastAsia" w:ascii="仿宋" w:hAnsi="仿宋" w:eastAsia="仿宋"/>
          <w:b w:val="0"/>
          <w:bCs/>
          <w:sz w:val="32"/>
          <w:szCs w:val="32"/>
        </w:rPr>
        <w:t>社会保障和就业方面的支出</w:t>
      </w:r>
      <w:r>
        <w:rPr>
          <w:rFonts w:hint="eastAsia" w:ascii="仿宋_GB2312" w:eastAsia="仿宋_GB2312"/>
          <w:sz w:val="32"/>
          <w:szCs w:val="32"/>
        </w:rPr>
        <w:t>。</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w:t>
      </w:r>
      <w:r>
        <w:rPr>
          <w:rStyle w:val="14"/>
          <w:rFonts w:hint="eastAsia" w:ascii="仿宋" w:hAnsi="仿宋" w:eastAsia="仿宋"/>
          <w:b w:val="0"/>
          <w:bCs/>
          <w:sz w:val="32"/>
          <w:szCs w:val="32"/>
        </w:rPr>
        <w:t xml:space="preserve"> 社会保障和就业（类）临时救助（款）流浪乞讨人员救助（项）</w:t>
      </w:r>
      <w:r>
        <w:rPr>
          <w:rFonts w:hint="eastAsia" w:ascii="仿宋_GB2312" w:eastAsia="仿宋_GB2312"/>
          <w:sz w:val="32"/>
          <w:szCs w:val="32"/>
        </w:rPr>
        <w:t>：指反映用于生活无着的流浪乞讨人员的救助支出和救助管理机构的运转支出。</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w:t>
      </w:r>
      <w:r>
        <w:rPr>
          <w:rStyle w:val="14"/>
          <w:rFonts w:hint="eastAsia" w:ascii="仿宋" w:hAnsi="仿宋" w:eastAsia="仿宋"/>
          <w:bCs/>
          <w:sz w:val="32"/>
          <w:szCs w:val="32"/>
        </w:rPr>
        <w:t xml:space="preserve"> </w:t>
      </w:r>
      <w:r>
        <w:rPr>
          <w:rStyle w:val="14"/>
          <w:rFonts w:hint="eastAsia" w:ascii="仿宋" w:hAnsi="仿宋" w:eastAsia="仿宋"/>
          <w:b w:val="0"/>
          <w:bCs/>
          <w:sz w:val="32"/>
          <w:szCs w:val="32"/>
        </w:rPr>
        <w:t>社会保障和就业（类）行政事业单位养老支出（款）机关事业单位基本养老保险缴费支出（项）</w:t>
      </w:r>
      <w:r>
        <w:rPr>
          <w:rFonts w:hint="eastAsia" w:ascii="仿宋_GB2312" w:eastAsia="仿宋_GB2312"/>
          <w:b/>
          <w:sz w:val="32"/>
          <w:szCs w:val="32"/>
        </w:rPr>
        <w:t>：</w:t>
      </w:r>
      <w:r>
        <w:rPr>
          <w:rFonts w:hint="eastAsia" w:ascii="仿宋_GB2312" w:eastAsia="仿宋_GB2312"/>
          <w:sz w:val="32"/>
          <w:szCs w:val="32"/>
        </w:rPr>
        <w:t>指反映机关事业单位实施养老保险制度由单位缴纳的基本养老保险费支出。</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w:t>
      </w:r>
      <w:r>
        <w:rPr>
          <w:rStyle w:val="14"/>
          <w:rFonts w:hint="eastAsia" w:ascii="仿宋" w:hAnsi="仿宋" w:eastAsia="仿宋"/>
          <w:bCs/>
          <w:sz w:val="32"/>
          <w:szCs w:val="32"/>
        </w:rPr>
        <w:t xml:space="preserve"> </w:t>
      </w:r>
      <w:r>
        <w:rPr>
          <w:rStyle w:val="14"/>
          <w:rFonts w:hint="eastAsia" w:ascii="仿宋" w:hAnsi="仿宋" w:eastAsia="仿宋"/>
          <w:b w:val="0"/>
          <w:bCs/>
          <w:sz w:val="32"/>
          <w:szCs w:val="32"/>
        </w:rPr>
        <w:t>社会保障和就业（类）行政事业单位养老支出（款）机关事业单位职业年金缴费支出（项）</w:t>
      </w:r>
      <w:r>
        <w:rPr>
          <w:rFonts w:hint="eastAsia" w:ascii="仿宋_GB2312" w:eastAsia="仿宋_GB2312"/>
          <w:sz w:val="32"/>
          <w:szCs w:val="32"/>
        </w:rPr>
        <w:t>。指反映机关事业单位实施养老保险制度由单位实际缴纳的职业年金支出。</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w:t>
      </w:r>
      <w:r>
        <w:rPr>
          <w:rFonts w:hint="eastAsia" w:ascii="仿宋" w:hAnsi="仿宋" w:eastAsia="仿宋"/>
          <w:b/>
          <w:bCs/>
          <w:sz w:val="32"/>
          <w:szCs w:val="32"/>
        </w:rPr>
        <w:t xml:space="preserve"> </w:t>
      </w:r>
      <w:r>
        <w:rPr>
          <w:rFonts w:hint="eastAsia" w:ascii="仿宋" w:hAnsi="仿宋" w:eastAsia="仿宋"/>
          <w:bCs/>
          <w:sz w:val="32"/>
          <w:szCs w:val="32"/>
        </w:rPr>
        <w:t>卫生健康</w:t>
      </w:r>
      <w:r>
        <w:rPr>
          <w:rStyle w:val="14"/>
          <w:rFonts w:hint="eastAsia" w:ascii="仿宋" w:hAnsi="仿宋" w:eastAsia="仿宋"/>
          <w:b w:val="0"/>
          <w:bCs/>
          <w:sz w:val="32"/>
          <w:szCs w:val="32"/>
        </w:rPr>
        <w:t>（类）行政事业单位医疗（款）事业单位医疗（项）</w:t>
      </w:r>
      <w:r>
        <w:rPr>
          <w:rFonts w:hint="eastAsia" w:ascii="仿宋_GB2312" w:eastAsia="仿宋_GB2312"/>
          <w:b/>
          <w:sz w:val="32"/>
          <w:szCs w:val="32"/>
        </w:rPr>
        <w:t>：</w:t>
      </w:r>
      <w:r>
        <w:rPr>
          <w:rFonts w:hint="eastAsia" w:ascii="仿宋_GB2312" w:eastAsia="仿宋_GB2312"/>
          <w:sz w:val="32"/>
          <w:szCs w:val="32"/>
        </w:rPr>
        <w:t>指反映财政部门安排的事业单位基本医疗保险缴费经费，未参加医疗保险的事业单位的公费医疗经费，按国家规定享受离休人员待遇的医疗经费。</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9</w:t>
      </w:r>
      <w:r>
        <w:rPr>
          <w:rFonts w:ascii="仿宋_GB2312" w:eastAsia="仿宋_GB2312"/>
          <w:sz w:val="32"/>
          <w:szCs w:val="32"/>
        </w:rPr>
        <w:t>.</w:t>
      </w:r>
      <w:r>
        <w:rPr>
          <w:rStyle w:val="14"/>
          <w:rFonts w:hint="eastAsia" w:ascii="仿宋" w:hAnsi="仿宋" w:eastAsia="仿宋"/>
          <w:bCs/>
          <w:sz w:val="32"/>
          <w:szCs w:val="32"/>
        </w:rPr>
        <w:t xml:space="preserve"> </w:t>
      </w:r>
      <w:r>
        <w:rPr>
          <w:rStyle w:val="14"/>
          <w:rFonts w:hint="eastAsia" w:ascii="仿宋" w:hAnsi="仿宋" w:eastAsia="仿宋"/>
          <w:b w:val="0"/>
          <w:bCs/>
          <w:sz w:val="32"/>
          <w:szCs w:val="32"/>
        </w:rPr>
        <w:t>住房保障支出（类）住房改革支出（款）住房公积金（项）</w:t>
      </w:r>
      <w:r>
        <w:rPr>
          <w:rFonts w:hint="eastAsia" w:ascii="仿宋_GB2312" w:eastAsia="仿宋_GB2312"/>
          <w:b/>
          <w:sz w:val="32"/>
          <w:szCs w:val="32"/>
        </w:rPr>
        <w:t>：</w:t>
      </w:r>
      <w:r>
        <w:rPr>
          <w:rFonts w:hint="eastAsia" w:ascii="仿宋_GB2312" w:eastAsia="仿宋_GB2312"/>
          <w:sz w:val="32"/>
          <w:szCs w:val="32"/>
        </w:rPr>
        <w:t>指反映行政事业单位按人力资源和社会保障部、财政部规定的基本工资和津贴补贴以及规定比例为职工缴纳的住房公积金。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hint="eastAsia" w:ascii="仿宋_GB2312" w:eastAsia="仿宋_GB2312"/>
          <w:sz w:val="32"/>
          <w:szCs w:val="32"/>
        </w:rPr>
        <w:t>10</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rPr>
        <w:t>11</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12</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4"/>
          <w:rFonts w:ascii="黑体" w:hAnsi="黑体" w:eastAsia="黑体"/>
          <w:b w:val="0"/>
        </w:rPr>
      </w:pPr>
      <w:bookmarkStart w:id="51" w:name="_Toc15377226"/>
      <w:r>
        <w:rPr>
          <w:rFonts w:ascii="宋体"/>
          <w:b/>
          <w:sz w:val="44"/>
          <w:szCs w:val="44"/>
        </w:rPr>
        <w:br w:type="page"/>
      </w:r>
      <w:bookmarkStart w:id="52" w:name="_Toc15396614"/>
      <w:r>
        <w:rPr>
          <w:rFonts w:hint="eastAsia" w:ascii="黑体" w:hAnsi="黑体" w:eastAsia="黑体"/>
          <w:sz w:val="44"/>
          <w:szCs w:val="44"/>
        </w:rPr>
        <w:t>第</w:t>
      </w:r>
      <w:r>
        <w:rPr>
          <w:rStyle w:val="24"/>
          <w:rFonts w:hint="eastAsia" w:ascii="黑体" w:hAnsi="黑体" w:eastAsia="黑体"/>
          <w:b w:val="0"/>
        </w:rPr>
        <w:t>四部分 附件</w:t>
      </w:r>
      <w:bookmarkEnd w:id="52"/>
    </w:p>
    <w:p>
      <w:pPr>
        <w:spacing w:line="572" w:lineRule="exact"/>
        <w:jc w:val="left"/>
        <w:outlineLvl w:val="0"/>
        <w:rPr>
          <w:rFonts w:ascii="仿宋_GB2312" w:hAnsi="仿宋_GB2312" w:eastAsia="仿宋_GB2312" w:cs="仿宋_GB2312"/>
          <w:sz w:val="32"/>
          <w:szCs w:val="32"/>
        </w:rPr>
      </w:pPr>
    </w:p>
    <w:p>
      <w:pPr>
        <w:spacing w:line="600" w:lineRule="exact"/>
        <w:jc w:val="center"/>
        <w:outlineLvl w:val="0"/>
        <w:rPr>
          <w:rFonts w:ascii="仿宋_GB2312" w:hAnsi="Calibri" w:eastAsia="仿宋_GB2312" w:cs="仿宋"/>
          <w:kern w:val="0"/>
          <w:sz w:val="32"/>
          <w:szCs w:val="32"/>
        </w:rPr>
      </w:pPr>
      <w:bookmarkStart w:id="53" w:name="_Toc15396618"/>
      <w:r>
        <w:rPr>
          <w:rFonts w:hint="eastAsia" w:ascii="宋体" w:hAnsi="宋体" w:cs="宋体"/>
          <w:kern w:val="0"/>
          <w:sz w:val="32"/>
          <w:szCs w:val="32"/>
        </w:rPr>
        <w:t>部门预算项目支出绩效自评表（2022年度）</w:t>
      </w:r>
    </w:p>
    <w:p>
      <w:pPr>
        <w:pStyle w:val="2"/>
        <w:spacing w:before="93"/>
        <w:rPr>
          <w:rFonts w:hAnsi="Calibri" w:cs="仿宋"/>
          <w:sz w:val="32"/>
          <w:szCs w:val="32"/>
        </w:rPr>
      </w:pPr>
    </w:p>
    <w:tbl>
      <w:tblPr>
        <w:tblW w:w="92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76"/>
        <w:gridCol w:w="1123"/>
        <w:gridCol w:w="1115"/>
        <w:gridCol w:w="1206"/>
        <w:gridCol w:w="500"/>
        <w:gridCol w:w="859"/>
        <w:gridCol w:w="500"/>
        <w:gridCol w:w="866"/>
        <w:gridCol w:w="576"/>
        <w:gridCol w:w="576"/>
        <w:gridCol w:w="13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9248"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广元市民政局部门</w:t>
            </w:r>
          </w:p>
        </w:tc>
        <w:tc>
          <w:tcPr>
            <w:tcW w:w="870" w:type="dxa"/>
            <w:tcBorders>
              <w:top w:val="nil"/>
              <w:left w:val="nil"/>
              <w:bottom w:val="nil"/>
              <w:right w:val="nil"/>
            </w:tcBorders>
            <w:shd w:val="clear"/>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40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广元市救助管理站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8"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严格执行相关政策，保障工资及时发放、足额发放，预算编制科学合理，减少结余资金</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按时完成职工工资福利待遇的发放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3"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按月支付工资、保险、住房公积金等，保障工资及时发放、足额发放。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250.09</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290.09</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290.09</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4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250.09</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290.09</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290.09</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18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时效指标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6847"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我单位主要抓好预算绩效过程管理，建立全过程预算绩效管理链条。预算编制环节绩效目标管理与预算编制同步；按照财政部门要求反馈结果应用，积极配合评价工作。开展绩效监控，对绩效目标实现程度和预算执行进度实行“双监控”，努力发挥项目效益，部门整体支出绩效达到预期目标。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在对待绩效评价的认识上有差距。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一是加强学习，提高认识；二是加强项目监督，提高财政资金使用效率。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54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项目负责人：唐欢</w:t>
            </w:r>
          </w:p>
        </w:tc>
        <w:tc>
          <w:tcPr>
            <w:tcW w:w="470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财务负责人：何梅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1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9248"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广元市民政局部门</w:t>
            </w:r>
          </w:p>
        </w:tc>
        <w:tc>
          <w:tcPr>
            <w:tcW w:w="870"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40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广元市救助管理站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8"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按时支付离退休人员的做实职业年金</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按时完成职工福利待遇的发放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3"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5.91</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5.91</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4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5.91</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5.91</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6847"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我单位主要抓好预算绩效过程管理，建立全过程预算绩效管理链条。预算编制环节绩效目标管理与预算编制同步；按照财政部门要求反馈结果应用，积极配合评价工作。开展绩效监控，对绩效目标实现程度和预算执行进度实行“双监控”，努力发挥项目效益，部门整体支出绩效达到预期目标。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在对待绩效评价的认识上有差距。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一是加强学习，提高认识；二是加强项目监督，提高财政资金使用效率。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54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项目负责人：唐欢</w:t>
            </w:r>
          </w:p>
        </w:tc>
        <w:tc>
          <w:tcPr>
            <w:tcW w:w="470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财务负责人：何梅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1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9248"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广元市民政局部门</w:t>
            </w:r>
          </w:p>
        </w:tc>
        <w:tc>
          <w:tcPr>
            <w:tcW w:w="870"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40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广元市救助管理站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8"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严格执行相关政策，保障工资及时发放、足额发放，预算编制科学合理，减少结余资金</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按时完成职工福利待遇的发放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3"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按月支付退休人员生活补助及时发放、足额发放。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54.39</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52.45</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52.45</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4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54.39</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52.45</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52.45</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18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时效指标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6847"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我单位主要抓好预算绩效过程管理，建立全过程预算绩效管理链条。预算编制环节绩效目标管理与预算编制同步；按照财政部门要求反馈结果应用，积极配合评价工作。开展绩效监控，对绩效目标实现程度和预算执行进度实行“双监控”，努力发挥项目效益，部门整体支出绩效达到预期目标。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在对待绩效评价的认识上有差距。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一是加强学习，提高认识；二是加强项目监督，提高财政资金使用效率。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54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项目负责人：唐欢</w:t>
            </w:r>
          </w:p>
        </w:tc>
        <w:tc>
          <w:tcPr>
            <w:tcW w:w="470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财务负责人：何梅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1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9248"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广元市民政局部门</w:t>
            </w:r>
          </w:p>
        </w:tc>
        <w:tc>
          <w:tcPr>
            <w:tcW w:w="870"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40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广元市救助管理站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8"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严格执行相关政策，保障工资及时发放、足额发放，预算编制科学合理，减少结余资金</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按时完成职工福利待遇的发放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3"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按时支付遗属人员的生活补助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5.34</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4.86</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4.86</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4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5.34</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4.86</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4.86</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18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时效指标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6847"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我单位主要抓好预算绩效过程管理，建立全过程预算绩效管理链条。预算编制环节绩效目标管理与预算编制同步；按照财政部门要求反馈结果应用，积极配合评价工作。开展绩效监控，对绩效目标实现程度和预算执行进度实行“双监控”，努力发挥项目效益，部门整体支出绩效达到预期目标。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在对待绩效评价的认识上有差距。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一是加强学习，提高认识；二是加强项目监督，提高财政资金使用效率。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54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项目负责人：唐欢</w:t>
            </w:r>
          </w:p>
        </w:tc>
        <w:tc>
          <w:tcPr>
            <w:tcW w:w="470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财务负责人：何梅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1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1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9248"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广元市民政局部门</w:t>
            </w:r>
          </w:p>
        </w:tc>
        <w:tc>
          <w:tcPr>
            <w:tcW w:w="870"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40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广元市救助管理站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8"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保障单位日常运转，提高预算编制质量，严格执行预算</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全面保障单位的正常运转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3"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按时支付水电、办公、车辆维修、物管等支出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20.97</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14.66</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14.66</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4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20.97</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14.66</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14.66</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8"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18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6847"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我单位主要抓好预算绩效过程管理，建立全过程预算绩效管理链条。预算编制环节绩效目标管理与预算编制同步；按照财政部门要求反馈结果应用，积极配合评价工作。开展绩效监控，对绩效目标实现程度和预算执行进度实行“双监控”，努力发挥项目效益，部门整体支出绩效达到预期目标。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在对待绩效评价的认识上有差距。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一是加强学习，提高认识；二是加强项目监督，提高财政资金使用效率。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54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项目负责人：唐欢</w:t>
            </w:r>
          </w:p>
        </w:tc>
        <w:tc>
          <w:tcPr>
            <w:tcW w:w="470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财务负责人：何梅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1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9248"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广元市民政局部门</w:t>
            </w:r>
          </w:p>
        </w:tc>
        <w:tc>
          <w:tcPr>
            <w:tcW w:w="870"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40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广元市救助管理站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8"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严格执行相关政策，保障工资及时发放、足额发放，预算编制科学合理，减少结余资金</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按时完成职工福利待遇的发放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3"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按月支付工资、保险、住房公积金等，保障工资及时发放、足额发放。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373.34</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514.32</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514.32</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4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373.34</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514.32</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514.32</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18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时效指标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6847"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我单位主要抓好预算绩效过程管理，建立全过程预算绩效管理链条。预算编制环节绩效目标管理与预算编制同步；按照财政部门要求反馈结果应用，积极配合评价工作。开展绩效监控，对绩效目标实现程度和预算执行进度实行“双监控”，努力发挥项目效益，部门整体支出绩效达到预期目标。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在对待绩效评价的认识上有差距。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一是加强学习，提高认识；二是加强项目监督，提高财政资金使用效率。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54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项目负责人：唐欢</w:t>
            </w:r>
          </w:p>
        </w:tc>
        <w:tc>
          <w:tcPr>
            <w:tcW w:w="470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财务负责人：何梅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1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9248"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51080022R000006910914-退休“中人”一次性退休补贴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广元市民政局部门</w:t>
            </w:r>
          </w:p>
        </w:tc>
        <w:tc>
          <w:tcPr>
            <w:tcW w:w="870"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40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广元市救助管理站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8"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及时发放、足额发放。</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按时完成职工福利待遇的发放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3"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1.59</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1.59</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4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1.59</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1.59</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6847"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我单位主要抓好预算绩效过程管理，建立全过程预算绩效管理链条。预算编制环节绩效目标管理与预算编制同步；按照财政部门要求反馈结果应用，积极配合评价工作。开展绩效监控，对绩效目标实现程度和预算执行进度实行“双监控”，努力发挥项目效益，部门整体支出绩效达到预期目标。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在对待绩效评价的认识上有差距。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一是加强学习，提高认识；二是加强项目监督，提高财政资金使用效率。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54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项目负责人：唐欢</w:t>
            </w:r>
          </w:p>
        </w:tc>
        <w:tc>
          <w:tcPr>
            <w:tcW w:w="470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财务负责人：何梅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1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1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9248"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广元市民政局部门</w:t>
            </w:r>
          </w:p>
        </w:tc>
        <w:tc>
          <w:tcPr>
            <w:tcW w:w="870"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40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广元市救助管理站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8"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保障单位日常运转，提高预算编制质量，严格执行预算</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全面保障单位的正常运转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3"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按时支付水电、办公、车辆维修、物管等支出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55.57</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55.57</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4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55.57</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55.57</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8"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18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6847"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我单位主要抓好预算绩效过程管理，建立全过程预算绩效管理链条。预算编制环节绩效目标管理与预算编制同步；按照财政部门要求反馈结果应用，积极配合评价工作。开展绩效监控，对绩效目标实现程度和预算执行进度实行“双监控”，努力发挥项目效益，部门整体支出绩效达到预期目标。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在对待绩效评价的认识上有差距。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一是加强学习，提高认识；二是加强项目监督，提高财政资金使用效率。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54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项目负责人：唐欢</w:t>
            </w:r>
          </w:p>
        </w:tc>
        <w:tc>
          <w:tcPr>
            <w:tcW w:w="470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财务负责人：何梅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1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9248"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广元市民政局部门</w:t>
            </w:r>
          </w:p>
        </w:tc>
        <w:tc>
          <w:tcPr>
            <w:tcW w:w="870"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40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广元市救助管理站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8"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严格执行相关政策，保障工资及时发放、足额发放，预算编制科学合理，减少结余资金</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按时完成职工福利待遇的发放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3"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按月支付工资、保险、住房公积金等，保障工资及时发放、足额发放。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36.64</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36.64</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4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36.64</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36.64</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7"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6847"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我单位主要抓好预算绩效过程管理，建立全过程预算绩效管理链条。预算编制环节绩效目标管理与预算编制同步；按照财政部门要求反馈结果应用，积极配合评价工作。开展绩效监控，对绩效目标实现程度和预算执行进度实行“双监控”，努力发挥项目效益，部门整体支出绩效达到预期目标。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在对待绩效评价的认识上有差距。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一是加强学习，提高认识；二是加强项目监督，提高财政资金使用效率。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54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项目负责人：唐欢</w:t>
            </w:r>
          </w:p>
        </w:tc>
        <w:tc>
          <w:tcPr>
            <w:tcW w:w="470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财务负责人：何梅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1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248"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51080021T000000050260-流浪乞讨人员救助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广元市民政局部门</w:t>
            </w:r>
          </w:p>
        </w:tc>
        <w:tc>
          <w:tcPr>
            <w:tcW w:w="870"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40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广元市救助管理站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1、救助人数达600人次。</w:t>
            </w:r>
            <w:r>
              <w:rPr>
                <w:rFonts w:ascii="宋体" w:hAnsi="宋体" w:eastAsia="宋体" w:cs="宋体"/>
                <w:i w:val="0"/>
                <w:iCs w:val="0"/>
                <w:color w:val="000000"/>
                <w:kern w:val="0"/>
                <w:sz w:val="18"/>
                <w:szCs w:val="18"/>
                <w:u w:val="none"/>
                <w:bdr w:val="none" w:color="auto" w:sz="0" w:space="0"/>
                <w:lang w:val="en-US" w:eastAsia="zh-CN" w:bidi="ar"/>
              </w:rPr>
              <w:br w:type="textWrapping"/>
            </w:r>
            <w:r>
              <w:rPr>
                <w:rFonts w:ascii="宋体" w:hAnsi="宋体" w:eastAsia="宋体" w:cs="宋体"/>
                <w:i w:val="0"/>
                <w:iCs w:val="0"/>
                <w:color w:val="000000"/>
                <w:kern w:val="0"/>
                <w:sz w:val="18"/>
                <w:szCs w:val="18"/>
                <w:u w:val="none"/>
                <w:bdr w:val="none" w:color="auto" w:sz="0" w:space="0"/>
                <w:lang w:val="en-US" w:eastAsia="zh-CN" w:bidi="ar"/>
              </w:rPr>
              <w:t>2、未成年社会保护点16个。</w:t>
            </w:r>
            <w:r>
              <w:rPr>
                <w:rFonts w:ascii="宋体" w:hAnsi="宋体" w:eastAsia="宋体" w:cs="宋体"/>
                <w:i w:val="0"/>
                <w:iCs w:val="0"/>
                <w:color w:val="000000"/>
                <w:kern w:val="0"/>
                <w:sz w:val="18"/>
                <w:szCs w:val="18"/>
                <w:u w:val="none"/>
                <w:bdr w:val="none" w:color="auto" w:sz="0" w:space="0"/>
                <w:lang w:val="en-US" w:eastAsia="zh-CN" w:bidi="ar"/>
              </w:rPr>
              <w:br w:type="textWrapping"/>
            </w:r>
            <w:r>
              <w:rPr>
                <w:rFonts w:ascii="宋体" w:hAnsi="宋体" w:eastAsia="宋体" w:cs="宋体"/>
                <w:i w:val="0"/>
                <w:iCs w:val="0"/>
                <w:color w:val="000000"/>
                <w:kern w:val="0"/>
                <w:sz w:val="18"/>
                <w:szCs w:val="18"/>
                <w:u w:val="none"/>
                <w:bdr w:val="none" w:color="auto" w:sz="0" w:space="0"/>
                <w:lang w:val="en-US" w:eastAsia="zh-CN" w:bidi="ar"/>
              </w:rPr>
              <w:t>3、临时安置好100多人 。</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全年完成620人次救助，未成年人社会保护站点正常运行，临时安置好130多人。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我站始终坚持“自愿求助、无偿救助、依法救助”的工作原则，做好受助人员身份甄别、家庭地址查询、日常生活管理服务，进行生活救助、医疗救助、主动救助、返乡救助、教育矫治、临时安置及未成年人生活保护等救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615.12</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484.57</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484.57</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4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615.12</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484.57</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484.57</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救助人数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人次</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620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社会稳定</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满意度指标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服务对象满意度指标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服务对象满意</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6847"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我单位主要抓好预算绩效过程管理，建立全过程预算绩效管理链条。预算编制环节绩效目标管理与预算编制同步；按照财政部门要求反馈结果应用，积极配合评价工作。开展绩效监控，对绩效目标实现程度和预算执行进度实行“双监控”，努力发挥项目效益，部门整体支出绩效达到预期目标。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在对待绩效评价的认识上有差距。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一是加强学习，提高认识；二是加强项目监督，提高财政资金使用效率。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54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项目负责人：谢军</w:t>
            </w:r>
          </w:p>
        </w:tc>
        <w:tc>
          <w:tcPr>
            <w:tcW w:w="470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财务负责人：唐欢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9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1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0" w:hRule="atLeast"/>
        </w:trPr>
        <w:tc>
          <w:tcPr>
            <w:tcW w:w="9248"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51080022T000004940218-乡村振兴工作经费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广元市民政局部门</w:t>
            </w:r>
          </w:p>
        </w:tc>
        <w:tc>
          <w:tcPr>
            <w:tcW w:w="870"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40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广元市救助管理站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2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25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广元市救助管理站乡村振兴重点帮扶100户，人均年纯收入超过6000元。</w:t>
            </w:r>
          </w:p>
        </w:tc>
        <w:tc>
          <w:tcPr>
            <w:tcW w:w="327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我站安排3名工作人员负责乡村振兴帮扶工作，配合乡镇全面完成乡村振兴工作任务。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52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依据市委、市政府要求，我站乡村振兴对口帮扶旺苍县木门镇青坪村，我站指派3名工作人员负责乡村振兴工作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5.46</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5.46</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5.46</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4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5.46</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5.46</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5.46</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57"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4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重点户数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户</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人均年纯收入</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元/年</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6200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满意度指标</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服务对象满意度指标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满意度</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6847"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我单位主要抓好预算绩效过程管理，建立全过程预算绩效管理链条。预算编制环节绩效目标管理与预算编制同步；按照财政部门要求反馈结果应用，积极配合评价工作。开展绩效监控，对绩效目标实现程度和预算执行进度实行“双监控”，努力发挥项目效益，部门整体支出绩效达到预期目标。自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在对待绩效评价的认识上有差距。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75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一是加强学习，提高认识；二是加强项目监督，提高财政资金使用效率。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54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项目负责人：王历丰</w:t>
            </w:r>
          </w:p>
        </w:tc>
        <w:tc>
          <w:tcPr>
            <w:tcW w:w="470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财务负责人：唐欢</w:t>
            </w:r>
          </w:p>
        </w:tc>
      </w:tr>
    </w:tbl>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spacing w:line="600" w:lineRule="exact"/>
        <w:jc w:val="center"/>
        <w:outlineLvl w:val="0"/>
        <w:rPr>
          <w:rFonts w:ascii="仿宋" w:hAnsi="仿宋" w:eastAsia="仿宋"/>
        </w:rPr>
      </w:pPr>
      <w:r>
        <w:rPr>
          <w:rFonts w:hint="eastAsia" w:ascii="黑体" w:hAnsi="黑体" w:eastAsia="黑体"/>
          <w:sz w:val="44"/>
          <w:szCs w:val="44"/>
        </w:rPr>
        <w:t>第</w:t>
      </w:r>
      <w:r>
        <w:rPr>
          <w:rStyle w:val="24"/>
          <w:rFonts w:hint="eastAsia" w:ascii="黑体" w:hAnsi="黑体" w:eastAsia="黑体"/>
          <w:b w:val="0"/>
        </w:rPr>
        <w:t>五部分 附表</w:t>
      </w:r>
      <w:bookmarkEnd w:id="51"/>
      <w:bookmarkEnd w:id="53"/>
      <w:bookmarkStart w:id="54" w:name="_Toc15396619"/>
    </w:p>
    <w:p>
      <w:pPr>
        <w:pStyle w:val="4"/>
        <w:rPr>
          <w:rFonts w:ascii="仿宋" w:hAnsi="仿宋" w:eastAsia="仿宋"/>
        </w:rPr>
      </w:pPr>
      <w:r>
        <w:rPr>
          <w:rFonts w:hint="eastAsia" w:ascii="仿宋" w:hAnsi="仿宋" w:eastAsia="仿宋"/>
          <w:b w:val="0"/>
        </w:rPr>
        <w:t>一、收</w:t>
      </w:r>
      <w:r>
        <w:rPr>
          <w:rStyle w:val="25"/>
          <w:rFonts w:hint="eastAsia" w:ascii="仿宋" w:hAnsi="仿宋" w:eastAsia="仿宋"/>
          <w:b w:val="0"/>
          <w:bCs w:val="0"/>
        </w:rPr>
        <w:t>入支出决算总表</w:t>
      </w:r>
      <w:bookmarkEnd w:id="54"/>
    </w:p>
    <w:p>
      <w:pPr>
        <w:pStyle w:val="4"/>
        <w:rPr>
          <w:rFonts w:ascii="仿宋" w:hAnsi="仿宋" w:eastAsia="仿宋"/>
        </w:rPr>
      </w:pPr>
      <w:bookmarkStart w:id="55" w:name="_Toc15396620"/>
      <w:r>
        <w:rPr>
          <w:rFonts w:hint="eastAsia" w:ascii="仿宋" w:hAnsi="仿宋" w:eastAsia="仿宋"/>
          <w:b w:val="0"/>
        </w:rPr>
        <w:t>二、收</w:t>
      </w:r>
      <w:r>
        <w:rPr>
          <w:rStyle w:val="25"/>
          <w:rFonts w:hint="eastAsia" w:ascii="仿宋" w:hAnsi="仿宋" w:eastAsia="仿宋"/>
          <w:b w:val="0"/>
          <w:bCs w:val="0"/>
        </w:rPr>
        <w:t>入决算表</w:t>
      </w:r>
      <w:bookmarkEnd w:id="55"/>
    </w:p>
    <w:p>
      <w:pPr>
        <w:pStyle w:val="4"/>
        <w:rPr>
          <w:rFonts w:ascii="仿宋" w:hAnsi="仿宋" w:eastAsia="仿宋"/>
        </w:rPr>
      </w:pPr>
      <w:bookmarkStart w:id="56" w:name="_Toc15396621"/>
      <w:r>
        <w:rPr>
          <w:rStyle w:val="25"/>
          <w:rFonts w:hint="eastAsia" w:ascii="仿宋" w:hAnsi="仿宋" w:eastAsia="仿宋"/>
          <w:b w:val="0"/>
          <w:bCs w:val="0"/>
        </w:rPr>
        <w:t>三、</w:t>
      </w:r>
      <w:r>
        <w:rPr>
          <w:rFonts w:hint="eastAsia" w:ascii="仿宋" w:hAnsi="仿宋" w:eastAsia="仿宋"/>
          <w:b w:val="0"/>
        </w:rPr>
        <w:t>支</w:t>
      </w:r>
      <w:r>
        <w:rPr>
          <w:rStyle w:val="25"/>
          <w:rFonts w:hint="eastAsia" w:ascii="仿宋" w:hAnsi="仿宋" w:eastAsia="仿宋"/>
          <w:b w:val="0"/>
          <w:bCs w:val="0"/>
        </w:rPr>
        <w:t>出决算表</w:t>
      </w:r>
      <w:bookmarkEnd w:id="56"/>
    </w:p>
    <w:p>
      <w:pPr>
        <w:pStyle w:val="4"/>
        <w:rPr>
          <w:rFonts w:ascii="仿宋" w:hAnsi="仿宋" w:eastAsia="仿宋"/>
          <w:b w:val="0"/>
        </w:rPr>
      </w:pPr>
      <w:bookmarkStart w:id="57" w:name="_Toc15396622"/>
      <w:r>
        <w:rPr>
          <w:rStyle w:val="25"/>
          <w:rFonts w:hint="eastAsia" w:ascii="仿宋" w:hAnsi="仿宋" w:eastAsia="仿宋"/>
          <w:b w:val="0"/>
          <w:bCs w:val="0"/>
        </w:rPr>
        <w:t>四、</w:t>
      </w:r>
      <w:r>
        <w:rPr>
          <w:rFonts w:hint="eastAsia" w:ascii="仿宋" w:hAnsi="仿宋" w:eastAsia="仿宋"/>
          <w:b w:val="0"/>
        </w:rPr>
        <w:t>财</w:t>
      </w:r>
      <w:r>
        <w:rPr>
          <w:rStyle w:val="25"/>
          <w:rFonts w:hint="eastAsia" w:ascii="仿宋" w:hAnsi="仿宋" w:eastAsia="仿宋"/>
          <w:b w:val="0"/>
          <w:bCs w:val="0"/>
        </w:rPr>
        <w:t>政拨款收入支出决算总表</w:t>
      </w:r>
      <w:bookmarkEnd w:id="57"/>
    </w:p>
    <w:p>
      <w:pPr>
        <w:pStyle w:val="4"/>
        <w:rPr>
          <w:rStyle w:val="25"/>
          <w:rFonts w:ascii="仿宋" w:hAnsi="仿宋" w:eastAsia="仿宋"/>
          <w:b w:val="0"/>
          <w:bCs w:val="0"/>
        </w:rPr>
      </w:pPr>
      <w:bookmarkStart w:id="58" w:name="_Toc15396623"/>
      <w:r>
        <w:rPr>
          <w:rStyle w:val="25"/>
          <w:rFonts w:hint="eastAsia" w:ascii="仿宋" w:hAnsi="仿宋" w:eastAsia="仿宋"/>
          <w:b w:val="0"/>
          <w:bCs w:val="0"/>
        </w:rPr>
        <w:t>五、</w:t>
      </w:r>
      <w:r>
        <w:rPr>
          <w:rFonts w:hint="eastAsia" w:ascii="仿宋" w:hAnsi="仿宋" w:eastAsia="仿宋"/>
          <w:b w:val="0"/>
        </w:rPr>
        <w:t>财</w:t>
      </w:r>
      <w:r>
        <w:rPr>
          <w:rStyle w:val="25"/>
          <w:rFonts w:hint="eastAsia" w:ascii="仿宋" w:hAnsi="仿宋" w:eastAsia="仿宋"/>
          <w:b w:val="0"/>
          <w:bCs w:val="0"/>
        </w:rPr>
        <w:t>政拨款支出决算明细表</w:t>
      </w:r>
      <w:bookmarkEnd w:id="58"/>
      <w:bookmarkStart w:id="59" w:name="_Toc15396624"/>
    </w:p>
    <w:p>
      <w:pPr>
        <w:pStyle w:val="4"/>
        <w:rPr>
          <w:rFonts w:ascii="仿宋" w:hAnsi="仿宋" w:eastAsia="仿宋"/>
        </w:rPr>
      </w:pPr>
      <w:r>
        <w:rPr>
          <w:rStyle w:val="25"/>
          <w:rFonts w:hint="eastAsia" w:ascii="仿宋" w:hAnsi="仿宋" w:eastAsia="仿宋"/>
          <w:b w:val="0"/>
          <w:bCs w:val="0"/>
        </w:rPr>
        <w:t>六、</w:t>
      </w:r>
      <w:r>
        <w:rPr>
          <w:rFonts w:hint="eastAsia" w:ascii="仿宋" w:hAnsi="仿宋" w:eastAsia="仿宋"/>
          <w:b w:val="0"/>
        </w:rPr>
        <w:t>一</w:t>
      </w:r>
      <w:r>
        <w:rPr>
          <w:rStyle w:val="25"/>
          <w:rFonts w:hint="eastAsia" w:ascii="仿宋" w:hAnsi="仿宋" w:eastAsia="仿宋"/>
          <w:b w:val="0"/>
          <w:bCs w:val="0"/>
        </w:rPr>
        <w:t>般公共预算财政拨款支出决算表</w:t>
      </w:r>
      <w:bookmarkEnd w:id="59"/>
    </w:p>
    <w:p>
      <w:pPr>
        <w:pStyle w:val="4"/>
        <w:rPr>
          <w:rFonts w:ascii="仿宋" w:hAnsi="仿宋" w:eastAsia="仿宋"/>
        </w:rPr>
      </w:pPr>
      <w:bookmarkStart w:id="60" w:name="_Toc15396625"/>
      <w:r>
        <w:rPr>
          <w:rStyle w:val="25"/>
          <w:rFonts w:hint="eastAsia" w:ascii="仿宋" w:hAnsi="仿宋" w:eastAsia="仿宋"/>
          <w:b w:val="0"/>
          <w:bCs w:val="0"/>
        </w:rPr>
        <w:t>七、</w:t>
      </w:r>
      <w:r>
        <w:rPr>
          <w:rFonts w:hint="eastAsia" w:ascii="仿宋" w:hAnsi="仿宋" w:eastAsia="仿宋"/>
          <w:b w:val="0"/>
        </w:rPr>
        <w:t>一</w:t>
      </w:r>
      <w:r>
        <w:rPr>
          <w:rStyle w:val="25"/>
          <w:rFonts w:hint="eastAsia" w:ascii="仿宋" w:hAnsi="仿宋" w:eastAsia="仿宋"/>
          <w:b w:val="0"/>
          <w:bCs w:val="0"/>
        </w:rPr>
        <w:t>般公共预算财政拨款支出决算明细表</w:t>
      </w:r>
      <w:bookmarkEnd w:id="60"/>
    </w:p>
    <w:p>
      <w:pPr>
        <w:pStyle w:val="4"/>
        <w:rPr>
          <w:rFonts w:ascii="仿宋" w:hAnsi="仿宋" w:eastAsia="仿宋"/>
        </w:rPr>
      </w:pPr>
      <w:bookmarkStart w:id="61" w:name="_Toc15396626"/>
      <w:r>
        <w:rPr>
          <w:rStyle w:val="25"/>
          <w:rFonts w:hint="eastAsia" w:ascii="仿宋" w:hAnsi="仿宋" w:eastAsia="仿宋"/>
          <w:b w:val="0"/>
          <w:bCs w:val="0"/>
        </w:rPr>
        <w:t>八、</w:t>
      </w:r>
      <w:r>
        <w:rPr>
          <w:rFonts w:hint="eastAsia" w:ascii="仿宋" w:hAnsi="仿宋" w:eastAsia="仿宋"/>
          <w:b w:val="0"/>
        </w:rPr>
        <w:t>一</w:t>
      </w:r>
      <w:r>
        <w:rPr>
          <w:rStyle w:val="25"/>
          <w:rFonts w:hint="eastAsia" w:ascii="仿宋" w:hAnsi="仿宋" w:eastAsia="仿宋"/>
          <w:b w:val="0"/>
          <w:bCs w:val="0"/>
        </w:rPr>
        <w:t>般公共预算财政拨款基本支出决算表</w:t>
      </w:r>
      <w:bookmarkEnd w:id="61"/>
    </w:p>
    <w:p>
      <w:pPr>
        <w:pStyle w:val="4"/>
        <w:rPr>
          <w:rFonts w:ascii="仿宋" w:hAnsi="仿宋" w:eastAsia="仿宋"/>
        </w:rPr>
      </w:pPr>
      <w:bookmarkStart w:id="62" w:name="_Toc15396627"/>
      <w:r>
        <w:rPr>
          <w:rStyle w:val="25"/>
          <w:rFonts w:hint="eastAsia" w:ascii="仿宋" w:hAnsi="仿宋" w:eastAsia="仿宋"/>
          <w:b w:val="0"/>
          <w:bCs w:val="0"/>
        </w:rPr>
        <w:t>九、</w:t>
      </w:r>
      <w:r>
        <w:rPr>
          <w:rFonts w:hint="eastAsia" w:ascii="仿宋" w:hAnsi="仿宋" w:eastAsia="仿宋"/>
          <w:b w:val="0"/>
        </w:rPr>
        <w:t>一</w:t>
      </w:r>
      <w:r>
        <w:rPr>
          <w:rStyle w:val="25"/>
          <w:rFonts w:hint="eastAsia" w:ascii="仿宋" w:hAnsi="仿宋" w:eastAsia="仿宋"/>
          <w:b w:val="0"/>
          <w:bCs w:val="0"/>
        </w:rPr>
        <w:t>般公共预算财政拨款项目支出决算表</w:t>
      </w:r>
      <w:bookmarkEnd w:id="62"/>
    </w:p>
    <w:p>
      <w:pPr>
        <w:pStyle w:val="4"/>
        <w:rPr>
          <w:rFonts w:ascii="仿宋" w:hAnsi="仿宋" w:eastAsia="仿宋"/>
        </w:rPr>
      </w:pPr>
      <w:bookmarkStart w:id="63" w:name="_Toc15396628"/>
      <w:r>
        <w:rPr>
          <w:rStyle w:val="25"/>
          <w:rFonts w:hint="eastAsia" w:ascii="仿宋" w:hAnsi="仿宋" w:eastAsia="仿宋"/>
          <w:b w:val="0"/>
          <w:bCs w:val="0"/>
        </w:rPr>
        <w:t>十、</w:t>
      </w:r>
      <w:bookmarkEnd w:id="63"/>
      <w:r>
        <w:rPr>
          <w:rFonts w:hint="eastAsia" w:ascii="仿宋" w:hAnsi="仿宋" w:eastAsia="仿宋"/>
          <w:b w:val="0"/>
        </w:rPr>
        <w:t>政</w:t>
      </w:r>
      <w:r>
        <w:rPr>
          <w:rStyle w:val="25"/>
          <w:rFonts w:hint="eastAsia" w:ascii="仿宋" w:hAnsi="仿宋" w:eastAsia="仿宋"/>
          <w:b w:val="0"/>
          <w:bCs w:val="0"/>
        </w:rPr>
        <w:t>府性基金预算财政拨款收入支出决算表</w:t>
      </w:r>
    </w:p>
    <w:p>
      <w:pPr>
        <w:pStyle w:val="4"/>
        <w:rPr>
          <w:rFonts w:ascii="仿宋" w:hAnsi="仿宋" w:eastAsia="仿宋"/>
        </w:rPr>
      </w:pPr>
      <w:bookmarkStart w:id="64" w:name="_Toc15396629"/>
      <w:r>
        <w:rPr>
          <w:rStyle w:val="25"/>
          <w:rFonts w:hint="eastAsia" w:ascii="仿宋" w:hAnsi="仿宋" w:eastAsia="仿宋"/>
          <w:b w:val="0"/>
          <w:bCs w:val="0"/>
        </w:rPr>
        <w:t>十一、</w:t>
      </w:r>
      <w:bookmarkEnd w:id="64"/>
      <w:r>
        <w:rPr>
          <w:rFonts w:hint="eastAsia" w:ascii="仿宋" w:hAnsi="仿宋" w:eastAsia="仿宋"/>
          <w:b w:val="0"/>
        </w:rPr>
        <w:t>国</w:t>
      </w:r>
      <w:r>
        <w:rPr>
          <w:rStyle w:val="25"/>
          <w:rFonts w:hint="eastAsia" w:ascii="仿宋" w:hAnsi="仿宋" w:eastAsia="仿宋"/>
          <w:b w:val="0"/>
          <w:bCs w:val="0"/>
        </w:rPr>
        <w:t>有资本经营预算财政拨款收入支出决算表</w:t>
      </w:r>
    </w:p>
    <w:p>
      <w:pPr>
        <w:pStyle w:val="4"/>
        <w:rPr>
          <w:rFonts w:ascii="仿宋" w:hAnsi="仿宋" w:eastAsia="仿宋"/>
        </w:rPr>
      </w:pPr>
      <w:bookmarkStart w:id="65" w:name="_Toc15396630"/>
      <w:r>
        <w:rPr>
          <w:rStyle w:val="25"/>
          <w:rFonts w:hint="eastAsia" w:ascii="仿宋" w:hAnsi="仿宋" w:eastAsia="仿宋"/>
          <w:b w:val="0"/>
          <w:bCs w:val="0"/>
        </w:rPr>
        <w:t>十二、</w:t>
      </w:r>
      <w:bookmarkEnd w:id="65"/>
      <w:r>
        <w:rPr>
          <w:rStyle w:val="25"/>
          <w:rFonts w:hint="eastAsia" w:ascii="仿宋" w:hAnsi="仿宋" w:eastAsia="仿宋"/>
          <w:b w:val="0"/>
          <w:bCs w:val="0"/>
        </w:rPr>
        <w:t>国有资本经营预算财政拨款支出决算表</w:t>
      </w:r>
    </w:p>
    <w:p>
      <w:pPr>
        <w:pStyle w:val="4"/>
        <w:rPr>
          <w:rFonts w:eastAsia="仿宋"/>
        </w:rPr>
      </w:pPr>
      <w:bookmarkStart w:id="66" w:name="_Toc15396631"/>
      <w:r>
        <w:rPr>
          <w:rStyle w:val="25"/>
          <w:rFonts w:hint="eastAsia" w:ascii="仿宋" w:hAnsi="仿宋" w:eastAsia="仿宋"/>
          <w:b w:val="0"/>
          <w:bCs w:val="0"/>
        </w:rPr>
        <w:t>十三、</w:t>
      </w:r>
      <w:bookmarkEnd w:id="66"/>
      <w:r>
        <w:rPr>
          <w:rStyle w:val="25"/>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11</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02FBB490"/>
    <w:multiLevelType w:val="singleLevel"/>
    <w:tmpl w:val="02FBB490"/>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RmNjBhN2Q3Y2Q2MzMzYTBmNGNkZTA5NmQ4MmEyMjMifQ=="/>
  </w:docVars>
  <w:rsids>
    <w:rsidRoot w:val="00F1361C"/>
    <w:rsid w:val="000222C6"/>
    <w:rsid w:val="0002549F"/>
    <w:rsid w:val="000468DB"/>
    <w:rsid w:val="0006487A"/>
    <w:rsid w:val="00065F8F"/>
    <w:rsid w:val="00070A43"/>
    <w:rsid w:val="000768F2"/>
    <w:rsid w:val="00083A4F"/>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27E6B"/>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1E2D"/>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91FF5"/>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130C60"/>
    <w:rsid w:val="04DD3F64"/>
    <w:rsid w:val="05094D59"/>
    <w:rsid w:val="053A62B5"/>
    <w:rsid w:val="05942874"/>
    <w:rsid w:val="06D625E4"/>
    <w:rsid w:val="06E10344"/>
    <w:rsid w:val="08E21B49"/>
    <w:rsid w:val="0A2032A3"/>
    <w:rsid w:val="0A6842D0"/>
    <w:rsid w:val="0A742C74"/>
    <w:rsid w:val="0AE20526"/>
    <w:rsid w:val="0B8A37D8"/>
    <w:rsid w:val="0CE642FD"/>
    <w:rsid w:val="0D865199"/>
    <w:rsid w:val="0E196E69"/>
    <w:rsid w:val="0F0B275A"/>
    <w:rsid w:val="10C055FF"/>
    <w:rsid w:val="118107EC"/>
    <w:rsid w:val="11DD6519"/>
    <w:rsid w:val="121E0096"/>
    <w:rsid w:val="14773A8D"/>
    <w:rsid w:val="14CC75EE"/>
    <w:rsid w:val="15D504DD"/>
    <w:rsid w:val="16557DFE"/>
    <w:rsid w:val="16BB723D"/>
    <w:rsid w:val="17D42FA4"/>
    <w:rsid w:val="18015F3F"/>
    <w:rsid w:val="19834C82"/>
    <w:rsid w:val="1B886580"/>
    <w:rsid w:val="1BE400DF"/>
    <w:rsid w:val="1BE8440E"/>
    <w:rsid w:val="1CCE4466"/>
    <w:rsid w:val="1D155CEE"/>
    <w:rsid w:val="1DE2475C"/>
    <w:rsid w:val="1E9E60BA"/>
    <w:rsid w:val="1F572E39"/>
    <w:rsid w:val="205904EB"/>
    <w:rsid w:val="20A51EFA"/>
    <w:rsid w:val="20F57F95"/>
    <w:rsid w:val="23DA1943"/>
    <w:rsid w:val="240371BF"/>
    <w:rsid w:val="25711CC6"/>
    <w:rsid w:val="257A33DD"/>
    <w:rsid w:val="25981AB5"/>
    <w:rsid w:val="25C741E6"/>
    <w:rsid w:val="25F75D59"/>
    <w:rsid w:val="27842671"/>
    <w:rsid w:val="27C9483A"/>
    <w:rsid w:val="27FF5E1C"/>
    <w:rsid w:val="285643F4"/>
    <w:rsid w:val="29FD04D3"/>
    <w:rsid w:val="2ABE7A3E"/>
    <w:rsid w:val="2CA234A8"/>
    <w:rsid w:val="2DEA131C"/>
    <w:rsid w:val="2E9A4AF0"/>
    <w:rsid w:val="2EFA178C"/>
    <w:rsid w:val="3045283A"/>
    <w:rsid w:val="30B46D73"/>
    <w:rsid w:val="3195334D"/>
    <w:rsid w:val="319F7F4E"/>
    <w:rsid w:val="33B757FC"/>
    <w:rsid w:val="359A3379"/>
    <w:rsid w:val="37D83F93"/>
    <w:rsid w:val="38172D0E"/>
    <w:rsid w:val="383D272C"/>
    <w:rsid w:val="38B467AE"/>
    <w:rsid w:val="39902D77"/>
    <w:rsid w:val="399A1E48"/>
    <w:rsid w:val="39AE70AB"/>
    <w:rsid w:val="39B5458C"/>
    <w:rsid w:val="3C0C0783"/>
    <w:rsid w:val="3E9A6446"/>
    <w:rsid w:val="3F9F3A96"/>
    <w:rsid w:val="3FB53538"/>
    <w:rsid w:val="4077259B"/>
    <w:rsid w:val="40FB141E"/>
    <w:rsid w:val="41085755"/>
    <w:rsid w:val="41E81277"/>
    <w:rsid w:val="421B789E"/>
    <w:rsid w:val="42DD6902"/>
    <w:rsid w:val="473C009B"/>
    <w:rsid w:val="48743864"/>
    <w:rsid w:val="48AE6D76"/>
    <w:rsid w:val="48BF60AB"/>
    <w:rsid w:val="48CB4C76"/>
    <w:rsid w:val="493C27E9"/>
    <w:rsid w:val="4950607F"/>
    <w:rsid w:val="496F39ED"/>
    <w:rsid w:val="49D03DC3"/>
    <w:rsid w:val="49FF41D3"/>
    <w:rsid w:val="4BDC0D0F"/>
    <w:rsid w:val="4BE068DB"/>
    <w:rsid w:val="4BF6002B"/>
    <w:rsid w:val="4C172E84"/>
    <w:rsid w:val="4CD60F91"/>
    <w:rsid w:val="4CE865CF"/>
    <w:rsid w:val="4D245859"/>
    <w:rsid w:val="4D4128AF"/>
    <w:rsid w:val="4D761E2D"/>
    <w:rsid w:val="4ECE2238"/>
    <w:rsid w:val="4FCD042A"/>
    <w:rsid w:val="519D207E"/>
    <w:rsid w:val="51DB4B86"/>
    <w:rsid w:val="533E519B"/>
    <w:rsid w:val="55333C3E"/>
    <w:rsid w:val="566B62A7"/>
    <w:rsid w:val="57603931"/>
    <w:rsid w:val="57C57C38"/>
    <w:rsid w:val="57DD1A9C"/>
    <w:rsid w:val="58896EB8"/>
    <w:rsid w:val="5ABA3CA0"/>
    <w:rsid w:val="5B022F52"/>
    <w:rsid w:val="5B8147BE"/>
    <w:rsid w:val="5CC2508E"/>
    <w:rsid w:val="5DB03139"/>
    <w:rsid w:val="615D0EE2"/>
    <w:rsid w:val="634D728C"/>
    <w:rsid w:val="649C7F73"/>
    <w:rsid w:val="64CA39A1"/>
    <w:rsid w:val="65624D19"/>
    <w:rsid w:val="65DD6A95"/>
    <w:rsid w:val="66B6356E"/>
    <w:rsid w:val="69630ADE"/>
    <w:rsid w:val="69D361E5"/>
    <w:rsid w:val="69D41F5D"/>
    <w:rsid w:val="6A440E91"/>
    <w:rsid w:val="6AED777A"/>
    <w:rsid w:val="6B036F9E"/>
    <w:rsid w:val="6C4A05C8"/>
    <w:rsid w:val="6D3B1A89"/>
    <w:rsid w:val="6E391249"/>
    <w:rsid w:val="6E470F4F"/>
    <w:rsid w:val="6E9354D7"/>
    <w:rsid w:val="6ED00F45"/>
    <w:rsid w:val="6F543924"/>
    <w:rsid w:val="71BF4EC2"/>
    <w:rsid w:val="72734D90"/>
    <w:rsid w:val="72B80F38"/>
    <w:rsid w:val="7412278C"/>
    <w:rsid w:val="744877CF"/>
    <w:rsid w:val="752913AF"/>
    <w:rsid w:val="75956A44"/>
    <w:rsid w:val="76375D4D"/>
    <w:rsid w:val="76AC45ED"/>
    <w:rsid w:val="7904082E"/>
    <w:rsid w:val="79C57F00"/>
    <w:rsid w:val="79E7B28D"/>
    <w:rsid w:val="7A4E3666"/>
    <w:rsid w:val="7B1D7C08"/>
    <w:rsid w:val="7B5B0730"/>
    <w:rsid w:val="7CC85951"/>
    <w:rsid w:val="7D975F2A"/>
    <w:rsid w:val="7E9E2E0E"/>
    <w:rsid w:val="7F9F20EE"/>
    <w:rsid w:val="9E3A10E2"/>
    <w:rsid w:val="F2E1F9D4"/>
    <w:rsid w:val="F788081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1"/>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2"/>
    <w:qFormat/>
    <w:locked/>
    <w:uiPriority w:val="99"/>
    <w:rPr>
      <w:rFonts w:ascii="仿宋_GB2312" w:hAnsi="Times New Roman" w:eastAsia="仿宋_GB2312"/>
      <w:sz w:val="24"/>
    </w:rPr>
  </w:style>
  <w:style w:type="paragraph" w:customStyle="1" w:styleId="2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3"/>
    <w:qFormat/>
    <w:uiPriority w:val="9"/>
    <w:rPr>
      <w:rFonts w:ascii="Times New Roman" w:hAnsi="Times New Roman"/>
      <w:b/>
      <w:bCs/>
      <w:kern w:val="44"/>
      <w:sz w:val="44"/>
      <w:szCs w:val="44"/>
    </w:rPr>
  </w:style>
  <w:style w:type="character" w:customStyle="1" w:styleId="25">
    <w:name w:val="标题 2 Char"/>
    <w:basedOn w:val="13"/>
    <w:link w:val="4"/>
    <w:qFormat/>
    <w:uiPriority w:val="9"/>
    <w:rPr>
      <w:rFonts w:asciiTheme="majorHAnsi" w:hAnsiTheme="majorHAnsi" w:eastAsiaTheme="majorEastAsia" w:cstheme="majorBidi"/>
      <w:b/>
      <w:bCs/>
      <w:kern w:val="2"/>
      <w:sz w:val="32"/>
      <w:szCs w:val="32"/>
    </w:rPr>
  </w:style>
  <w:style w:type="paragraph" w:customStyle="1" w:styleId="26">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5"/>
    <w:qFormat/>
    <w:uiPriority w:val="9"/>
    <w:rPr>
      <w:rFonts w:ascii="Times New Roman" w:hAnsi="Times New Roman"/>
      <w:b/>
      <w:bCs/>
      <w:kern w:val="2"/>
      <w:sz w:val="32"/>
      <w:szCs w:val="32"/>
    </w:rPr>
  </w:style>
  <w:style w:type="paragraph" w:customStyle="1" w:styleId="2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8121546961326"/>
          <c:y val="0.214511041009464"/>
          <c:w val="0.708890005022602"/>
          <c:h val="0.348264984227129"/>
        </c:manualLayout>
      </c:layout>
      <c:barChart>
        <c:barDir val="col"/>
        <c:grouping val="clustered"/>
        <c:varyColors val="0"/>
        <c:ser>
          <c:idx val="0"/>
          <c:order val="0"/>
          <c:tx>
            <c:strRef>
              <c:f>Sheet1!$B$1</c:f>
              <c:strCache>
                <c:ptCount val="1"/>
                <c:pt idx="0">
                  <c:v>收支总计</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2299.09</c:v>
                </c:pt>
                <c:pt idx="1">
                  <c:v>1452.16</c:v>
                </c:pt>
              </c:numCache>
            </c:numRef>
          </c:val>
        </c:ser>
        <c:dLbls>
          <c:showLegendKey val="0"/>
          <c:showVal val="1"/>
          <c:showCatName val="0"/>
          <c:showSerName val="0"/>
          <c:showPercent val="0"/>
          <c:showBubbleSize val="0"/>
        </c:dLbls>
        <c:gapWidth val="246"/>
        <c:overlap val="-28"/>
        <c:axId val="139719808"/>
        <c:axId val="141310592"/>
      </c:barChart>
      <c:catAx>
        <c:axId val="139719808"/>
        <c:scaling>
          <c:orientation val="minMax"/>
        </c:scaling>
        <c:delete val="0"/>
        <c:axPos val="b"/>
        <c:title>
          <c:tx>
            <c:rich>
              <a:bodyPr rot="0" spcFirstLastPara="0" vertOverflow="ellipsis" vert="horz" wrap="square" anchor="ctr" anchorCtr="1"/>
              <a:lstStyle/>
              <a:p>
                <a:pPr defTabSz="914400">
                  <a:defRPr lang="zh-CN" sz="800" b="0" i="0" u="none" strike="noStrike" kern="1200" baseline="0">
                    <a:solidFill>
                      <a:schemeClr val="tx1">
                        <a:lumMod val="65000"/>
                        <a:lumOff val="35000"/>
                      </a:schemeClr>
                    </a:solidFill>
                    <a:latin typeface="+mn-lt"/>
                    <a:ea typeface="+mn-ea"/>
                    <a:cs typeface="+mn-cs"/>
                  </a:defRPr>
                </a:pPr>
                <a:r>
                  <a:t>图</a:t>
                </a:r>
                <a:r>
                  <a:rPr lang="en-US" altLang="zh-CN"/>
                  <a:t>1</a:t>
                </a:r>
                <a:r>
                  <a:rPr altLang="en-US"/>
                  <a:t>：收支决算总计变动情况图</a:t>
                </a:r>
                <a:endParaRPr altLang="en-US"/>
              </a:p>
            </c:rich>
          </c:tx>
          <c:layout>
            <c:manualLayout>
              <c:xMode val="edge"/>
              <c:yMode val="edge"/>
              <c:x val="0.187707105021105"/>
              <c:y val="0.851767024210422"/>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crossAx val="141310592"/>
        <c:crosses val="autoZero"/>
        <c:auto val="1"/>
        <c:lblAlgn val="ctr"/>
        <c:lblOffset val="100"/>
        <c:noMultiLvlLbl val="0"/>
      </c:catAx>
      <c:valAx>
        <c:axId val="141310592"/>
        <c:scaling>
          <c:orientation val="minMax"/>
        </c:scaling>
        <c:delete val="0"/>
        <c:axPos val="l"/>
        <c:majorGridlines>
          <c:spPr>
            <a:ln w="9525" cap="flat" cmpd="sng" algn="ctr">
              <a:solidFill>
                <a:schemeClr val="bg1">
                  <a:lumMod val="90200"/>
                </a:schemeClr>
              </a:solidFill>
              <a:prstDash val="solid"/>
              <a:round/>
            </a:ln>
            <a:effectLst/>
          </c:spPr>
        </c:majorGridlines>
        <c:title>
          <c:tx>
            <c:rich>
              <a:bodyPr rot="-5400000" spcFirstLastPara="0" vertOverflow="ellipsis" vert="horz" wrap="square" anchor="ctr" anchorCtr="1"/>
              <a:lstStyle/>
              <a:p>
                <a:pPr defTabSz="914400">
                  <a:defRPr lang="zh-CN" sz="800" b="0" i="0" u="none" strike="noStrike" kern="1200" baseline="0">
                    <a:solidFill>
                      <a:schemeClr val="tx1">
                        <a:lumMod val="65000"/>
                        <a:lumOff val="35000"/>
                      </a:schemeClr>
                    </a:solidFill>
                    <a:latin typeface="+mn-lt"/>
                    <a:ea typeface="+mn-ea"/>
                    <a:cs typeface="+mn-cs"/>
                  </a:defRPr>
                </a:pPr>
                <a:r>
                  <a:t>单位：万元</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crossAx val="139719808"/>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364075609387776"/>
          <c:y val="0.730233363693812"/>
        </c:manualLayout>
      </c:layout>
      <c:overlay val="0"/>
      <c:spPr>
        <a:noFill/>
        <a:ln>
          <a:noFill/>
        </a:ln>
        <a:effectLst/>
      </c:spPr>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800"/>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lang="en-US" altLang="zh-CN"/>
              <a:t>2022</a:t>
            </a:r>
            <a:r>
              <a:rPr altLang="en-US"/>
              <a:t>年本年收入合计</a:t>
            </a:r>
            <a:endParaRPr altLang="en-US"/>
          </a:p>
        </c:rich>
      </c:tx>
      <c:layout/>
      <c:overlay val="0"/>
      <c:spPr>
        <a:noFill/>
        <a:ln>
          <a:noFill/>
        </a:ln>
        <a:effectLst/>
      </c:spPr>
    </c:title>
    <c:autoTitleDeleted val="0"/>
    <c:plotArea>
      <c:layout/>
      <c:pieChart>
        <c:varyColors val="1"/>
        <c:ser>
          <c:idx val="0"/>
          <c:order val="0"/>
          <c:tx>
            <c:strRef>
              <c:f>Sheet1!$B$1</c:f>
              <c:strCache>
                <c:ptCount val="1"/>
                <c:pt idx="0">
                  <c:v>图2：收入决算结构图</c:v>
                </c:pt>
              </c:strCache>
            </c:strRef>
          </c:tx>
          <c:explosion val="0"/>
          <c:dPt>
            <c:idx val="0"/>
            <c:bubble3D val="0"/>
            <c:spPr>
              <a:solidFill>
                <a:schemeClr val="accent1"/>
              </a:solidFill>
              <a:ln>
                <a:solidFill>
                  <a:schemeClr val="bg1"/>
                </a:solidFill>
              </a:ln>
              <a:effectLst/>
            </c:spPr>
          </c:dPt>
          <c:dLbls>
            <c:dLbl>
              <c:idx val="0"/>
              <c:layout>
                <c:manualLayout>
                  <c:x val="0.259664478482859"/>
                  <c:y val="-0.150224215246637"/>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t>1242.6万元</a:t>
                    </a:r>
                  </a:p>
                </c:rich>
              </c:tx>
              <c:dLblPos val="bestFit"/>
              <c:showLegendKey val="0"/>
              <c:showVal val="1"/>
              <c:showCatName val="0"/>
              <c:showSerName val="0"/>
              <c:showPercent val="0"/>
              <c:showBubbleSize val="0"/>
              <c:extLst>
                <c:ext xmlns:c15="http://schemas.microsoft.com/office/drawing/2012/chart" uri="{CE6537A1-D6FC-4f65-9D91-7224C49458BB}">
                  <c15:layout>
                    <c:manualLayout>
                      <c:w val="0.345003646973012"/>
                      <c:h val="0.261709319169483"/>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一般公算财政拨款收入</c:v>
                </c:pt>
              </c:strCache>
            </c:strRef>
          </c:cat>
          <c:val>
            <c:numRef>
              <c:f>Sheet1!$B$2</c:f>
              <c:numCache>
                <c:formatCode>General</c:formatCode>
                <c:ptCount val="1"/>
                <c:pt idx="0">
                  <c:v>1242.6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2022年本年支出合计</c:v>
                </c:pt>
              </c:strCache>
            </c:strRef>
          </c:tx>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131055326499889"/>
                  <c:y val="0.0365049529259554"/>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967.6</a:t>
                    </a:r>
                    <a:r>
                      <a:rPr altLang="en-US"/>
                      <a:t>万元</a:t>
                    </a:r>
                    <a:r>
                      <a:t>67%</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395316804407713"/>
                      <c:h val="0.180734382451121"/>
                    </c:manualLayout>
                  </c15:layout>
                </c:ext>
              </c:extLst>
            </c:dLbl>
            <c:dLbl>
              <c:idx val="1"/>
              <c:layout>
                <c:manualLayout>
                  <c:x val="-0.0795517729397559"/>
                  <c:y val="0.149043688948758"/>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484.57</a:t>
                    </a:r>
                    <a:r>
                      <a:rPr altLang="en-US"/>
                      <a:t>万元</a:t>
                    </a:r>
                    <a:r>
                      <a:t>33%</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183640177114892"/>
                      <c:h val="0.371496437054632"/>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967.6</c:v>
                </c:pt>
                <c:pt idx="1">
                  <c:v>484.57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8121546961326"/>
          <c:y val="0.214511041009464"/>
          <c:w val="0.708890005022602"/>
          <c:h val="0.348264984227129"/>
        </c:manualLayout>
      </c:layout>
      <c:barChart>
        <c:barDir val="col"/>
        <c:grouping val="clustered"/>
        <c:varyColors val="0"/>
        <c:ser>
          <c:idx val="0"/>
          <c:order val="0"/>
          <c:tx>
            <c:strRef>
              <c:f>Sheet1!$B$1</c:f>
              <c:strCache>
                <c:ptCount val="1"/>
                <c:pt idx="0">
                  <c:v>收支总计</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2299.09</c:v>
                </c:pt>
                <c:pt idx="1">
                  <c:v>1452.16</c:v>
                </c:pt>
              </c:numCache>
            </c:numRef>
          </c:val>
        </c:ser>
        <c:dLbls>
          <c:showLegendKey val="0"/>
          <c:showVal val="1"/>
          <c:showCatName val="0"/>
          <c:showSerName val="0"/>
          <c:showPercent val="0"/>
          <c:showBubbleSize val="0"/>
        </c:dLbls>
        <c:gapWidth val="246"/>
        <c:overlap val="-28"/>
        <c:axId val="197569920"/>
        <c:axId val="141547008"/>
      </c:barChart>
      <c:catAx>
        <c:axId val="197569920"/>
        <c:scaling>
          <c:orientation val="minMax"/>
        </c:scaling>
        <c:delete val="0"/>
        <c:axPos val="b"/>
        <c:title>
          <c:tx>
            <c:rich>
              <a:bodyPr rot="0" spcFirstLastPara="0" vertOverflow="ellipsis" vert="horz" wrap="square" anchor="ctr" anchorCtr="1"/>
              <a:lstStyle/>
              <a:p>
                <a:pPr defTabSz="914400">
                  <a:defRPr lang="zh-CN" sz="800" b="0" i="0" u="none" strike="noStrike" kern="1200" baseline="0">
                    <a:solidFill>
                      <a:schemeClr val="tx1">
                        <a:lumMod val="65000"/>
                        <a:lumOff val="35000"/>
                      </a:schemeClr>
                    </a:solidFill>
                    <a:latin typeface="+mn-lt"/>
                    <a:ea typeface="+mn-ea"/>
                    <a:cs typeface="+mn-cs"/>
                  </a:defRPr>
                </a:pPr>
                <a:r>
                  <a:t>图</a:t>
                </a:r>
                <a:r>
                  <a:rPr lang="en-US" altLang="zh-CN"/>
                  <a:t>4</a:t>
                </a:r>
                <a:r>
                  <a:rPr altLang="en-US"/>
                  <a:t>：收支决算总计变动情况图</a:t>
                </a:r>
                <a:endParaRPr altLang="en-US"/>
              </a:p>
            </c:rich>
          </c:tx>
          <c:layout>
            <c:manualLayout>
              <c:xMode val="edge"/>
              <c:yMode val="edge"/>
              <c:x val="0.187707105021105"/>
              <c:y val="0.851767024210422"/>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crossAx val="141547008"/>
        <c:crosses val="autoZero"/>
        <c:auto val="1"/>
        <c:lblAlgn val="ctr"/>
        <c:lblOffset val="100"/>
        <c:noMultiLvlLbl val="0"/>
      </c:catAx>
      <c:valAx>
        <c:axId val="141547008"/>
        <c:scaling>
          <c:orientation val="minMax"/>
        </c:scaling>
        <c:delete val="0"/>
        <c:axPos val="l"/>
        <c:majorGridlines>
          <c:spPr>
            <a:ln w="9525" cap="flat" cmpd="sng" algn="ctr">
              <a:solidFill>
                <a:schemeClr val="bg1">
                  <a:lumMod val="90200"/>
                </a:schemeClr>
              </a:solidFill>
              <a:prstDash val="solid"/>
              <a:round/>
            </a:ln>
            <a:effectLst/>
          </c:spPr>
        </c:majorGridlines>
        <c:title>
          <c:tx>
            <c:rich>
              <a:bodyPr rot="-5400000" spcFirstLastPara="0" vertOverflow="ellipsis" vert="horz" wrap="square" anchor="ctr" anchorCtr="1"/>
              <a:lstStyle/>
              <a:p>
                <a:pPr defTabSz="914400">
                  <a:defRPr lang="zh-CN" sz="800" b="0" i="0" u="none" strike="noStrike" kern="1200" baseline="0">
                    <a:solidFill>
                      <a:schemeClr val="tx1">
                        <a:lumMod val="65000"/>
                        <a:lumOff val="35000"/>
                      </a:schemeClr>
                    </a:solidFill>
                    <a:latin typeface="+mn-lt"/>
                    <a:ea typeface="+mn-ea"/>
                    <a:cs typeface="+mn-cs"/>
                  </a:defRPr>
                </a:pPr>
                <a:r>
                  <a:t>单位：万元</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crossAx val="19756992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364075609387776"/>
          <c:y val="0.730233363693812"/>
        </c:manualLayout>
      </c:layout>
      <c:overlay val="0"/>
      <c:spPr>
        <a:noFill/>
        <a:ln>
          <a:noFill/>
        </a:ln>
        <a:effectLst/>
      </c:spPr>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800"/>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8121546961326"/>
          <c:y val="0.214511041009464"/>
          <c:w val="0.708890005022602"/>
          <c:h val="0.348264984227129"/>
        </c:manualLayout>
      </c:layout>
      <c:barChart>
        <c:barDir val="col"/>
        <c:grouping val="clustered"/>
        <c:varyColors val="0"/>
        <c:ser>
          <c:idx val="0"/>
          <c:order val="0"/>
          <c:tx>
            <c:strRef>
              <c:f>Sheet1!$B$1</c:f>
              <c:strCache>
                <c:ptCount val="1"/>
                <c:pt idx="0">
                  <c:v>一般公共预算财政拨款</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1492.36</c:v>
                </c:pt>
                <c:pt idx="1">
                  <c:v>1392.18</c:v>
                </c:pt>
              </c:numCache>
            </c:numRef>
          </c:val>
        </c:ser>
        <c:dLbls>
          <c:showLegendKey val="0"/>
          <c:showVal val="1"/>
          <c:showCatName val="0"/>
          <c:showSerName val="0"/>
          <c:showPercent val="0"/>
          <c:showBubbleSize val="0"/>
        </c:dLbls>
        <c:gapWidth val="246"/>
        <c:overlap val="-28"/>
        <c:axId val="197646208"/>
        <c:axId val="197652480"/>
      </c:barChart>
      <c:catAx>
        <c:axId val="197646208"/>
        <c:scaling>
          <c:orientation val="minMax"/>
        </c:scaling>
        <c:delete val="0"/>
        <c:axPos val="b"/>
        <c:title>
          <c:tx>
            <c:rich>
              <a:bodyPr rot="0" spcFirstLastPara="0" vertOverflow="ellipsis" vert="horz" wrap="square" anchor="ctr" anchorCtr="1"/>
              <a:lstStyle/>
              <a:p>
                <a:pPr defTabSz="914400">
                  <a:defRPr lang="zh-CN" sz="800" b="0" i="0" u="none" strike="noStrike" kern="1200" baseline="0">
                    <a:solidFill>
                      <a:schemeClr val="tx1">
                        <a:lumMod val="65000"/>
                        <a:lumOff val="35000"/>
                      </a:schemeClr>
                    </a:solidFill>
                    <a:latin typeface="+mn-lt"/>
                    <a:ea typeface="+mn-ea"/>
                    <a:cs typeface="+mn-cs"/>
                  </a:defRPr>
                </a:pPr>
                <a:r>
                  <a:t>图</a:t>
                </a:r>
                <a:r>
                  <a:rPr lang="en-US" altLang="zh-CN"/>
                  <a:t>5</a:t>
                </a:r>
                <a:r>
                  <a:rPr altLang="en-US"/>
                  <a:t>：一般公共预算财政拨款支出决算变动情况</a:t>
                </a:r>
                <a:endParaRPr altLang="en-US"/>
              </a:p>
            </c:rich>
          </c:tx>
          <c:layout>
            <c:manualLayout>
              <c:xMode val="edge"/>
              <c:yMode val="edge"/>
              <c:x val="0.146531786629926"/>
              <c:y val="0.852158531951142"/>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crossAx val="197652480"/>
        <c:crosses val="autoZero"/>
        <c:auto val="1"/>
        <c:lblAlgn val="ctr"/>
        <c:lblOffset val="100"/>
        <c:noMultiLvlLbl val="0"/>
      </c:catAx>
      <c:valAx>
        <c:axId val="197652480"/>
        <c:scaling>
          <c:orientation val="minMax"/>
        </c:scaling>
        <c:delete val="0"/>
        <c:axPos val="l"/>
        <c:majorGridlines>
          <c:spPr>
            <a:ln w="9525" cap="flat" cmpd="sng" algn="ctr">
              <a:solidFill>
                <a:schemeClr val="bg1">
                  <a:lumMod val="90200"/>
                </a:schemeClr>
              </a:solidFill>
              <a:prstDash val="solid"/>
              <a:round/>
            </a:ln>
            <a:effectLst/>
          </c:spPr>
        </c:majorGridlines>
        <c:title>
          <c:tx>
            <c:rich>
              <a:bodyPr rot="-5400000" spcFirstLastPara="0" vertOverflow="ellipsis" vert="horz" wrap="square" anchor="ctr" anchorCtr="1"/>
              <a:lstStyle/>
              <a:p>
                <a:pPr defTabSz="914400">
                  <a:defRPr lang="zh-CN" sz="800" b="0" i="0" u="none" strike="noStrike" kern="1200" baseline="0">
                    <a:solidFill>
                      <a:schemeClr val="tx1">
                        <a:lumMod val="65000"/>
                        <a:lumOff val="35000"/>
                      </a:schemeClr>
                    </a:solidFill>
                    <a:latin typeface="+mn-lt"/>
                    <a:ea typeface="+mn-ea"/>
                    <a:cs typeface="+mn-cs"/>
                  </a:defRPr>
                </a:pPr>
                <a:r>
                  <a:t>单位：万元</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crossAx val="197646208"/>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364075609387776"/>
          <c:y val="0.730233363693812"/>
        </c:manualLayout>
      </c:layout>
      <c:overlay val="0"/>
      <c:spPr>
        <a:noFill/>
        <a:ln>
          <a:noFill/>
        </a:ln>
        <a:effectLst/>
      </c:spPr>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8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12129144851658"/>
          <c:y val="0.0342025059261768"/>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2022年一般公共预算财政拨款支出</c:v>
                </c:pt>
              </c:strCache>
            </c:strRef>
          </c:tx>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1285.46</a:t>
                    </a:r>
                    <a:r>
                      <a:rPr altLang="en-US"/>
                      <a:t>万元</a:t>
                    </a:r>
                    <a:r>
                      <a:t>92%</a:t>
                    </a:r>
                  </a:p>
                </c:rich>
              </c:tx>
              <c:dLblPos val="inEnd"/>
              <c:showLegendKey val="0"/>
              <c:showVal val="0"/>
              <c:showCatName val="0"/>
              <c:showSerName val="0"/>
              <c:showPercent val="1"/>
              <c:showBubbleSize val="0"/>
              <c:extLst>
                <c:ext xmlns:c15="http://schemas.microsoft.com/office/drawing/2012/chart" uri="{CE6537A1-D6FC-4f65-9D91-7224C49458BB}">
                  <c15:layout>
                    <c:manualLayout>
                      <c:w val="0.281946775353632"/>
                      <c:h val="0.26224010731053"/>
                    </c:manualLayout>
                  </c15:layout>
                </c:ext>
              </c:extLst>
            </c:dLbl>
            <c:dLbl>
              <c:idx val="1"/>
              <c:layout>
                <c:manualLayout>
                  <c:x val="-0.105348602351987"/>
                  <c:y val="0.120039658540257"/>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26.19</a:t>
                    </a:r>
                    <a:r>
                      <a:rPr altLang="en-US"/>
                      <a:t>万元</a:t>
                    </a:r>
                    <a:r>
                      <a:t>2%</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41701473629851"/>
                  <c:y val="-0.0305274777584439"/>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80.53</a:t>
                    </a:r>
                    <a:r>
                      <a:rPr altLang="en-US"/>
                      <a:t>万元</a:t>
                    </a:r>
                    <a:r>
                      <a:t>6%</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399477806788512"/>
                      <c:h val="0.0729131175468484"/>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社会保障和就业支出</c:v>
                </c:pt>
                <c:pt idx="1">
                  <c:v>卫生健康支出</c:v>
                </c:pt>
                <c:pt idx="2">
                  <c:v>住房保障支出</c:v>
                </c:pt>
              </c:strCache>
            </c:strRef>
          </c:cat>
          <c:val>
            <c:numRef>
              <c:f>Sheet1!$B$2:$B$4</c:f>
              <c:numCache>
                <c:formatCode>General</c:formatCode>
                <c:ptCount val="3"/>
                <c:pt idx="0">
                  <c:v>1285.46</c:v>
                </c:pt>
                <c:pt idx="1">
                  <c:v>26.19</c:v>
                </c:pt>
                <c:pt idx="2">
                  <c:v>80.53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manualLayout>
          <c:xMode val="edge"/>
          <c:yMode val="edge"/>
          <c:x val="0.638525305410122"/>
          <c:y val="0.36454453098543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3.26</a:t>
                    </a:r>
                    <a:r>
                      <a:rPr altLang="en-US"/>
                      <a:t>万元</a:t>
                    </a:r>
                    <a:r>
                      <a:t>86%</a:t>
                    </a:r>
                  </a:p>
                </c:rich>
              </c:tx>
              <c:dLblPos val="inEnd"/>
              <c:showLegendKey val="0"/>
              <c:showVal val="0"/>
              <c:showCatName val="0"/>
              <c:showSerName val="0"/>
              <c:showPercent val="1"/>
              <c:showBubbleSize val="0"/>
              <c:extLst>
                <c:ext xmlns:c15="http://schemas.microsoft.com/office/drawing/2012/chart" uri="{CE6537A1-D6FC-4f65-9D91-7224C49458BB}">
                  <c15:layout>
                    <c:manualLayout>
                      <c:w val="0.236250597800096"/>
                      <c:h val="0.20647619047619"/>
                    </c:manualLayout>
                  </c15:layout>
                </c:ext>
              </c:extLst>
            </c:dLbl>
            <c:dLbl>
              <c:idx val="2"/>
              <c:layout>
                <c:manualLayout>
                  <c:x val="-0.0924884106580788"/>
                  <c:y val="-0.014963705636586"/>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0.55</a:t>
                    </a:r>
                    <a:r>
                      <a:rPr altLang="en-US"/>
                      <a:t>万元</a:t>
                    </a:r>
                    <a:r>
                      <a:t>14%</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199186991869919"/>
                      <c:h val="0.20647619047619"/>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因公出国（境）费用支出</c:v>
                </c:pt>
                <c:pt idx="1">
                  <c:v>公务用车购置及运行维护费支出</c:v>
                </c:pt>
                <c:pt idx="2">
                  <c:v>公务接待费用及运行维护费支出</c:v>
                </c:pt>
              </c:strCache>
            </c:strRef>
          </c:cat>
          <c:val>
            <c:numRef>
              <c:f>Sheet1!$B$2:$B$4</c:f>
              <c:numCache>
                <c:formatCode>General</c:formatCode>
                <c:ptCount val="3"/>
                <c:pt idx="0">
                  <c:v>0</c:v>
                </c:pt>
                <c:pt idx="1">
                  <c:v>3.26</c:v>
                </c:pt>
                <c:pt idx="2">
                  <c:v>0.55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18</Pages>
  <Words>1129</Words>
  <Characters>6438</Characters>
  <Lines>53</Lines>
  <Paragraphs>15</Paragraphs>
  <TotalTime>16</TotalTime>
  <ScaleCrop>false</ScaleCrop>
  <LinksUpToDate>false</LinksUpToDate>
  <CharactersWithSpaces>7552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Administrator</cp:lastModifiedBy>
  <cp:lastPrinted>2023-07-31T02:35:00Z</cp:lastPrinted>
  <dcterms:modified xsi:type="dcterms:W3CDTF">2023-10-19T03:17:08Z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