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60" w:lineRule="auto"/>
        <w:jc w:val="center"/>
        <w:rPr>
          <w:rFonts w:ascii="方正小标宋简体" w:hAnsi="方正小标宋简体" w:eastAsia="方正小标宋简体" w:cs="方正小标宋简体"/>
          <w:sz w:val="72"/>
          <w:szCs w:val="72"/>
        </w:rPr>
      </w:pPr>
      <w:bookmarkStart w:id="0" w:name="_Toc15377425"/>
      <w:bookmarkStart w:id="1" w:name="_Toc15378441"/>
      <w:bookmarkStart w:id="2" w:name="_Toc15377193"/>
      <w:bookmarkStart w:id="3" w:name="_Toc15396475"/>
      <w:bookmarkStart w:id="4" w:name="_Toc15396597"/>
      <w:bookmarkStart w:id="5" w:name="_Toc15306267"/>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bookmarkEnd w:id="5"/>
    <w:p>
      <w:pPr>
        <w:spacing w:line="960" w:lineRule="auto"/>
        <w:jc w:val="center"/>
        <w:rPr>
          <w:rFonts w:ascii="方正小标宋简体" w:hAnsi="方正小标宋简体" w:eastAsia="方正小标宋简体" w:cs="方正小标宋简体"/>
          <w:sz w:val="72"/>
          <w:szCs w:val="72"/>
        </w:rPr>
      </w:pPr>
      <w:bookmarkStart w:id="6" w:name="_Toc15396476"/>
      <w:bookmarkStart w:id="7" w:name="_Toc15378442"/>
      <w:bookmarkStart w:id="8" w:name="_Toc15306268"/>
      <w:bookmarkStart w:id="9" w:name="_Toc15396598"/>
      <w:bookmarkStart w:id="10" w:name="_Toc15377194"/>
      <w:bookmarkStart w:id="11" w:name="_Toc15377426"/>
      <w:r>
        <w:rPr>
          <w:rFonts w:hint="eastAsia" w:ascii="方正小标宋简体" w:hAnsi="方正小标宋简体" w:eastAsia="方正小标宋简体" w:cs="方正小标宋简体"/>
          <w:sz w:val="72"/>
          <w:szCs w:val="72"/>
        </w:rPr>
        <w:t>广元市委目标绩效管理办公室单位决算</w:t>
      </w:r>
      <w:bookmarkEnd w:id="6"/>
      <w:bookmarkEnd w:id="7"/>
      <w:bookmarkEnd w:id="8"/>
      <w:bookmarkEnd w:id="9"/>
      <w:bookmarkEnd w:id="10"/>
      <w:bookmarkEnd w:id="11"/>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0"/>
        <w:rPr>
          <w:rFonts w:ascii="Times New Roman" w:hAnsi="Times New Roman" w:eastAsia="宋体"/>
          <w:sz w:val="24"/>
          <w:szCs w:val="24"/>
        </w:rPr>
      </w:pPr>
      <w:r>
        <w:rPr>
          <w:rFonts w:hint="eastAsia" w:ascii="Times New Roman" w:hAnsi="Times New Roman" w:eastAsia="宋体"/>
          <w:sz w:val="24"/>
          <w:szCs w:val="24"/>
        </w:rPr>
        <w:t>公开时间：2023年</w:t>
      </w:r>
      <w:r>
        <w:rPr>
          <w:rFonts w:ascii="Times New Roman" w:hAnsi="Times New Roman" w:eastAsia="宋体"/>
          <w:sz w:val="24"/>
          <w:szCs w:val="24"/>
        </w:rPr>
        <w:t>10</w:t>
      </w:r>
      <w:r>
        <w:rPr>
          <w:rFonts w:hint="eastAsia" w:ascii="Times New Roman" w:hAnsi="Times New Roman" w:eastAsia="宋体"/>
          <w:sz w:val="24"/>
          <w:szCs w:val="24"/>
        </w:rPr>
        <w:t>月</w:t>
      </w:r>
      <w:r>
        <w:rPr>
          <w:rFonts w:hint="eastAsia" w:ascii="Times New Roman" w:hAnsi="Times New Roman" w:eastAsia="宋体"/>
          <w:sz w:val="24"/>
          <w:szCs w:val="24"/>
          <w:lang w:val="en-US" w:eastAsia="zh-CN"/>
        </w:rPr>
        <w:t xml:space="preserve"> 16 </w:t>
      </w:r>
      <w:r>
        <w:rPr>
          <w:rFonts w:hint="eastAsia" w:ascii="Times New Roman" w:hAnsi="Times New Roman" w:eastAsia="宋体"/>
          <w:sz w:val="24"/>
          <w:szCs w:val="24"/>
        </w:rPr>
        <w:t>日</w:t>
      </w:r>
    </w:p>
    <w:p/>
    <w:sdt>
      <w:sdtPr>
        <w:rPr>
          <w:rFonts w:ascii="Times New Roman" w:hAnsi="Times New Roman" w:eastAsia="宋体" w:cs="Times New Roman"/>
          <w:color w:val="auto"/>
          <w:kern w:val="2"/>
          <w:sz w:val="21"/>
          <w:szCs w:val="24"/>
          <w:lang w:val="zh-CN"/>
        </w:rPr>
        <w:id w:val="-1"/>
        <w:docPartObj>
          <w:docPartGallery w:val="Table of Contents"/>
          <w:docPartUnique/>
        </w:docPartObj>
      </w:sdtPr>
      <w:sdtEndPr>
        <w:rPr>
          <w:rFonts w:cs="Times New Roman" w:asciiTheme="minorEastAsia" w:hAnsiTheme="minorEastAsia" w:eastAsiaTheme="minorEastAsia"/>
          <w:bCs/>
          <w:color w:val="auto"/>
          <w:kern w:val="2"/>
          <w:sz w:val="28"/>
          <w:szCs w:val="28"/>
          <w:lang w:val="zh-CN"/>
        </w:rPr>
      </w:sdtEndPr>
      <w:sdtContent>
        <w:p>
          <w:pPr>
            <w:pStyle w:val="32"/>
            <w:keepNext w:val="0"/>
            <w:keepLines w:val="0"/>
            <w:jc w:val="center"/>
          </w:pPr>
          <w:bookmarkStart w:id="12" w:name="_Toc15377196"/>
          <w:bookmarkStart w:id="13" w:name="_Toc15396599"/>
        </w:p>
        <w:p>
          <w:pPr>
            <w:pStyle w:val="10"/>
            <w:rPr>
              <w:rFonts w:asciiTheme="minorEastAsia" w:hAnsiTheme="minorEastAsia" w:eastAsiaTheme="minorEastAsia" w:cstheme="minorBidi"/>
            </w:rPr>
          </w:pPr>
          <w:r>
            <w:rPr>
              <w:rFonts w:asciiTheme="minorEastAsia" w:hAnsiTheme="minorEastAsia" w:eastAsiaTheme="minorEastAsia"/>
            </w:rPr>
            <w:fldChar w:fldCharType="begin"/>
          </w:r>
          <w:r>
            <w:rPr>
              <w:rFonts w:asciiTheme="minorEastAsia" w:hAnsiTheme="minorEastAsia" w:eastAsiaTheme="minorEastAsia"/>
            </w:rPr>
            <w:instrText xml:space="preserve"> TOC \o "1-3" \h \z \u </w:instrText>
          </w:r>
          <w:r>
            <w:rPr>
              <w:rFonts w:asciiTheme="minorEastAsia" w:hAnsiTheme="minorEastAsia" w:eastAsiaTheme="minorEastAsia"/>
            </w:rPr>
            <w:fldChar w:fldCharType="separate"/>
          </w:r>
          <w:r>
            <w:fldChar w:fldCharType="begin"/>
          </w:r>
          <w:r>
            <w:instrText xml:space="preserve"> HYPERLINK \l "_Toc145959621" </w:instrText>
          </w:r>
          <w:r>
            <w:fldChar w:fldCharType="separate"/>
          </w:r>
          <w:r>
            <w:rPr>
              <w:rStyle w:val="15"/>
              <w:rFonts w:hint="eastAsia" w:asciiTheme="minorEastAsia" w:hAnsiTheme="minorEastAsia" w:eastAsiaTheme="minorEastAsia"/>
            </w:rPr>
            <w:t>第一部分</w:t>
          </w:r>
          <w:r>
            <w:rPr>
              <w:rStyle w:val="15"/>
              <w:rFonts w:asciiTheme="minorEastAsia" w:hAnsiTheme="minorEastAsia" w:eastAsiaTheme="minorEastAsia"/>
            </w:rPr>
            <w:t xml:space="preserve"> </w:t>
          </w:r>
          <w:r>
            <w:rPr>
              <w:rStyle w:val="15"/>
              <w:rFonts w:hint="eastAsia" w:asciiTheme="minorEastAsia" w:hAnsiTheme="minorEastAsia" w:eastAsiaTheme="minorEastAsia"/>
            </w:rPr>
            <w:t>单位概况</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_Toc145959621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"_Toc145959622" </w:instrText>
          </w:r>
          <w:r>
            <w:fldChar w:fldCharType="separate"/>
          </w:r>
          <w:r>
            <w:rPr>
              <w:rStyle w:val="15"/>
              <w:rFonts w:hint="eastAsia" w:asciiTheme="minorEastAsia" w:hAnsiTheme="minorEastAsia" w:eastAsiaTheme="minorEastAsia"/>
              <w:sz w:val="28"/>
              <w:szCs w:val="28"/>
            </w:rPr>
            <w:t>一、主要职责</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_Toc145959622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"_Toc145959623" </w:instrText>
          </w:r>
          <w:r>
            <w:fldChar w:fldCharType="separate"/>
          </w:r>
          <w:r>
            <w:rPr>
              <w:rStyle w:val="15"/>
              <w:rFonts w:hint="eastAsia" w:asciiTheme="minorEastAsia" w:hAnsiTheme="minorEastAsia" w:eastAsiaTheme="minorEastAsia"/>
              <w:sz w:val="28"/>
              <w:szCs w:val="28"/>
            </w:rPr>
            <w:t>二、机构设置</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_Toc145959623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0"/>
            <w:rPr>
              <w:rFonts w:asciiTheme="minorEastAsia" w:hAnsiTheme="minorEastAsia" w:eastAsiaTheme="minorEastAsia" w:cstheme="minorBidi"/>
            </w:rPr>
          </w:pPr>
          <w:r>
            <w:fldChar w:fldCharType="begin"/>
          </w:r>
          <w:r>
            <w:instrText xml:space="preserve"> HYPERLINK \l "_Toc145959624" </w:instrText>
          </w:r>
          <w:r>
            <w:fldChar w:fldCharType="separate"/>
          </w:r>
          <w:r>
            <w:rPr>
              <w:rStyle w:val="15"/>
              <w:rFonts w:hint="eastAsia" w:asciiTheme="minorEastAsia" w:hAnsiTheme="minorEastAsia" w:eastAsiaTheme="minorEastAsia"/>
            </w:rPr>
            <w:t>第二部分</w:t>
          </w:r>
          <w:r>
            <w:rPr>
              <w:rStyle w:val="15"/>
              <w:rFonts w:asciiTheme="minorEastAsia" w:hAnsiTheme="minorEastAsia" w:eastAsiaTheme="minorEastAsia"/>
            </w:rPr>
            <w:t xml:space="preserve"> 2022</w:t>
          </w:r>
          <w:r>
            <w:rPr>
              <w:rStyle w:val="15"/>
              <w:rFonts w:hint="eastAsia" w:asciiTheme="minorEastAsia" w:hAnsiTheme="minorEastAsia" w:eastAsiaTheme="minorEastAsia"/>
            </w:rPr>
            <w:t>年度单位决算情况说明</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_Toc145959624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1"/>
            <w:tabs>
              <w:tab w:val="left" w:pos="1260"/>
            </w:tabs>
            <w:rPr>
              <w:rFonts w:asciiTheme="minorEastAsia" w:hAnsiTheme="minorEastAsia" w:eastAsiaTheme="minorEastAsia" w:cstheme="minorBidi"/>
              <w:sz w:val="28"/>
              <w:szCs w:val="28"/>
            </w:rPr>
          </w:pPr>
          <w:r>
            <w:fldChar w:fldCharType="begin"/>
          </w:r>
          <w:r>
            <w:instrText xml:space="preserve"> HYPERLINK \l "_Toc145959625" </w:instrText>
          </w:r>
          <w:r>
            <w:fldChar w:fldCharType="separate"/>
          </w:r>
          <w:r>
            <w:rPr>
              <w:rStyle w:val="15"/>
              <w:rFonts w:hint="eastAsia" w:asciiTheme="minorEastAsia" w:hAnsiTheme="minorEastAsia" w:eastAsiaTheme="minorEastAsia" w:cstheme="majorBidi"/>
              <w:bCs/>
              <w:sz w:val="28"/>
              <w:szCs w:val="28"/>
            </w:rPr>
            <w:t>一、</w:t>
          </w:r>
          <w:r>
            <w:rPr>
              <w:rFonts w:asciiTheme="minorEastAsia" w:hAnsiTheme="minorEastAsia" w:eastAsiaTheme="minorEastAsia" w:cstheme="minorBidi"/>
              <w:sz w:val="28"/>
              <w:szCs w:val="28"/>
            </w:rPr>
            <w:tab/>
          </w:r>
          <w:r>
            <w:rPr>
              <w:rStyle w:val="15"/>
              <w:rFonts w:hint="eastAsia" w:asciiTheme="minorEastAsia" w:hAnsiTheme="minorEastAsia" w:eastAsiaTheme="minorEastAsia"/>
              <w:sz w:val="28"/>
              <w:szCs w:val="28"/>
            </w:rPr>
            <w:t>收</w:t>
          </w:r>
          <w:r>
            <w:rPr>
              <w:rStyle w:val="15"/>
              <w:rFonts w:hint="eastAsia" w:asciiTheme="minorEastAsia" w:hAnsiTheme="minorEastAsia" w:eastAsiaTheme="minorEastAsia" w:cstheme="majorBidi"/>
              <w:bCs/>
              <w:sz w:val="28"/>
              <w:szCs w:val="28"/>
            </w:rPr>
            <w:t>入支出决算总体情况说明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_Toc145959625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2</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tabs>
              <w:tab w:val="left" w:pos="1260"/>
            </w:tabs>
            <w:rPr>
              <w:rFonts w:asciiTheme="minorEastAsia" w:hAnsiTheme="minorEastAsia" w:eastAsiaTheme="minorEastAsia" w:cstheme="minorBidi"/>
              <w:sz w:val="28"/>
              <w:szCs w:val="28"/>
            </w:rPr>
          </w:pPr>
          <w:r>
            <w:fldChar w:fldCharType="begin"/>
          </w:r>
          <w:r>
            <w:instrText xml:space="preserve"> HYPERLINK \l "_Toc145959626" </w:instrText>
          </w:r>
          <w:r>
            <w:fldChar w:fldCharType="separate"/>
          </w:r>
          <w:r>
            <w:rPr>
              <w:rStyle w:val="15"/>
              <w:rFonts w:hint="eastAsia" w:asciiTheme="minorEastAsia" w:hAnsiTheme="minorEastAsia" w:eastAsiaTheme="minorEastAsia" w:cstheme="majorBidi"/>
              <w:bCs/>
              <w:sz w:val="28"/>
              <w:szCs w:val="28"/>
            </w:rPr>
            <w:t>二、</w:t>
          </w:r>
          <w:r>
            <w:rPr>
              <w:rFonts w:asciiTheme="minorEastAsia" w:hAnsiTheme="minorEastAsia" w:eastAsiaTheme="minorEastAsia" w:cstheme="minorBidi"/>
              <w:sz w:val="28"/>
              <w:szCs w:val="28"/>
            </w:rPr>
            <w:tab/>
          </w:r>
          <w:r>
            <w:rPr>
              <w:rStyle w:val="15"/>
              <w:rFonts w:hint="eastAsia" w:asciiTheme="minorEastAsia" w:hAnsiTheme="minorEastAsia" w:eastAsiaTheme="minorEastAsia"/>
              <w:sz w:val="28"/>
              <w:szCs w:val="28"/>
            </w:rPr>
            <w:t>收</w:t>
          </w:r>
          <w:r>
            <w:rPr>
              <w:rStyle w:val="15"/>
              <w:rFonts w:hint="eastAsia" w:asciiTheme="minorEastAsia" w:hAnsiTheme="minorEastAsia" w:eastAsiaTheme="minorEastAsia" w:cstheme="majorBidi"/>
              <w:bCs/>
              <w:sz w:val="28"/>
              <w:szCs w:val="28"/>
            </w:rPr>
            <w:t>入决算情况说明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_Toc145959626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2</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tabs>
              <w:tab w:val="left" w:pos="1260"/>
            </w:tabs>
            <w:rPr>
              <w:rFonts w:asciiTheme="minorEastAsia" w:hAnsiTheme="minorEastAsia" w:eastAsiaTheme="minorEastAsia" w:cstheme="minorBidi"/>
              <w:sz w:val="28"/>
              <w:szCs w:val="28"/>
            </w:rPr>
          </w:pPr>
          <w:r>
            <w:fldChar w:fldCharType="begin"/>
          </w:r>
          <w:r>
            <w:instrText xml:space="preserve"> HYPERLINK \l "_Toc145959627" </w:instrText>
          </w:r>
          <w:r>
            <w:fldChar w:fldCharType="separate"/>
          </w:r>
          <w:r>
            <w:rPr>
              <w:rStyle w:val="15"/>
              <w:rFonts w:hint="eastAsia" w:asciiTheme="minorEastAsia" w:hAnsiTheme="minorEastAsia" w:eastAsiaTheme="minorEastAsia" w:cstheme="majorBidi"/>
              <w:bCs/>
              <w:sz w:val="28"/>
              <w:szCs w:val="28"/>
            </w:rPr>
            <w:t>三、</w:t>
          </w:r>
          <w:r>
            <w:rPr>
              <w:rFonts w:asciiTheme="minorEastAsia" w:hAnsiTheme="minorEastAsia" w:eastAsiaTheme="minorEastAsia" w:cstheme="minorBidi"/>
              <w:sz w:val="28"/>
              <w:szCs w:val="28"/>
            </w:rPr>
            <w:tab/>
          </w:r>
          <w:r>
            <w:rPr>
              <w:rStyle w:val="15"/>
              <w:rFonts w:hint="eastAsia" w:asciiTheme="minorEastAsia" w:hAnsiTheme="minorEastAsia" w:eastAsiaTheme="minorEastAsia"/>
              <w:sz w:val="28"/>
              <w:szCs w:val="28"/>
            </w:rPr>
            <w:t>支</w:t>
          </w:r>
          <w:r>
            <w:rPr>
              <w:rStyle w:val="15"/>
              <w:rFonts w:hint="eastAsia" w:asciiTheme="minorEastAsia" w:hAnsiTheme="minorEastAsia" w:eastAsiaTheme="minorEastAsia" w:cstheme="majorBidi"/>
              <w:bCs/>
              <w:sz w:val="28"/>
              <w:szCs w:val="28"/>
            </w:rPr>
            <w:t>出决算情况说明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_Toc145959627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2</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"_Toc145959628" </w:instrText>
          </w:r>
          <w:r>
            <w:fldChar w:fldCharType="separate"/>
          </w:r>
          <w:r>
            <w:rPr>
              <w:rStyle w:val="15"/>
              <w:rFonts w:hint="eastAsia" w:asciiTheme="minorEastAsia" w:hAnsiTheme="minorEastAsia" w:eastAsiaTheme="minorEastAsia"/>
              <w:sz w:val="28"/>
              <w:szCs w:val="28"/>
            </w:rPr>
            <w:t>四、财政拨款收入支出决算总体情况说明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_Toc145959628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"_Toc145959629" </w:instrText>
          </w:r>
          <w:r>
            <w:fldChar w:fldCharType="separate"/>
          </w:r>
          <w:r>
            <w:rPr>
              <w:rStyle w:val="15"/>
              <w:rFonts w:hint="eastAsia" w:asciiTheme="minorEastAsia" w:hAnsiTheme="minorEastAsia" w:eastAsiaTheme="minorEastAsia"/>
              <w:sz w:val="28"/>
              <w:szCs w:val="28"/>
            </w:rPr>
            <w:t>五、一</w:t>
          </w:r>
          <w:r>
            <w:rPr>
              <w:rStyle w:val="15"/>
              <w:rFonts w:hint="eastAsia" w:asciiTheme="minorEastAsia" w:hAnsiTheme="minorEastAsia" w:eastAsiaTheme="minorEastAsia" w:cstheme="majorBidi"/>
              <w:bCs/>
              <w:sz w:val="28"/>
              <w:szCs w:val="28"/>
            </w:rPr>
            <w:t>般公共预算财政拨款支出决算情况说明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_Toc145959629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6"/>
            <w:rPr>
              <w:rFonts w:asciiTheme="minorEastAsia" w:hAnsiTheme="minorEastAsia" w:eastAsiaTheme="minorEastAsia" w:cstheme="minorBidi"/>
              <w:sz w:val="28"/>
              <w:szCs w:val="28"/>
            </w:rPr>
          </w:pPr>
          <w:r>
            <w:fldChar w:fldCharType="begin"/>
          </w:r>
          <w:r>
            <w:instrText xml:space="preserve"> HYPERLINK \l "_Toc145959630" </w:instrText>
          </w:r>
          <w:r>
            <w:fldChar w:fldCharType="separate"/>
          </w:r>
          <w:r>
            <w:rPr>
              <w:rStyle w:val="15"/>
              <w:rFonts w:hint="eastAsia" w:asciiTheme="minorEastAsia" w:hAnsiTheme="minorEastAsia" w:eastAsiaTheme="minorEastAsia"/>
              <w:sz w:val="28"/>
              <w:szCs w:val="28"/>
            </w:rPr>
            <w:t>（一）一般公共预算财政拨款支出决算总体情况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_Toc145959630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4</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6"/>
            <w:rPr>
              <w:rFonts w:asciiTheme="minorEastAsia" w:hAnsiTheme="minorEastAsia" w:eastAsiaTheme="minorEastAsia" w:cstheme="minorBidi"/>
              <w:sz w:val="28"/>
              <w:szCs w:val="28"/>
            </w:rPr>
          </w:pPr>
          <w:r>
            <w:fldChar w:fldCharType="begin"/>
          </w:r>
          <w:r>
            <w:instrText xml:space="preserve"> HYPERLINK \l "_Toc145959631" </w:instrText>
          </w:r>
          <w:r>
            <w:fldChar w:fldCharType="separate"/>
          </w:r>
          <w:r>
            <w:rPr>
              <w:rStyle w:val="15"/>
              <w:rFonts w:hint="eastAsia" w:asciiTheme="minorEastAsia" w:hAnsiTheme="minorEastAsia" w:eastAsiaTheme="minorEastAsia"/>
              <w:sz w:val="28"/>
              <w:szCs w:val="28"/>
            </w:rPr>
            <w:t>（二）一般公共预算财政拨款支出决算结构情况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_Toc145959631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4</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6"/>
            <w:rPr>
              <w:rFonts w:asciiTheme="minorEastAsia" w:hAnsiTheme="minorEastAsia" w:eastAsiaTheme="minorEastAsia" w:cstheme="minorBidi"/>
              <w:sz w:val="28"/>
              <w:szCs w:val="28"/>
            </w:rPr>
          </w:pPr>
          <w:r>
            <w:fldChar w:fldCharType="begin"/>
          </w:r>
          <w:r>
            <w:instrText xml:space="preserve"> HYPERLINK \l "_Toc145959632" </w:instrText>
          </w:r>
          <w:r>
            <w:fldChar w:fldCharType="separate"/>
          </w:r>
          <w:r>
            <w:rPr>
              <w:rStyle w:val="15"/>
              <w:rFonts w:hint="eastAsia" w:asciiTheme="minorEastAsia" w:hAnsiTheme="minorEastAsia" w:eastAsiaTheme="minorEastAsia"/>
              <w:sz w:val="28"/>
              <w:szCs w:val="28"/>
            </w:rPr>
            <w:t>（三）一般公共预算财政拨款支出决算具体情况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_Toc145959632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5</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"_Toc145959633" </w:instrText>
          </w:r>
          <w:r>
            <w:fldChar w:fldCharType="separate"/>
          </w:r>
          <w:r>
            <w:rPr>
              <w:rStyle w:val="15"/>
              <w:rFonts w:hint="eastAsia" w:asciiTheme="minorEastAsia" w:hAnsiTheme="minorEastAsia" w:eastAsiaTheme="minorEastAsia"/>
              <w:sz w:val="28"/>
              <w:szCs w:val="28"/>
            </w:rPr>
            <w:t>六、一</w:t>
          </w:r>
          <w:r>
            <w:rPr>
              <w:rStyle w:val="15"/>
              <w:rFonts w:hint="eastAsia" w:asciiTheme="minorEastAsia" w:hAnsiTheme="minorEastAsia" w:eastAsiaTheme="minorEastAsia" w:cstheme="majorBidi"/>
              <w:bCs/>
              <w:sz w:val="28"/>
              <w:szCs w:val="28"/>
            </w:rPr>
            <w:t>般公共预算财政拨款基本支出决算情况说明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_Toc145959633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5</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"_Toc145959634" </w:instrText>
          </w:r>
          <w:r>
            <w:fldChar w:fldCharType="separate"/>
          </w:r>
          <w:r>
            <w:rPr>
              <w:rStyle w:val="15"/>
              <w:rFonts w:hint="eastAsia" w:asciiTheme="minorEastAsia" w:hAnsiTheme="minorEastAsia" w:eastAsiaTheme="minorEastAsia"/>
              <w:sz w:val="28"/>
              <w:szCs w:val="28"/>
            </w:rPr>
            <w:t>七、</w:t>
          </w:r>
          <w:r>
            <w:rPr>
              <w:rStyle w:val="15"/>
              <w:rFonts w:hint="eastAsia" w:asciiTheme="minorEastAsia" w:hAnsiTheme="minorEastAsia" w:eastAsiaTheme="minorEastAsia" w:cstheme="majorBidi"/>
              <w:bCs/>
              <w:sz w:val="28"/>
              <w:szCs w:val="28"/>
            </w:rPr>
            <w:t>财政拨款</w:t>
          </w:r>
          <w:r>
            <w:rPr>
              <w:rStyle w:val="15"/>
              <w:rFonts w:asciiTheme="minorEastAsia" w:hAnsiTheme="minorEastAsia" w:eastAsiaTheme="minorEastAsia" w:cstheme="majorBidi"/>
              <w:bCs/>
              <w:sz w:val="28"/>
              <w:szCs w:val="28"/>
            </w:rPr>
            <w:t>“</w:t>
          </w:r>
          <w:r>
            <w:rPr>
              <w:rStyle w:val="15"/>
              <w:rFonts w:hint="eastAsia" w:asciiTheme="minorEastAsia" w:hAnsiTheme="minorEastAsia" w:eastAsiaTheme="minorEastAsia" w:cstheme="majorBidi"/>
              <w:bCs/>
              <w:sz w:val="28"/>
              <w:szCs w:val="28"/>
            </w:rPr>
            <w:t>三公”经费支出决算情况说明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_Toc145959634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5</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"_Toc145959635" </w:instrText>
          </w:r>
          <w:r>
            <w:fldChar w:fldCharType="separate"/>
          </w:r>
          <w:r>
            <w:rPr>
              <w:rStyle w:val="15"/>
              <w:rFonts w:hint="eastAsia" w:asciiTheme="minorEastAsia" w:hAnsiTheme="minorEastAsia" w:eastAsiaTheme="minorEastAsia"/>
              <w:sz w:val="28"/>
              <w:szCs w:val="28"/>
            </w:rPr>
            <w:t>八、</w:t>
          </w:r>
          <w:r>
            <w:rPr>
              <w:rStyle w:val="15"/>
              <w:rFonts w:hint="eastAsia" w:asciiTheme="minorEastAsia" w:hAnsiTheme="minorEastAsia" w:eastAsiaTheme="minorEastAsia" w:cstheme="majorBidi"/>
              <w:bCs/>
              <w:sz w:val="28"/>
              <w:szCs w:val="28"/>
            </w:rPr>
            <w:t>政府性基金预算支出决算情况说明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_Toc145959635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7</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"_Toc145959636" </w:instrText>
          </w:r>
          <w:r>
            <w:fldChar w:fldCharType="separate"/>
          </w:r>
          <w:r>
            <w:rPr>
              <w:rStyle w:val="15"/>
              <w:rFonts w:hint="eastAsia" w:asciiTheme="minorEastAsia" w:hAnsiTheme="minorEastAsia" w:eastAsiaTheme="minorEastAsia" w:cstheme="majorBidi"/>
              <w:bCs/>
              <w:sz w:val="28"/>
              <w:szCs w:val="28"/>
            </w:rPr>
            <w:t>九、 国有资本经营预算支出决算情况说明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_Toc145959636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7</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"_Toc145959637" </w:instrText>
          </w:r>
          <w:r>
            <w:fldChar w:fldCharType="separate"/>
          </w:r>
          <w:r>
            <w:rPr>
              <w:rStyle w:val="15"/>
              <w:rFonts w:hint="eastAsia" w:asciiTheme="minorEastAsia" w:hAnsiTheme="minorEastAsia" w:eastAsiaTheme="minorEastAsia" w:cstheme="majorBidi"/>
              <w:bCs/>
              <w:sz w:val="28"/>
              <w:szCs w:val="28"/>
            </w:rPr>
            <w:t>十、 其他重要事项的情况说明</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_Toc145959637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7</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6"/>
            <w:rPr>
              <w:rFonts w:asciiTheme="minorEastAsia" w:hAnsiTheme="minorEastAsia" w:eastAsiaTheme="minorEastAsia" w:cstheme="minorBidi"/>
              <w:sz w:val="28"/>
              <w:szCs w:val="28"/>
            </w:rPr>
          </w:pPr>
          <w:r>
            <w:fldChar w:fldCharType="begin"/>
          </w:r>
          <w:r>
            <w:instrText xml:space="preserve"> HYPERLINK \l "_Toc145959638" </w:instrText>
          </w:r>
          <w:r>
            <w:fldChar w:fldCharType="separate"/>
          </w:r>
          <w:r>
            <w:rPr>
              <w:rStyle w:val="15"/>
              <w:rFonts w:hint="eastAsia" w:asciiTheme="minorEastAsia" w:hAnsiTheme="minorEastAsia" w:eastAsiaTheme="minorEastAsia"/>
              <w:sz w:val="28"/>
              <w:szCs w:val="28"/>
            </w:rPr>
            <w:t>（一）机关运行经费支出情况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_Toc145959638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7</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6"/>
            <w:rPr>
              <w:rFonts w:asciiTheme="minorEastAsia" w:hAnsiTheme="minorEastAsia" w:eastAsiaTheme="minorEastAsia" w:cstheme="minorBidi"/>
              <w:sz w:val="28"/>
              <w:szCs w:val="28"/>
            </w:rPr>
          </w:pPr>
          <w:r>
            <w:fldChar w:fldCharType="begin"/>
          </w:r>
          <w:r>
            <w:instrText xml:space="preserve"> HYPERLINK \l "_Toc145959639" </w:instrText>
          </w:r>
          <w:r>
            <w:fldChar w:fldCharType="separate"/>
          </w:r>
          <w:r>
            <w:rPr>
              <w:rStyle w:val="15"/>
              <w:rFonts w:hint="eastAsia" w:asciiTheme="minorEastAsia" w:hAnsiTheme="minorEastAsia" w:eastAsiaTheme="minorEastAsia"/>
              <w:sz w:val="28"/>
              <w:szCs w:val="28"/>
            </w:rPr>
            <w:t>（二）政府采购支出情况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_Toc145959639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8</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6"/>
            <w:rPr>
              <w:rFonts w:asciiTheme="minorEastAsia" w:hAnsiTheme="minorEastAsia" w:eastAsiaTheme="minorEastAsia" w:cstheme="minorBidi"/>
              <w:sz w:val="28"/>
              <w:szCs w:val="28"/>
            </w:rPr>
          </w:pPr>
          <w:r>
            <w:fldChar w:fldCharType="begin"/>
          </w:r>
          <w:r>
            <w:instrText xml:space="preserve"> HYPERLINK \l "_Toc145959640" </w:instrText>
          </w:r>
          <w:r>
            <w:fldChar w:fldCharType="separate"/>
          </w:r>
          <w:r>
            <w:rPr>
              <w:rStyle w:val="15"/>
              <w:rFonts w:hint="eastAsia" w:asciiTheme="minorEastAsia" w:hAnsiTheme="minorEastAsia" w:eastAsiaTheme="minorEastAsia"/>
              <w:sz w:val="28"/>
              <w:szCs w:val="28"/>
            </w:rPr>
            <w:t>（三）国有资产占有使用情况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_Toc145959640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8</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6"/>
            <w:rPr>
              <w:rFonts w:asciiTheme="minorEastAsia" w:hAnsiTheme="minorEastAsia" w:eastAsiaTheme="minorEastAsia" w:cstheme="minorBidi"/>
              <w:sz w:val="28"/>
              <w:szCs w:val="28"/>
            </w:rPr>
          </w:pPr>
          <w:r>
            <w:fldChar w:fldCharType="begin"/>
          </w:r>
          <w:r>
            <w:instrText xml:space="preserve"> HYPERLINK \l "_Toc145959641" </w:instrText>
          </w:r>
          <w:r>
            <w:fldChar w:fldCharType="separate"/>
          </w:r>
          <w:r>
            <w:rPr>
              <w:rStyle w:val="15"/>
              <w:rFonts w:hint="eastAsia" w:asciiTheme="minorEastAsia" w:hAnsiTheme="minorEastAsia" w:eastAsiaTheme="minorEastAsia"/>
              <w:sz w:val="28"/>
              <w:szCs w:val="28"/>
            </w:rPr>
            <w:t>（四）预算绩效管理情况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_Toc145959641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8</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0"/>
            <w:rPr>
              <w:rFonts w:asciiTheme="minorEastAsia" w:hAnsiTheme="minorEastAsia" w:eastAsiaTheme="minorEastAsia" w:cstheme="minorBidi"/>
            </w:rPr>
          </w:pPr>
          <w:r>
            <w:fldChar w:fldCharType="begin"/>
          </w:r>
          <w:r>
            <w:instrText xml:space="preserve"> HYPERLINK \l "_Toc145959642" </w:instrText>
          </w:r>
          <w:r>
            <w:fldChar w:fldCharType="separate"/>
          </w:r>
          <w:r>
            <w:rPr>
              <w:rStyle w:val="15"/>
              <w:rFonts w:hint="eastAsia" w:cs="黑体" w:asciiTheme="minorEastAsia" w:hAnsiTheme="minorEastAsia" w:eastAsiaTheme="minorEastAsia"/>
              <w:bCs/>
              <w:kern w:val="44"/>
            </w:rPr>
            <w:t>第三部分</w:t>
          </w:r>
          <w:r>
            <w:rPr>
              <w:rStyle w:val="15"/>
              <w:rFonts w:hint="eastAsia" w:asciiTheme="minorEastAsia" w:hAnsiTheme="minorEastAsia" w:eastAsiaTheme="minorEastAsia"/>
            </w:rPr>
            <w:t xml:space="preserve"> 名</w:t>
          </w:r>
          <w:r>
            <w:rPr>
              <w:rStyle w:val="15"/>
              <w:rFonts w:hint="eastAsia" w:asciiTheme="minorEastAsia" w:hAnsiTheme="minorEastAsia" w:eastAsiaTheme="minorEastAsia"/>
              <w:bCs/>
              <w:kern w:val="44"/>
            </w:rPr>
            <w:t>词解释</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_Toc145959642 \h </w:instrText>
          </w:r>
          <w:r>
            <w:rPr>
              <w:rFonts w:asciiTheme="minorEastAsia" w:hAnsiTheme="minorEastAsia" w:eastAsiaTheme="minorEastAsia"/>
            </w:rPr>
            <w:fldChar w:fldCharType="separate"/>
          </w:r>
          <w:r>
            <w:rPr>
              <w:rFonts w:asciiTheme="minorEastAsia" w:hAnsiTheme="minorEastAsia" w:eastAsiaTheme="minorEastAsia"/>
            </w:rPr>
            <w:t>9</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rPr>
              <w:rFonts w:asciiTheme="minorEastAsia" w:hAnsiTheme="minorEastAsia" w:eastAsiaTheme="minorEastAsia" w:cstheme="minorBidi"/>
            </w:rPr>
          </w:pPr>
          <w:r>
            <w:fldChar w:fldCharType="begin"/>
          </w:r>
          <w:r>
            <w:instrText xml:space="preserve"> HYPERLINK \l "_Toc145959643" </w:instrText>
          </w:r>
          <w:r>
            <w:fldChar w:fldCharType="separate"/>
          </w:r>
          <w:r>
            <w:rPr>
              <w:rStyle w:val="15"/>
              <w:rFonts w:hint="eastAsia" w:asciiTheme="minorEastAsia" w:hAnsiTheme="minorEastAsia" w:eastAsiaTheme="minorEastAsia"/>
            </w:rPr>
            <w:t>第</w:t>
          </w:r>
          <w:r>
            <w:rPr>
              <w:rStyle w:val="15"/>
              <w:rFonts w:hint="eastAsia" w:asciiTheme="minorEastAsia" w:hAnsiTheme="minorEastAsia" w:eastAsiaTheme="minorEastAsia"/>
              <w:bCs/>
              <w:kern w:val="44"/>
            </w:rPr>
            <w:t>四部分</w:t>
          </w:r>
          <w:r>
            <w:rPr>
              <w:rStyle w:val="15"/>
              <w:rFonts w:asciiTheme="minorEastAsia" w:hAnsiTheme="minorEastAsia" w:eastAsiaTheme="minorEastAsia"/>
              <w:bCs/>
              <w:kern w:val="44"/>
            </w:rPr>
            <w:t xml:space="preserve"> </w:t>
          </w:r>
          <w:r>
            <w:rPr>
              <w:rStyle w:val="15"/>
              <w:rFonts w:hint="eastAsia" w:asciiTheme="minorEastAsia" w:hAnsiTheme="minorEastAsia" w:eastAsiaTheme="minorEastAsia"/>
              <w:bCs/>
              <w:kern w:val="44"/>
            </w:rPr>
            <w:t>附件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_Toc145959643 \h </w:instrText>
          </w:r>
          <w:r>
            <w:rPr>
              <w:rFonts w:asciiTheme="minorEastAsia" w:hAnsiTheme="minorEastAsia" w:eastAsiaTheme="minorEastAsia"/>
            </w:rPr>
            <w:fldChar w:fldCharType="separate"/>
          </w:r>
          <w:r>
            <w:rPr>
              <w:rFonts w:asciiTheme="minorEastAsia" w:hAnsiTheme="minorEastAsia" w:eastAsiaTheme="minorEastAsia"/>
            </w:rPr>
            <w:t>11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0"/>
            <w:rPr>
              <w:rFonts w:asciiTheme="minorEastAsia" w:hAnsiTheme="minorEastAsia" w:eastAsiaTheme="minorEastAsia" w:cstheme="minorBidi"/>
            </w:rPr>
          </w:pPr>
          <w:r>
            <w:fldChar w:fldCharType="begin"/>
          </w:r>
          <w:r>
            <w:instrText xml:space="preserve"> HYPERLINK \l "_Toc145959644" </w:instrText>
          </w:r>
          <w:r>
            <w:fldChar w:fldCharType="separate"/>
          </w:r>
          <w:r>
            <w:rPr>
              <w:rStyle w:val="15"/>
              <w:rFonts w:hint="eastAsia" w:asciiTheme="minorEastAsia" w:hAnsiTheme="minorEastAsia" w:eastAsiaTheme="minorEastAsia"/>
            </w:rPr>
            <w:t>第</w:t>
          </w:r>
          <w:r>
            <w:rPr>
              <w:rStyle w:val="15"/>
              <w:rFonts w:hint="eastAsia" w:asciiTheme="minorEastAsia" w:hAnsiTheme="minorEastAsia" w:eastAsiaTheme="minorEastAsia"/>
              <w:bCs/>
              <w:kern w:val="44"/>
            </w:rPr>
            <w:t>五部分</w:t>
          </w:r>
          <w:r>
            <w:rPr>
              <w:rStyle w:val="15"/>
              <w:rFonts w:asciiTheme="minorEastAsia" w:hAnsiTheme="minorEastAsia" w:eastAsiaTheme="minorEastAsia"/>
              <w:bCs/>
              <w:kern w:val="44"/>
            </w:rPr>
            <w:t xml:space="preserve"> </w:t>
          </w:r>
          <w:r>
            <w:rPr>
              <w:rStyle w:val="15"/>
              <w:rFonts w:hint="eastAsia" w:asciiTheme="minorEastAsia" w:hAnsiTheme="minorEastAsia" w:eastAsiaTheme="minorEastAsia"/>
              <w:bCs/>
              <w:kern w:val="44"/>
            </w:rPr>
            <w:t>附表</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_Toc145959644 \h </w:instrText>
          </w:r>
          <w:r>
            <w:rPr>
              <w:rFonts w:asciiTheme="minorEastAsia" w:hAnsiTheme="minorEastAsia" w:eastAsiaTheme="minorEastAsia"/>
            </w:rPr>
            <w:fldChar w:fldCharType="separate"/>
          </w:r>
          <w:r>
            <w:rPr>
              <w:rFonts w:asciiTheme="minorEastAsia" w:hAnsiTheme="minorEastAsia" w:eastAsiaTheme="minorEastAsia"/>
            </w:rPr>
            <w:t>3</w:t>
          </w:r>
          <w:r>
            <w:rPr>
              <w:rFonts w:hint="eastAsia" w:asciiTheme="minorEastAsia" w:hAnsiTheme="minorEastAsia" w:eastAsiaTheme="minorEastAsia"/>
              <w:lang w:val="en-US" w:eastAsia="zh-CN"/>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"_Toc145959645" </w:instrText>
          </w:r>
          <w:r>
            <w:fldChar w:fldCharType="separate"/>
          </w:r>
          <w:r>
            <w:rPr>
              <w:rStyle w:val="15"/>
              <w:rFonts w:hint="eastAsia" w:asciiTheme="minorEastAsia" w:hAnsiTheme="minorEastAsia" w:eastAsiaTheme="minorEastAsia" w:cstheme="minorEastAsia"/>
              <w:sz w:val="28"/>
              <w:szCs w:val="28"/>
            </w:rPr>
            <w:t>一、收入支出决算总表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_Toc145959645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"_Toc145959646" </w:instrText>
          </w:r>
          <w:r>
            <w:fldChar w:fldCharType="separate"/>
          </w:r>
          <w:r>
            <w:rPr>
              <w:rStyle w:val="15"/>
              <w:rFonts w:hint="eastAsia" w:asciiTheme="minorEastAsia" w:hAnsiTheme="minorEastAsia" w:eastAsiaTheme="minorEastAsia" w:cstheme="minorEastAsia"/>
              <w:sz w:val="28"/>
              <w:szCs w:val="28"/>
            </w:rPr>
            <w:t>二、收入决算表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_Toc145959646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"_Toc145959647" </w:instrText>
          </w:r>
          <w:r>
            <w:fldChar w:fldCharType="separate"/>
          </w:r>
          <w:r>
            <w:rPr>
              <w:rStyle w:val="15"/>
              <w:rFonts w:hint="eastAsia" w:asciiTheme="minorEastAsia" w:hAnsiTheme="minorEastAsia" w:eastAsiaTheme="minorEastAsia" w:cstheme="minorEastAsia"/>
              <w:sz w:val="28"/>
              <w:szCs w:val="28"/>
            </w:rPr>
            <w:t>三、支出决算表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_Toc145959647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"_Toc145959648" </w:instrText>
          </w:r>
          <w:r>
            <w:fldChar w:fldCharType="separate"/>
          </w:r>
          <w:r>
            <w:rPr>
              <w:rStyle w:val="15"/>
              <w:rFonts w:hint="eastAsia" w:asciiTheme="minorEastAsia" w:hAnsiTheme="minorEastAsia" w:eastAsiaTheme="minorEastAsia" w:cstheme="minorEastAsia"/>
              <w:sz w:val="28"/>
              <w:szCs w:val="28"/>
            </w:rPr>
            <w:t>四、财政拨款收入支出决算总表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_Toc145959648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"_Toc145959649" </w:instrText>
          </w:r>
          <w:r>
            <w:fldChar w:fldCharType="separate"/>
          </w:r>
          <w:r>
            <w:rPr>
              <w:rStyle w:val="15"/>
              <w:rFonts w:hint="eastAsia" w:asciiTheme="minorEastAsia" w:hAnsiTheme="minorEastAsia" w:eastAsiaTheme="minorEastAsia" w:cstheme="minorEastAsia"/>
              <w:sz w:val="28"/>
              <w:szCs w:val="28"/>
            </w:rPr>
            <w:t>五、财政拨款支出决算明细表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_Toc145959649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"_Toc145959650" </w:instrText>
          </w:r>
          <w:r>
            <w:fldChar w:fldCharType="separate"/>
          </w:r>
          <w:r>
            <w:rPr>
              <w:rStyle w:val="15"/>
              <w:rFonts w:hint="eastAsia" w:asciiTheme="minorEastAsia" w:hAnsiTheme="minorEastAsia" w:eastAsiaTheme="minorEastAsia" w:cstheme="minorEastAsia"/>
              <w:sz w:val="28"/>
              <w:szCs w:val="28"/>
            </w:rPr>
            <w:t>六、一般公共预算财政拨款支出决算表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_Toc145959650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"_Toc145959651" </w:instrText>
          </w:r>
          <w:r>
            <w:fldChar w:fldCharType="separate"/>
          </w:r>
          <w:r>
            <w:rPr>
              <w:rStyle w:val="15"/>
              <w:rFonts w:hint="eastAsia" w:asciiTheme="minorEastAsia" w:hAnsiTheme="minorEastAsia" w:eastAsiaTheme="minorEastAsia" w:cstheme="minorEastAsia"/>
              <w:sz w:val="28"/>
              <w:szCs w:val="28"/>
            </w:rPr>
            <w:t>七、一般公共预算财政拨款支出决算明细表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_Toc145959651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"_Toc145959652" </w:instrText>
          </w:r>
          <w:r>
            <w:fldChar w:fldCharType="separate"/>
          </w:r>
          <w:r>
            <w:rPr>
              <w:rStyle w:val="15"/>
              <w:rFonts w:hint="eastAsia" w:asciiTheme="minorEastAsia" w:hAnsiTheme="minorEastAsia" w:eastAsiaTheme="minorEastAsia" w:cstheme="minorEastAsia"/>
              <w:sz w:val="28"/>
              <w:szCs w:val="28"/>
            </w:rPr>
            <w:t>八、一般公共预算财政拨款基本支出决算表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_Toc145959652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"_Toc145959653" </w:instrText>
          </w:r>
          <w:r>
            <w:fldChar w:fldCharType="separate"/>
          </w:r>
          <w:r>
            <w:rPr>
              <w:rStyle w:val="15"/>
              <w:rFonts w:hint="eastAsia" w:asciiTheme="minorEastAsia" w:hAnsiTheme="minorEastAsia" w:eastAsiaTheme="minorEastAsia" w:cstheme="minorEastAsia"/>
              <w:sz w:val="28"/>
              <w:szCs w:val="28"/>
            </w:rPr>
            <w:t>九、一般公共预算财政拨款项目支出决算表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_Toc145959653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"_Toc145959654" </w:instrText>
          </w:r>
          <w:r>
            <w:fldChar w:fldCharType="separate"/>
          </w:r>
          <w:r>
            <w:rPr>
              <w:rStyle w:val="15"/>
              <w:rFonts w:hint="eastAsia" w:asciiTheme="minorEastAsia" w:hAnsiTheme="minorEastAsia" w:eastAsiaTheme="minorEastAsia" w:cstheme="minorEastAsia"/>
              <w:sz w:val="28"/>
              <w:szCs w:val="28"/>
            </w:rPr>
            <w:t>十、政府性基金预算财政拨款收入支出决算表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_Toc145959654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"_Toc145959655" </w:instrText>
          </w:r>
          <w:r>
            <w:fldChar w:fldCharType="separate"/>
          </w:r>
          <w:r>
            <w:rPr>
              <w:rStyle w:val="15"/>
              <w:rFonts w:hint="eastAsia" w:asciiTheme="minorEastAsia" w:hAnsiTheme="minorEastAsia" w:eastAsiaTheme="minorEastAsia" w:cstheme="minorEastAsia"/>
              <w:sz w:val="28"/>
              <w:szCs w:val="28"/>
            </w:rPr>
            <w:t>十一、国有资本经营预算财政拨款收入支出决算表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_Toc145959655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"_Toc145959656" </w:instrText>
          </w:r>
          <w:r>
            <w:fldChar w:fldCharType="separate"/>
          </w:r>
          <w:r>
            <w:rPr>
              <w:rStyle w:val="15"/>
              <w:rFonts w:hint="eastAsia" w:asciiTheme="minorEastAsia" w:hAnsiTheme="minorEastAsia" w:eastAsiaTheme="minorEastAsia" w:cstheme="minorEastAsia"/>
              <w:sz w:val="28"/>
              <w:szCs w:val="28"/>
            </w:rPr>
            <w:t>十二、国有资本经营预算财政拨款支出决算表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_Toc145959656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1"/>
            <w:rPr>
              <w:rFonts w:asciiTheme="minorEastAsia" w:hAnsiTheme="minorEastAsia" w:eastAsiaTheme="minorEastAsia" w:cstheme="minorBidi"/>
              <w:sz w:val="28"/>
              <w:szCs w:val="28"/>
            </w:rPr>
          </w:pPr>
          <w:r>
            <w:fldChar w:fldCharType="begin"/>
          </w:r>
          <w:r>
            <w:instrText xml:space="preserve"> HYPERLINK \l "_Toc145959657" </w:instrText>
          </w:r>
          <w:r>
            <w:fldChar w:fldCharType="separate"/>
          </w:r>
          <w:r>
            <w:rPr>
              <w:rStyle w:val="15"/>
              <w:rFonts w:hint="eastAsia" w:asciiTheme="minorEastAsia" w:hAnsiTheme="minorEastAsia" w:eastAsiaTheme="minorEastAsia" w:cstheme="minorEastAsia"/>
              <w:sz w:val="28"/>
              <w:szCs w:val="28"/>
            </w:rPr>
            <w:t>十三、财政拨款“三公”经费支出决算表</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_Toc145959657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rPr>
              <w:rFonts w:asciiTheme="minorEastAsia" w:hAnsiTheme="minorEastAsia" w:eastAsiaTheme="minorEastAsia"/>
              <w:sz w:val="28"/>
              <w:szCs w:val="28"/>
            </w:rPr>
          </w:pPr>
          <w:r>
            <w:rPr>
              <w:rFonts w:asciiTheme="minorEastAsia" w:hAnsiTheme="minorEastAsia" w:eastAsiaTheme="minorEastAsia"/>
              <w:bCs/>
              <w:sz w:val="28"/>
              <w:szCs w:val="28"/>
              <w:lang w:val="zh-CN"/>
            </w:rPr>
            <w:fldChar w:fldCharType="end"/>
          </w:r>
        </w:p>
      </w:sdtContent>
    </w:sdt>
    <w:p>
      <w:pPr>
        <w:pStyle w:val="3"/>
        <w:keepNext w:val="0"/>
        <w:keepLines w:val="0"/>
        <w:jc w:val="center"/>
        <w:rPr>
          <w:rFonts w:hint="eastAsia" w:ascii="黑体" w:hAnsi="黑体" w:eastAsia="黑体"/>
          <w:b w:val="0"/>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4" w:name="_Toc145959621"/>
    </w:p>
    <w:p>
      <w:pPr>
        <w:pStyle w:val="3"/>
        <w:keepNext w:val="0"/>
        <w:keepLines w:val="0"/>
        <w:jc w:val="center"/>
        <w:rPr>
          <w:rStyle w:val="16"/>
          <w:rFonts w:ascii="黑体" w:hAnsi="黑体" w:eastAsia="黑体"/>
          <w:b/>
          <w:bCs w:val="0"/>
        </w:rPr>
      </w:pPr>
      <w:r>
        <w:rPr>
          <w:rFonts w:hint="eastAsia" w:ascii="黑体" w:hAnsi="黑体" w:eastAsia="黑体"/>
          <w:b w:val="0"/>
        </w:rPr>
        <w:t>第一部分 单位</w:t>
      </w:r>
      <w:r>
        <w:rPr>
          <w:rStyle w:val="16"/>
          <w:rFonts w:hint="eastAsia" w:ascii="黑体" w:hAnsi="黑体" w:eastAsia="黑体"/>
          <w:b w:val="0"/>
          <w:bCs w:val="0"/>
        </w:rPr>
        <w:t>概况</w:t>
      </w:r>
      <w:bookmarkEnd w:id="12"/>
      <w:bookmarkEnd w:id="13"/>
      <w:bookmarkEnd w:id="14"/>
    </w:p>
    <w:p>
      <w:pPr>
        <w:pStyle w:val="4"/>
        <w:keepNext w:val="0"/>
        <w:keepLines w:val="0"/>
        <w:rPr>
          <w:rFonts w:ascii="黑体" w:eastAsia="黑体"/>
        </w:rPr>
      </w:pPr>
    </w:p>
    <w:p>
      <w:pPr>
        <w:pStyle w:val="4"/>
        <w:keepNext w:val="0"/>
        <w:keepLines w:val="0"/>
        <w:rPr>
          <w:rStyle w:val="17"/>
          <w:rFonts w:ascii="黑体" w:hAnsi="黑体" w:eastAsia="黑体"/>
          <w:b w:val="0"/>
          <w:bCs w:val="0"/>
        </w:rPr>
      </w:pPr>
      <w:bookmarkStart w:id="15" w:name="_Toc145959622"/>
      <w:bookmarkStart w:id="16" w:name="_Toc15377197"/>
      <w:bookmarkStart w:id="17" w:name="_Toc15396600"/>
      <w:r>
        <w:rPr>
          <w:rStyle w:val="17"/>
          <w:rFonts w:hint="eastAsia" w:ascii="黑体" w:hAnsi="黑体" w:eastAsia="黑体"/>
          <w:b w:val="0"/>
          <w:bCs w:val="0"/>
        </w:rPr>
        <w:t>一、主要职责</w:t>
      </w:r>
      <w:bookmarkEnd w:id="15"/>
    </w:p>
    <w:p>
      <w:pPr>
        <w:spacing w:line="600" w:lineRule="exact"/>
        <w:ind w:firstLine="480" w:firstLineChars="200"/>
        <w:rPr>
          <w:sz w:val="24"/>
        </w:rPr>
      </w:pPr>
      <w:r>
        <w:rPr>
          <w:rFonts w:hint="eastAsia"/>
          <w:sz w:val="24"/>
        </w:rPr>
        <w:t>广元市委目标绩效管理办公室负责市委、市政府重大决策、重要工作部署落实情况督促检查，承担市委、市政府领导批交办事项专项督查或督查调研，统筹规范管理市本级督查检查考核事项；负责省委、省政府下达的绩效目标任务的运行管理；负责县区和市级部门目标绩效管理，开展运行监控，牵头组织考评；负责年度民生实事任务统筹管理，拟订全市民生实事实施方案，开展日常推进督促检查；负责市人大代表和市政协提案办理督办工作；负责承办省委督查室、省政府督查室交办事项的督办落实和情况反馈工作；承担市督促检查和目标绩效管理领导小组办公室日常工作。</w:t>
      </w:r>
    </w:p>
    <w:p>
      <w:pPr>
        <w:pStyle w:val="4"/>
        <w:keepNext w:val="0"/>
        <w:keepLines w:val="0"/>
        <w:rPr>
          <w:rFonts w:ascii="黑体" w:hAnsi="黑体" w:eastAsia="黑体"/>
          <w:b w:val="0"/>
        </w:rPr>
      </w:pPr>
      <w:bookmarkStart w:id="18" w:name="_Toc145959623"/>
      <w:r>
        <w:rPr>
          <w:rFonts w:hint="eastAsia" w:ascii="黑体" w:hAnsi="黑体" w:eastAsia="黑体"/>
          <w:b w:val="0"/>
        </w:rPr>
        <w:t>二、机构设置</w:t>
      </w:r>
      <w:bookmarkEnd w:id="18"/>
    </w:p>
    <w:p>
      <w:pPr>
        <w:spacing w:line="600" w:lineRule="exact"/>
        <w:ind w:firstLine="480" w:firstLineChars="200"/>
        <w:rPr>
          <w:sz w:val="24"/>
        </w:rPr>
      </w:pPr>
      <w:r>
        <w:rPr>
          <w:rFonts w:hint="eastAsia"/>
          <w:sz w:val="24"/>
        </w:rPr>
        <w:t>广元市委目标绩效管理办公室隶属于广元市委办公室，属于二级预算单位，下设综合科、目标</w:t>
      </w:r>
      <w:r>
        <w:rPr>
          <w:rFonts w:hint="eastAsia"/>
          <w:sz w:val="24"/>
          <w:lang w:eastAsia="zh-CN"/>
        </w:rPr>
        <w:t>一</w:t>
      </w:r>
      <w:r>
        <w:rPr>
          <w:rFonts w:hint="eastAsia"/>
          <w:sz w:val="24"/>
        </w:rPr>
        <w:t>科、</w:t>
      </w:r>
      <w:r>
        <w:rPr>
          <w:rFonts w:hint="eastAsia"/>
          <w:sz w:val="24"/>
          <w:lang w:eastAsia="zh-CN"/>
        </w:rPr>
        <w:t>目标二科、</w:t>
      </w:r>
      <w:r>
        <w:rPr>
          <w:rFonts w:hint="eastAsia"/>
          <w:sz w:val="24"/>
        </w:rPr>
        <w:t>督查一科、督查二科。</w:t>
      </w:r>
    </w:p>
    <w:p/>
    <w:bookmarkEnd w:id="16"/>
    <w:bookmarkEnd w:id="17"/>
    <w:p>
      <w:pPr>
        <w:pStyle w:val="3"/>
        <w:keepNext w:val="0"/>
        <w:keepLines w:val="0"/>
        <w:rPr>
          <w:rFonts w:ascii="仿宋" w:hAnsi="仿宋" w:eastAsia="仿宋"/>
          <w:kern w:val="0"/>
          <w:sz w:val="32"/>
          <w:szCs w:val="32"/>
        </w:rPr>
      </w:pPr>
      <w:r>
        <w:rPr>
          <w:rFonts w:ascii="仿宋" w:hAnsi="仿宋" w:eastAsia="仿宋"/>
          <w:sz w:val="32"/>
          <w:szCs w:val="32"/>
        </w:rPr>
        <w:br w:type="page"/>
      </w:r>
    </w:p>
    <w:p>
      <w:pPr>
        <w:pStyle w:val="3"/>
        <w:keepNext w:val="0"/>
        <w:keepLines w:val="0"/>
        <w:jc w:val="center"/>
        <w:rPr>
          <w:rStyle w:val="16"/>
          <w:rFonts w:ascii="黑体" w:hAnsi="黑体" w:eastAsia="黑体"/>
          <w:b w:val="0"/>
          <w:bCs/>
        </w:rPr>
      </w:pPr>
      <w:bookmarkStart w:id="19" w:name="_Toc15377204"/>
      <w:bookmarkStart w:id="20" w:name="_Toc15396602"/>
      <w:bookmarkStart w:id="21" w:name="_Toc145959624"/>
      <w:r>
        <w:rPr>
          <w:rFonts w:hint="eastAsia" w:ascii="黑体" w:hAnsi="黑体" w:eastAsia="黑体"/>
          <w:b w:val="0"/>
        </w:rPr>
        <w:t>第二部分 2022年度</w:t>
      </w:r>
      <w:r>
        <w:rPr>
          <w:rStyle w:val="16"/>
          <w:rFonts w:hint="eastAsia" w:ascii="黑体" w:hAnsi="黑体" w:eastAsia="黑体"/>
          <w:b w:val="0"/>
          <w:bCs/>
        </w:rPr>
        <w:t>单位决算情况说明</w:t>
      </w:r>
      <w:bookmarkEnd w:id="19"/>
      <w:bookmarkEnd w:id="20"/>
      <w:bookmarkEnd w:id="21"/>
    </w:p>
    <w:p>
      <w:pPr>
        <w:pStyle w:val="26"/>
        <w:numPr>
          <w:ilvl w:val="0"/>
          <w:numId w:val="1"/>
        </w:numPr>
        <w:spacing w:line="600" w:lineRule="exact"/>
        <w:ind w:firstLineChars="0"/>
        <w:outlineLvl w:val="1"/>
        <w:rPr>
          <w:rStyle w:val="17"/>
          <w:rFonts w:ascii="黑体" w:hAnsi="黑体" w:eastAsia="黑体"/>
          <w:b w:val="0"/>
        </w:rPr>
      </w:pPr>
      <w:bookmarkStart w:id="22" w:name="_Toc145959625"/>
      <w:bookmarkStart w:id="23" w:name="_Toc15377205"/>
      <w:bookmarkStart w:id="24" w:name="_Toc15396603"/>
      <w:r>
        <w:rPr>
          <w:rFonts w:hint="eastAsia" w:ascii="黑体" w:hAnsi="黑体" w:eastAsia="黑体"/>
          <w:sz w:val="32"/>
          <w:szCs w:val="32"/>
        </w:rPr>
        <w:t>收</w:t>
      </w:r>
      <w:r>
        <w:rPr>
          <w:rStyle w:val="17"/>
          <w:rFonts w:hint="eastAsia" w:ascii="黑体" w:hAnsi="黑体" w:eastAsia="黑体"/>
          <w:b w:val="0"/>
        </w:rPr>
        <w:t>入支出决算总体情况说明</w:t>
      </w:r>
      <w:bookmarkEnd w:id="22"/>
      <w:bookmarkEnd w:id="23"/>
      <w:bookmarkEnd w:id="24"/>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2022年度收、支总计406.71万元。与2021年相比，收、支总计各增加41.45万元，增长11.35%。主要变动原因是单位新进人员，经费增加。</w:t>
      </w:r>
    </w:p>
    <w:p>
      <w:pPr>
        <w:pStyle w:val="2"/>
        <w:spacing w:before="93"/>
        <w:rPr>
          <w:sz w:val="32"/>
          <w:szCs w:val="32"/>
        </w:rPr>
      </w:pPr>
      <w:r>
        <w:rPr>
          <w:rFonts w:hint="eastAsia"/>
        </w:rPr>
        <w:drawing>
          <wp:anchor distT="0" distB="0" distL="114300" distR="114300" simplePos="0" relativeHeight="251659264" behindDoc="0" locked="0" layoutInCell="1" allowOverlap="1">
            <wp:simplePos x="0" y="0"/>
            <wp:positionH relativeFrom="column">
              <wp:posOffset>302895</wp:posOffset>
            </wp:positionH>
            <wp:positionV relativeFrom="paragraph">
              <wp:posOffset>111760</wp:posOffset>
            </wp:positionV>
            <wp:extent cx="4890135" cy="2696845"/>
            <wp:effectExtent l="4445" t="4445" r="20320"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sz w:val="32"/>
          <w:szCs w:val="32"/>
        </w:rPr>
        <w:t xml:space="preserve">                </w:t>
      </w:r>
      <w:r>
        <w:rPr>
          <w:rFonts w:hint="eastAsia" w:asciiTheme="minorEastAsia" w:hAnsiTheme="minorEastAsia" w:eastAsiaTheme="minorEastAsia" w:cstheme="minorEastAsia"/>
          <w:kern w:val="2"/>
          <w:sz w:val="24"/>
        </w:rPr>
        <w:t>（图1：收、支决算总计变动情况图）</w:t>
      </w:r>
    </w:p>
    <w:p>
      <w:pPr>
        <w:pStyle w:val="26"/>
        <w:numPr>
          <w:ilvl w:val="0"/>
          <w:numId w:val="1"/>
        </w:numPr>
        <w:spacing w:line="600" w:lineRule="exact"/>
        <w:ind w:firstLineChars="0"/>
        <w:outlineLvl w:val="1"/>
        <w:rPr>
          <w:rStyle w:val="17"/>
          <w:rFonts w:ascii="黑体" w:hAnsi="黑体" w:eastAsia="黑体"/>
          <w:b w:val="0"/>
        </w:rPr>
      </w:pPr>
      <w:bookmarkStart w:id="25" w:name="_Toc15396604"/>
      <w:bookmarkStart w:id="26" w:name="_Toc15377206"/>
      <w:bookmarkStart w:id="27" w:name="_Toc145959626"/>
      <w:r>
        <w:rPr>
          <w:rFonts w:hint="eastAsia" w:ascii="黑体" w:hAnsi="黑体" w:eastAsia="黑体"/>
          <w:sz w:val="32"/>
          <w:szCs w:val="32"/>
        </w:rPr>
        <w:t>收</w:t>
      </w:r>
      <w:r>
        <w:rPr>
          <w:rStyle w:val="17"/>
          <w:rFonts w:hint="eastAsia" w:ascii="黑体" w:hAnsi="黑体" w:eastAsia="黑体"/>
          <w:b w:val="0"/>
        </w:rPr>
        <w:t>入决算情况说明</w:t>
      </w:r>
      <w:bookmarkEnd w:id="25"/>
      <w:bookmarkEnd w:id="26"/>
      <w:bookmarkEnd w:id="27"/>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2022年本年收入合计380.8万元，其中：一般公共预算财政拨款收入380.8万元，占100%。</w:t>
      </w:r>
    </w:p>
    <w:p>
      <w:pPr>
        <w:rPr>
          <w:rFonts w:ascii="仿宋" w:hAnsi="仿宋" w:eastAsia="仿宋"/>
          <w:sz w:val="32"/>
          <w:szCs w:val="32"/>
        </w:rPr>
      </w:pPr>
      <w:r>
        <w:rPr>
          <w:rFonts w:hint="eastAsia" w:eastAsia="仿宋"/>
        </w:rPr>
        <w:drawing>
          <wp:anchor distT="0" distB="0" distL="114300" distR="114300" simplePos="0" relativeHeight="251660288" behindDoc="0" locked="0" layoutInCell="1" allowOverlap="1">
            <wp:simplePos x="0" y="0"/>
            <wp:positionH relativeFrom="column">
              <wp:posOffset>749300</wp:posOffset>
            </wp:positionH>
            <wp:positionV relativeFrom="paragraph">
              <wp:posOffset>635</wp:posOffset>
            </wp:positionV>
            <wp:extent cx="4008120" cy="2162810"/>
            <wp:effectExtent l="4445" t="4445" r="6985" b="2349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eastAsia="仿宋"/>
        </w:rPr>
      </w:pPr>
      <w:r>
        <w:rPr>
          <w:rFonts w:hint="eastAsia" w:eastAsia="仿宋"/>
        </w:rPr>
        <w:t xml:space="preserve">             </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（图2：收入决算结构图）</w:t>
      </w:r>
    </w:p>
    <w:p>
      <w:pPr>
        <w:pStyle w:val="26"/>
        <w:numPr>
          <w:ilvl w:val="0"/>
          <w:numId w:val="1"/>
        </w:numPr>
        <w:spacing w:line="600" w:lineRule="exact"/>
        <w:ind w:firstLineChars="0"/>
        <w:outlineLvl w:val="1"/>
        <w:rPr>
          <w:rStyle w:val="17"/>
          <w:rFonts w:ascii="黑体" w:hAnsi="黑体" w:eastAsia="黑体"/>
          <w:b w:val="0"/>
        </w:rPr>
      </w:pPr>
      <w:bookmarkStart w:id="28" w:name="_Toc145959627"/>
      <w:bookmarkStart w:id="29" w:name="_Toc15396605"/>
      <w:bookmarkStart w:id="30" w:name="_Toc15377207"/>
      <w:r>
        <w:rPr>
          <w:rFonts w:hint="eastAsia" w:ascii="黑体" w:hAnsi="黑体" w:eastAsia="黑体"/>
          <w:sz w:val="32"/>
          <w:szCs w:val="32"/>
        </w:rPr>
        <w:t>支</w:t>
      </w:r>
      <w:r>
        <w:rPr>
          <w:rStyle w:val="17"/>
          <w:rFonts w:hint="eastAsia" w:ascii="黑体" w:hAnsi="黑体" w:eastAsia="黑体"/>
          <w:b w:val="0"/>
        </w:rPr>
        <w:t>出决算情况说明</w:t>
      </w:r>
      <w:bookmarkEnd w:id="28"/>
      <w:bookmarkEnd w:id="29"/>
      <w:bookmarkEnd w:id="30"/>
    </w:p>
    <w:p>
      <w:pPr>
        <w:spacing w:line="600" w:lineRule="exact"/>
        <w:ind w:firstLine="420" w:firstLineChars="200"/>
        <w:rPr>
          <w:rFonts w:asciiTheme="minorEastAsia" w:hAnsiTheme="minorEastAsia" w:eastAsiaTheme="minorEastAsia" w:cstheme="minorEastAsia"/>
          <w:sz w:val="24"/>
        </w:rPr>
      </w:pPr>
      <w:r>
        <w:rPr>
          <w:rFonts w:hint="eastAsia" w:eastAsia="仿宋"/>
        </w:rPr>
        <w:drawing>
          <wp:anchor distT="0" distB="0" distL="114300" distR="114300" simplePos="0" relativeHeight="251661312" behindDoc="0" locked="0" layoutInCell="1" allowOverlap="1">
            <wp:simplePos x="0" y="0"/>
            <wp:positionH relativeFrom="column">
              <wp:posOffset>30480</wp:posOffset>
            </wp:positionH>
            <wp:positionV relativeFrom="paragraph">
              <wp:posOffset>891540</wp:posOffset>
            </wp:positionV>
            <wp:extent cx="5356860" cy="2506980"/>
            <wp:effectExtent l="0" t="0" r="15240" b="762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Theme="minorEastAsia" w:hAnsiTheme="minorEastAsia" w:eastAsiaTheme="minorEastAsia" w:cstheme="minorEastAsia"/>
          <w:sz w:val="24"/>
        </w:rPr>
        <w:t>2022年本年支出合计406.71万元，其中：基本支出325.85万元，占80.1%；项目支出80.86万元，占19.9%。</w:t>
      </w:r>
    </w:p>
    <w:p>
      <w:pPr>
        <w:rPr>
          <w:rFonts w:asciiTheme="minorEastAsia" w:hAnsiTheme="minorEastAsia" w:eastAsiaTheme="minorEastAsia" w:cstheme="minorEastAsia"/>
          <w:sz w:val="24"/>
        </w:rPr>
      </w:pPr>
      <w:r>
        <w:rPr>
          <w:rFonts w:hint="eastAsia" w:eastAsia="仿宋"/>
        </w:rPr>
        <w:t xml:space="preserve">                     </w:t>
      </w:r>
      <w:r>
        <w:rPr>
          <w:rFonts w:hint="eastAsia" w:asciiTheme="minorEastAsia" w:hAnsiTheme="minorEastAsia" w:eastAsiaTheme="minorEastAsia" w:cstheme="minorEastAsia"/>
          <w:sz w:val="24"/>
        </w:rPr>
        <w:t>（图3：支出决算结构图）</w:t>
      </w:r>
    </w:p>
    <w:p>
      <w:pPr>
        <w:pStyle w:val="4"/>
        <w:rPr>
          <w:rStyle w:val="17"/>
          <w:rFonts w:ascii="黑体" w:hAnsi="黑体" w:eastAsia="黑体"/>
          <w:b/>
          <w:bCs w:val="0"/>
        </w:rPr>
      </w:pPr>
      <w:bookmarkStart w:id="31" w:name="_Toc145959628"/>
      <w:bookmarkStart w:id="32" w:name="_Toc15396606"/>
      <w:bookmarkStart w:id="33" w:name="_Toc15377208"/>
      <w:r>
        <w:rPr>
          <w:rFonts w:hint="eastAsia" w:ascii="黑体" w:hAnsi="黑体" w:eastAsia="黑体"/>
        </w:rPr>
        <w:t>四、财</w:t>
      </w:r>
      <w:r>
        <w:rPr>
          <w:rStyle w:val="17"/>
          <w:rFonts w:hint="eastAsia" w:ascii="黑体" w:hAnsi="黑体" w:eastAsia="黑体"/>
          <w:b/>
          <w:bCs w:val="0"/>
        </w:rPr>
        <w:t>政拨款收入支出决算总体情况说明</w:t>
      </w:r>
      <w:bookmarkEnd w:id="31"/>
      <w:bookmarkEnd w:id="32"/>
      <w:bookmarkEnd w:id="33"/>
    </w:p>
    <w:p>
      <w:pPr>
        <w:spacing w:line="6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drawing>
          <wp:anchor distT="0" distB="0" distL="114300" distR="114300" simplePos="0" relativeHeight="251664384" behindDoc="0" locked="0" layoutInCell="1" allowOverlap="1">
            <wp:simplePos x="0" y="0"/>
            <wp:positionH relativeFrom="column">
              <wp:posOffset>457200</wp:posOffset>
            </wp:positionH>
            <wp:positionV relativeFrom="paragraph">
              <wp:posOffset>1165860</wp:posOffset>
            </wp:positionV>
            <wp:extent cx="4508500" cy="2631440"/>
            <wp:effectExtent l="4445" t="4445" r="11430" b="1206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Theme="minorEastAsia" w:hAnsiTheme="minorEastAsia" w:eastAsiaTheme="minorEastAsia" w:cstheme="minorEastAsia"/>
          <w:sz w:val="24"/>
        </w:rPr>
        <w:t>2022年财政拨款收、支总计406.71万元。与2021年相比，财政拨款收、支总计各增加41.45万元，增长11.35%。主要变动原因是单位新进人员，经费增加。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（图4：财政拨款收、支决算总计变动情况）</w:t>
      </w:r>
    </w:p>
    <w:p>
      <w:pPr>
        <w:spacing w:line="600" w:lineRule="exact"/>
        <w:ind w:firstLine="640" w:firstLineChars="200"/>
        <w:outlineLvl w:val="1"/>
        <w:rPr>
          <w:rStyle w:val="17"/>
          <w:rFonts w:ascii="黑体" w:hAnsi="黑体" w:eastAsia="黑体"/>
          <w:b w:val="0"/>
        </w:rPr>
      </w:pPr>
      <w:bookmarkStart w:id="34" w:name="_Toc15377209"/>
      <w:bookmarkStart w:id="35" w:name="_Toc15396607"/>
      <w:bookmarkStart w:id="36" w:name="_Toc145959629"/>
      <w:r>
        <w:rPr>
          <w:rFonts w:hint="eastAsia" w:ascii="黑体" w:hAnsi="黑体" w:eastAsia="黑体"/>
          <w:sz w:val="32"/>
          <w:szCs w:val="32"/>
        </w:rPr>
        <w:t>五、</w:t>
      </w:r>
      <w:r>
        <w:rPr>
          <w:rFonts w:hint="eastAsia" w:ascii="黑体" w:hAnsi="黑体" w:eastAsia="黑体"/>
          <w:b/>
          <w:sz w:val="32"/>
          <w:szCs w:val="32"/>
        </w:rPr>
        <w:t>一</w:t>
      </w:r>
      <w:r>
        <w:rPr>
          <w:rStyle w:val="17"/>
          <w:rFonts w:hint="eastAsia" w:ascii="黑体" w:hAnsi="黑体" w:eastAsia="黑体"/>
          <w:b w:val="0"/>
        </w:rPr>
        <w:t>般公共预算财政拨款支出决算情况说明</w:t>
      </w:r>
      <w:bookmarkEnd w:id="34"/>
      <w:bookmarkEnd w:id="35"/>
      <w:bookmarkEnd w:id="36"/>
    </w:p>
    <w:p>
      <w:pPr>
        <w:spacing w:line="600" w:lineRule="exact"/>
        <w:ind w:firstLine="642" w:firstLineChars="200"/>
        <w:outlineLvl w:val="2"/>
        <w:rPr>
          <w:rFonts w:ascii="仿宋" w:hAnsi="仿宋" w:eastAsia="仿宋"/>
          <w:b/>
          <w:sz w:val="32"/>
          <w:szCs w:val="32"/>
        </w:rPr>
      </w:pPr>
      <w:bookmarkStart w:id="37" w:name="_Toc145959630"/>
      <w:bookmarkStart w:id="38" w:name="_Toc15377210"/>
      <w:r>
        <w:rPr>
          <w:rFonts w:hint="eastAsia" w:ascii="仿宋" w:hAnsi="仿宋" w:eastAsia="仿宋"/>
          <w:b/>
          <w:sz w:val="32"/>
          <w:szCs w:val="32"/>
        </w:rPr>
        <w:t>（一）一般公共预算财政拨款支出决算总体情况</w:t>
      </w:r>
      <w:bookmarkEnd w:id="37"/>
      <w:bookmarkEnd w:id="38"/>
    </w:p>
    <w:p>
      <w:pPr>
        <w:spacing w:line="600" w:lineRule="exact"/>
        <w:ind w:firstLine="480" w:firstLineChars="200"/>
        <w:rPr>
          <w:rFonts w:ascii="仿宋" w:hAnsi="仿宋" w:eastAsia="仿宋"/>
          <w:color w:val="FF0000"/>
          <w:sz w:val="32"/>
          <w:szCs w:val="32"/>
        </w:rPr>
      </w:pPr>
      <w:r>
        <w:rPr>
          <w:rFonts w:hint="eastAsia" w:asciiTheme="minorEastAsia" w:hAnsiTheme="minorEastAsia" w:eastAsiaTheme="minorEastAsia" w:cstheme="minorEastAsia"/>
          <w:sz w:val="24"/>
        </w:rPr>
        <w:t>2022年一般公共预算财政拨款支出406.71万元，占本年支出合计的100%。与2021年相比，一般公共预算财政拨款支出增加73.4万元，增长22.02%。主要变动原因是单位新进人员，经费增加，及时支付，减少年末结转结余。</w:t>
      </w:r>
    </w:p>
    <w:p>
      <w:pPr>
        <w:pStyle w:val="2"/>
        <w:spacing w:before="93"/>
        <w:rPr>
          <w:rFonts w:ascii="仿宋" w:hAnsi="仿宋" w:eastAsia="仿宋"/>
          <w:color w:val="FF0000"/>
          <w:sz w:val="32"/>
          <w:szCs w:val="32"/>
        </w:rPr>
      </w:pPr>
      <w:r>
        <w:rPr>
          <w:rFonts w:hint="eastAsia" w:ascii="仿宋" w:hAnsi="仿宋" w:eastAsia="仿宋"/>
          <w:sz w:val="32"/>
          <w:szCs w:val="32"/>
        </w:rPr>
        <w:drawing>
          <wp:anchor distT="0" distB="0" distL="114300" distR="114300" simplePos="0" relativeHeight="251665408" behindDoc="0" locked="0" layoutInCell="1" allowOverlap="1">
            <wp:simplePos x="0" y="0"/>
            <wp:positionH relativeFrom="column">
              <wp:posOffset>450850</wp:posOffset>
            </wp:positionH>
            <wp:positionV relativeFrom="paragraph">
              <wp:posOffset>63500</wp:posOffset>
            </wp:positionV>
            <wp:extent cx="4403725" cy="2462530"/>
            <wp:effectExtent l="4445" t="4445" r="11430" b="952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
        <w:spacing w:before="93"/>
        <w:rPr>
          <w:rFonts w:ascii="仿宋" w:hAnsi="仿宋" w:eastAsia="仿宋"/>
          <w:color w:val="FF0000"/>
          <w:sz w:val="32"/>
          <w:szCs w:val="32"/>
        </w:rPr>
      </w:pPr>
    </w:p>
    <w:p>
      <w:pPr>
        <w:pStyle w:val="2"/>
        <w:spacing w:before="93"/>
        <w:rPr>
          <w:rFonts w:ascii="仿宋" w:hAnsi="仿宋" w:eastAsia="仿宋"/>
          <w:color w:val="FF0000"/>
          <w:sz w:val="32"/>
          <w:szCs w:val="32"/>
        </w:rPr>
      </w:pPr>
    </w:p>
    <w:p>
      <w:pPr>
        <w:pStyle w:val="2"/>
        <w:spacing w:before="93"/>
        <w:rPr>
          <w:rFonts w:ascii="仿宋" w:hAnsi="仿宋" w:eastAsia="仿宋"/>
          <w:color w:val="FF0000"/>
          <w:sz w:val="32"/>
          <w:szCs w:val="32"/>
        </w:rPr>
      </w:pPr>
    </w:p>
    <w:p>
      <w:pPr>
        <w:pStyle w:val="2"/>
        <w:spacing w:before="93"/>
        <w:rPr>
          <w:rFonts w:ascii="仿宋" w:hAnsi="仿宋" w:eastAsia="仿宋"/>
          <w:color w:val="FF0000"/>
          <w:sz w:val="32"/>
          <w:szCs w:val="32"/>
        </w:rPr>
      </w:pPr>
    </w:p>
    <w:p>
      <w:pPr>
        <w:pStyle w:val="2"/>
        <w:spacing w:before="93"/>
        <w:rPr>
          <w:rFonts w:ascii="仿宋" w:hAnsi="仿宋" w:eastAsia="仿宋"/>
          <w:color w:val="FF0000"/>
          <w:sz w:val="32"/>
          <w:szCs w:val="32"/>
        </w:rPr>
      </w:pPr>
    </w:p>
    <w:p>
      <w:pPr>
        <w:jc w:val="center"/>
        <w:rPr>
          <w:rFonts w:ascii="仿宋" w:hAnsi="仿宋" w:eastAsia="仿宋"/>
          <w:sz w:val="32"/>
          <w:szCs w:val="32"/>
        </w:rPr>
      </w:pPr>
      <w:r>
        <w:rPr>
          <w:rFonts w:hint="eastAsia" w:asciiTheme="minorEastAsia" w:hAnsiTheme="minorEastAsia" w:eastAsiaTheme="minorEastAsia" w:cstheme="minorEastAsia"/>
          <w:sz w:val="24"/>
        </w:rPr>
        <w:t>（图5：一般公共预算财政拨款支出决算变动情况）</w:t>
      </w:r>
      <w:bookmarkStart w:id="39" w:name="_Toc15377211"/>
    </w:p>
    <w:p>
      <w:pPr>
        <w:spacing w:line="600" w:lineRule="exact"/>
        <w:ind w:firstLine="642" w:firstLineChars="200"/>
        <w:outlineLvl w:val="2"/>
        <w:rPr>
          <w:rFonts w:ascii="仿宋" w:hAnsi="仿宋" w:eastAsia="仿宋"/>
          <w:b/>
          <w:sz w:val="32"/>
          <w:szCs w:val="32"/>
        </w:rPr>
      </w:pPr>
      <w:bookmarkStart w:id="40" w:name="_Toc145959631"/>
      <w:r>
        <w:rPr>
          <w:rFonts w:hint="eastAsia" w:ascii="仿宋" w:hAnsi="仿宋" w:eastAsia="仿宋"/>
          <w:b/>
          <w:sz w:val="32"/>
          <w:szCs w:val="32"/>
        </w:rPr>
        <w:t>（二）一般公共预算财政拨款支出决算结构情况</w:t>
      </w:r>
      <w:bookmarkEnd w:id="39"/>
      <w:bookmarkEnd w:id="40"/>
    </w:p>
    <w:p>
      <w:pPr>
        <w:spacing w:line="6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2022年一般公共预算财政拨款支出406.71万元，主要用于以下方面</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一般公共服务支出339.05万元，占8</w:t>
      </w:r>
      <w:r>
        <w:rPr>
          <w:rFonts w:hint="eastAsia" w:asciiTheme="minorEastAsia" w:hAnsiTheme="minorEastAsia" w:eastAsiaTheme="minorEastAsia" w:cstheme="minorEastAsia"/>
          <w:sz w:val="24"/>
          <w:lang w:val="en-US" w:eastAsia="zh-CN"/>
        </w:rPr>
        <w:t>3.37</w:t>
      </w:r>
      <w:r>
        <w:rPr>
          <w:rFonts w:hint="eastAsia" w:asciiTheme="minorEastAsia" w:hAnsiTheme="minorEastAsia" w:eastAsiaTheme="minorEastAsia" w:cstheme="minorEastAsia"/>
          <w:sz w:val="24"/>
        </w:rPr>
        <w:t>%；社会保障和就业支出35.37万元，占</w:t>
      </w:r>
      <w:r>
        <w:rPr>
          <w:rFonts w:hint="eastAsia" w:asciiTheme="minorEastAsia" w:hAnsiTheme="minorEastAsia" w:eastAsiaTheme="minorEastAsia" w:cstheme="minorEastAsia"/>
          <w:sz w:val="24"/>
          <w:lang w:val="en-US" w:eastAsia="zh-CN"/>
        </w:rPr>
        <w:t>8.70</w:t>
      </w:r>
      <w:r>
        <w:rPr>
          <w:rFonts w:hint="eastAsia" w:asciiTheme="minorEastAsia" w:hAnsiTheme="minorEastAsia" w:eastAsiaTheme="minorEastAsia" w:cstheme="minorEastAsia"/>
          <w:sz w:val="24"/>
        </w:rPr>
        <w:t>%；卫生健康支出9.02万元，占2.2</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%；住房保障支出23.26万元，占5.7</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w:t>
      </w:r>
    </w:p>
    <w:p>
      <w:pPr>
        <w:pStyle w:val="2"/>
        <w:jc w:val="center"/>
        <w:rPr>
          <w:rFonts w:hint="eastAsia" w:ascii="仿宋" w:hAnsi="仿宋" w:eastAsia="仿宋"/>
          <w:b/>
          <w:sz w:val="32"/>
          <w:szCs w:val="32"/>
        </w:rPr>
      </w:pPr>
      <w:r>
        <w:drawing>
          <wp:inline distT="0" distB="0" distL="114300" distR="114300">
            <wp:extent cx="4825365" cy="2571750"/>
            <wp:effectExtent l="4445" t="4445" r="8890" b="5080"/>
            <wp:docPr id="10" name="图表 5" descr="7b0a202020202263686172745265734964223a202232303436393939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Start w:id="41" w:name="_Toc15377212"/>
      <w:bookmarkStart w:id="42" w:name="_Toc145959632"/>
    </w:p>
    <w:p>
      <w:pPr>
        <w:spacing w:line="600" w:lineRule="exact"/>
        <w:ind w:firstLine="642"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41"/>
      <w:bookmarkEnd w:id="42"/>
    </w:p>
    <w:p>
      <w:pPr>
        <w:spacing w:line="600" w:lineRule="exact"/>
        <w:ind w:firstLine="480" w:firstLineChars="200"/>
        <w:rPr>
          <w:rFonts w:asciiTheme="minorEastAsia" w:hAnsiTheme="minorEastAsia" w:eastAsiaTheme="minorEastAsia" w:cstheme="minorEastAsia"/>
          <w:sz w:val="24"/>
        </w:rPr>
      </w:pPr>
      <w:bookmarkStart w:id="43" w:name="_Toc15377444"/>
      <w:bookmarkStart w:id="44" w:name="_Toc15377213"/>
      <w:bookmarkStart w:id="45" w:name="_Toc15378460"/>
      <w:r>
        <w:rPr>
          <w:rFonts w:hint="eastAsia" w:asciiTheme="minorEastAsia" w:hAnsiTheme="minorEastAsia" w:eastAsiaTheme="minorEastAsia" w:cstheme="minorEastAsia"/>
          <w:sz w:val="24"/>
        </w:rPr>
        <w:t>2022年一般公共预算支出决算数为406.71万元，完成预算100%。其中：</w:t>
      </w:r>
      <w:bookmarkEnd w:id="43"/>
      <w:bookmarkEnd w:id="44"/>
      <w:bookmarkEnd w:id="45"/>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1.一般公共服务201（类）党委办公厅（室）及相关机构事务31（款）行政运行01（项）</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 xml:space="preserve"> 支出决算为</w:t>
      </w:r>
      <w:r>
        <w:rPr>
          <w:rFonts w:hint="default" w:asciiTheme="minorEastAsia" w:hAnsiTheme="minorEastAsia" w:eastAsiaTheme="minorEastAsia" w:cstheme="minorEastAsia"/>
          <w:sz w:val="24"/>
        </w:rPr>
        <w:t>258.19</w:t>
      </w:r>
      <w:r>
        <w:rPr>
          <w:rFonts w:hint="eastAsia" w:asciiTheme="minorEastAsia" w:hAnsiTheme="minorEastAsia" w:eastAsiaTheme="minorEastAsia" w:cstheme="minorEastAsia"/>
          <w:sz w:val="24"/>
        </w:rPr>
        <w:t>万元，完成预算100%。</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 一般公共服务支出201（类）党委办公厅（室）及相关机构事务31（款）一般行政管理事务02（项）：支出决算为</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 xml:space="preserve"> 80.86万元，完成预算100%。</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3.社会保障和就业208（类）人力资源和社会保障管理事务01（款）其他人力资源和社会保障管理事务支出99（项）</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 xml:space="preserve"> 支出决算为4万元，完成预算100%。</w:t>
      </w:r>
    </w:p>
    <w:p>
      <w:pPr>
        <w:spacing w:line="6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4.社会保障和就业208（类）行政事业单位养老支出05（款）机关事业单位基本养老保险缴费支出05（项）</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 xml:space="preserve"> 支出决算为24.57万元，完成预算100%。</w:t>
      </w:r>
    </w:p>
    <w:p>
      <w:pPr>
        <w:spacing w:line="600" w:lineRule="exact"/>
        <w:ind w:firstLine="420" w:firstLineChars="200"/>
        <w:rPr>
          <w:rFonts w:hint="default"/>
        </w:rPr>
      </w:pPr>
      <w:r>
        <w:t>5.</w:t>
      </w:r>
      <w:r>
        <w:rPr>
          <w:rFonts w:hint="eastAsia" w:asciiTheme="minorEastAsia" w:hAnsiTheme="minorEastAsia" w:eastAsiaTheme="minorEastAsia" w:cstheme="minorEastAsia"/>
          <w:sz w:val="24"/>
        </w:rPr>
        <w:t>社会保障和就业208（类）行政事业单位养老支出05（款）</w:t>
      </w:r>
      <w:r>
        <w:rPr>
          <w:rFonts w:hint="default" w:asciiTheme="minorEastAsia" w:hAnsiTheme="minorEastAsia" w:eastAsiaTheme="minorEastAsia" w:cstheme="minorEastAsia"/>
          <w:sz w:val="24"/>
        </w:rPr>
        <w:t>机关事业单位缴费年金支出（项）：</w:t>
      </w:r>
      <w:r>
        <w:rPr>
          <w:rFonts w:hint="eastAsia" w:asciiTheme="minorEastAsia" w:hAnsiTheme="minorEastAsia" w:eastAsiaTheme="minorEastAsia" w:cstheme="minorEastAsia"/>
          <w:sz w:val="24"/>
        </w:rPr>
        <w:t>支出决算为</w:t>
      </w:r>
      <w:r>
        <w:rPr>
          <w:rFonts w:hint="default" w:asciiTheme="minorEastAsia" w:hAnsiTheme="minorEastAsia" w:eastAsiaTheme="minorEastAsia" w:cstheme="minorEastAsia"/>
          <w:sz w:val="24"/>
        </w:rPr>
        <w:t>6.8</w:t>
      </w:r>
      <w:r>
        <w:rPr>
          <w:rFonts w:hint="eastAsia" w:asciiTheme="minorEastAsia" w:hAnsiTheme="minorEastAsia" w:eastAsiaTheme="minorEastAsia" w:cstheme="minorEastAsia"/>
          <w:sz w:val="24"/>
        </w:rPr>
        <w:t>万元，完成预算100%。</w:t>
      </w:r>
    </w:p>
    <w:p>
      <w:pPr>
        <w:spacing w:line="600" w:lineRule="exact"/>
        <w:ind w:firstLine="480" w:firstLineChars="200"/>
        <w:rPr>
          <w:rFonts w:asciiTheme="minorEastAsia" w:hAnsiTheme="minorEastAsia" w:eastAsiaTheme="minorEastAsia" w:cstheme="minorEastAsia"/>
          <w:sz w:val="24"/>
        </w:rPr>
      </w:pPr>
      <w:r>
        <w:rPr>
          <w:rFonts w:hint="default" w:asciiTheme="minorEastAsia" w:hAnsiTheme="minorEastAsia" w:eastAsiaTheme="minorEastAsia" w:cstheme="minorEastAsia"/>
          <w:sz w:val="24"/>
        </w:rPr>
        <w:t>6</w:t>
      </w:r>
      <w:r>
        <w:rPr>
          <w:rFonts w:hint="eastAsia" w:asciiTheme="minorEastAsia" w:hAnsiTheme="minorEastAsia" w:eastAsiaTheme="minorEastAsia" w:cstheme="minorEastAsia"/>
          <w:sz w:val="24"/>
        </w:rPr>
        <w:t>.卫生健康210（类）行政事业单位医疗11（款）行政单位医疗01（项）</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支出决算为9.02万元，完成预算100%。</w:t>
      </w:r>
    </w:p>
    <w:p>
      <w:pPr>
        <w:spacing w:line="600" w:lineRule="exact"/>
        <w:ind w:firstLine="480" w:firstLineChars="200"/>
        <w:rPr>
          <w:rFonts w:ascii="仿宋" w:hAnsi="仿宋" w:eastAsia="仿宋_GB2312"/>
          <w:b/>
          <w:sz w:val="32"/>
          <w:szCs w:val="32"/>
        </w:rPr>
      </w:pPr>
      <w:r>
        <w:rPr>
          <w:rFonts w:hint="default" w:asciiTheme="minorEastAsia" w:hAnsiTheme="minorEastAsia" w:eastAsiaTheme="minorEastAsia" w:cstheme="minorEastAsia"/>
          <w:sz w:val="24"/>
        </w:rPr>
        <w:t>7</w:t>
      </w:r>
      <w:r>
        <w:rPr>
          <w:rFonts w:hint="eastAsia" w:asciiTheme="minorEastAsia" w:hAnsiTheme="minorEastAsia" w:eastAsiaTheme="minorEastAsia" w:cstheme="minorEastAsia"/>
          <w:sz w:val="24"/>
        </w:rPr>
        <w:t>.住房保障支出221（类）住房改革支出02（款）住房公积金01（项）：支出决算数为23.26万元，完成预算100%。</w:t>
      </w:r>
    </w:p>
    <w:p>
      <w:pPr>
        <w:tabs>
          <w:tab w:val="right" w:pos="8306"/>
        </w:tabs>
        <w:spacing w:line="600" w:lineRule="exact"/>
        <w:ind w:firstLine="640" w:firstLineChars="200"/>
        <w:outlineLvl w:val="1"/>
        <w:rPr>
          <w:rStyle w:val="17"/>
        </w:rPr>
      </w:pPr>
      <w:bookmarkStart w:id="46" w:name="_Toc15377214"/>
      <w:bookmarkStart w:id="47" w:name="_Toc145959633"/>
      <w:bookmarkStart w:id="48"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7"/>
          <w:rFonts w:hint="eastAsia" w:ascii="黑体" w:hAnsi="黑体" w:eastAsia="黑体"/>
          <w:b w:val="0"/>
        </w:rPr>
        <w:t>般公共预算财政拨款基本支出决算情况说明</w:t>
      </w:r>
      <w:bookmarkEnd w:id="46"/>
      <w:bookmarkEnd w:id="47"/>
      <w:bookmarkEnd w:id="48"/>
      <w:r>
        <w:rPr>
          <w:rStyle w:val="17"/>
          <w:rFonts w:ascii="黑体" w:hAnsi="黑体" w:eastAsia="黑体"/>
          <w:b w:val="0"/>
        </w:rPr>
        <w:tab/>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2022年一般公共预算财政拨款基本支出325.85万元，其中：</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人员经费272.</w:t>
      </w:r>
      <w:r>
        <w:rPr>
          <w:rFonts w:hint="eastAsia" w:asciiTheme="minorEastAsia" w:hAnsiTheme="minorEastAsia" w:eastAsiaTheme="minorEastAsia" w:cstheme="minorEastAsia"/>
          <w:sz w:val="24"/>
          <w:lang w:val="en-US" w:eastAsia="zh-CN"/>
        </w:rPr>
        <w:t>89</w:t>
      </w:r>
      <w:r>
        <w:rPr>
          <w:rFonts w:hint="eastAsia" w:asciiTheme="minorEastAsia" w:hAnsiTheme="minorEastAsia" w:eastAsiaTheme="minorEastAsia" w:cstheme="minorEastAsia"/>
          <w:sz w:val="24"/>
        </w:rPr>
        <w:t>万元，主要包括：基本工资、津贴补贴、奖金、机关事业单位基本养老保险缴费、职业年金缴费、职工基本医疗保险缴费、其他社会保障缴费、住房公积金、其他工资福利支出、生活补助</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奖励金。</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公用经费52.95万元，主要包括：办公费、印刷费、邮电费、物业管理费、差旅费、会议费、培训费、公务接待费、工会经费、福利费、其他交通费</w:t>
      </w:r>
      <w:r>
        <w:rPr>
          <w:rFonts w:hint="eastAsia" w:asciiTheme="minorEastAsia" w:hAnsiTheme="minorEastAsia" w:eastAsiaTheme="minorEastAsia" w:cstheme="minorEastAsia"/>
          <w:sz w:val="24"/>
          <w:lang w:val="en-US" w:eastAsia="zh-CN"/>
        </w:rPr>
        <w:t>用</w:t>
      </w:r>
      <w:r>
        <w:rPr>
          <w:rFonts w:hint="eastAsia" w:asciiTheme="minorEastAsia" w:hAnsiTheme="minorEastAsia" w:eastAsiaTheme="minorEastAsia" w:cstheme="minorEastAsia"/>
          <w:sz w:val="24"/>
        </w:rPr>
        <w:t>、其他商品和服务支出。</w:t>
      </w:r>
    </w:p>
    <w:p>
      <w:pPr>
        <w:spacing w:line="600" w:lineRule="exact"/>
        <w:ind w:firstLine="640"/>
        <w:outlineLvl w:val="1"/>
        <w:rPr>
          <w:rStyle w:val="17"/>
          <w:rFonts w:ascii="黑体" w:hAnsi="黑体" w:eastAsia="黑体"/>
          <w:b w:val="0"/>
        </w:rPr>
      </w:pPr>
      <w:bookmarkStart w:id="49" w:name="_Toc15377215"/>
      <w:bookmarkStart w:id="50" w:name="_Toc145959634"/>
      <w:bookmarkStart w:id="51" w:name="_Toc15396609"/>
      <w:r>
        <w:rPr>
          <w:rFonts w:hint="eastAsia" w:ascii="黑体" w:eastAsia="黑体"/>
          <w:sz w:val="32"/>
          <w:szCs w:val="32"/>
        </w:rPr>
        <w:t>七、</w:t>
      </w:r>
      <w:r>
        <w:rPr>
          <w:rStyle w:val="17"/>
          <w:rFonts w:hint="eastAsia" w:ascii="黑体" w:hAnsi="黑体" w:eastAsia="黑体"/>
          <w:b w:val="0"/>
        </w:rPr>
        <w:t>财政拨款</w:t>
      </w:r>
      <w:r>
        <w:rPr>
          <w:rStyle w:val="17"/>
          <w:rFonts w:hint="eastAsia" w:ascii="黑体" w:hAnsi="黑体" w:eastAsia="黑体"/>
        </w:rPr>
        <w:t>“</w:t>
      </w:r>
      <w:r>
        <w:rPr>
          <w:rStyle w:val="17"/>
          <w:rFonts w:hint="eastAsia" w:ascii="黑体" w:hAnsi="黑体" w:eastAsia="黑体"/>
          <w:b w:val="0"/>
        </w:rPr>
        <w:t>三公”经费支出决算情况说明</w:t>
      </w:r>
      <w:bookmarkEnd w:id="49"/>
      <w:bookmarkEnd w:id="50"/>
      <w:bookmarkEnd w:id="51"/>
    </w:p>
    <w:p>
      <w:pPr>
        <w:rPr>
          <w:rFonts w:ascii="仿宋" w:hAnsi="仿宋" w:eastAsia="仿宋"/>
          <w:b/>
          <w:sz w:val="32"/>
          <w:szCs w:val="32"/>
        </w:rPr>
      </w:pPr>
      <w:bookmarkStart w:id="52" w:name="_Toc15377216"/>
      <w:r>
        <w:rPr>
          <w:rFonts w:hint="eastAsia" w:ascii="仿宋" w:hAnsi="仿宋" w:eastAsia="仿宋"/>
          <w:b/>
          <w:sz w:val="32"/>
          <w:szCs w:val="32"/>
        </w:rPr>
        <w:t>（一）“三公”经费财政拨款支出决算总体情况说明</w:t>
      </w:r>
      <w:bookmarkEnd w:id="52"/>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2022年“三公”经费财政拨款支出决算为0.51万元，完成预算64.56%，较上年增加0.21万元，增长70%。决算数小于预算数主要原因是受疫情影响接待任务减少。</w:t>
      </w:r>
    </w:p>
    <w:p>
      <w:pPr>
        <w:rPr>
          <w:rFonts w:ascii="仿宋" w:hAnsi="仿宋" w:eastAsia="仿宋"/>
          <w:b/>
          <w:sz w:val="32"/>
          <w:szCs w:val="32"/>
        </w:rPr>
      </w:pPr>
      <w:bookmarkStart w:id="53" w:name="_Toc15377217"/>
      <w:r>
        <w:rPr>
          <w:rFonts w:hint="eastAsia" w:ascii="仿宋" w:hAnsi="仿宋" w:eastAsia="仿宋"/>
          <w:b/>
          <w:sz w:val="32"/>
          <w:szCs w:val="32"/>
        </w:rPr>
        <w:t>（二）“三公”经费财政拨款支出决算具体情况说明</w:t>
      </w:r>
      <w:bookmarkEnd w:id="53"/>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drawing>
          <wp:anchor distT="0" distB="0" distL="114300" distR="114300" simplePos="0" relativeHeight="251666432" behindDoc="0" locked="0" layoutInCell="1" allowOverlap="1">
            <wp:simplePos x="0" y="0"/>
            <wp:positionH relativeFrom="column">
              <wp:posOffset>480060</wp:posOffset>
            </wp:positionH>
            <wp:positionV relativeFrom="paragraph">
              <wp:posOffset>1325880</wp:posOffset>
            </wp:positionV>
            <wp:extent cx="4686300" cy="3215640"/>
            <wp:effectExtent l="0" t="0" r="0" b="3810"/>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Theme="minorEastAsia" w:hAnsiTheme="minorEastAsia" w:eastAsiaTheme="minorEastAsia" w:cstheme="minorEastAsia"/>
          <w:sz w:val="24"/>
        </w:rPr>
        <w:t>2022年“三公”经费财政拨款支出决算中，因公出国（境）费支出决算0万元，占0%；公务用车购置及运行维护费支出决算0万元，占0%；公务接待费支出决算0.51万元，占100%。具体情况如下：</w:t>
      </w:r>
    </w:p>
    <w:p>
      <w:pPr>
        <w:spacing w:line="600" w:lineRule="exact"/>
        <w:ind w:firstLine="2404" w:firstLineChars="100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（图7：“三公”经费财政拨款支出结构）</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1.因公出国（境）经费支出0万元，年初未安排预算。因公出国（境）支出决算较2021年无变化。</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2.公务用车购置及运行维护费支出0万元</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 xml:space="preserve"> 年初未安排预算。公务用车购置及运行维护费支出决算较2021年无变化。</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其中：公务用车购置支出0万元。2022年本单位未购置公务用车。截至2022年12月底，单位保有公务用车0辆。</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公务用车运行维护费支出0万元。</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3.公务接待费支出0.51万元，完成预算64.6%。公务接待费支出决算比2021年增加0.21万元，增长70%。</w:t>
      </w:r>
      <w:r>
        <w:rPr>
          <w:rFonts w:hint="eastAsia" w:asciiTheme="minorEastAsia" w:hAnsiTheme="minorEastAsia" w:eastAsiaTheme="minorEastAsia" w:cstheme="minorEastAsia"/>
          <w:sz w:val="24"/>
          <w:highlight w:val="none"/>
        </w:rPr>
        <w:t>主要原因是</w:t>
      </w:r>
      <w:r>
        <w:rPr>
          <w:rFonts w:hint="default" w:asciiTheme="minorEastAsia" w:hAnsiTheme="minorEastAsia" w:eastAsiaTheme="minorEastAsia" w:cstheme="minorEastAsia"/>
          <w:sz w:val="24"/>
          <w:highlight w:val="none"/>
        </w:rPr>
        <w:t>来广检查及调研批次及人数增加</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rPr>
        <w:t>其中：</w:t>
      </w:r>
    </w:p>
    <w:p>
      <w:pPr>
        <w:spacing w:line="600" w:lineRule="exact"/>
        <w:ind w:firstLine="480" w:firstLineChars="200"/>
        <w:rPr>
          <w:rFonts w:asciiTheme="minorEastAsia" w:hAnsiTheme="minorEastAsia" w:eastAsiaTheme="minorEastAsia" w:cstheme="minorEastAsia"/>
          <w:sz w:val="24"/>
          <w:u w:val="none"/>
        </w:rPr>
      </w:pPr>
      <w:r>
        <w:rPr>
          <w:rFonts w:hint="eastAsia" w:asciiTheme="minorEastAsia" w:hAnsiTheme="minorEastAsia" w:eastAsiaTheme="minorEastAsia" w:cstheme="minorEastAsia"/>
          <w:sz w:val="24"/>
          <w:u w:val="none"/>
        </w:rPr>
        <w:t>国内公务接待支出0.51万元，主要用于开展业务活动开支的用餐费。国内公务接待4批次，31人次（不包括陪同人员），共计支出0.51万元，具体内容包括：2022年4月28日省</w:t>
      </w:r>
      <w:r>
        <w:rPr>
          <w:rFonts w:hint="eastAsia" w:asciiTheme="minorEastAsia" w:hAnsiTheme="minorEastAsia" w:eastAsiaTheme="minorEastAsia" w:cstheme="minorEastAsia"/>
          <w:sz w:val="24"/>
          <w:u w:val="none"/>
          <w:lang w:eastAsia="zh-CN"/>
        </w:rPr>
        <w:t>政府督查组</w:t>
      </w:r>
      <w:r>
        <w:rPr>
          <w:rFonts w:hint="eastAsia" w:asciiTheme="minorEastAsia" w:hAnsiTheme="minorEastAsia" w:eastAsiaTheme="minorEastAsia" w:cstheme="minorEastAsia"/>
          <w:sz w:val="24"/>
          <w:u w:val="none"/>
        </w:rPr>
        <w:t>来广开展“五一”期间疫情防控、安全生产及森林草原防灭火专项督查工作随行人员5人接待费960元；2022年2月21日省委</w:t>
      </w:r>
      <w:r>
        <w:rPr>
          <w:rFonts w:hint="eastAsia" w:asciiTheme="minorEastAsia" w:hAnsiTheme="minorEastAsia" w:eastAsiaTheme="minorEastAsia" w:cstheme="minorEastAsia"/>
          <w:sz w:val="24"/>
          <w:u w:val="none"/>
          <w:lang w:eastAsia="zh-CN"/>
        </w:rPr>
        <w:t>调研组</w:t>
      </w:r>
      <w:r>
        <w:rPr>
          <w:rFonts w:hint="eastAsia" w:asciiTheme="minorEastAsia" w:hAnsiTheme="minorEastAsia" w:eastAsiaTheme="minorEastAsia" w:cstheme="minorEastAsia"/>
          <w:sz w:val="24"/>
          <w:u w:val="none"/>
        </w:rPr>
        <w:t>来广元市昭化区调研农村集体经济培育工作随行人员9人，2022年6月17日省</w:t>
      </w:r>
      <w:r>
        <w:rPr>
          <w:rFonts w:hint="eastAsia" w:asciiTheme="minorEastAsia" w:hAnsiTheme="minorEastAsia" w:eastAsiaTheme="minorEastAsia" w:cstheme="minorEastAsia"/>
          <w:sz w:val="24"/>
          <w:u w:val="none"/>
          <w:lang w:eastAsia="zh-CN"/>
        </w:rPr>
        <w:t>政府督查组</w:t>
      </w:r>
      <w:r>
        <w:rPr>
          <w:rFonts w:hint="eastAsia" w:asciiTheme="minorEastAsia" w:hAnsiTheme="minorEastAsia" w:eastAsiaTheme="minorEastAsia" w:cstheme="minorEastAsia"/>
          <w:sz w:val="24"/>
          <w:u w:val="none"/>
        </w:rPr>
        <w:t>来广开展省政府2022年上半年综合督查工作随行人员8人</w:t>
      </w:r>
      <w:r>
        <w:rPr>
          <w:rFonts w:hint="eastAsia" w:asciiTheme="minorEastAsia" w:hAnsiTheme="minorEastAsia" w:eastAsiaTheme="minorEastAsia" w:cstheme="minorEastAsia"/>
          <w:sz w:val="24"/>
          <w:u w:val="none"/>
          <w:lang w:eastAsia="zh-CN"/>
        </w:rPr>
        <w:t>两次</w:t>
      </w:r>
      <w:r>
        <w:rPr>
          <w:rFonts w:hint="eastAsia" w:asciiTheme="minorEastAsia" w:hAnsiTheme="minorEastAsia" w:eastAsiaTheme="minorEastAsia" w:cstheme="minorEastAsia"/>
          <w:sz w:val="24"/>
          <w:u w:val="none"/>
        </w:rPr>
        <w:t>接待费共计2640元；2022年7月19日省</w:t>
      </w:r>
      <w:r>
        <w:rPr>
          <w:rFonts w:hint="eastAsia" w:asciiTheme="minorEastAsia" w:hAnsiTheme="minorEastAsia" w:eastAsiaTheme="minorEastAsia" w:cstheme="minorEastAsia"/>
          <w:sz w:val="24"/>
          <w:u w:val="none"/>
          <w:lang w:eastAsia="zh-CN"/>
        </w:rPr>
        <w:t>政府督查组</w:t>
      </w:r>
      <w:r>
        <w:rPr>
          <w:rFonts w:hint="eastAsia" w:asciiTheme="minorEastAsia" w:hAnsiTheme="minorEastAsia" w:eastAsiaTheme="minorEastAsia" w:cstheme="minorEastAsia"/>
          <w:sz w:val="24"/>
          <w:u w:val="none"/>
        </w:rPr>
        <w:t>来广督查防汛抗旱和地灾防治专项督查工作随行人员9人接待费1500元。</w:t>
      </w:r>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外事接待支出0万元。外事接待0批次。</w:t>
      </w:r>
    </w:p>
    <w:p>
      <w:pPr>
        <w:spacing w:line="600" w:lineRule="exact"/>
        <w:ind w:firstLine="640" w:firstLineChars="200"/>
        <w:outlineLvl w:val="1"/>
        <w:rPr>
          <w:rStyle w:val="17"/>
          <w:rFonts w:ascii="黑体" w:hAnsi="黑体" w:eastAsia="黑体"/>
        </w:rPr>
      </w:pPr>
      <w:bookmarkStart w:id="54" w:name="_Toc145959635"/>
      <w:bookmarkStart w:id="55" w:name="_Toc15377218"/>
      <w:bookmarkStart w:id="56" w:name="_Toc15396610"/>
      <w:r>
        <w:rPr>
          <w:rFonts w:hint="eastAsia" w:ascii="黑体" w:eastAsia="黑体"/>
          <w:sz w:val="32"/>
          <w:szCs w:val="32"/>
        </w:rPr>
        <w:t>八、</w:t>
      </w:r>
      <w:r>
        <w:rPr>
          <w:rStyle w:val="17"/>
          <w:rFonts w:hint="eastAsia" w:ascii="黑体" w:hAnsi="黑体" w:eastAsia="黑体"/>
          <w:b w:val="0"/>
        </w:rPr>
        <w:t>政府性基金预算支出决算情况说明</w:t>
      </w:r>
      <w:bookmarkEnd w:id="54"/>
      <w:bookmarkEnd w:id="55"/>
      <w:bookmarkEnd w:id="56"/>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2022年度市委目标绩效管理办公室无政府性基金预算财政拨款支出。本单位未在政府性基金预算拨款安排“三公经费”支出。</w:t>
      </w:r>
    </w:p>
    <w:p>
      <w:pPr>
        <w:numPr>
          <w:ilvl w:val="0"/>
          <w:numId w:val="2"/>
        </w:numPr>
        <w:spacing w:line="600" w:lineRule="exact"/>
        <w:ind w:firstLine="640" w:firstLineChars="200"/>
        <w:outlineLvl w:val="1"/>
        <w:rPr>
          <w:rStyle w:val="17"/>
          <w:rFonts w:ascii="黑体" w:hAnsi="黑体" w:eastAsia="黑体"/>
          <w:b w:val="0"/>
        </w:rPr>
      </w:pPr>
      <w:bookmarkStart w:id="57" w:name="_Toc15377219"/>
      <w:bookmarkStart w:id="58" w:name="_Toc15396611"/>
      <w:bookmarkStart w:id="59" w:name="_Toc145959636"/>
      <w:r>
        <w:rPr>
          <w:rStyle w:val="17"/>
          <w:rFonts w:hint="eastAsia" w:ascii="黑体" w:hAnsi="黑体" w:eastAsia="黑体"/>
          <w:b w:val="0"/>
        </w:rPr>
        <w:t>国有资本经营预算支出决算情况说明</w:t>
      </w:r>
      <w:bookmarkEnd w:id="57"/>
      <w:bookmarkEnd w:id="58"/>
      <w:bookmarkEnd w:id="59"/>
    </w:p>
    <w:p>
      <w:pPr>
        <w:spacing w:line="600" w:lineRule="exact"/>
        <w:ind w:firstLine="480" w:firstLineChars="200"/>
        <w:rPr>
          <w:rFonts w:ascii="仿宋_GB2312" w:eastAsia="仿宋_GB2312"/>
          <w:sz w:val="32"/>
          <w:szCs w:val="32"/>
        </w:rPr>
      </w:pPr>
      <w:r>
        <w:rPr>
          <w:rFonts w:hint="eastAsia" w:asciiTheme="minorEastAsia" w:hAnsiTheme="minorEastAsia" w:eastAsiaTheme="minorEastAsia" w:cstheme="minorEastAsia"/>
          <w:sz w:val="24"/>
        </w:rPr>
        <w:t>2022年</w:t>
      </w:r>
      <w:r>
        <w:rPr>
          <w:rFonts w:hint="eastAsia" w:asciiTheme="minorEastAsia" w:hAnsiTheme="minorEastAsia" w:eastAsiaTheme="minorEastAsia" w:cstheme="minorEastAsia"/>
          <w:sz w:val="24"/>
          <w:lang w:val="zh-CN"/>
        </w:rPr>
        <w:t>中共</w:t>
      </w:r>
      <w:r>
        <w:rPr>
          <w:rFonts w:hint="eastAsia" w:asciiTheme="minorEastAsia" w:hAnsiTheme="minorEastAsia" w:eastAsiaTheme="minorEastAsia" w:cstheme="minorEastAsia"/>
          <w:sz w:val="24"/>
        </w:rPr>
        <w:t>广元市委目标绩效办公室无国有资本经营预算财政拨款支出。</w:t>
      </w:r>
    </w:p>
    <w:p>
      <w:pPr>
        <w:numPr>
          <w:ilvl w:val="0"/>
          <w:numId w:val="2"/>
        </w:numPr>
        <w:spacing w:line="600" w:lineRule="exact"/>
        <w:ind w:firstLine="640" w:firstLineChars="200"/>
        <w:outlineLvl w:val="1"/>
        <w:rPr>
          <w:rStyle w:val="17"/>
          <w:rFonts w:ascii="黑体" w:hAnsi="黑体" w:eastAsia="黑体"/>
          <w:b w:val="0"/>
        </w:rPr>
      </w:pPr>
      <w:bookmarkStart w:id="60" w:name="_Toc145959637"/>
      <w:bookmarkStart w:id="61" w:name="_Toc15377221"/>
      <w:bookmarkStart w:id="62" w:name="_Toc15396612"/>
      <w:r>
        <w:rPr>
          <w:rStyle w:val="17"/>
          <w:rFonts w:hint="eastAsia" w:ascii="黑体" w:hAnsi="黑体" w:eastAsia="黑体"/>
          <w:b w:val="0"/>
        </w:rPr>
        <w:t>其他重要事项的情况说明</w:t>
      </w:r>
      <w:bookmarkEnd w:id="60"/>
      <w:bookmarkEnd w:id="61"/>
      <w:bookmarkEnd w:id="62"/>
    </w:p>
    <w:p>
      <w:pPr>
        <w:spacing w:line="600" w:lineRule="exact"/>
        <w:ind w:firstLine="642" w:firstLineChars="200"/>
        <w:outlineLvl w:val="2"/>
        <w:rPr>
          <w:rFonts w:ascii="仿宋" w:hAnsi="仿宋" w:eastAsia="仿宋"/>
          <w:sz w:val="32"/>
          <w:szCs w:val="32"/>
        </w:rPr>
      </w:pPr>
      <w:bookmarkStart w:id="63" w:name="_Toc145959638"/>
      <w:bookmarkStart w:id="64" w:name="_Toc15377222"/>
      <w:r>
        <w:rPr>
          <w:rFonts w:hint="eastAsia" w:ascii="仿宋" w:hAnsi="仿宋" w:eastAsia="仿宋"/>
          <w:b/>
          <w:sz w:val="32"/>
          <w:szCs w:val="32"/>
        </w:rPr>
        <w:t>（一）机关运行经费支出情况</w:t>
      </w:r>
      <w:bookmarkEnd w:id="63"/>
      <w:bookmarkEnd w:id="64"/>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w:t>
      </w:r>
      <w:r>
        <w:rPr>
          <w:rFonts w:hint="eastAsia" w:asciiTheme="minorEastAsia" w:hAnsiTheme="minorEastAsia" w:eastAsiaTheme="minorEastAsia" w:cstheme="minorEastAsia"/>
          <w:sz w:val="24"/>
          <w:lang w:val="zh-CN"/>
        </w:rPr>
        <w:t>中共</w:t>
      </w:r>
      <w:r>
        <w:rPr>
          <w:rFonts w:hint="eastAsia" w:asciiTheme="minorEastAsia" w:hAnsiTheme="minorEastAsia" w:eastAsiaTheme="minorEastAsia" w:cstheme="minorEastAsia"/>
          <w:sz w:val="24"/>
        </w:rPr>
        <w:t>广元市委目标绩效办公室机关运行经费支出52.95万元，比2021年减少5.32万元，下降9.13%。主要原因是受疫情影响现场督查、调研等工作减少，相应经费支出减少。</w:t>
      </w:r>
    </w:p>
    <w:p>
      <w:pPr>
        <w:autoSpaceDE w:val="0"/>
        <w:autoSpaceDN w:val="0"/>
        <w:adjustRightInd w:val="0"/>
        <w:spacing w:line="600" w:lineRule="exact"/>
        <w:ind w:firstLine="642" w:firstLineChars="200"/>
        <w:outlineLvl w:val="2"/>
        <w:rPr>
          <w:rFonts w:ascii="仿宋" w:hAnsi="仿宋" w:eastAsia="仿宋"/>
          <w:b/>
          <w:sz w:val="32"/>
          <w:szCs w:val="32"/>
        </w:rPr>
      </w:pPr>
      <w:bookmarkStart w:id="65" w:name="_Toc145959639"/>
      <w:bookmarkStart w:id="66" w:name="_Toc15377223"/>
      <w:r>
        <w:rPr>
          <w:rFonts w:hint="eastAsia" w:ascii="仿宋" w:hAnsi="仿宋" w:eastAsia="仿宋"/>
          <w:b/>
          <w:sz w:val="32"/>
          <w:szCs w:val="32"/>
        </w:rPr>
        <w:t>（二）政府采购支出情况</w:t>
      </w:r>
      <w:bookmarkEnd w:id="65"/>
      <w:bookmarkEnd w:id="66"/>
    </w:p>
    <w:p>
      <w:pPr>
        <w:keepNext w:val="0"/>
        <w:keepLines w:val="0"/>
        <w:widowControl/>
        <w:suppressLineNumbers w:val="0"/>
        <w:spacing w:before="0" w:beforeAutospacing="1" w:after="0" w:afterAutospacing="1" w:line="576" w:lineRule="exact"/>
        <w:ind w:left="0" w:right="0"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w:t>
      </w:r>
      <w:r>
        <w:rPr>
          <w:rFonts w:hint="eastAsia" w:asciiTheme="minorEastAsia" w:hAnsiTheme="minorEastAsia" w:eastAsiaTheme="minorEastAsia" w:cstheme="minorEastAsia"/>
          <w:sz w:val="24"/>
          <w:lang w:val="zh-CN"/>
        </w:rPr>
        <w:t>中共广元市委目标绩效管理办公室</w:t>
      </w:r>
      <w:r>
        <w:rPr>
          <w:rFonts w:hint="eastAsia" w:asciiTheme="minorEastAsia" w:hAnsiTheme="minorEastAsia" w:eastAsiaTheme="minorEastAsia" w:cstheme="minorEastAsia"/>
          <w:sz w:val="24"/>
        </w:rPr>
        <w:t>政府采购支出总额2.57万元，其中：政府采购货物支出2.57万元。主要用于购买办公用电脑及三台多功能复印机</w:t>
      </w:r>
      <w:r>
        <w:rPr>
          <w:rFonts w:hint="eastAsia" w:asciiTheme="minorEastAsia" w:hAnsiTheme="minorEastAsia" w:eastAsiaTheme="minorEastAsia" w:cstheme="minorEastAsia"/>
          <w:sz w:val="24"/>
          <w:highlight w:val="none"/>
        </w:rPr>
        <w:t>。</w:t>
      </w:r>
      <w:r>
        <w:rPr>
          <w:rFonts w:hint="default" w:asciiTheme="minorEastAsia" w:hAnsiTheme="minorEastAsia" w:eastAsiaTheme="minorEastAsia" w:cstheme="minorEastAsia"/>
          <w:sz w:val="24"/>
          <w:lang w:val="en-US" w:eastAsia="zh-CN"/>
        </w:rPr>
        <w:t>授予中小企业合同金额</w:t>
      </w:r>
      <w:r>
        <w:rPr>
          <w:rFonts w:hint="eastAsia" w:asciiTheme="minorEastAsia" w:hAnsiTheme="minorEastAsia" w:eastAsiaTheme="minorEastAsia" w:cstheme="minorEastAsia"/>
          <w:sz w:val="24"/>
          <w:lang w:val="en-US" w:eastAsia="zh-CN"/>
        </w:rPr>
        <w:t>2.57</w:t>
      </w:r>
      <w:r>
        <w:rPr>
          <w:rFonts w:hint="default" w:asciiTheme="minorEastAsia" w:hAnsiTheme="minorEastAsia" w:eastAsiaTheme="minorEastAsia" w:cstheme="minorEastAsia"/>
          <w:sz w:val="24"/>
          <w:lang w:val="en-US" w:eastAsia="zh-CN"/>
        </w:rPr>
        <w:t>万元，占政府采购支出总额的</w:t>
      </w:r>
      <w:r>
        <w:rPr>
          <w:rFonts w:hint="eastAsia" w:asciiTheme="minorEastAsia" w:hAnsiTheme="minorEastAsia" w:eastAsiaTheme="minorEastAsia" w:cstheme="minorEastAsia"/>
          <w:sz w:val="24"/>
          <w:lang w:val="en-US" w:eastAsia="zh-CN"/>
        </w:rPr>
        <w:t>100</w:t>
      </w:r>
      <w:r>
        <w:rPr>
          <w:rFonts w:hint="default" w:asciiTheme="minorEastAsia" w:hAnsiTheme="minorEastAsia" w:eastAsiaTheme="minorEastAsia" w:cstheme="minorEastAsia"/>
          <w:sz w:val="24"/>
          <w:lang w:eastAsia="zh-CN"/>
        </w:rPr>
        <w:t xml:space="preserve"> </w:t>
      </w:r>
      <w:r>
        <w:rPr>
          <w:rFonts w:hint="default" w:asciiTheme="minorEastAsia" w:hAnsiTheme="minorEastAsia" w:eastAsiaTheme="minorEastAsia" w:cstheme="minorEastAsia"/>
          <w:sz w:val="24"/>
          <w:lang w:val="en-US" w:eastAsia="zh-CN"/>
        </w:rPr>
        <w:t>%，其中：授予小微企业合同金额</w:t>
      </w:r>
      <w:r>
        <w:rPr>
          <w:rFonts w:hint="eastAsia" w:asciiTheme="minorEastAsia" w:hAnsiTheme="minorEastAsia" w:eastAsiaTheme="minorEastAsia" w:cstheme="minorEastAsia"/>
          <w:sz w:val="24"/>
          <w:lang w:val="en-US" w:eastAsia="zh-CN"/>
        </w:rPr>
        <w:t>2.57</w:t>
      </w:r>
      <w:r>
        <w:rPr>
          <w:rFonts w:hint="default" w:asciiTheme="minorEastAsia" w:hAnsiTheme="minorEastAsia" w:eastAsiaTheme="minorEastAsia" w:cstheme="minorEastAsia"/>
          <w:sz w:val="24"/>
          <w:lang w:val="en-US" w:eastAsia="zh-CN"/>
        </w:rPr>
        <w:t>万元，占政府采购支出总额的</w:t>
      </w:r>
      <w:r>
        <w:rPr>
          <w:rFonts w:hint="eastAsia" w:asciiTheme="minorEastAsia" w:hAnsiTheme="minorEastAsia" w:eastAsiaTheme="minorEastAsia" w:cstheme="minorEastAsia"/>
          <w:sz w:val="24"/>
          <w:lang w:val="en-US" w:eastAsia="zh-CN"/>
        </w:rPr>
        <w:t xml:space="preserve">100 </w:t>
      </w:r>
      <w:r>
        <w:rPr>
          <w:rFonts w:hint="default" w:asciiTheme="minorEastAsia" w:hAnsiTheme="minorEastAsia" w:eastAsiaTheme="minorEastAsia" w:cstheme="minorEastAsia"/>
          <w:sz w:val="24"/>
          <w:lang w:val="en-US" w:eastAsia="zh-CN"/>
        </w:rPr>
        <w:t>%。</w:t>
      </w:r>
    </w:p>
    <w:p>
      <w:pPr>
        <w:autoSpaceDE w:val="0"/>
        <w:autoSpaceDN w:val="0"/>
        <w:adjustRightInd w:val="0"/>
        <w:spacing w:line="600" w:lineRule="exact"/>
        <w:ind w:firstLine="642" w:firstLineChars="200"/>
        <w:outlineLvl w:val="2"/>
        <w:rPr>
          <w:rFonts w:ascii="仿宋" w:hAnsi="仿宋" w:eastAsia="仿宋"/>
          <w:b/>
          <w:sz w:val="32"/>
          <w:szCs w:val="32"/>
        </w:rPr>
      </w:pPr>
      <w:bookmarkStart w:id="67" w:name="_Toc145959640"/>
      <w:bookmarkStart w:id="68" w:name="_Toc15377224"/>
      <w:r>
        <w:rPr>
          <w:rFonts w:hint="eastAsia" w:ascii="仿宋" w:hAnsi="仿宋" w:eastAsia="仿宋"/>
          <w:b/>
          <w:sz w:val="32"/>
          <w:szCs w:val="32"/>
        </w:rPr>
        <w:t>（三）国有资产占有使用情况</w:t>
      </w:r>
      <w:bookmarkEnd w:id="67"/>
      <w:bookmarkEnd w:id="68"/>
    </w:p>
    <w:p>
      <w:pPr>
        <w:spacing w:line="6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截至2022年12月31日，</w:t>
      </w:r>
      <w:r>
        <w:rPr>
          <w:rFonts w:hint="eastAsia" w:asciiTheme="minorEastAsia" w:hAnsiTheme="minorEastAsia" w:eastAsiaTheme="minorEastAsia" w:cstheme="minorEastAsia"/>
          <w:sz w:val="24"/>
          <w:lang w:val="zh-CN"/>
        </w:rPr>
        <w:t>中共广元市委目标绩效管理办公室</w:t>
      </w:r>
      <w:r>
        <w:rPr>
          <w:rFonts w:hint="eastAsia" w:asciiTheme="minorEastAsia" w:hAnsiTheme="minorEastAsia" w:eastAsiaTheme="minorEastAsia" w:cstheme="minorEastAsia"/>
          <w:sz w:val="24"/>
        </w:rPr>
        <w:t>共有车辆0辆。单价50万元以上通用设备0台（套），单价100万元以上专用设备0台（套）。</w:t>
      </w:r>
    </w:p>
    <w:p>
      <w:pPr>
        <w:autoSpaceDE w:val="0"/>
        <w:autoSpaceDN w:val="0"/>
        <w:adjustRightInd w:val="0"/>
        <w:spacing w:line="600" w:lineRule="exact"/>
        <w:ind w:firstLine="642" w:firstLineChars="200"/>
        <w:outlineLvl w:val="2"/>
        <w:rPr>
          <w:rFonts w:ascii="仿宋" w:hAnsi="仿宋" w:eastAsia="仿宋"/>
          <w:b/>
          <w:sz w:val="32"/>
          <w:szCs w:val="32"/>
        </w:rPr>
      </w:pPr>
      <w:bookmarkStart w:id="69" w:name="_Toc145959641"/>
      <w:r>
        <w:rPr>
          <w:rFonts w:hint="eastAsia" w:ascii="仿宋" w:hAnsi="仿宋" w:eastAsia="仿宋"/>
          <w:b/>
          <w:sz w:val="32"/>
          <w:szCs w:val="32"/>
        </w:rPr>
        <w:t>（四）预算绩效管理情况</w:t>
      </w:r>
      <w:bookmarkEnd w:id="69"/>
    </w:p>
    <w:p>
      <w:pPr>
        <w:pStyle w:val="2"/>
        <w:spacing w:before="93" w:line="600" w:lineRule="exact"/>
        <w:ind w:firstLine="480" w:firstLineChars="200"/>
        <w:rPr>
          <w:rFonts w:hAnsi="仿宋_GB2312" w:cs="仿宋_GB2312"/>
          <w:szCs w:val="32"/>
        </w:rPr>
      </w:pPr>
      <w:r>
        <w:rPr>
          <w:rFonts w:hint="eastAsia" w:asciiTheme="minorEastAsia" w:hAnsiTheme="minorEastAsia" w:eastAsiaTheme="minorEastAsia" w:cstheme="minorEastAsia"/>
          <w:kern w:val="2"/>
          <w:sz w:val="24"/>
        </w:rPr>
        <w:t>根据预算绩效管理要求，本单位在2022年度预算编制阶段，组织对巡视整改领导小组办公室工作经费、目标工作经费（含：督目领导小组办公室、综合评价工作经费）、督查工作经费（含：民生、办理工作）、基层减负专项机制办公室工作经费、乡村振兴工作经费等5个项目开展了预算事前绩效评估，对5个项目编制了绩效目标，预算执行过程中，选取5个项目开展绩效监控，组织对5个项目开展绩效自评，绩效自评表详见第四部分附件。</w:t>
      </w:r>
      <w:r>
        <w:rPr>
          <w:rFonts w:hint="eastAsia" w:asciiTheme="minorEastAsia" w:hAnsiTheme="minorEastAsia" w:eastAsiaTheme="minorEastAsia" w:cstheme="minorEastAsia"/>
          <w:kern w:val="2"/>
          <w:sz w:val="24"/>
          <w:lang w:val="zh-CN"/>
        </w:rPr>
        <w:br w:type="page"/>
      </w:r>
    </w:p>
    <w:p>
      <w:pPr>
        <w:numPr>
          <w:ilvl w:val="0"/>
          <w:numId w:val="3"/>
        </w:numPr>
        <w:spacing w:line="600" w:lineRule="exact"/>
        <w:ind w:firstLine="660" w:firstLineChars="150"/>
        <w:jc w:val="center"/>
        <w:outlineLvl w:val="0"/>
        <w:rPr>
          <w:rStyle w:val="16"/>
          <w:rFonts w:ascii="黑体" w:hAnsi="黑体" w:eastAsia="黑体"/>
          <w:b w:val="0"/>
        </w:rPr>
      </w:pPr>
      <w:bookmarkStart w:id="70" w:name="_Toc145959642"/>
      <w:bookmarkStart w:id="71" w:name="_Toc15377225"/>
      <w:bookmarkStart w:id="72" w:name="_Toc15396613"/>
      <w:r>
        <w:rPr>
          <w:rFonts w:hint="eastAsia" w:ascii="黑体" w:hAnsi="黑体" w:eastAsia="黑体"/>
          <w:sz w:val="44"/>
          <w:szCs w:val="44"/>
        </w:rPr>
        <w:t>名</w:t>
      </w:r>
      <w:r>
        <w:rPr>
          <w:rStyle w:val="16"/>
          <w:rFonts w:hint="eastAsia" w:ascii="黑体" w:hAnsi="黑体" w:eastAsia="黑体"/>
          <w:b w:val="0"/>
        </w:rPr>
        <w:t>词解释</w:t>
      </w:r>
      <w:bookmarkEnd w:id="70"/>
      <w:bookmarkEnd w:id="71"/>
      <w:bookmarkEnd w:id="72"/>
    </w:p>
    <w:p>
      <w:pPr>
        <w:spacing w:line="600" w:lineRule="exact"/>
        <w:jc w:val="left"/>
        <w:rPr>
          <w:rFonts w:ascii="宋体"/>
          <w:b/>
          <w:sz w:val="44"/>
          <w:szCs w:val="44"/>
        </w:rPr>
      </w:pPr>
    </w:p>
    <w:p>
      <w:pPr>
        <w:pStyle w:val="25"/>
        <w:numPr>
          <w:ilvl w:val="0"/>
          <w:numId w:val="4"/>
        </w:numPr>
        <w:spacing w:line="600" w:lineRule="exact"/>
        <w:ind w:left="0" w:leftChars="0" w:firstLine="400" w:firstLineChars="0"/>
        <w:jc w:val="both"/>
        <w:rPr>
          <w:rFonts w:asciiTheme="minorEastAsia" w:hAnsiTheme="minorEastAsia" w:eastAsiaTheme="minorEastAsia" w:cstheme="minorEastAsia"/>
          <w:color w:val="auto"/>
          <w:kern w:val="2"/>
        </w:rPr>
      </w:pPr>
      <w:bookmarkStart w:id="73" w:name="_Toc15396614"/>
      <w:bookmarkStart w:id="74" w:name="_Toc15377226"/>
      <w:r>
        <w:rPr>
          <w:rFonts w:hint="eastAsia" w:asciiTheme="minorEastAsia" w:hAnsiTheme="minorEastAsia" w:eastAsiaTheme="minorEastAsia" w:cstheme="minorEastAsia"/>
          <w:color w:val="auto"/>
          <w:kern w:val="2"/>
        </w:rPr>
        <w:t>财政拨款收入：指单位从同级财政部门取得的财政预算资金。</w:t>
      </w:r>
    </w:p>
    <w:p>
      <w:pPr>
        <w:pStyle w:val="25"/>
        <w:numPr>
          <w:ilvl w:val="0"/>
          <w:numId w:val="4"/>
        </w:numPr>
        <w:spacing w:line="600" w:lineRule="exact"/>
        <w:ind w:left="0" w:leftChars="0" w:firstLine="400" w:firstLineChars="0"/>
        <w:jc w:val="both"/>
        <w:rPr>
          <w:rFonts w:asciiTheme="minorEastAsia" w:hAnsiTheme="minorEastAsia" w:eastAsiaTheme="minorEastAsia" w:cstheme="minorEastAsia"/>
          <w:color w:val="auto"/>
          <w:kern w:val="2"/>
        </w:rPr>
      </w:pPr>
      <w:r>
        <w:rPr>
          <w:rFonts w:hint="eastAsia" w:asciiTheme="minorEastAsia" w:hAnsiTheme="minorEastAsia" w:eastAsiaTheme="minorEastAsia" w:cstheme="minorEastAsia"/>
          <w:color w:val="auto"/>
          <w:kern w:val="2"/>
        </w:rPr>
        <w:t xml:space="preserve">年初结转和结余：指以前年度尚未完成、结转到本年按有关规定继续使用的资金。 </w:t>
      </w:r>
    </w:p>
    <w:p>
      <w:pPr>
        <w:numPr>
          <w:ilvl w:val="0"/>
          <w:numId w:val="4"/>
        </w:numPr>
        <w:spacing w:line="600" w:lineRule="exact"/>
        <w:ind w:left="0" w:leftChars="0" w:firstLine="40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一般公共服务支出201（类）党委办公厅（室）及相关机构事务31（款）行政运行01（项）：反映行政单位（包括实行公务员管理的事业单位）的基本支出。</w:t>
      </w:r>
    </w:p>
    <w:p>
      <w:pPr>
        <w:numPr>
          <w:ilvl w:val="0"/>
          <w:numId w:val="4"/>
        </w:numPr>
        <w:spacing w:line="600" w:lineRule="exact"/>
        <w:ind w:left="0" w:leftChars="0" w:firstLine="40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一般公共服务支出201（类）党委办公厅（室）及相关机构事务31（款）一般行政管理事务02（项）：反映行政单位（包括实行公务员管理的事业单位）未单独设置项级科目的其他项目支出。</w:t>
      </w:r>
    </w:p>
    <w:p>
      <w:pPr>
        <w:numPr>
          <w:ilvl w:val="0"/>
          <w:numId w:val="4"/>
        </w:numPr>
        <w:spacing w:line="600" w:lineRule="exact"/>
        <w:ind w:left="0" w:leftChars="0" w:firstLine="40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社会保障和就业208（类）人力资源和社会保障管理事务01（款） 其他人力资源和社会保障管理事务支出99</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项）：反映除上述项目以外其他用于人力资源和社会保障管理事务方面的支出。</w:t>
      </w:r>
    </w:p>
    <w:p>
      <w:pPr>
        <w:numPr>
          <w:ilvl w:val="0"/>
          <w:numId w:val="4"/>
        </w:numPr>
        <w:spacing w:line="600" w:lineRule="exact"/>
        <w:ind w:left="0" w:leftChars="0" w:firstLine="40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社会保障和就业支出208（类）行政事业单位养老支出05（款）机关事业单位基本养老保险缴费支出05（项）：反映机关事业单位实施养老保险制度由单位缴纳的基本养老保险费支出。</w:t>
      </w:r>
    </w:p>
    <w:p>
      <w:pPr>
        <w:numPr>
          <w:ilvl w:val="0"/>
          <w:numId w:val="4"/>
        </w:numPr>
        <w:spacing w:line="600" w:lineRule="exact"/>
        <w:ind w:left="0" w:leftChars="0" w:firstLine="400" w:firstLineChars="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社会保障和就业支出208（类）行政事业单位养老支出05（款）机关事业单位职业年金缴费支出06（项）：反映机关事业单位实施养老保险制度由单位实际缴纳的职业年金支出。</w:t>
      </w:r>
    </w:p>
    <w:p>
      <w:pPr>
        <w:numPr>
          <w:ilvl w:val="0"/>
          <w:numId w:val="4"/>
        </w:numPr>
        <w:spacing w:line="600" w:lineRule="exact"/>
        <w:ind w:left="0" w:leftChars="0" w:firstLine="40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卫生健康支出210（类）行政事业单位医疗11（款）行政单位医疗01（项）：反映财政部门安排的行政单位（包括实行公务员管理的事业单位）基本医疗保险缴费经费，未参加医疗保险的行政单位的公费医疗经费，按国家规定享受离休人员、红军老战士待遇人员的医疗经费。</w:t>
      </w:r>
    </w:p>
    <w:p>
      <w:pPr>
        <w:numPr>
          <w:ilvl w:val="0"/>
          <w:numId w:val="4"/>
        </w:numPr>
        <w:spacing w:line="600" w:lineRule="exact"/>
        <w:ind w:left="0" w:leftChars="0" w:firstLine="40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住房保障221（类）住房改革支出02（款）住房公积金01（项）：反映行政事业单位按人力资源和社会保障部、财政部规定的基本工资和津贴补贴以及规定比例为职工缴纳的住房公积金。</w:t>
      </w:r>
    </w:p>
    <w:p>
      <w:pPr>
        <w:numPr>
          <w:ilvl w:val="0"/>
          <w:numId w:val="4"/>
        </w:numPr>
        <w:spacing w:line="600" w:lineRule="exact"/>
        <w:ind w:left="0" w:leftChars="0" w:firstLine="40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基本支出：指为保障机构正常运转、完成日常工作任务而发生的人员支出和公用支出。</w:t>
      </w:r>
    </w:p>
    <w:p>
      <w:pPr>
        <w:numPr>
          <w:ilvl w:val="0"/>
          <w:numId w:val="4"/>
        </w:numPr>
        <w:spacing w:line="600" w:lineRule="exact"/>
        <w:ind w:left="0" w:leftChars="0" w:firstLine="40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项目支出：指在基本支出之外为完成特定行政任务和事业发展目标所发生的支出。 </w:t>
      </w:r>
    </w:p>
    <w:p>
      <w:pPr>
        <w:pStyle w:val="25"/>
        <w:numPr>
          <w:ilvl w:val="0"/>
          <w:numId w:val="4"/>
        </w:numPr>
        <w:spacing w:line="600" w:lineRule="exact"/>
        <w:ind w:left="0" w:leftChars="0" w:firstLine="400" w:firstLineChars="0"/>
        <w:jc w:val="both"/>
        <w:rPr>
          <w:rFonts w:asciiTheme="minorEastAsia" w:hAnsiTheme="minorEastAsia" w:eastAsiaTheme="minorEastAsia" w:cstheme="minorEastAsia"/>
          <w:color w:val="auto"/>
          <w:kern w:val="2"/>
        </w:rPr>
      </w:pPr>
      <w:r>
        <w:rPr>
          <w:rFonts w:hint="eastAsia" w:asciiTheme="minorEastAsia" w:hAnsiTheme="minorEastAsia" w:eastAsiaTheme="minorEastAsia" w:cstheme="minorEastAsia"/>
          <w:color w:val="auto"/>
          <w:kern w:val="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4"/>
        </w:numPr>
        <w:spacing w:line="600" w:lineRule="exact"/>
        <w:ind w:left="0" w:leftChars="0" w:firstLine="400" w:firstLineChars="0"/>
        <w:rPr>
          <w:rFonts w:ascii="仿宋_GB2312" w:eastAsia="仿宋_GB2312"/>
          <w:sz w:val="32"/>
          <w:szCs w:val="32"/>
        </w:rPr>
      </w:pPr>
      <w:r>
        <w:rPr>
          <w:rFonts w:hint="eastAsia" w:asciiTheme="minorEastAsia" w:hAnsiTheme="minorEastAsia" w:eastAsiaTheme="minorEastAsia" w:cstheme="minorEastAsia"/>
          <w:sz w:val="24"/>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pStyle w:val="25"/>
        <w:spacing w:line="560" w:lineRule="exact"/>
        <w:ind w:firstLine="2208" w:firstLineChars="500"/>
        <w:outlineLvl w:val="0"/>
        <w:rPr>
          <w:rStyle w:val="16"/>
          <w:rFonts w:ascii="黑体" w:hAnsi="黑体" w:eastAsia="黑体"/>
          <w:b w:val="0"/>
        </w:rPr>
      </w:pPr>
      <w:r>
        <w:rPr>
          <w:rFonts w:ascii="宋体"/>
          <w:b/>
          <w:color w:val="auto"/>
          <w:sz w:val="44"/>
          <w:szCs w:val="44"/>
        </w:rPr>
        <w:br w:type="page"/>
      </w:r>
      <w:bookmarkStart w:id="75" w:name="_Toc145959643"/>
      <w:r>
        <w:rPr>
          <w:rFonts w:hint="eastAsia" w:ascii="黑体" w:hAnsi="黑体" w:eastAsia="黑体"/>
          <w:color w:val="auto"/>
          <w:sz w:val="44"/>
          <w:szCs w:val="44"/>
        </w:rPr>
        <w:t>第</w:t>
      </w:r>
      <w:r>
        <w:rPr>
          <w:rStyle w:val="16"/>
          <w:rFonts w:hint="eastAsia" w:ascii="黑体" w:hAnsi="黑体" w:eastAsia="黑体"/>
          <w:b w:val="0"/>
          <w:color w:val="auto"/>
        </w:rPr>
        <w:t>四部分 附件</w:t>
      </w:r>
      <w:bookmarkEnd w:id="73"/>
      <w:bookmarkEnd w:id="75"/>
    </w:p>
    <w:p>
      <w:pPr>
        <w:jc w:val="center"/>
        <w:rPr>
          <w:rFonts w:ascii="宋体" w:hAnsi="宋体" w:cs="宋体"/>
          <w:kern w:val="0"/>
          <w:sz w:val="32"/>
          <w:szCs w:val="32"/>
        </w:rPr>
      </w:pPr>
      <w:bookmarkStart w:id="76" w:name="_Toc15396618"/>
      <w:r>
        <w:rPr>
          <w:rFonts w:hint="eastAsia" w:asciiTheme="minorEastAsia" w:hAnsiTheme="minorEastAsia" w:eastAsiaTheme="minorEastAsia" w:cstheme="minorEastAsia"/>
          <w:sz w:val="24"/>
        </w:rPr>
        <w:t>部门预算项目支出绩效自评表（2022年度）</w:t>
      </w:r>
    </w:p>
    <w:tbl>
      <w:tblPr>
        <w:tblStyle w:val="12"/>
        <w:tblW w:w="9090" w:type="dxa"/>
        <w:tblInd w:w="93" w:type="dxa"/>
        <w:tblLayout w:type="autofit"/>
        <w:tblCellMar>
          <w:top w:w="0" w:type="dxa"/>
          <w:left w:w="108" w:type="dxa"/>
          <w:bottom w:w="0" w:type="dxa"/>
          <w:right w:w="108" w:type="dxa"/>
        </w:tblCellMar>
      </w:tblPr>
      <w:tblGrid>
        <w:gridCol w:w="661"/>
        <w:gridCol w:w="1106"/>
        <w:gridCol w:w="844"/>
        <w:gridCol w:w="1316"/>
        <w:gridCol w:w="525"/>
        <w:gridCol w:w="716"/>
        <w:gridCol w:w="1042"/>
        <w:gridCol w:w="616"/>
        <w:gridCol w:w="516"/>
        <w:gridCol w:w="1748"/>
      </w:tblGrid>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51000021R000000019951-工资性支出</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年度目标完成情况</w:t>
            </w:r>
          </w:p>
        </w:tc>
      </w:tr>
      <w:tr>
        <w:trPr>
          <w:trHeight w:val="300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严格执行相关政策，保障工资及时发放、足额发放，预算编制科学合理，减少结余资金</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预算13人工资福利261.98万元，全年实现支出250.5万元，足额保障了13人的人员工资福利支出，按时发放率100%，实现了预期目标。支出控制在预算金额之内；按时完成预算绩效运行监控，将绩效监控结果应用到预算调整，合理安排预算执行进度，提高资金使用绩效，2022年不涉及绩效监控调整取消额和结余注销额；6、9、11月达到要求的序时进度；预算完成率95.62%；年末无结转结余；2022年度未收到审计监督、财政检查反映单位上一年度部门预算管理不合规的情况，未发现部门预算管理方面违纪违规问题</w:t>
            </w:r>
          </w:p>
        </w:tc>
      </w:tr>
      <w:tr>
        <w:trPr>
          <w:trHeight w:val="120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206.30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261.98</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250.50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95.62%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206.30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261.98</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250.50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95.62%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未完成原因分析</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足额保障率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科目调整次数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按时发放率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r>
      <w:tr>
        <w:trPr>
          <w:trHeight w:val="9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经济效益指标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结余率（计算方法为：结余数/预算数）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cs="宋体" w:asciiTheme="minorEastAsia" w:hAnsiTheme="minorEastAsia" w:eastAsiaTheme="minorEastAsia"/>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按照财政部门要求，我单位统一安排部署相关人员组成绩效评价工作组，按照相关规范及时准确开展绩效自评工作，自评得分98分，自评质量较好。</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虽然我单位绩效管理取得了长足进步，但还存在个别工作人员绩效意识不强，工作中偏重任务完成，不注重提高项目绩效的问题。</w:t>
            </w:r>
          </w:p>
        </w:tc>
      </w:tr>
      <w:tr>
        <w:trPr>
          <w:trHeight w:val="16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cs="宋体" w:asciiTheme="minorEastAsia" w:hAnsiTheme="minorEastAsia" w:eastAsiaTheme="minorEastAsia"/>
                <w:color w:val="000000"/>
                <w:sz w:val="20"/>
                <w:szCs w:val="20"/>
                <w:lang w:eastAsia="zh-CN"/>
              </w:rPr>
            </w:pPr>
            <w:r>
              <w:rPr>
                <w:rFonts w:hint="eastAsia" w:cs="宋体" w:asciiTheme="minorEastAsia" w:hAnsiTheme="minorEastAsia" w:eastAsiaTheme="minorEastAsia"/>
                <w:color w:val="000000"/>
                <w:kern w:val="0"/>
                <w:sz w:val="20"/>
                <w:szCs w:val="20"/>
                <w:lang w:bidi="ar"/>
              </w:rPr>
              <w:t xml:space="preserve"> 2023年我单位将进一步加大绩效管理工作力度：</w:t>
            </w:r>
            <w:r>
              <w:rPr>
                <w:rFonts w:hint="eastAsia" w:cs="宋体" w:asciiTheme="minorEastAsia" w:hAnsiTheme="minorEastAsia" w:eastAsiaTheme="minorEastAsia"/>
                <w:color w:val="000000"/>
                <w:kern w:val="0"/>
                <w:sz w:val="20"/>
                <w:szCs w:val="20"/>
                <w:lang w:bidi="ar"/>
              </w:rPr>
              <w:br w:type="textWrapping"/>
            </w:r>
            <w:r>
              <w:rPr>
                <w:rFonts w:hint="eastAsia" w:cs="宋体" w:asciiTheme="minorEastAsia" w:hAnsiTheme="minorEastAsia" w:eastAsiaTheme="minorEastAsia"/>
                <w:color w:val="000000"/>
                <w:kern w:val="0"/>
                <w:sz w:val="20"/>
                <w:szCs w:val="20"/>
                <w:lang w:bidi="ar"/>
              </w:rPr>
              <w:t>一是加大绩效</w:t>
            </w:r>
            <w:r>
              <w:rPr>
                <w:rFonts w:hint="eastAsia" w:cs="宋体" w:asciiTheme="minorEastAsia" w:hAnsiTheme="minorEastAsia" w:eastAsiaTheme="minorEastAsia"/>
                <w:color w:val="000000"/>
                <w:kern w:val="0"/>
                <w:sz w:val="20"/>
                <w:szCs w:val="20"/>
                <w:lang w:eastAsia="zh-CN" w:bidi="ar"/>
              </w:rPr>
              <w:t>宣教</w:t>
            </w:r>
            <w:r>
              <w:rPr>
                <w:rFonts w:hint="eastAsia" w:cs="宋体" w:asciiTheme="minorEastAsia" w:hAnsiTheme="minorEastAsia" w:eastAsiaTheme="minorEastAsia"/>
                <w:color w:val="000000"/>
                <w:kern w:val="0"/>
                <w:sz w:val="20"/>
                <w:szCs w:val="20"/>
                <w:lang w:bidi="ar"/>
              </w:rPr>
              <w:t>力度。积极向全体部门人员宣传预算绩效管理理念，强化预算绩效意识，培育绩效管理文化，为推进预算绩效管理创造良好的思想基础，提高预算单位绩效管理工作水平。</w:t>
            </w:r>
            <w:r>
              <w:rPr>
                <w:rFonts w:hint="eastAsia" w:cs="宋体" w:asciiTheme="minorEastAsia" w:hAnsiTheme="minorEastAsia" w:eastAsiaTheme="minorEastAsia"/>
                <w:color w:val="000000"/>
                <w:kern w:val="0"/>
                <w:sz w:val="20"/>
                <w:szCs w:val="20"/>
                <w:lang w:bidi="ar"/>
              </w:rPr>
              <w:br w:type="textWrapping"/>
            </w:r>
            <w:r>
              <w:rPr>
                <w:rFonts w:hint="eastAsia" w:cs="宋体" w:asciiTheme="minorEastAsia" w:hAnsiTheme="minorEastAsia" w:eastAsiaTheme="minorEastAsia"/>
                <w:color w:val="000000"/>
                <w:kern w:val="0"/>
                <w:sz w:val="20"/>
                <w:szCs w:val="20"/>
                <w:lang w:bidi="ar"/>
              </w:rPr>
              <w:t>二是进一步加大结果运用。建立绩效评价结果问责制度，落实经办人员的绩效责任。对项目绩效好的给予表彰和奖励，对项目绩效一般的要督促人员改进，对绩效管理较差的项目限期整改，追究经办人员责任。切实做到“花钱必问效，无效必追责”</w:t>
            </w:r>
            <w:r>
              <w:rPr>
                <w:rFonts w:hint="eastAsia" w:cs="宋体" w:asciiTheme="minorEastAsia" w:hAnsiTheme="minorEastAsia" w:eastAsiaTheme="minorEastAsia"/>
                <w:color w:val="000000"/>
                <w:kern w:val="0"/>
                <w:sz w:val="20"/>
                <w:szCs w:val="20"/>
                <w:lang w:eastAsia="zh-CN" w:bidi="ar"/>
              </w:rPr>
              <w:t>。</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51000021R000000019956-离退休费支出</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28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严格执行相关政策，保障工资及时发放、足额发放，预算编制科学合理，减少结余资金</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4名退休人员生活补助5.6万元，全年实现支出5.6万元，足额保障了4名退休人员生活补助支出，按时发放率100%，实现了预期目标。支出控制在预算金额之内；按时完成预算绩效运行监控，将绩效监控结果应用到预算调整，合理安排预算执行进度，提高资金使用绩效，2022年不涉及绩效监控调整取消额和结余注销额；6、9、11月达到要求的序时进度；预算完成率100%；年末无结转结余；2022年度未收到审计监督、财政检查反映单位上一年度部门预算管理不合规的情况，未发现部门预算管理方面违纪违规问题</w:t>
            </w:r>
          </w:p>
        </w:tc>
      </w:tr>
      <w:tr>
        <w:trPr>
          <w:trHeight w:val="1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5.60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5.60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5.60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5.60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5.60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5.60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kern w:val="0"/>
                <w:sz w:val="20"/>
                <w:szCs w:val="20"/>
                <w:lang w:bidi="ar"/>
              </w:rPr>
            </w:pPr>
            <w:r>
              <w:rPr>
                <w:rFonts w:hint="eastAsia" w:cs="宋体" w:asciiTheme="minorEastAsia" w:hAnsiTheme="minorEastAsia" w:eastAsiaTheme="minorEastAsia"/>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科目调整次数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足额保障率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按时发放率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9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经济效益指标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结余率（计算方法为：结余数/预算数）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按照财政部门要求，我单位统一安排部署相关人员组成绩效评价工作组，按照相关规范及时准确开展绩效自评工作，自评得分100分，自评质量较好。</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无</w:t>
            </w:r>
          </w:p>
        </w:tc>
      </w:tr>
      <w:tr>
        <w:trPr>
          <w:trHeight w:val="162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 xml:space="preserve"> 2023年我单位将进一步加大绩效管理工作力度：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一是加大绩效</w:t>
            </w:r>
            <w:r>
              <w:rPr>
                <w:rFonts w:hint="eastAsia" w:ascii="宋体" w:hAnsi="宋体" w:cs="宋体"/>
                <w:color w:val="000000"/>
                <w:kern w:val="0"/>
                <w:sz w:val="20"/>
                <w:szCs w:val="20"/>
                <w:lang w:eastAsia="zh-CN" w:bidi="ar"/>
              </w:rPr>
              <w:t>宣教</w:t>
            </w:r>
            <w:r>
              <w:rPr>
                <w:rFonts w:hint="eastAsia" w:ascii="宋体" w:hAnsi="宋体" w:cs="宋体"/>
                <w:color w:val="000000"/>
                <w:kern w:val="0"/>
                <w:sz w:val="20"/>
                <w:szCs w:val="20"/>
                <w:lang w:bidi="ar"/>
              </w:rPr>
              <w:t>力度。积极向全体部门人员宣传预算绩效管理理念，强化预算绩效意识，培育绩效管理文化，为推进预算绩效管理创造良好的思想基础，提高预算单位绩效管理工作水平。</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二是进一步加大结果运用。建立绩效评价结果问责制度，落实经办人员的绩效责任。对项目绩效好的给予表彰和奖励，对项目绩效一般的要督促人员改进，对绩效管理较差的项目限期整改，追究经办人员责任。切实做到“花钱必问效，无效必追责”</w:t>
            </w:r>
            <w:r>
              <w:rPr>
                <w:rFonts w:hint="eastAsia" w:ascii="宋体" w:hAnsi="宋体" w:cs="宋体"/>
                <w:color w:val="000000"/>
                <w:kern w:val="0"/>
                <w:sz w:val="20"/>
                <w:szCs w:val="20"/>
                <w:lang w:eastAsia="zh-CN" w:bidi="ar"/>
              </w:rPr>
              <w:t>。</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51000021Y000000011490-定额公用经费</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1025"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保障单位日常运转，提高预算编制质量，严格执行预算</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32.11万元，全年实现支出29.86万元。单位日常运转正常，运转保证率100%。实现了预期目标。支出控制在预算金额之内；按时完成预算绩效运行监控，将绩效监控结果应用到预算调整，合理安排预算执行进度，提高资金使用绩效，2022年不涉及绩效监控调整取消额和结余注销额；6、9、11月达到要求的序时进度；预算完成率100%；年末无结转结余；2022年度未收到审计监督、财政检查反映单位上一年度部门预算管理不合规的情况，未发现部门预算管理方面违纪违规问题。</w:t>
            </w:r>
          </w:p>
        </w:tc>
      </w:tr>
      <w:tr>
        <w:trPr>
          <w:trHeight w:val="11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32.11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32.01</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29.86</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93.30%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32.11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32.01</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29.86</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93.30%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科目调整次数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14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预算编制准确率（计算方法为：∣（执行数-预算数）/预算数∣）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19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经济效益指标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“三公经费”控制率[计算方法为：（三公经费实际支出数/预算安排数]×100%）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运转保障率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宋体" w:asciiTheme="minorEastAsia" w:hAnsiTheme="minorEastAsia" w:eastAsiaTheme="minorEastAsia"/>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98</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按照财政部门要求，我单位统一安排部署相关人员组成绩效评价工作组，按照相关规范及时准确开展绩效自评工作，自评得分98分，自评质量较好。</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虽然我单位绩效管理取得了长足进步，但还存在个别工作人员绩效意识不强，工作中偏重任务完成，不注重提高项目绩效的问题。</w:t>
            </w:r>
          </w:p>
        </w:tc>
      </w:tr>
      <w:tr>
        <w:trPr>
          <w:trHeight w:val="154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 xml:space="preserve"> 2023年我单位将进一步加大绩效管理工作力度：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一是加大绩效</w:t>
            </w:r>
            <w:r>
              <w:rPr>
                <w:rFonts w:hint="eastAsia" w:ascii="宋体" w:hAnsi="宋体" w:cs="宋体"/>
                <w:color w:val="000000"/>
                <w:kern w:val="0"/>
                <w:sz w:val="20"/>
                <w:szCs w:val="20"/>
                <w:lang w:eastAsia="zh-CN" w:bidi="ar"/>
              </w:rPr>
              <w:t>宣教</w:t>
            </w:r>
            <w:r>
              <w:rPr>
                <w:rFonts w:hint="eastAsia" w:ascii="宋体" w:hAnsi="宋体" w:cs="宋体"/>
                <w:color w:val="000000"/>
                <w:kern w:val="0"/>
                <w:sz w:val="20"/>
                <w:szCs w:val="20"/>
                <w:lang w:bidi="ar"/>
              </w:rPr>
              <w:t>力度。积极向全体部门人员宣传预算绩效管理理念，强化预算绩效意识，培育绩效管理文化，为推进预算绩效管理创造良好的思想基础，提高预算单位绩效管理工作水平。</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二是进一步加大结果运用。建立绩效评价结果问责制度，落实经办人员的绩效责任。对项目绩效好的给予表彰和奖励，对项目绩效一般的要督促人员改进，对绩效管理较差的项目限期整改，追究经办人员责任。切实做到“花钱必问效，无效必追责”</w:t>
            </w:r>
            <w:r>
              <w:rPr>
                <w:rFonts w:hint="eastAsia" w:ascii="宋体" w:hAnsi="宋体" w:cs="宋体"/>
                <w:color w:val="000000"/>
                <w:kern w:val="0"/>
                <w:sz w:val="20"/>
                <w:szCs w:val="20"/>
                <w:lang w:eastAsia="zh-CN" w:bidi="ar"/>
              </w:rPr>
              <w:t>。</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51080021Y000000176770-其他公用经费（福利、工会、公车补贴、党建、退休活动）</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300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保障单位日常运转，提高预算编制质量，严格执行预算</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20.76万元，全年实现支出19.49万元。单位日常运转正常，运转保证率100%。实现了预期目标。支出控制在预算金额之内；按时完成预算绩效运行监控，将绩效监控结果应用到预算调整，合理安排预算执行进度，提高资金使用绩效，2022年不涉及绩效监控调整取消额和结余注销额；6、9、11月达到要求的序时进度；预算完成率100%；年末无结转结余；2022年度未收到审计监督、财政检查反映单位上一年度部门预算管理不合规的情况，未发现部门预算管理方面违纪违规问题。</w:t>
            </w:r>
          </w:p>
        </w:tc>
      </w:tr>
      <w:tr>
        <w:trPr>
          <w:trHeight w:val="120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20.76</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19.49</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93.91%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20.76</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19.49</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93.91%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科目调整次数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14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预算编制准确率（计算方法为：∣（执行数-预算数）/预算数∣）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19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“三公经费”控制率[计算方法为：（三公经费实际支出数/预算安排数]×100%）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运转保障率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98</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按照财政部门要求，我单位统一安排部署相关人员组成绩效评价工作组，按照相关规范及时准确开展绩效自评工作，自评得分98分，自评质量较好。</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虽然我单位绩效管理取得了长足进步，但还存在个别工作人员绩效意识不强，工作中偏重任务完成，不注重提高项目绩效的问题。</w:t>
            </w:r>
          </w:p>
        </w:tc>
      </w:tr>
      <w:tr>
        <w:trPr>
          <w:trHeight w:val="15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 xml:space="preserve"> 2023年我单位将进一步加大绩效管理工作力度：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一是加大绩效</w:t>
            </w:r>
            <w:r>
              <w:rPr>
                <w:rFonts w:hint="eastAsia" w:ascii="宋体" w:hAnsi="宋体" w:cs="宋体"/>
                <w:color w:val="000000"/>
                <w:kern w:val="0"/>
                <w:sz w:val="20"/>
                <w:szCs w:val="20"/>
                <w:lang w:eastAsia="zh-CN" w:bidi="ar"/>
              </w:rPr>
              <w:t>宣教</w:t>
            </w:r>
            <w:r>
              <w:rPr>
                <w:rFonts w:hint="eastAsia" w:ascii="宋体" w:hAnsi="宋体" w:cs="宋体"/>
                <w:color w:val="000000"/>
                <w:kern w:val="0"/>
                <w:sz w:val="20"/>
                <w:szCs w:val="20"/>
                <w:lang w:bidi="ar"/>
              </w:rPr>
              <w:t>力度。积极向全体部门人员宣传预算绩效管理理念，强化预算绩效意识，培育绩效管理文化，为推进预算绩效管理创造良好的思想基础，提高预算单位绩效管理工作水平。</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二是进一步加大结果运用。建立绩效评价结果问责制度，落实经办人员的绩效责任。对项目绩效好的给予表彰和奖励，对项目绩效一般的要督促人员改进，对绩效管理较差的项目限期整改，追究经办人员责任。切实做到“花钱必问效，无效必追责”</w:t>
            </w:r>
            <w:r>
              <w:rPr>
                <w:rFonts w:hint="eastAsia" w:ascii="宋体" w:hAnsi="宋体" w:cs="宋体"/>
                <w:color w:val="000000"/>
                <w:kern w:val="0"/>
                <w:sz w:val="20"/>
                <w:szCs w:val="20"/>
                <w:lang w:eastAsia="zh-CN" w:bidi="ar"/>
              </w:rPr>
              <w:t>。</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51080022R000006844873-退休“中人”一次性退休补贴</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31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严格执行相关政策，保障工资及时发放、足额发放，预算编制科学合理，减少结余资金</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1名退休“中人”一次性退休补贴2.22万元，全年实现支出2.22万元，足额保障了1名退休“中人”一次性退休补贴补助支出，按时发放率100%，实现了预期目标。支出控制在预算金额之内；按时完成预算绩效运行监控，将绩效监控结果应用到预算调整，合理安排预算执行进度，提高资金使用绩效，2022年不涉及绩效监控调整取消额和结余注销额；6、9、11月达到要求的序时进度；预算完成率100%；年末无结转结余；2022年度未收到审计监督、财政检查反映单位上一年度部门预算管理不合规的情况，未发现部门预算管理方面违纪违规问题</w:t>
            </w:r>
          </w:p>
        </w:tc>
      </w:tr>
      <w:tr>
        <w:trPr>
          <w:trHeight w:val="11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2.22</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2.22</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科目调整次数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足额保障率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按时发放率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9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结余率（计算方法为：结余数/预算数）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按照财政部门要求，我单位统一安排部署相关人员组成绩效评价工作组，按照相关规范及时准确开展绩效自评工作，自评得分100分，自评质量较好。</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无</w:t>
            </w:r>
          </w:p>
        </w:tc>
      </w:tr>
      <w:tr>
        <w:trPr>
          <w:trHeight w:val="15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 xml:space="preserve"> 2023年我单位将进一步加大绩效管理工作力度：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一是加大绩效</w:t>
            </w:r>
            <w:r>
              <w:rPr>
                <w:rFonts w:hint="eastAsia" w:ascii="宋体" w:hAnsi="宋体" w:cs="宋体"/>
                <w:color w:val="000000"/>
                <w:kern w:val="0"/>
                <w:sz w:val="20"/>
                <w:szCs w:val="20"/>
                <w:lang w:eastAsia="zh-CN" w:bidi="ar"/>
              </w:rPr>
              <w:t>宣教</w:t>
            </w:r>
            <w:r>
              <w:rPr>
                <w:rFonts w:hint="eastAsia" w:ascii="宋体" w:hAnsi="宋体" w:cs="宋体"/>
                <w:color w:val="000000"/>
                <w:kern w:val="0"/>
                <w:sz w:val="20"/>
                <w:szCs w:val="20"/>
                <w:lang w:bidi="ar"/>
              </w:rPr>
              <w:t>力度。积极向全体部门人员宣传预算绩效管理理念，强化预算绩效意识，培育绩效管理文化，为推进预算绩效管理创造良好的思想基础，提高预算单位绩效管理工作水平。</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二是进一步加大结果运用。建立绩效评价结果问责制度，落实经办人员的绩效责任。对项目绩效好的给予表彰和奖励，对项目绩效一般的要督促人员改进，对绩效管理较差的项目限期整改，追究经办人员责任。切实做到“花钱必问效，无效必追责”</w:t>
            </w:r>
            <w:r>
              <w:rPr>
                <w:rFonts w:hint="eastAsia" w:ascii="宋体" w:hAnsi="宋体" w:cs="宋体"/>
                <w:color w:val="000000"/>
                <w:kern w:val="0"/>
                <w:sz w:val="20"/>
                <w:szCs w:val="20"/>
                <w:lang w:eastAsia="zh-CN" w:bidi="ar"/>
              </w:rPr>
              <w:t>。</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51080022T000004940913-巡视整改领导小组办公室工作</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2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负责统筹市本级和利州区、昭化区、朝天区省委巡视整改日常工作，加强工作调度，及时开展“回头看”。筹备召开巡视整改领导小组会议，研究巡视整改重点难点问题，定期向省委巡视工作领导小组报送工作报告。</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全部完成预期目标，均达到数量计划值，质量良好、按时完成、未超预算，无资金结余，无违规违纪情况。项目取得了良好的社会效益。筹备巡视整改领导小组会议1次；报送全市整改落实报告1次;完成整改问题达到95%；组织开明查暗访督查15次;全年开展专项督查1次;政治规矩意识提高;推动部门规范管理项目的实施促进了巡视督查问题的整改落实。</w:t>
            </w:r>
          </w:p>
        </w:tc>
      </w:tr>
      <w:tr>
        <w:trPr>
          <w:trHeight w:val="11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29.10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29.10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报送整改落实情况报告次数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组织开明查暗访督查次数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开展巡视整改专项督查次数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筹备巡视整改有关会议次数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问题整改率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完成时效</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推动部门规范管理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定性</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优</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优</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政治规矩意识提高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定性</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优</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优</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99</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项目管理良好，实施有序，绩效显著。均达到了预期目标。评价得分99分。</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无</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一是加强业务培训，进一步提高工作人员财政资金绩效意识；  二是进一步细化项目预算，严格控制各项费用，过紧日子；三是严格报销手续，督促工作人员规范填写报销凭证。</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51080022T000004940916-目标工作经费（含：督目领导小组办公室、综合评价工作</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36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负责对省委、省政府下达我市目标绩效任务的运行管理。负责对县（区）、广元经济技术开发区、市天然气综合利用工业园区和市级部门实施目标绩效管理，开展运行监控，牵头组织考评。统筹组织对县（区）、广元经济技术开发区、市天然气综合利用工业园区和市级部门有关工作进行综合测评和评价。</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全部完成预期目标，均达到数量计划值，质量良好、按时完成、未超预算，无资金结余，无违规违纪情况。项目取得了良好的社会效益，群众满意度高。完成全市7个县区、广元经开区、天然气综合利用工业园区和主要市级部门纳入2021年综合目标考评。全年开展目标运行分析3次</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组织开明查暗访督查15次</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筹备召开专项机制会议1次</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印发重点指标任务1次</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高质量筹备好督查领导小组会议，做好有关准备工作。2022年6月底下达2022年绩效指标，2022年10月底前印发目标考评细则，完成领导、群众对市级部门工作多维度评价，纳入2022年目标绩效考评。项目的实施进一步压实了各部门责任，促进了我市各项事业的快速高质量发展。</w:t>
            </w:r>
          </w:p>
        </w:tc>
      </w:tr>
      <w:tr>
        <w:trPr>
          <w:trHeight w:val="10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组织开明查暗访督查次数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开展目标运行调度次数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筹备召开专项机制会议</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印发重点指标任务次数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省下目标指标运行监控覆盖率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目标考评细则完成时间</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120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省下目标指标运行监控促进部门及县区争先创优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定性</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好</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好</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目标绩效考核覆盖率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项目管理良好，实施有序，绩效显著。均达到了预期目标。评价得分100分。</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无</w:t>
            </w:r>
          </w:p>
        </w:tc>
      </w:tr>
      <w:tr>
        <w:trPr>
          <w:trHeight w:val="9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51080022T000004940925-督查工作（含：民生、办理工作）</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2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围绕各级重大决策部署和重点工作深入基层一线开展实地督查，对市委、市政府领导批交办事项进行专项督查或督查调研。统筹2022年全市年度民生实事实施工作，制定方案，分解任务，定期调度。统筹做好2022年全市人大代表建议和政协提案办理工作的督办工作。</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全部完成预期目标，均达到数量计划值，质量良好、按时完成、未超预算，无资金结余，无违规违纪情况。项目取得了良好的社会效益，群众满意度高。组织开展实地督查15批次；完成《督查专报》20期，完成《督查通报》20期；完成催办市委主要领导督办交办件和市委常委会决定事项100件次。项目的实施促进各单位在2022年底前完成省下民生实事任务，人大代表建议、政协提案回复满意度达90%。</w:t>
            </w:r>
          </w:p>
        </w:tc>
      </w:tr>
      <w:tr>
        <w:trPr>
          <w:trHeight w:val="110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21.63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21.63</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21.63</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21.63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21.63</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21.63</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组织开明查暗访督查次数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督办交办件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印发通报期数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报送专报期数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省下民生实事完成率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完成时效</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督办省下民生项目实施率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9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服务对象满意度指标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人大代表建议、政协提案回复满意度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99</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项目管理良好，实施有序，绩效显著。均达到了预期目标。评价得分99分。</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无</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一是加强业务培训，进一步提高工作人员财政资金绩效意识；二是进一步细化项目预算，严格控制各项费用，过紧日子；三是严格报销手续，督促工作人员规范填写报销凭证。</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51080022T000004940948-基层减负专项机制办公室工作</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29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筹全市解决形式主义问题为基层减负工作，拟定年度整治工作清单，推动相关工作落实见效。筹备召开专项机制工作会议，研究解决贯彻落实过程中的存在的问题。负责向省委办公厅报送贯彻落实情况。</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全部完成预期目标，均达到数量计划值，质量良好、按时完成、未超预算，无资金结余，无违规违纪情况。项目取得了良好的社会效益。高质量召开专项机制会议，部署年度重点工作。筹备召开专项机制会议1次，深入基层一线开展督查3次，组织开明查暗访督查15次</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暗访减负工作落实情况，推动全市整治工作取得明显成效，季度调度减负工作落实情况，形成推进落实情况阶段报告2个</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汇总报省委办公厅。项目的实施为基层干部减负，让其腾出精力抓具体工作落实。</w:t>
            </w:r>
          </w:p>
        </w:tc>
      </w:tr>
      <w:tr>
        <w:trPr>
          <w:trHeight w:val="12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10.57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10.57</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10.57</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10.57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10.57</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10.57</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深入基层暗访督查次数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筹备召开专项机制会议</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形成推进落实情况阶段报告</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组织开明查暗访督查次数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督促整治覆盖率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完成时效</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整治形式主义突出问题成效</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定性</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优</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优</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督查清理覆盖率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99</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项目管理良好，实施有序，绩效显著。均达到了预期目标。评价得分99分。</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无</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一是加强业务培训，进一步提高工作人员财政资金绩效意识；二是进一步细化项目预算，严格控制各项费用，过紧日子；三是严格报销手续，督促工作人员规范填写报销凭证。</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51080022T000004940960-乡村振兴工作</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22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完成2022年乡村振兴目标任务</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全部完成预期目标，完成帮扶村乡村振兴计划任务，贫困户稳定脱贫，帮扶对象满意度90%以上，促进社会和谐稳定。完成值均达到数量计划值，质量良好、按时完成、未超预算，资金结余755元，主要原因是驻村人员年底未及时交付报销凭证，此笔费用已被财政收回。无违规违纪情况。项目的实施促进受帮扶村民稳定脱贫，满意度达90%。</w:t>
            </w:r>
          </w:p>
        </w:tc>
      </w:tr>
      <w:tr>
        <w:trPr>
          <w:trHeight w:val="13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3.64</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3.56</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97.93%</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3.64</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3.56</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97.93%</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nil"/>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振兴帮扶村数量</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驻村人员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7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完成2022年振兴目标任务</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完成时效</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财政核定标准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36400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35600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贫困户稳定脱贫</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定性</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高</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高</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促进社会和谐稳定</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定性</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高</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高</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帮扶对象满意度指标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帮扶对象满意度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99</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项目管理良好，实施有序，绩效显著。均达到了预期目标。评价得分99分。</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无</w:t>
            </w:r>
          </w:p>
        </w:tc>
      </w:tr>
      <w:tr>
        <w:trPr>
          <w:trHeight w:val="6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一是加强业务培训，进一步提高工作人员财政资金绩效意识；二是进一步细化项目预算，严格控制各项费用，过紧日子；三是严格报销手续，督促工作人员及时报销。</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51080022T000007073289-急需紧缺专业选调生安家补助</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30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严格执行相关政策，保障工资及时发放、足额发放，预算编制科学合理，减少结余资金</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1名急需紧缺专业选调生安家补助4万元，全年实现支出4万元，足额保障了1名急需紧缺专业选调生安家补助支出，按时发放率100%，实现了预期目标。支出控制在预算金额之内；按时完成预算绩效运行监控，将绩效监控结果应用到预算调整，合理安排预算执行进度，提高资金使用绩效，2022年不涉及绩效监控调整取消额和结余注销额；6、9、11月达到要求的序时进度；预算完成率100%；年末无结转结余；2022年度未收到审计监督、财政检查反映单位上一年度部门预算管理不合规的情况，未发现部门预算管理方面违纪违规问题）</w:t>
            </w:r>
          </w:p>
        </w:tc>
      </w:tr>
      <w:tr>
        <w:trPr>
          <w:trHeight w:val="11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科目调整次数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足额保障率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按时发放率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9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结余率（计算方法为：结余数/预算数）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按照财政部门要求，我单位统一安排部署相关人员组成绩效评价工作组，按照相关规范及时准确开展绩效自评工作，自评得分100分，自评质量较好。</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无</w:t>
            </w:r>
          </w:p>
        </w:tc>
      </w:tr>
      <w:tr>
        <w:trPr>
          <w:trHeight w:val="16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 xml:space="preserve"> 2023年我单位将进一步加大绩效管理工作力度：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一是加大绩效</w:t>
            </w:r>
            <w:r>
              <w:rPr>
                <w:rFonts w:hint="eastAsia" w:ascii="宋体" w:hAnsi="宋体" w:cs="宋体"/>
                <w:color w:val="000000"/>
                <w:kern w:val="0"/>
                <w:sz w:val="20"/>
                <w:szCs w:val="20"/>
                <w:lang w:eastAsia="zh-CN" w:bidi="ar"/>
              </w:rPr>
              <w:t>宣教</w:t>
            </w:r>
            <w:r>
              <w:rPr>
                <w:rFonts w:hint="eastAsia" w:ascii="宋体" w:hAnsi="宋体" w:cs="宋体"/>
                <w:color w:val="000000"/>
                <w:kern w:val="0"/>
                <w:sz w:val="20"/>
                <w:szCs w:val="20"/>
                <w:lang w:bidi="ar"/>
              </w:rPr>
              <w:t>力度。积极向全体部门人员宣传预算绩效管理理念，强化预算绩效意识，培育绩效管理文化，为推进预算绩效管理创造良好的思想基础，提高预算单位绩效管理工作水平。</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二是进一步加大结果运用。建立绩效评价结果问责制度，落实经办人员的绩效责任。对项目绩效好的给予表彰和奖励，对项目绩效一般的要督促人员改进，对绩效管理较差的项目限期整改，追究经办人员责任。切实做到“花钱必问效，无效必追责”</w:t>
            </w:r>
            <w:r>
              <w:rPr>
                <w:rFonts w:hint="eastAsia" w:ascii="宋体" w:hAnsi="宋体" w:cs="宋体"/>
                <w:color w:val="000000"/>
                <w:kern w:val="0"/>
                <w:sz w:val="20"/>
                <w:szCs w:val="20"/>
                <w:lang w:eastAsia="zh-CN" w:bidi="ar"/>
              </w:rPr>
              <w:t>。</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51080022Y000000267568-定额公用经费（事业）</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27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保障单位日常运转，提高预算编制质量，严格执行预算</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3.6万元，全年实现支出3.6万元。单位日常运转正常，运转保证率100%。实现了预期目标。支出控制在预算金额之内；按时完成预算绩效运行监控，将绩效监控结果应用到预算调整，合理安排预算执行进度，提高资金使用绩效，2022年不涉及绩效监控调整取消额和结余注销额；6、9、11月达到要求的序时进度；预算完成率100%；年末无结转结余；2022年度未收到审计监督、财政检查反映单位上一年度部门预算管理不合规的情况，未发现部门预算管理方面违纪违规问题。</w:t>
            </w:r>
          </w:p>
        </w:tc>
      </w:tr>
      <w:tr>
        <w:trPr>
          <w:trHeight w:val="11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科目调整次数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14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预算编制准确率（计算方法为：∣（执行数-预算数）/预算数∣）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19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“三公经费”控制率[计算方法为：（三公经费实际支出数/预算安排数]×100%）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运转保障率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98</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按照财政部门要求，我单位统一安排部署相关人员组成绩效评价工作组，按照相关规范及时准确开展绩效自评工作，自评得分98分，自评质量较好。</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虽然我单位绩效管理取得了长足进步，但还存在个别工作人员绩效意识不强，工作中偏重任务完成，不注重提高项目绩效的问题。</w:t>
            </w:r>
          </w:p>
        </w:tc>
      </w:tr>
      <w:tr>
        <w:trPr>
          <w:trHeight w:val="16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 xml:space="preserve"> 2023年我单位将进一步加大绩效管理工作力度：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一是加大绩效</w:t>
            </w:r>
            <w:r>
              <w:rPr>
                <w:rFonts w:hint="eastAsia" w:ascii="宋体" w:hAnsi="宋体" w:cs="宋体"/>
                <w:color w:val="000000"/>
                <w:kern w:val="0"/>
                <w:sz w:val="20"/>
                <w:szCs w:val="20"/>
                <w:lang w:eastAsia="zh-CN" w:bidi="ar"/>
              </w:rPr>
              <w:t>宣教</w:t>
            </w:r>
            <w:r>
              <w:rPr>
                <w:rFonts w:hint="eastAsia" w:ascii="宋体" w:hAnsi="宋体" w:cs="宋体"/>
                <w:color w:val="000000"/>
                <w:kern w:val="0"/>
                <w:sz w:val="20"/>
                <w:szCs w:val="20"/>
                <w:lang w:bidi="ar"/>
              </w:rPr>
              <w:t>力度。积极向全体部门人员宣传预算绩效管理理念，强化预算绩效意识，培育绩效管理文化，为推进预算绩效管理创造良好的思想基础，提高预算单位绩效管理工作水平。</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二是进一步加大结果运用。建立绩效评价结果问责制度，落实经办人员的绩效责任。对项目绩效好的给予表彰和奖励，对项目绩效一般的要督促人员改进，对绩效管理较差的项目限期整改，追究经办人员责任。切实做到“花钱必问效，无效必追责”</w:t>
            </w:r>
            <w:r>
              <w:rPr>
                <w:rFonts w:hint="eastAsia" w:ascii="宋体" w:hAnsi="宋体" w:cs="宋体"/>
                <w:color w:val="000000"/>
                <w:kern w:val="0"/>
                <w:sz w:val="20"/>
                <w:szCs w:val="20"/>
                <w:lang w:eastAsia="zh-CN" w:bidi="ar"/>
              </w:rPr>
              <w:t>。</w:t>
            </w:r>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r>
        <w:trPr>
          <w:trHeight w:val="240" w:hRule="atLeast"/>
        </w:trPr>
        <w:tc>
          <w:tcPr>
            <w:tcW w:w="68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3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85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765"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70"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109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506"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453" w:type="dxa"/>
            <w:tcBorders>
              <w:top w:val="nil"/>
              <w:left w:val="nil"/>
              <w:bottom w:val="nil"/>
              <w:right w:val="nil"/>
            </w:tcBorders>
            <w:shd w:val="clear" w:color="auto" w:fill="auto"/>
            <w:vAlign w:val="center"/>
          </w:tcPr>
          <w:p>
            <w:pPr>
              <w:rPr>
                <w:rFonts w:ascii="宋体" w:hAnsi="宋体" w:cs="宋体"/>
                <w:color w:val="000000"/>
                <w:sz w:val="20"/>
                <w:szCs w:val="20"/>
              </w:rPr>
            </w:pPr>
          </w:p>
        </w:tc>
        <w:tc>
          <w:tcPr>
            <w:tcW w:w="2293" w:type="dxa"/>
            <w:tcBorders>
              <w:top w:val="nil"/>
              <w:left w:val="nil"/>
              <w:bottom w:val="nil"/>
              <w:right w:val="nil"/>
            </w:tcBorders>
            <w:shd w:val="clear" w:color="auto" w:fill="auto"/>
            <w:vAlign w:val="center"/>
          </w:tcPr>
          <w:p>
            <w:pPr>
              <w:rPr>
                <w:rFonts w:ascii="宋体" w:hAnsi="宋体" w:cs="宋体"/>
                <w:color w:val="000000"/>
                <w:sz w:val="20"/>
                <w:szCs w:val="20"/>
              </w:rPr>
            </w:pPr>
          </w:p>
        </w:tc>
      </w:tr>
      <w:tr>
        <w:trPr>
          <w:trHeight w:val="240" w:hRule="atLeast"/>
        </w:trPr>
        <w:tc>
          <w:tcPr>
            <w:tcW w:w="67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部门预算项目支出绩效自评表（2022年度）</w:t>
            </w:r>
          </w:p>
        </w:tc>
      </w:tr>
      <w:tr>
        <w:trPr>
          <w:trHeight w:val="24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51080023R000007612345-规范后市级基础绩效奖及生活补助</w:t>
            </w:r>
          </w:p>
        </w:tc>
      </w:tr>
      <w:tr>
        <w:trPr>
          <w:trHeight w:val="480" w:hRule="atLeast"/>
        </w:trPr>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中国共产党广元市委员会办公室部门</w:t>
            </w:r>
          </w:p>
        </w:tc>
        <w:tc>
          <w:tcPr>
            <w:tcW w:w="1093" w:type="dxa"/>
            <w:tcBorders>
              <w:top w:val="nil"/>
              <w:left w:val="nil"/>
              <w:bottom w:val="nil"/>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 （盖章）</w:t>
            </w:r>
          </w:p>
        </w:tc>
        <w:tc>
          <w:tcPr>
            <w:tcW w:w="3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中共广元市委目标绩效管理办公室</w:t>
            </w:r>
          </w:p>
        </w:tc>
      </w:tr>
      <w:tr>
        <w:trPr>
          <w:trHeight w:val="24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项目基本情况</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1.项目年度目标完成情况</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项目年度目标</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年度目标完成情况</w:t>
            </w:r>
          </w:p>
        </w:tc>
      </w:tr>
      <w:tr>
        <w:trPr>
          <w:trHeight w:val="31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严格执行相关政策，保障工资及时发放、足额发放，预算编制科学合理，减少结余资金</w:t>
            </w:r>
          </w:p>
        </w:tc>
        <w:tc>
          <w:tcPr>
            <w:tcW w:w="4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13人基础绩效奖及生活补助12.5万元，全年实现支出10.57万元，足额保障了13人的基础绩效奖及生活补助支出，按时发放率100%，实现了预期目标。支出控制在预算金额之内；按时完成预算绩效运行监控，将绩效监控结果应用到预算调整，合理安排预算执行进度，提高资金使用绩效，2022年不涉及绩效监控调整取消额和结余注销额；6、9、11月达到要求的序时进度；预算完成率84.56%；年末无结转结余；2022年度未收到审计监督、财政检查反映单位上一年度部门预算管理不合规的情况，未发现部门预算管理方面违纪违规问题</w:t>
            </w:r>
          </w:p>
        </w:tc>
      </w:tr>
      <w:tr>
        <w:trPr>
          <w:trHeight w:val="11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2.项目实施内容及过程概述</w:t>
            </w:r>
          </w:p>
        </w:tc>
        <w:tc>
          <w:tcPr>
            <w:tcW w:w="48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我单位成立了项目领导小组负责项目统筹安排及管理，安排专人具体负责实施。严格执行相关法律法规及项目管理制度，管理有序，质量较高，取得了良好的效果。项目主要是工作经费，费用支出经过逐级审核，项目实施中纪检部门进行监管，按照单位内控控制制度实施监管，有力的促进了项目顺利实施，圆满完成，监管效果良好。</w:t>
            </w: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预算执行情况（10分）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年度预算数（万元）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调整后预算数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原因</w:t>
            </w: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12.50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10.57</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84.56%</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其中：财政资金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12.50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10.57</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84.56%</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财政专户管理资金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绩效指标（90分）</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指标性质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未完成原因分析</w:t>
            </w:r>
          </w:p>
        </w:tc>
      </w:tr>
      <w:tr>
        <w:trPr>
          <w:trHeight w:val="48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科目调整次数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足额保障率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按时发放率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9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结余率（计算方法为：结余数/预算数）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rPr>
          <w:trHeight w:val="240" w:hRule="atLeast"/>
        </w:trPr>
        <w:tc>
          <w:tcPr>
            <w:tcW w:w="47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98</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评价结论</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按照财政部门要求，我单位统一安排部署相关人员组成绩效评价工作组，按照相关规范及时准确开展绩效自评工作，自评得分98分，自评质量较好。</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存在问题</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虽然我单位绩效管理取得了长足进步，但还存在个别工作人员绩效意识不强，工作中偏重任务完成，不注重提高项目绩效的问题。</w:t>
            </w:r>
          </w:p>
        </w:tc>
      </w:tr>
      <w:tr>
        <w:trPr>
          <w:trHeight w:val="48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改进措施</w:t>
            </w:r>
          </w:p>
        </w:tc>
        <w:tc>
          <w:tcPr>
            <w:tcW w:w="61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 xml:space="preserve"> 2023年我单位将进一步加大绩效管理工作力度：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一是加大绩效</w:t>
            </w:r>
            <w:r>
              <w:rPr>
                <w:rFonts w:hint="eastAsia" w:ascii="宋体" w:hAnsi="宋体" w:cs="宋体"/>
                <w:color w:val="000000"/>
                <w:kern w:val="0"/>
                <w:sz w:val="20"/>
                <w:szCs w:val="20"/>
                <w:lang w:eastAsia="zh-CN" w:bidi="ar"/>
              </w:rPr>
              <w:t>宣教</w:t>
            </w:r>
            <w:r>
              <w:rPr>
                <w:rFonts w:hint="eastAsia" w:ascii="宋体" w:hAnsi="宋体" w:cs="宋体"/>
                <w:color w:val="000000"/>
                <w:kern w:val="0"/>
                <w:sz w:val="20"/>
                <w:szCs w:val="20"/>
                <w:lang w:bidi="ar"/>
              </w:rPr>
              <w:t>力度。积极向全体部门人员宣传预算绩效管理理念，强化预算绩效意识，培育绩效管理文化，为推进预算绩效管理创造良好的思想基础，提高预算单位绩效管理工作水平。</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二是进一步加大结果运用。建立绩效评价结果问责制度，落实经办人员的绩效责任。对项目绩效好的给予表彰和奖励，对项目绩效一般的要督促人员改进，对绩效管理较差的项目限期整改，追究经办人员责任。切实做到“花钱必问效，无效必追责”</w:t>
            </w:r>
            <w:r>
              <w:rPr>
                <w:rFonts w:hint="eastAsia" w:ascii="宋体" w:hAnsi="宋体" w:cs="宋体"/>
                <w:color w:val="000000"/>
                <w:kern w:val="0"/>
                <w:sz w:val="20"/>
                <w:szCs w:val="20"/>
                <w:lang w:eastAsia="zh-CN" w:bidi="ar"/>
              </w:rPr>
              <w:t>。</w:t>
            </w:r>
            <w:bookmarkStart w:id="104" w:name="_GoBack"/>
            <w:bookmarkEnd w:id="104"/>
          </w:p>
        </w:tc>
      </w:tr>
      <w:tr>
        <w:trPr>
          <w:trHeight w:val="240" w:hRule="atLeast"/>
        </w:trPr>
        <w:tc>
          <w:tcPr>
            <w:tcW w:w="41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项目负责人：</w:t>
            </w:r>
          </w:p>
        </w:tc>
        <w:tc>
          <w:tcPr>
            <w:tcW w:w="26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财务负责人：</w:t>
            </w:r>
          </w:p>
        </w:tc>
      </w:tr>
    </w:tbl>
    <w:p>
      <w:pPr>
        <w:spacing w:line="600" w:lineRule="exact"/>
        <w:jc w:val="left"/>
        <w:outlineLvl w:val="0"/>
        <w:rPr>
          <w:rFonts w:ascii="仿宋_GB2312" w:hAnsi="Calibri" w:eastAsia="仿宋_GB2312" w:cs="仿宋"/>
          <w:kern w:val="0"/>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spacing w:line="600" w:lineRule="exact"/>
        <w:jc w:val="center"/>
        <w:outlineLvl w:val="0"/>
        <w:rPr>
          <w:rFonts w:hint="eastAsia" w:ascii="黑体" w:hAnsi="黑体" w:eastAsia="黑体"/>
          <w:sz w:val="44"/>
          <w:szCs w:val="44"/>
        </w:rPr>
      </w:pPr>
      <w:bookmarkStart w:id="77" w:name="_Toc145959644"/>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16"/>
          <w:rFonts w:hint="eastAsia" w:ascii="黑体" w:hAnsi="黑体" w:eastAsia="黑体"/>
          <w:b w:val="0"/>
        </w:rPr>
        <w:t>五部分 附表</w:t>
      </w:r>
      <w:bookmarkEnd w:id="74"/>
      <w:bookmarkEnd w:id="76"/>
      <w:bookmarkEnd w:id="77"/>
      <w:bookmarkStart w:id="78" w:name="_Toc15396619"/>
    </w:p>
    <w:p>
      <w:pPr>
        <w:pStyle w:val="4"/>
        <w:rPr>
          <w:rFonts w:asciiTheme="minorEastAsia" w:hAnsiTheme="minorEastAsia" w:eastAsiaTheme="minorEastAsia" w:cstheme="minorEastAsia"/>
          <w:sz w:val="24"/>
          <w:szCs w:val="24"/>
        </w:rPr>
      </w:pPr>
      <w:bookmarkStart w:id="79" w:name="_Toc145959645"/>
      <w:r>
        <w:rPr>
          <w:rFonts w:hint="eastAsia" w:asciiTheme="minorEastAsia" w:hAnsiTheme="minorEastAsia" w:eastAsiaTheme="minorEastAsia" w:cstheme="minorEastAsia"/>
          <w:b w:val="0"/>
          <w:sz w:val="24"/>
          <w:szCs w:val="24"/>
        </w:rPr>
        <w:t>一、收</w:t>
      </w:r>
      <w:r>
        <w:rPr>
          <w:rStyle w:val="17"/>
          <w:rFonts w:hint="eastAsia" w:asciiTheme="minorEastAsia" w:hAnsiTheme="minorEastAsia" w:eastAsiaTheme="minorEastAsia" w:cstheme="minorEastAsia"/>
          <w:b w:val="0"/>
          <w:bCs w:val="0"/>
          <w:sz w:val="24"/>
          <w:szCs w:val="24"/>
        </w:rPr>
        <w:t>入支出决算总表</w:t>
      </w:r>
      <w:bookmarkEnd w:id="78"/>
      <w:bookmarkEnd w:id="79"/>
    </w:p>
    <w:p>
      <w:pPr>
        <w:pStyle w:val="4"/>
        <w:rPr>
          <w:rFonts w:asciiTheme="minorEastAsia" w:hAnsiTheme="minorEastAsia" w:eastAsiaTheme="minorEastAsia" w:cstheme="minorEastAsia"/>
          <w:sz w:val="24"/>
          <w:szCs w:val="24"/>
        </w:rPr>
      </w:pPr>
      <w:bookmarkStart w:id="80" w:name="_Toc145959646"/>
      <w:bookmarkStart w:id="81" w:name="_Toc15396620"/>
      <w:r>
        <w:rPr>
          <w:rFonts w:hint="eastAsia" w:asciiTheme="minorEastAsia" w:hAnsiTheme="minorEastAsia" w:eastAsiaTheme="minorEastAsia" w:cstheme="minorEastAsia"/>
          <w:b w:val="0"/>
          <w:sz w:val="24"/>
          <w:szCs w:val="24"/>
        </w:rPr>
        <w:t>二、收</w:t>
      </w:r>
      <w:r>
        <w:rPr>
          <w:rStyle w:val="17"/>
          <w:rFonts w:hint="eastAsia" w:asciiTheme="minorEastAsia" w:hAnsiTheme="minorEastAsia" w:eastAsiaTheme="minorEastAsia" w:cstheme="minorEastAsia"/>
          <w:b w:val="0"/>
          <w:bCs w:val="0"/>
          <w:sz w:val="24"/>
          <w:szCs w:val="24"/>
        </w:rPr>
        <w:t>入决算表</w:t>
      </w:r>
      <w:bookmarkEnd w:id="80"/>
      <w:bookmarkEnd w:id="81"/>
    </w:p>
    <w:p>
      <w:pPr>
        <w:pStyle w:val="4"/>
        <w:rPr>
          <w:rFonts w:asciiTheme="minorEastAsia" w:hAnsiTheme="minorEastAsia" w:eastAsiaTheme="minorEastAsia" w:cstheme="minorEastAsia"/>
          <w:sz w:val="24"/>
          <w:szCs w:val="24"/>
        </w:rPr>
      </w:pPr>
      <w:bookmarkStart w:id="82" w:name="_Toc15396621"/>
      <w:bookmarkStart w:id="83" w:name="_Toc145959647"/>
      <w:r>
        <w:rPr>
          <w:rStyle w:val="17"/>
          <w:rFonts w:hint="eastAsia" w:asciiTheme="minorEastAsia" w:hAnsiTheme="minorEastAsia" w:eastAsiaTheme="minorEastAsia" w:cstheme="minorEastAsia"/>
          <w:b w:val="0"/>
          <w:bCs w:val="0"/>
          <w:sz w:val="24"/>
          <w:szCs w:val="24"/>
        </w:rPr>
        <w:t>三、</w:t>
      </w:r>
      <w:r>
        <w:rPr>
          <w:rFonts w:hint="eastAsia" w:asciiTheme="minorEastAsia" w:hAnsiTheme="minorEastAsia" w:eastAsiaTheme="minorEastAsia" w:cstheme="minorEastAsia"/>
          <w:b w:val="0"/>
          <w:sz w:val="24"/>
          <w:szCs w:val="24"/>
        </w:rPr>
        <w:t>支</w:t>
      </w:r>
      <w:r>
        <w:rPr>
          <w:rStyle w:val="17"/>
          <w:rFonts w:hint="eastAsia" w:asciiTheme="minorEastAsia" w:hAnsiTheme="minorEastAsia" w:eastAsiaTheme="minorEastAsia" w:cstheme="minorEastAsia"/>
          <w:b w:val="0"/>
          <w:bCs w:val="0"/>
          <w:sz w:val="24"/>
          <w:szCs w:val="24"/>
        </w:rPr>
        <w:t>出决算表</w:t>
      </w:r>
      <w:bookmarkEnd w:id="82"/>
      <w:bookmarkEnd w:id="83"/>
    </w:p>
    <w:p>
      <w:pPr>
        <w:pStyle w:val="4"/>
        <w:rPr>
          <w:rFonts w:asciiTheme="minorEastAsia" w:hAnsiTheme="minorEastAsia" w:eastAsiaTheme="minorEastAsia" w:cstheme="minorEastAsia"/>
          <w:b w:val="0"/>
          <w:sz w:val="24"/>
          <w:szCs w:val="24"/>
        </w:rPr>
      </w:pPr>
      <w:bookmarkStart w:id="84" w:name="_Toc15396622"/>
      <w:bookmarkStart w:id="85" w:name="_Toc145959648"/>
      <w:r>
        <w:rPr>
          <w:rStyle w:val="17"/>
          <w:rFonts w:hint="eastAsia" w:asciiTheme="minorEastAsia" w:hAnsiTheme="minorEastAsia" w:eastAsiaTheme="minorEastAsia" w:cstheme="minorEastAsia"/>
          <w:b w:val="0"/>
          <w:bCs w:val="0"/>
          <w:sz w:val="24"/>
          <w:szCs w:val="24"/>
        </w:rPr>
        <w:t>四、</w:t>
      </w:r>
      <w:r>
        <w:rPr>
          <w:rFonts w:hint="eastAsia" w:asciiTheme="minorEastAsia" w:hAnsiTheme="minorEastAsia" w:eastAsiaTheme="minorEastAsia" w:cstheme="minorEastAsia"/>
          <w:b w:val="0"/>
          <w:sz w:val="24"/>
          <w:szCs w:val="24"/>
        </w:rPr>
        <w:t>财</w:t>
      </w:r>
      <w:r>
        <w:rPr>
          <w:rStyle w:val="17"/>
          <w:rFonts w:hint="eastAsia" w:asciiTheme="minorEastAsia" w:hAnsiTheme="minorEastAsia" w:eastAsiaTheme="minorEastAsia" w:cstheme="minorEastAsia"/>
          <w:b w:val="0"/>
          <w:bCs w:val="0"/>
          <w:sz w:val="24"/>
          <w:szCs w:val="24"/>
        </w:rPr>
        <w:t>政拨款收入支出决算总表</w:t>
      </w:r>
      <w:bookmarkEnd w:id="84"/>
      <w:bookmarkEnd w:id="85"/>
    </w:p>
    <w:p>
      <w:pPr>
        <w:pStyle w:val="4"/>
        <w:rPr>
          <w:rStyle w:val="17"/>
          <w:rFonts w:asciiTheme="minorEastAsia" w:hAnsiTheme="minorEastAsia" w:eastAsiaTheme="minorEastAsia" w:cstheme="minorEastAsia"/>
          <w:b w:val="0"/>
          <w:bCs w:val="0"/>
          <w:sz w:val="24"/>
          <w:szCs w:val="24"/>
        </w:rPr>
      </w:pPr>
      <w:bookmarkStart w:id="86" w:name="_Toc15396623"/>
      <w:bookmarkStart w:id="87" w:name="_Toc145959649"/>
      <w:r>
        <w:rPr>
          <w:rStyle w:val="17"/>
          <w:rFonts w:hint="eastAsia" w:asciiTheme="minorEastAsia" w:hAnsiTheme="minorEastAsia" w:eastAsiaTheme="minorEastAsia" w:cstheme="minorEastAsia"/>
          <w:b w:val="0"/>
          <w:bCs w:val="0"/>
          <w:sz w:val="24"/>
          <w:szCs w:val="24"/>
        </w:rPr>
        <w:t>五、</w:t>
      </w:r>
      <w:r>
        <w:rPr>
          <w:rFonts w:hint="eastAsia" w:asciiTheme="minorEastAsia" w:hAnsiTheme="minorEastAsia" w:eastAsiaTheme="minorEastAsia" w:cstheme="minorEastAsia"/>
          <w:b w:val="0"/>
          <w:sz w:val="24"/>
          <w:szCs w:val="24"/>
        </w:rPr>
        <w:t>财</w:t>
      </w:r>
      <w:r>
        <w:rPr>
          <w:rStyle w:val="17"/>
          <w:rFonts w:hint="eastAsia" w:asciiTheme="minorEastAsia" w:hAnsiTheme="minorEastAsia" w:eastAsiaTheme="minorEastAsia" w:cstheme="minorEastAsia"/>
          <w:b w:val="0"/>
          <w:bCs w:val="0"/>
          <w:sz w:val="24"/>
          <w:szCs w:val="24"/>
        </w:rPr>
        <w:t>政拨款支出决算明细表</w:t>
      </w:r>
      <w:bookmarkEnd w:id="86"/>
      <w:bookmarkEnd w:id="87"/>
      <w:bookmarkStart w:id="88" w:name="_Toc15396624"/>
    </w:p>
    <w:p>
      <w:pPr>
        <w:pStyle w:val="4"/>
        <w:rPr>
          <w:rFonts w:asciiTheme="minorEastAsia" w:hAnsiTheme="minorEastAsia" w:eastAsiaTheme="minorEastAsia" w:cstheme="minorEastAsia"/>
          <w:sz w:val="24"/>
          <w:szCs w:val="24"/>
        </w:rPr>
      </w:pPr>
      <w:bookmarkStart w:id="89" w:name="_Toc145959650"/>
      <w:r>
        <w:rPr>
          <w:rStyle w:val="17"/>
          <w:rFonts w:hint="eastAsia" w:asciiTheme="minorEastAsia" w:hAnsiTheme="minorEastAsia" w:eastAsiaTheme="minorEastAsia" w:cstheme="minorEastAsia"/>
          <w:b w:val="0"/>
          <w:bCs w:val="0"/>
          <w:sz w:val="24"/>
          <w:szCs w:val="24"/>
        </w:rPr>
        <w:t>六、</w:t>
      </w:r>
      <w:r>
        <w:rPr>
          <w:rFonts w:hint="eastAsia" w:asciiTheme="minorEastAsia" w:hAnsiTheme="minorEastAsia" w:eastAsiaTheme="minorEastAsia" w:cstheme="minorEastAsia"/>
          <w:b w:val="0"/>
          <w:sz w:val="24"/>
          <w:szCs w:val="24"/>
        </w:rPr>
        <w:t>一</w:t>
      </w:r>
      <w:r>
        <w:rPr>
          <w:rStyle w:val="17"/>
          <w:rFonts w:hint="eastAsia" w:asciiTheme="minorEastAsia" w:hAnsiTheme="minorEastAsia" w:eastAsiaTheme="minorEastAsia" w:cstheme="minorEastAsia"/>
          <w:b w:val="0"/>
          <w:bCs w:val="0"/>
          <w:sz w:val="24"/>
          <w:szCs w:val="24"/>
        </w:rPr>
        <w:t>般公共预算财政拨款支出决算表</w:t>
      </w:r>
      <w:bookmarkEnd w:id="88"/>
      <w:bookmarkEnd w:id="89"/>
    </w:p>
    <w:p>
      <w:pPr>
        <w:pStyle w:val="4"/>
        <w:rPr>
          <w:rFonts w:asciiTheme="minorEastAsia" w:hAnsiTheme="minorEastAsia" w:eastAsiaTheme="minorEastAsia" w:cstheme="minorEastAsia"/>
          <w:sz w:val="24"/>
          <w:szCs w:val="24"/>
        </w:rPr>
      </w:pPr>
      <w:bookmarkStart w:id="90" w:name="_Toc145959651"/>
      <w:bookmarkStart w:id="91" w:name="_Toc15396625"/>
      <w:r>
        <w:rPr>
          <w:rStyle w:val="17"/>
          <w:rFonts w:hint="eastAsia" w:asciiTheme="minorEastAsia" w:hAnsiTheme="minorEastAsia" w:eastAsiaTheme="minorEastAsia" w:cstheme="minorEastAsia"/>
          <w:b w:val="0"/>
          <w:bCs w:val="0"/>
          <w:sz w:val="24"/>
          <w:szCs w:val="24"/>
        </w:rPr>
        <w:t>七、</w:t>
      </w:r>
      <w:r>
        <w:rPr>
          <w:rFonts w:hint="eastAsia" w:asciiTheme="minorEastAsia" w:hAnsiTheme="minorEastAsia" w:eastAsiaTheme="minorEastAsia" w:cstheme="minorEastAsia"/>
          <w:b w:val="0"/>
          <w:sz w:val="24"/>
          <w:szCs w:val="24"/>
        </w:rPr>
        <w:t>一</w:t>
      </w:r>
      <w:r>
        <w:rPr>
          <w:rStyle w:val="17"/>
          <w:rFonts w:hint="eastAsia" w:asciiTheme="minorEastAsia" w:hAnsiTheme="minorEastAsia" w:eastAsiaTheme="minorEastAsia" w:cstheme="minorEastAsia"/>
          <w:b w:val="0"/>
          <w:bCs w:val="0"/>
          <w:sz w:val="24"/>
          <w:szCs w:val="24"/>
        </w:rPr>
        <w:t>般公共预算财政拨款支出决算明细表</w:t>
      </w:r>
      <w:bookmarkEnd w:id="90"/>
      <w:bookmarkEnd w:id="91"/>
    </w:p>
    <w:p>
      <w:pPr>
        <w:pStyle w:val="4"/>
        <w:rPr>
          <w:rFonts w:asciiTheme="minorEastAsia" w:hAnsiTheme="minorEastAsia" w:eastAsiaTheme="minorEastAsia" w:cstheme="minorEastAsia"/>
          <w:sz w:val="24"/>
          <w:szCs w:val="24"/>
        </w:rPr>
      </w:pPr>
      <w:bookmarkStart w:id="92" w:name="_Toc145959652"/>
      <w:bookmarkStart w:id="93" w:name="_Toc15396626"/>
      <w:r>
        <w:rPr>
          <w:rStyle w:val="17"/>
          <w:rFonts w:hint="eastAsia" w:asciiTheme="minorEastAsia" w:hAnsiTheme="minorEastAsia" w:eastAsiaTheme="minorEastAsia" w:cstheme="minorEastAsia"/>
          <w:b w:val="0"/>
          <w:bCs w:val="0"/>
          <w:sz w:val="24"/>
          <w:szCs w:val="24"/>
        </w:rPr>
        <w:t>八、</w:t>
      </w:r>
      <w:r>
        <w:rPr>
          <w:rFonts w:hint="eastAsia" w:asciiTheme="minorEastAsia" w:hAnsiTheme="minorEastAsia" w:eastAsiaTheme="minorEastAsia" w:cstheme="minorEastAsia"/>
          <w:b w:val="0"/>
          <w:sz w:val="24"/>
          <w:szCs w:val="24"/>
        </w:rPr>
        <w:t>一</w:t>
      </w:r>
      <w:r>
        <w:rPr>
          <w:rStyle w:val="17"/>
          <w:rFonts w:hint="eastAsia" w:asciiTheme="minorEastAsia" w:hAnsiTheme="minorEastAsia" w:eastAsiaTheme="minorEastAsia" w:cstheme="minorEastAsia"/>
          <w:b w:val="0"/>
          <w:bCs w:val="0"/>
          <w:sz w:val="24"/>
          <w:szCs w:val="24"/>
        </w:rPr>
        <w:t>般公共预算财政拨款基本支出决算表</w:t>
      </w:r>
      <w:bookmarkEnd w:id="92"/>
      <w:bookmarkEnd w:id="93"/>
    </w:p>
    <w:p>
      <w:pPr>
        <w:pStyle w:val="4"/>
        <w:rPr>
          <w:rFonts w:asciiTheme="minorEastAsia" w:hAnsiTheme="minorEastAsia" w:eastAsiaTheme="minorEastAsia" w:cstheme="minorEastAsia"/>
          <w:sz w:val="24"/>
          <w:szCs w:val="24"/>
        </w:rPr>
      </w:pPr>
      <w:bookmarkStart w:id="94" w:name="_Toc15396627"/>
      <w:bookmarkStart w:id="95" w:name="_Toc145959653"/>
      <w:r>
        <w:rPr>
          <w:rStyle w:val="17"/>
          <w:rFonts w:hint="eastAsia" w:asciiTheme="minorEastAsia" w:hAnsiTheme="minorEastAsia" w:eastAsiaTheme="minorEastAsia" w:cstheme="minorEastAsia"/>
          <w:b w:val="0"/>
          <w:bCs w:val="0"/>
          <w:sz w:val="24"/>
          <w:szCs w:val="24"/>
        </w:rPr>
        <w:t>九、</w:t>
      </w:r>
      <w:r>
        <w:rPr>
          <w:rFonts w:hint="eastAsia" w:asciiTheme="minorEastAsia" w:hAnsiTheme="minorEastAsia" w:eastAsiaTheme="minorEastAsia" w:cstheme="minorEastAsia"/>
          <w:b w:val="0"/>
          <w:sz w:val="24"/>
          <w:szCs w:val="24"/>
        </w:rPr>
        <w:t>一</w:t>
      </w:r>
      <w:r>
        <w:rPr>
          <w:rStyle w:val="17"/>
          <w:rFonts w:hint="eastAsia" w:asciiTheme="minorEastAsia" w:hAnsiTheme="minorEastAsia" w:eastAsiaTheme="minorEastAsia" w:cstheme="minorEastAsia"/>
          <w:b w:val="0"/>
          <w:bCs w:val="0"/>
          <w:sz w:val="24"/>
          <w:szCs w:val="24"/>
        </w:rPr>
        <w:t>般公共预算财政拨款项目支出决算表</w:t>
      </w:r>
      <w:bookmarkEnd w:id="94"/>
      <w:bookmarkEnd w:id="95"/>
    </w:p>
    <w:p>
      <w:pPr>
        <w:pStyle w:val="4"/>
        <w:rPr>
          <w:rFonts w:asciiTheme="minorEastAsia" w:hAnsiTheme="minorEastAsia" w:eastAsiaTheme="minorEastAsia" w:cstheme="minorEastAsia"/>
          <w:sz w:val="24"/>
          <w:szCs w:val="24"/>
        </w:rPr>
      </w:pPr>
      <w:bookmarkStart w:id="96" w:name="_Toc15396628"/>
      <w:bookmarkStart w:id="97" w:name="_Toc145959654"/>
      <w:r>
        <w:rPr>
          <w:rStyle w:val="17"/>
          <w:rFonts w:hint="eastAsia" w:asciiTheme="minorEastAsia" w:hAnsiTheme="minorEastAsia" w:eastAsiaTheme="minorEastAsia" w:cstheme="minorEastAsia"/>
          <w:b w:val="0"/>
          <w:bCs w:val="0"/>
          <w:sz w:val="24"/>
          <w:szCs w:val="24"/>
        </w:rPr>
        <w:t>十、</w:t>
      </w:r>
      <w:bookmarkEnd w:id="96"/>
      <w:r>
        <w:rPr>
          <w:rFonts w:hint="eastAsia" w:asciiTheme="minorEastAsia" w:hAnsiTheme="minorEastAsia" w:eastAsiaTheme="minorEastAsia" w:cstheme="minorEastAsia"/>
          <w:b w:val="0"/>
          <w:sz w:val="24"/>
          <w:szCs w:val="24"/>
        </w:rPr>
        <w:t>政</w:t>
      </w:r>
      <w:r>
        <w:rPr>
          <w:rStyle w:val="17"/>
          <w:rFonts w:hint="eastAsia" w:asciiTheme="minorEastAsia" w:hAnsiTheme="minorEastAsia" w:eastAsiaTheme="minorEastAsia" w:cstheme="minorEastAsia"/>
          <w:b w:val="0"/>
          <w:bCs w:val="0"/>
          <w:sz w:val="24"/>
          <w:szCs w:val="24"/>
        </w:rPr>
        <w:t>府性基金预算财政拨款收入支出决算表</w:t>
      </w:r>
      <w:bookmarkEnd w:id="97"/>
    </w:p>
    <w:p>
      <w:pPr>
        <w:pStyle w:val="4"/>
        <w:rPr>
          <w:rFonts w:asciiTheme="minorEastAsia" w:hAnsiTheme="minorEastAsia" w:eastAsiaTheme="minorEastAsia" w:cstheme="minorEastAsia"/>
          <w:sz w:val="24"/>
          <w:szCs w:val="24"/>
        </w:rPr>
      </w:pPr>
      <w:bookmarkStart w:id="98" w:name="_Toc15396629"/>
      <w:bookmarkStart w:id="99" w:name="_Toc145959655"/>
      <w:r>
        <w:rPr>
          <w:rStyle w:val="17"/>
          <w:rFonts w:hint="eastAsia" w:asciiTheme="minorEastAsia" w:hAnsiTheme="minorEastAsia" w:eastAsiaTheme="minorEastAsia" w:cstheme="minorEastAsia"/>
          <w:b w:val="0"/>
          <w:bCs w:val="0"/>
          <w:sz w:val="24"/>
          <w:szCs w:val="24"/>
        </w:rPr>
        <w:t>十一、</w:t>
      </w:r>
      <w:bookmarkEnd w:id="98"/>
      <w:r>
        <w:rPr>
          <w:rFonts w:hint="eastAsia" w:asciiTheme="minorEastAsia" w:hAnsiTheme="minorEastAsia" w:eastAsiaTheme="minorEastAsia" w:cstheme="minorEastAsia"/>
          <w:b w:val="0"/>
          <w:sz w:val="24"/>
          <w:szCs w:val="24"/>
        </w:rPr>
        <w:t>国</w:t>
      </w:r>
      <w:r>
        <w:rPr>
          <w:rStyle w:val="17"/>
          <w:rFonts w:hint="eastAsia" w:asciiTheme="minorEastAsia" w:hAnsiTheme="minorEastAsia" w:eastAsiaTheme="minorEastAsia" w:cstheme="minorEastAsia"/>
          <w:b w:val="0"/>
          <w:bCs w:val="0"/>
          <w:sz w:val="24"/>
          <w:szCs w:val="24"/>
        </w:rPr>
        <w:t>有资本经营预算财政拨款收入支出决算表</w:t>
      </w:r>
      <w:bookmarkEnd w:id="99"/>
    </w:p>
    <w:p>
      <w:pPr>
        <w:pStyle w:val="4"/>
        <w:rPr>
          <w:rFonts w:asciiTheme="minorEastAsia" w:hAnsiTheme="minorEastAsia" w:eastAsiaTheme="minorEastAsia" w:cstheme="minorEastAsia"/>
          <w:sz w:val="24"/>
          <w:szCs w:val="24"/>
        </w:rPr>
      </w:pPr>
      <w:bookmarkStart w:id="100" w:name="_Toc15396630"/>
      <w:bookmarkStart w:id="101" w:name="_Toc145959656"/>
      <w:r>
        <w:rPr>
          <w:rStyle w:val="17"/>
          <w:rFonts w:hint="eastAsia" w:asciiTheme="minorEastAsia" w:hAnsiTheme="minorEastAsia" w:eastAsiaTheme="minorEastAsia" w:cstheme="minorEastAsia"/>
          <w:b w:val="0"/>
          <w:bCs w:val="0"/>
          <w:sz w:val="24"/>
          <w:szCs w:val="24"/>
        </w:rPr>
        <w:t>十二、</w:t>
      </w:r>
      <w:bookmarkEnd w:id="100"/>
      <w:r>
        <w:rPr>
          <w:rStyle w:val="17"/>
          <w:rFonts w:hint="eastAsia" w:asciiTheme="minorEastAsia" w:hAnsiTheme="minorEastAsia" w:eastAsiaTheme="minorEastAsia" w:cstheme="minorEastAsia"/>
          <w:b w:val="0"/>
          <w:bCs w:val="0"/>
          <w:sz w:val="24"/>
          <w:szCs w:val="24"/>
        </w:rPr>
        <w:t>国有资本经营预算财政拨款支出决算表</w:t>
      </w:r>
      <w:bookmarkEnd w:id="101"/>
    </w:p>
    <w:p>
      <w:pPr>
        <w:pStyle w:val="4"/>
        <w:rPr>
          <w:rFonts w:asciiTheme="minorEastAsia" w:hAnsiTheme="minorEastAsia" w:eastAsiaTheme="minorEastAsia" w:cstheme="minorEastAsia"/>
          <w:sz w:val="24"/>
          <w:szCs w:val="24"/>
        </w:rPr>
      </w:pPr>
      <w:bookmarkStart w:id="102" w:name="_Toc15396631"/>
      <w:bookmarkStart w:id="103" w:name="_Toc145959657"/>
      <w:r>
        <w:rPr>
          <w:rStyle w:val="17"/>
          <w:rFonts w:hint="eastAsia" w:asciiTheme="minorEastAsia" w:hAnsiTheme="minorEastAsia" w:eastAsiaTheme="minorEastAsia" w:cstheme="minorEastAsia"/>
          <w:b w:val="0"/>
          <w:bCs w:val="0"/>
          <w:sz w:val="24"/>
          <w:szCs w:val="24"/>
        </w:rPr>
        <w:t>十三、</w:t>
      </w:r>
      <w:bookmarkEnd w:id="102"/>
      <w:r>
        <w:rPr>
          <w:rStyle w:val="17"/>
          <w:rFonts w:hint="eastAsia" w:asciiTheme="minorEastAsia" w:hAnsiTheme="minorEastAsia" w:eastAsiaTheme="minorEastAsia" w:cstheme="minorEastAsia"/>
          <w:b w:val="0"/>
          <w:bCs w:val="0"/>
          <w:sz w:val="24"/>
          <w:szCs w:val="24"/>
        </w:rPr>
        <w:t>财政拨款“三公”经费支出决算表</w:t>
      </w:r>
      <w:bookmarkEnd w:id="103"/>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6F3C3E7"/>
    <w:multiLevelType w:val="singleLevel"/>
    <w:tmpl w:val="D6F3C3E7"/>
    <w:lvl w:ilvl="0" w:tentative="0">
      <w:start w:val="1"/>
      <w:numFmt w:val="decimal"/>
      <w:suff w:val="nothing"/>
      <w:lvlText w:val="%1．"/>
      <w:lvlJc w:val="left"/>
      <w:pPr>
        <w:ind w:left="0" w:firstLine="400"/>
      </w:pPr>
      <w:rPr>
        <w:rFonts w:hint="default" w:ascii="Times New Roman" w:hAnsi="Times New Roman" w:cs="Times New Roman"/>
        <w:sz w:val="28"/>
        <w:szCs w:val="28"/>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3NGY4YjFlODJmODUzZTBkM2YwMzgwZTQzN2FlNjYifQ=="/>
  </w:docVars>
  <w:rsids>
    <w:rsidRoot w:val="00F1361C"/>
    <w:rsid w:val="00016FB5"/>
    <w:rsid w:val="000222C6"/>
    <w:rsid w:val="0002549F"/>
    <w:rsid w:val="00025FE5"/>
    <w:rsid w:val="000468DB"/>
    <w:rsid w:val="00053962"/>
    <w:rsid w:val="0006487A"/>
    <w:rsid w:val="00065F8F"/>
    <w:rsid w:val="00070A43"/>
    <w:rsid w:val="000768F2"/>
    <w:rsid w:val="0009184B"/>
    <w:rsid w:val="0009262D"/>
    <w:rsid w:val="00094236"/>
    <w:rsid w:val="0009593C"/>
    <w:rsid w:val="00097322"/>
    <w:rsid w:val="000A6A92"/>
    <w:rsid w:val="000B047F"/>
    <w:rsid w:val="000B5923"/>
    <w:rsid w:val="000B5A48"/>
    <w:rsid w:val="000B6FF3"/>
    <w:rsid w:val="000C3467"/>
    <w:rsid w:val="000C3CA6"/>
    <w:rsid w:val="000C7600"/>
    <w:rsid w:val="000D1267"/>
    <w:rsid w:val="000D1D50"/>
    <w:rsid w:val="000D5782"/>
    <w:rsid w:val="000E5E40"/>
    <w:rsid w:val="000E6613"/>
    <w:rsid w:val="000E7119"/>
    <w:rsid w:val="0010049E"/>
    <w:rsid w:val="001023B0"/>
    <w:rsid w:val="00114E9B"/>
    <w:rsid w:val="00142216"/>
    <w:rsid w:val="00144D6A"/>
    <w:rsid w:val="0014729F"/>
    <w:rsid w:val="00157BAB"/>
    <w:rsid w:val="001654D1"/>
    <w:rsid w:val="00174518"/>
    <w:rsid w:val="0018106D"/>
    <w:rsid w:val="001877A7"/>
    <w:rsid w:val="00191536"/>
    <w:rsid w:val="00196687"/>
    <w:rsid w:val="001B7793"/>
    <w:rsid w:val="001C0962"/>
    <w:rsid w:val="001C687E"/>
    <w:rsid w:val="001D7531"/>
    <w:rsid w:val="001E523D"/>
    <w:rsid w:val="001E634F"/>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758B8"/>
    <w:rsid w:val="00280496"/>
    <w:rsid w:val="00281A69"/>
    <w:rsid w:val="00294DC9"/>
    <w:rsid w:val="00295495"/>
    <w:rsid w:val="002A31DE"/>
    <w:rsid w:val="002A7995"/>
    <w:rsid w:val="002B2613"/>
    <w:rsid w:val="002B68ED"/>
    <w:rsid w:val="002D6D05"/>
    <w:rsid w:val="002F1818"/>
    <w:rsid w:val="002F567B"/>
    <w:rsid w:val="00300967"/>
    <w:rsid w:val="003216A9"/>
    <w:rsid w:val="00323229"/>
    <w:rsid w:val="00333A80"/>
    <w:rsid w:val="00335A74"/>
    <w:rsid w:val="003371D0"/>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1558"/>
    <w:rsid w:val="00406254"/>
    <w:rsid w:val="004223DE"/>
    <w:rsid w:val="00434489"/>
    <w:rsid w:val="00437085"/>
    <w:rsid w:val="00443880"/>
    <w:rsid w:val="004464F4"/>
    <w:rsid w:val="00452DB0"/>
    <w:rsid w:val="00454E63"/>
    <w:rsid w:val="00471401"/>
    <w:rsid w:val="00473F31"/>
    <w:rsid w:val="00474B2B"/>
    <w:rsid w:val="0048263A"/>
    <w:rsid w:val="00487E5D"/>
    <w:rsid w:val="004936E3"/>
    <w:rsid w:val="004A5C30"/>
    <w:rsid w:val="004A711F"/>
    <w:rsid w:val="004B199D"/>
    <w:rsid w:val="004B4690"/>
    <w:rsid w:val="004D4B59"/>
    <w:rsid w:val="004E0A2D"/>
    <w:rsid w:val="004E206B"/>
    <w:rsid w:val="004E6DF7"/>
    <w:rsid w:val="004F0FBD"/>
    <w:rsid w:val="00505A47"/>
    <w:rsid w:val="00512FDA"/>
    <w:rsid w:val="00520DA0"/>
    <w:rsid w:val="005664BB"/>
    <w:rsid w:val="00566FFA"/>
    <w:rsid w:val="0057481D"/>
    <w:rsid w:val="0058486E"/>
    <w:rsid w:val="00585B33"/>
    <w:rsid w:val="0059014D"/>
    <w:rsid w:val="00591C0C"/>
    <w:rsid w:val="005B5C64"/>
    <w:rsid w:val="005C5337"/>
    <w:rsid w:val="005C6BD0"/>
    <w:rsid w:val="005D1C8B"/>
    <w:rsid w:val="005D38D1"/>
    <w:rsid w:val="005D468D"/>
    <w:rsid w:val="005D5CED"/>
    <w:rsid w:val="005F1851"/>
    <w:rsid w:val="005F1A4C"/>
    <w:rsid w:val="00605688"/>
    <w:rsid w:val="006070AF"/>
    <w:rsid w:val="00607E6C"/>
    <w:rsid w:val="006101B1"/>
    <w:rsid w:val="00614E44"/>
    <w:rsid w:val="006153F8"/>
    <w:rsid w:val="0062270A"/>
    <w:rsid w:val="00622830"/>
    <w:rsid w:val="00622E4B"/>
    <w:rsid w:val="00623DA0"/>
    <w:rsid w:val="00630AEF"/>
    <w:rsid w:val="006325F8"/>
    <w:rsid w:val="00633463"/>
    <w:rsid w:val="00634C9A"/>
    <w:rsid w:val="00643EA5"/>
    <w:rsid w:val="006440E4"/>
    <w:rsid w:val="00654F06"/>
    <w:rsid w:val="0066343B"/>
    <w:rsid w:val="00664777"/>
    <w:rsid w:val="006710F9"/>
    <w:rsid w:val="006748A4"/>
    <w:rsid w:val="00675D61"/>
    <w:rsid w:val="00677244"/>
    <w:rsid w:val="00681A31"/>
    <w:rsid w:val="00683E73"/>
    <w:rsid w:val="006A1C25"/>
    <w:rsid w:val="006A3141"/>
    <w:rsid w:val="006A5E34"/>
    <w:rsid w:val="006B2422"/>
    <w:rsid w:val="006B2B9A"/>
    <w:rsid w:val="006C1937"/>
    <w:rsid w:val="006D37AB"/>
    <w:rsid w:val="006E18BD"/>
    <w:rsid w:val="006F020C"/>
    <w:rsid w:val="006F7D93"/>
    <w:rsid w:val="007127B7"/>
    <w:rsid w:val="0071798E"/>
    <w:rsid w:val="00724579"/>
    <w:rsid w:val="007269D1"/>
    <w:rsid w:val="007416B6"/>
    <w:rsid w:val="00746F48"/>
    <w:rsid w:val="0075404D"/>
    <w:rsid w:val="00754053"/>
    <w:rsid w:val="0076182A"/>
    <w:rsid w:val="00766FF8"/>
    <w:rsid w:val="00767B7E"/>
    <w:rsid w:val="00772BAB"/>
    <w:rsid w:val="00772D4F"/>
    <w:rsid w:val="0077314F"/>
    <w:rsid w:val="00774C8E"/>
    <w:rsid w:val="007770C3"/>
    <w:rsid w:val="00784D24"/>
    <w:rsid w:val="00785FBA"/>
    <w:rsid w:val="00786E4A"/>
    <w:rsid w:val="007875EB"/>
    <w:rsid w:val="0079426B"/>
    <w:rsid w:val="007B5D9E"/>
    <w:rsid w:val="007D1682"/>
    <w:rsid w:val="007D312A"/>
    <w:rsid w:val="007D3F19"/>
    <w:rsid w:val="007E22A4"/>
    <w:rsid w:val="007E23B0"/>
    <w:rsid w:val="007E23E5"/>
    <w:rsid w:val="007F1991"/>
    <w:rsid w:val="007F2C2F"/>
    <w:rsid w:val="007F32AB"/>
    <w:rsid w:val="007F4363"/>
    <w:rsid w:val="007F55FC"/>
    <w:rsid w:val="007F5665"/>
    <w:rsid w:val="00800112"/>
    <w:rsid w:val="00806294"/>
    <w:rsid w:val="00813348"/>
    <w:rsid w:val="008253BB"/>
    <w:rsid w:val="00834CD8"/>
    <w:rsid w:val="0083706E"/>
    <w:rsid w:val="008408F6"/>
    <w:rsid w:val="00841694"/>
    <w:rsid w:val="008423A5"/>
    <w:rsid w:val="00850625"/>
    <w:rsid w:val="00853718"/>
    <w:rsid w:val="00855221"/>
    <w:rsid w:val="00860645"/>
    <w:rsid w:val="008629EB"/>
    <w:rsid w:val="008668E3"/>
    <w:rsid w:val="00871F71"/>
    <w:rsid w:val="00872FD8"/>
    <w:rsid w:val="00885AF4"/>
    <w:rsid w:val="008939CD"/>
    <w:rsid w:val="008A5DBF"/>
    <w:rsid w:val="008B768C"/>
    <w:rsid w:val="008C4DB1"/>
    <w:rsid w:val="008C4EAF"/>
    <w:rsid w:val="008C5176"/>
    <w:rsid w:val="008C7FD0"/>
    <w:rsid w:val="008E1DE7"/>
    <w:rsid w:val="008E707C"/>
    <w:rsid w:val="00900B08"/>
    <w:rsid w:val="00902155"/>
    <w:rsid w:val="00902FA3"/>
    <w:rsid w:val="009108AB"/>
    <w:rsid w:val="00923564"/>
    <w:rsid w:val="0092392E"/>
    <w:rsid w:val="00923F03"/>
    <w:rsid w:val="009315F9"/>
    <w:rsid w:val="00932078"/>
    <w:rsid w:val="00933499"/>
    <w:rsid w:val="00934254"/>
    <w:rsid w:val="00935C98"/>
    <w:rsid w:val="00946945"/>
    <w:rsid w:val="00951248"/>
    <w:rsid w:val="0095152F"/>
    <w:rsid w:val="00954C49"/>
    <w:rsid w:val="00955A86"/>
    <w:rsid w:val="00955E37"/>
    <w:rsid w:val="0097099F"/>
    <w:rsid w:val="00971997"/>
    <w:rsid w:val="00971FFC"/>
    <w:rsid w:val="00982284"/>
    <w:rsid w:val="0098660A"/>
    <w:rsid w:val="00991C8B"/>
    <w:rsid w:val="009931C3"/>
    <w:rsid w:val="009B2C43"/>
    <w:rsid w:val="009B4EAE"/>
    <w:rsid w:val="009B7573"/>
    <w:rsid w:val="009C22F4"/>
    <w:rsid w:val="009C2A4B"/>
    <w:rsid w:val="009C2E98"/>
    <w:rsid w:val="009C52AE"/>
    <w:rsid w:val="009D1168"/>
    <w:rsid w:val="009D3447"/>
    <w:rsid w:val="009D4711"/>
    <w:rsid w:val="009F1185"/>
    <w:rsid w:val="009F18CD"/>
    <w:rsid w:val="009F2A13"/>
    <w:rsid w:val="009F7527"/>
    <w:rsid w:val="00A04EB0"/>
    <w:rsid w:val="00A134D3"/>
    <w:rsid w:val="00A13CC1"/>
    <w:rsid w:val="00A16847"/>
    <w:rsid w:val="00A237D8"/>
    <w:rsid w:val="00A268C4"/>
    <w:rsid w:val="00A307CD"/>
    <w:rsid w:val="00A331C8"/>
    <w:rsid w:val="00A40A00"/>
    <w:rsid w:val="00A4142F"/>
    <w:rsid w:val="00A41A38"/>
    <w:rsid w:val="00A421F2"/>
    <w:rsid w:val="00A422EB"/>
    <w:rsid w:val="00A42404"/>
    <w:rsid w:val="00A45BB7"/>
    <w:rsid w:val="00A47C98"/>
    <w:rsid w:val="00A50831"/>
    <w:rsid w:val="00A56DF2"/>
    <w:rsid w:val="00A56E6E"/>
    <w:rsid w:val="00A67AB5"/>
    <w:rsid w:val="00A72041"/>
    <w:rsid w:val="00A733B2"/>
    <w:rsid w:val="00A741C2"/>
    <w:rsid w:val="00A75FE2"/>
    <w:rsid w:val="00A878A3"/>
    <w:rsid w:val="00A91760"/>
    <w:rsid w:val="00A93B00"/>
    <w:rsid w:val="00A93C21"/>
    <w:rsid w:val="00AA0918"/>
    <w:rsid w:val="00AB64C9"/>
    <w:rsid w:val="00AC3C6A"/>
    <w:rsid w:val="00AD5620"/>
    <w:rsid w:val="00AD5D53"/>
    <w:rsid w:val="00AD656B"/>
    <w:rsid w:val="00AD7C1B"/>
    <w:rsid w:val="00AE16BA"/>
    <w:rsid w:val="00AE1EBE"/>
    <w:rsid w:val="00AE39BD"/>
    <w:rsid w:val="00B03C9D"/>
    <w:rsid w:val="00B060AE"/>
    <w:rsid w:val="00B10517"/>
    <w:rsid w:val="00B14E76"/>
    <w:rsid w:val="00B161B8"/>
    <w:rsid w:val="00B2048C"/>
    <w:rsid w:val="00B310B9"/>
    <w:rsid w:val="00B35F3F"/>
    <w:rsid w:val="00B36CBB"/>
    <w:rsid w:val="00B425E0"/>
    <w:rsid w:val="00B440AA"/>
    <w:rsid w:val="00B44B70"/>
    <w:rsid w:val="00B50647"/>
    <w:rsid w:val="00B53C56"/>
    <w:rsid w:val="00B54E05"/>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1CBA"/>
    <w:rsid w:val="00C33E72"/>
    <w:rsid w:val="00C354B2"/>
    <w:rsid w:val="00C35554"/>
    <w:rsid w:val="00C3636D"/>
    <w:rsid w:val="00C42709"/>
    <w:rsid w:val="00C4573B"/>
    <w:rsid w:val="00C533CC"/>
    <w:rsid w:val="00C5751C"/>
    <w:rsid w:val="00C61BFC"/>
    <w:rsid w:val="00C62B85"/>
    <w:rsid w:val="00C65438"/>
    <w:rsid w:val="00C74371"/>
    <w:rsid w:val="00C842D2"/>
    <w:rsid w:val="00C87FD8"/>
    <w:rsid w:val="00C91381"/>
    <w:rsid w:val="00C91CBB"/>
    <w:rsid w:val="00CA2AD2"/>
    <w:rsid w:val="00CA6D4D"/>
    <w:rsid w:val="00CB4E70"/>
    <w:rsid w:val="00CC0887"/>
    <w:rsid w:val="00CC09B6"/>
    <w:rsid w:val="00CC666F"/>
    <w:rsid w:val="00CD1E3F"/>
    <w:rsid w:val="00CE44F6"/>
    <w:rsid w:val="00CE49DA"/>
    <w:rsid w:val="00CE7B61"/>
    <w:rsid w:val="00CF0499"/>
    <w:rsid w:val="00D00095"/>
    <w:rsid w:val="00D114F0"/>
    <w:rsid w:val="00D13616"/>
    <w:rsid w:val="00D16167"/>
    <w:rsid w:val="00D20620"/>
    <w:rsid w:val="00D254F7"/>
    <w:rsid w:val="00D26091"/>
    <w:rsid w:val="00D2685C"/>
    <w:rsid w:val="00D34E7C"/>
    <w:rsid w:val="00D35489"/>
    <w:rsid w:val="00D36AFE"/>
    <w:rsid w:val="00D4711A"/>
    <w:rsid w:val="00D51276"/>
    <w:rsid w:val="00D67CD7"/>
    <w:rsid w:val="00D7035F"/>
    <w:rsid w:val="00D77883"/>
    <w:rsid w:val="00DA634F"/>
    <w:rsid w:val="00DA65AC"/>
    <w:rsid w:val="00DB1913"/>
    <w:rsid w:val="00DB2109"/>
    <w:rsid w:val="00DB5911"/>
    <w:rsid w:val="00DC410D"/>
    <w:rsid w:val="00DC5A81"/>
    <w:rsid w:val="00DC68CA"/>
    <w:rsid w:val="00DC7CBA"/>
    <w:rsid w:val="00DD63B5"/>
    <w:rsid w:val="00DD73B7"/>
    <w:rsid w:val="00DF28BC"/>
    <w:rsid w:val="00DF34B9"/>
    <w:rsid w:val="00DF7B44"/>
    <w:rsid w:val="00E01053"/>
    <w:rsid w:val="00E05A94"/>
    <w:rsid w:val="00E07ACF"/>
    <w:rsid w:val="00E138BF"/>
    <w:rsid w:val="00E254BA"/>
    <w:rsid w:val="00E27B51"/>
    <w:rsid w:val="00E331A1"/>
    <w:rsid w:val="00E33202"/>
    <w:rsid w:val="00E336A9"/>
    <w:rsid w:val="00E4523E"/>
    <w:rsid w:val="00E472B1"/>
    <w:rsid w:val="00E50624"/>
    <w:rsid w:val="00E53DD3"/>
    <w:rsid w:val="00E568DF"/>
    <w:rsid w:val="00E64269"/>
    <w:rsid w:val="00E72068"/>
    <w:rsid w:val="00E82267"/>
    <w:rsid w:val="00E83016"/>
    <w:rsid w:val="00E853CE"/>
    <w:rsid w:val="00E867B6"/>
    <w:rsid w:val="00E90436"/>
    <w:rsid w:val="00EA010F"/>
    <w:rsid w:val="00EB5B2B"/>
    <w:rsid w:val="00EC6727"/>
    <w:rsid w:val="00ED1B63"/>
    <w:rsid w:val="00ED3C1F"/>
    <w:rsid w:val="00ED4085"/>
    <w:rsid w:val="00ED420E"/>
    <w:rsid w:val="00ED543B"/>
    <w:rsid w:val="00ED6FBE"/>
    <w:rsid w:val="00EE1F9F"/>
    <w:rsid w:val="00EE2F57"/>
    <w:rsid w:val="00EE5AA1"/>
    <w:rsid w:val="00EF4C34"/>
    <w:rsid w:val="00EF77C6"/>
    <w:rsid w:val="00F03D1D"/>
    <w:rsid w:val="00F05438"/>
    <w:rsid w:val="00F05794"/>
    <w:rsid w:val="00F1361C"/>
    <w:rsid w:val="00F156F0"/>
    <w:rsid w:val="00F160C7"/>
    <w:rsid w:val="00F2408F"/>
    <w:rsid w:val="00F240E9"/>
    <w:rsid w:val="00F3438F"/>
    <w:rsid w:val="00F36D8F"/>
    <w:rsid w:val="00F417B1"/>
    <w:rsid w:val="00F45853"/>
    <w:rsid w:val="00F5714C"/>
    <w:rsid w:val="00F602DF"/>
    <w:rsid w:val="00F63395"/>
    <w:rsid w:val="00F754A1"/>
    <w:rsid w:val="00F81FD9"/>
    <w:rsid w:val="00F841AA"/>
    <w:rsid w:val="00F84A94"/>
    <w:rsid w:val="00F87E96"/>
    <w:rsid w:val="00FA14ED"/>
    <w:rsid w:val="00FA23E8"/>
    <w:rsid w:val="00FB6641"/>
    <w:rsid w:val="00FB6F37"/>
    <w:rsid w:val="00FC71EA"/>
    <w:rsid w:val="00FD3CC1"/>
    <w:rsid w:val="00FD4D4F"/>
    <w:rsid w:val="00FF1E02"/>
    <w:rsid w:val="00FF30B4"/>
    <w:rsid w:val="00FF73F4"/>
    <w:rsid w:val="053A62B5"/>
    <w:rsid w:val="06EE06AA"/>
    <w:rsid w:val="0A2032A3"/>
    <w:rsid w:val="0ADD2F10"/>
    <w:rsid w:val="0B8A37D8"/>
    <w:rsid w:val="0CB14328"/>
    <w:rsid w:val="10C055FF"/>
    <w:rsid w:val="118107EC"/>
    <w:rsid w:val="11DD6519"/>
    <w:rsid w:val="122B0399"/>
    <w:rsid w:val="16BB723D"/>
    <w:rsid w:val="18015F3F"/>
    <w:rsid w:val="1A6C3968"/>
    <w:rsid w:val="1BE8440E"/>
    <w:rsid w:val="1D155CEE"/>
    <w:rsid w:val="20F57F95"/>
    <w:rsid w:val="22467A49"/>
    <w:rsid w:val="23211E9B"/>
    <w:rsid w:val="23D5767E"/>
    <w:rsid w:val="240371BF"/>
    <w:rsid w:val="241D4E7B"/>
    <w:rsid w:val="25711CC6"/>
    <w:rsid w:val="25C741E6"/>
    <w:rsid w:val="27842671"/>
    <w:rsid w:val="29FD04D3"/>
    <w:rsid w:val="2ABE7A3E"/>
    <w:rsid w:val="2CA234A8"/>
    <w:rsid w:val="2EFA178C"/>
    <w:rsid w:val="30B46D73"/>
    <w:rsid w:val="319F7F4E"/>
    <w:rsid w:val="383D272C"/>
    <w:rsid w:val="39AE70AB"/>
    <w:rsid w:val="3BC762B0"/>
    <w:rsid w:val="3C0C0783"/>
    <w:rsid w:val="3E094CDC"/>
    <w:rsid w:val="3ED61B73"/>
    <w:rsid w:val="3F9F3A96"/>
    <w:rsid w:val="41085755"/>
    <w:rsid w:val="413C37E5"/>
    <w:rsid w:val="46413B39"/>
    <w:rsid w:val="48BF60AB"/>
    <w:rsid w:val="493C27E9"/>
    <w:rsid w:val="496F39ED"/>
    <w:rsid w:val="49FF41D3"/>
    <w:rsid w:val="4BE068DB"/>
    <w:rsid w:val="4BF6002B"/>
    <w:rsid w:val="4E614B86"/>
    <w:rsid w:val="4ECE2238"/>
    <w:rsid w:val="5100222E"/>
    <w:rsid w:val="51DB4B86"/>
    <w:rsid w:val="53C73B46"/>
    <w:rsid w:val="55333C3E"/>
    <w:rsid w:val="58713B2D"/>
    <w:rsid w:val="61167F4C"/>
    <w:rsid w:val="64CA39A1"/>
    <w:rsid w:val="669C425A"/>
    <w:rsid w:val="694A45CA"/>
    <w:rsid w:val="69630ADE"/>
    <w:rsid w:val="6B406F4F"/>
    <w:rsid w:val="6C4A05C8"/>
    <w:rsid w:val="6C7F4402"/>
    <w:rsid w:val="6D3B1A89"/>
    <w:rsid w:val="6D7E6117"/>
    <w:rsid w:val="71BF4EC2"/>
    <w:rsid w:val="72734D90"/>
    <w:rsid w:val="7412278C"/>
    <w:rsid w:val="77D79552"/>
    <w:rsid w:val="7904082E"/>
    <w:rsid w:val="79E7B28D"/>
    <w:rsid w:val="7F9F20EE"/>
    <w:rsid w:val="9BFFB090"/>
    <w:rsid w:val="9E3A10E2"/>
    <w:rsid w:val="AFB799EB"/>
    <w:rsid w:val="CBFFBFF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NormalCharacter"/>
    <w:link w:val="31"/>
    <w:qFormat/>
    <w:uiPriority w:val="0"/>
    <w:rPr>
      <w:rFonts w:ascii="Calibri" w:hAnsi="Calibri" w:eastAsia="宋体" w:cs="Times New Roman"/>
      <w:sz w:val="21"/>
      <w:szCs w:val="21"/>
    </w:rPr>
  </w:style>
  <w:style w:type="paragraph" w:customStyle="1" w:styleId="31">
    <w:name w:val="UserStyle_1"/>
    <w:basedOn w:val="1"/>
    <w:next w:val="1"/>
    <w:link w:val="30"/>
    <w:qFormat/>
    <w:uiPriority w:val="0"/>
    <w:pPr>
      <w:spacing w:line="240" w:lineRule="atLeast"/>
      <w:ind w:left="420" w:firstLine="420"/>
      <w:jc w:val="left"/>
    </w:pPr>
    <w:rPr>
      <w:rFonts w:ascii="Calibri" w:hAnsi="Calibri"/>
      <w:kern w:val="0"/>
      <w:szCs w:val="21"/>
    </w:rPr>
  </w:style>
  <w:style w:type="paragraph" w:customStyle="1" w:styleId="32">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19971;&#22812;\Desktop\2022&#24180;&#20915;&#31639;&#23457;&#26680;&#22270;&#3103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40" b="0" i="0" u="none" strike="noStrike" kern="1200" spc="0" baseline="0">
                <a:solidFill>
                  <a:schemeClr val="tx1">
                    <a:lumMod val="65000"/>
                    <a:lumOff val="35000"/>
                  </a:schemeClr>
                </a:solidFill>
                <a:latin typeface="+mn-lt"/>
                <a:ea typeface="+mn-ea"/>
                <a:cs typeface="+mn-cs"/>
              </a:defRPr>
            </a:pPr>
            <a:r>
              <a:rPr lang="zh-CN" altLang="en-US" sz="1440"/>
              <a:t> </a:t>
            </a:r>
            <a:r>
              <a:rPr lang="en-US" altLang="zh-CN" sz="1200">
                <a:latin typeface="+mn-ea"/>
                <a:cs typeface="+mn-ea"/>
              </a:rPr>
              <a:t>2021</a:t>
            </a:r>
            <a:r>
              <a:rPr lang="zh-CN" altLang="en-US" sz="1200">
                <a:latin typeface="+mn-ea"/>
                <a:cs typeface="+mn-ea"/>
              </a:rPr>
              <a:t>年、</a:t>
            </a:r>
            <a:r>
              <a:rPr lang="en-US" altLang="zh-CN" sz="1200">
                <a:latin typeface="+mn-ea"/>
                <a:cs typeface="+mn-ea"/>
              </a:rPr>
              <a:t>2022</a:t>
            </a:r>
            <a:r>
              <a:rPr lang="zh-CN" altLang="en-US" sz="1200">
                <a:latin typeface="+mn-ea"/>
                <a:cs typeface="+mn-ea"/>
              </a:rPr>
              <a:t>年收支决算总计变动情况图</a:t>
            </a:r>
            <a:endParaRPr lang="zh-CN" altLang="en-US" sz="1200">
              <a:latin typeface="+mn-ea"/>
              <a:cs typeface="+mn-ea"/>
            </a:endParaRPr>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收、支总计</c:v>
                </c:pt>
              </c:strCache>
            </c:strRef>
          </c:tx>
          <c:spPr>
            <a:solidFill>
              <a:schemeClr val="accent1"/>
            </a:solidFill>
            <a:ln>
              <a:noFill/>
            </a:ln>
            <a:effectLst/>
          </c:spPr>
          <c:invertIfNegative val="false"/>
          <c:dLbls>
            <c:delete val="true"/>
          </c:dLbls>
          <c:cat>
            <c:strRef>
              <c:f>Sheet1!$A$2:$A$3</c:f>
              <c:strCache>
                <c:ptCount val="2"/>
                <c:pt idx="0">
                  <c:v>2022年</c:v>
                </c:pt>
                <c:pt idx="1">
                  <c:v>2021年</c:v>
                </c:pt>
              </c:strCache>
            </c:strRef>
          </c:cat>
          <c:val>
            <c:numRef>
              <c:f>Sheet1!$B$2:$B$3</c:f>
              <c:numCache>
                <c:formatCode>General</c:formatCode>
                <c:ptCount val="2"/>
                <c:pt idx="0">
                  <c:v>406.71</c:v>
                </c:pt>
                <c:pt idx="1">
                  <c:v>365.26</c:v>
                </c:pt>
              </c:numCache>
            </c:numRef>
          </c:val>
        </c:ser>
        <c:dLbls>
          <c:showLegendKey val="false"/>
          <c:showVal val="false"/>
          <c:showCatName val="false"/>
          <c:showSerName val="false"/>
          <c:showPercent val="false"/>
          <c:showBubbleSize val="false"/>
        </c:dLbls>
        <c:gapWidth val="75"/>
        <c:overlap val="-65"/>
        <c:axId val="-1106269856"/>
        <c:axId val="-1106273664"/>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
                      </c:pt>
                    </c:strCache>
                  </c:strRef>
                </c:tx>
                <c:spPr>
                  <a:solidFill>
                    <a:schemeClr val="accent2"/>
                  </a:solidFill>
                  <a:ln>
                    <a:noFill/>
                  </a:ln>
                  <a:effectLst/>
                </c:spPr>
                <c:invertIfNegative val="false"/>
                <c:dLbls>
                  <c:delete val="true"/>
                </c:dLbls>
                <c:cat>
                  <c:strRef>
                    <c:extLst>
                      <c:ext uri="{02D57815-91ED-43cb-92C2-25804820EDAC}">
                        <c15:fullRef>
                          <c15:sqref/>
                        </c15:fullRef>
                        <c15:formulaRef>
                          <c15:sqref>Sheet1!$A$2:$A$3</c15:sqref>
                        </c15:formulaRef>
                      </c:ext>
                    </c:extLst>
                    <c:strCache>
                      <c:ptCount val="2"/>
                      <c:pt idx="0">
                        <c:v>2022年</c:v>
                      </c:pt>
                      <c:pt idx="1">
                        <c:v>2021年</c:v>
                      </c:pt>
                    </c:strCache>
                  </c:strRef>
                </c:cat>
                <c:val>
                  <c:numRef>
                    <c:extLst>
                      <c:ext uri="{02D57815-91ED-43cb-92C2-25804820EDAC}">
                        <c15:formulaRef>
                          <c15:sqref>Sheet1!$C$2:$C$3</c15:sqref>
                        </c15:formulaRef>
                      </c:ext>
                    </c:extLst>
                    <c:numCache>
                      <c:formatCode>General</c:formatCode>
                      <c:ptCount val="2"/>
                    </c:numCache>
                  </c:numRef>
                </c:val>
              </c15:ser>
            </c15:filteredBarSeries>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12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Sheet1!$A$2:$A$3</c15:sqref>
                        </c15:formulaRef>
                      </c:ext>
                    </c:extLst>
                    <c:strCache>
                      <c:ptCount val="2"/>
                      <c:pt idx="0">
                        <c:v>2022年</c:v>
                      </c:pt>
                      <c:pt idx="1">
                        <c:v>2021年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1106269856"/>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1106273664"/>
        <c:crosses val="autoZero"/>
        <c:auto val="true"/>
        <c:lblAlgn val="ctr"/>
        <c:lblOffset val="100"/>
        <c:noMultiLvlLbl val="false"/>
      </c:catAx>
      <c:valAx>
        <c:axId val="-110627366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110626985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200"/>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331036121673004"/>
          <c:y val="0.253376394597769"/>
          <c:w val="0.398130544993663"/>
          <c:h val="0.737815619495009"/>
        </c:manualLayout>
      </c:layout>
      <c:pieChart>
        <c:varyColors val="true"/>
        <c:ser>
          <c:idx val="0"/>
          <c:order val="0"/>
          <c:tx>
            <c:strRef>
              <c:f>Sheet1!$B$1</c:f>
              <c:strCache>
                <c:ptCount val="1"/>
                <c:pt idx="0">
                  <c:v>列1</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0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宋体" panose="02010600030101010101" charset="-122"/>
                <a:cs typeface="+mn-cs"/>
              </a:defRPr>
            </a:pPr>
          </a:p>
        </c:txPr>
      </c:legendEntry>
      <c:layout>
        <c:manualLayout>
          <c:xMode val="edge"/>
          <c:yMode val="edge"/>
          <c:x val="0.0236058301647655"/>
          <c:y val="0.03904873752202"/>
          <c:w val="0.462294043092522"/>
          <c:h val="0.190252495596007"/>
        </c:manualLayout>
      </c:layout>
      <c:overlay val="false"/>
      <c:spPr>
        <a:noFill/>
        <a:ln>
          <a:noFill/>
        </a:ln>
        <a:effectLst/>
      </c:spPr>
      <c:txPr>
        <a:bodyPr rot="0" spcFirstLastPara="0" vertOverflow="ellipsis" vert="horz" wrap="square" anchor="ctr" anchorCtr="true"/>
        <a:lstStyle/>
        <a:p>
          <a:pPr>
            <a:defRPr lang="zh-CN" sz="10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宋体" panose="02010600030101010101" charset="-122"/>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支出决算结构图</a:t>
            </a:r>
            <a:endParaRPr lang="zh-CN" altLang="en-US"/>
          </a:p>
        </c:rich>
      </c:tx>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bg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0.801</c:v>
                </c:pt>
                <c:pt idx="1">
                  <c:v>0.199</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40" b="0" i="0" u="none" strike="noStrike" kern="1200" spc="0" baseline="0">
                <a:solidFill>
                  <a:schemeClr val="tx1">
                    <a:lumMod val="65000"/>
                    <a:lumOff val="35000"/>
                  </a:schemeClr>
                </a:solidFill>
                <a:latin typeface="+mn-lt"/>
                <a:ea typeface="+mn-ea"/>
                <a:cs typeface="+mn-cs"/>
              </a:defRPr>
            </a:pPr>
            <a:r>
              <a:rPr lang="zh-CN" altLang="en-US" sz="1200"/>
              <a:t>财政拨款收、支决算总计变动情况</a:t>
            </a:r>
            <a:endParaRPr lang="zh-CN" altLang="en-US" sz="1200"/>
          </a:p>
        </c:rich>
      </c:tx>
      <c:layout/>
      <c:overlay val="false"/>
      <c:spPr>
        <a:noFill/>
        <a:ln>
          <a:noFill/>
        </a:ln>
        <a:effectLst/>
      </c:spPr>
    </c:title>
    <c:autoTitleDeleted val="false"/>
    <c:plotArea>
      <c:layout>
        <c:manualLayout>
          <c:layoutTarget val="inner"/>
          <c:xMode val="edge"/>
          <c:yMode val="edge"/>
          <c:x val="0.103494318181818"/>
          <c:y val="0.210108143897594"/>
          <c:w val="0.892244318181818"/>
          <c:h val="0.656156164785971"/>
        </c:manualLayout>
      </c:layout>
      <c:barChart>
        <c:barDir val="col"/>
        <c:grouping val="clustered"/>
        <c:varyColors val="false"/>
        <c:ser>
          <c:idx val="0"/>
          <c:order val="0"/>
          <c:tx>
            <c:strRef>
              <c:f>Sheet1!$B$1</c:f>
              <c:strCache>
                <c:ptCount val="1"/>
                <c:pt idx="0">
                  <c:v>总计</c:v>
                </c:pt>
              </c:strCache>
            </c:strRef>
          </c:tx>
          <c:spPr>
            <a:solidFill>
              <a:schemeClr val="accent1"/>
            </a:solidFill>
            <a:ln>
              <a:noFill/>
            </a:ln>
            <a:effectLst/>
          </c:spPr>
          <c:invertIfNegative val="false"/>
          <c:dLbls>
            <c:delete val="true"/>
          </c:dLbls>
          <c:cat>
            <c:strRef>
              <c:f>Sheet1!$A$2:$A$3</c:f>
              <c:strCache>
                <c:ptCount val="2"/>
                <c:pt idx="0">
                  <c:v>2022年</c:v>
                </c:pt>
                <c:pt idx="1">
                  <c:v>2021年</c:v>
                </c:pt>
              </c:strCache>
            </c:strRef>
          </c:cat>
          <c:val>
            <c:numRef>
              <c:f>Sheet1!$B$2:$B$3</c:f>
              <c:numCache>
                <c:formatCode>General</c:formatCode>
                <c:ptCount val="2"/>
                <c:pt idx="0">
                  <c:v>406.71</c:v>
                </c:pt>
                <c:pt idx="1">
                  <c:v>365.26</c:v>
                </c:pt>
              </c:numCache>
            </c:numRef>
          </c:val>
        </c:ser>
        <c:dLbls>
          <c:showLegendKey val="false"/>
          <c:showVal val="false"/>
          <c:showCatName val="false"/>
          <c:showSerName val="false"/>
          <c:showPercent val="false"/>
          <c:showBubbleSize val="false"/>
        </c:dLbls>
        <c:gapWidth val="219"/>
        <c:overlap val="-27"/>
        <c:axId val="-1106270944"/>
        <c:axId val="-1106269312"/>
        <c:extLst>
          <c:ext xmlns:c15="http://schemas.microsoft.com/office/drawing/2012/chart" uri="{02D57815-91ED-43cb-92C2-25804820EDAC}">
            <c15:filteredBarSeries>
              <c15:ser>
                <c:idx val="1"/>
                <c:order val="1"/>
                <c:tx>
                  <c:strRef>
                    <c:extLst>
                      <c:ext uri="{02D57815-91ED-43cb-92C2-25804820EDAC}">
                        <c15:formulaRef>
                          <c15:sqref>Sheet1!#REF!</c15:sqref>
                        </c15:formulaRef>
                      </c:ext>
                    </c:extLst>
                    <c:strCache>
                      <c:ptCount val="1"/>
                      <c:pt idx="0">
                        <c:v/>
                      </c:pt>
                    </c:strCache>
                  </c:strRef>
                </c:tx>
                <c:spPr>
                  <a:solidFill>
                    <a:schemeClr val="accent2"/>
                  </a:solidFill>
                  <a:ln>
                    <a:noFill/>
                  </a:ln>
                  <a:effectLst/>
                </c:spPr>
                <c:invertIfNegative val="false"/>
                <c:dLbls>
                  <c:delete val="true"/>
                </c:dLbls>
                <c:cat>
                  <c:strRef>
                    <c:extLst>
                      <c:ext uri="{02D57815-91ED-43cb-92C2-25804820EDAC}">
                        <c15:fullRef>
                          <c15:sqref/>
                        </c15:fullRef>
                        <c15:formulaRef>
                          <c15:sqref>Sheet1!$A$2:$A$3</c15:sqref>
                        </c15:formulaRef>
                      </c:ext>
                    </c:extLst>
                    <c:strCache>
                      <c:ptCount val="2"/>
                      <c:pt idx="0">
                        <c:v>2022年</c:v>
                      </c:pt>
                      <c:pt idx="1">
                        <c:v>2021年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false"/>
                <c:dLbls>
                  <c:delete val="true"/>
                </c:dLbls>
                <c:cat>
                  <c:strRef>
                    <c:extLst>
                      <c:ext uri="{02D57815-91ED-43cb-92C2-25804820EDAC}">
                        <c15:fullRef>
                          <c15:sqref/>
                        </c15:fullRef>
                        <c15:formulaRef>
                          <c15:sqref>Sheet1!$A$2:$A$3</c15:sqref>
                        </c15:formulaRef>
                      </c:ext>
                    </c:extLst>
                    <c:strCache>
                      <c:ptCount val="2"/>
                      <c:pt idx="0">
                        <c:v>2022年</c:v>
                      </c:pt>
                      <c:pt idx="1">
                        <c:v>2021年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1106270944"/>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1106269312"/>
        <c:crosses val="autoZero"/>
        <c:auto val="true"/>
        <c:lblAlgn val="ctr"/>
        <c:lblOffset val="100"/>
        <c:noMultiLvlLbl val="false"/>
      </c:catAx>
      <c:valAx>
        <c:axId val="-1106269312"/>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110627094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200"/>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sz="1200"/>
              <a:t>一般公共预算财政拨款支出决算变动情况</a:t>
            </a:r>
            <a:endParaRPr lang="zh-CN" altLang="en-US" sz="1200"/>
          </a:p>
        </c:rich>
      </c:tx>
      <c:layout>
        <c:manualLayout>
          <c:xMode val="edge"/>
          <c:yMode val="edge"/>
          <c:x val="0.127108868060562"/>
          <c:y val="0.027681660899654"/>
        </c:manualLayout>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总计</c:v>
                </c:pt>
              </c:strCache>
            </c:strRef>
          </c:tx>
          <c:spPr>
            <a:solidFill>
              <a:schemeClr val="accent1"/>
            </a:solidFill>
            <a:ln>
              <a:noFill/>
            </a:ln>
            <a:effectLst/>
          </c:spPr>
          <c:invertIfNegative val="false"/>
          <c:dLbls>
            <c:delete val="true"/>
          </c:dLbls>
          <c:cat>
            <c:strRef>
              <c:f>Sheet1!$A$2:$A$3</c:f>
              <c:strCache>
                <c:ptCount val="2"/>
                <c:pt idx="0">
                  <c:v>2022年</c:v>
                </c:pt>
                <c:pt idx="1">
                  <c:v>2021年</c:v>
                </c:pt>
              </c:strCache>
            </c:strRef>
          </c:cat>
          <c:val>
            <c:numRef>
              <c:f>Sheet1!$B$2:$B$3</c:f>
              <c:numCache>
                <c:formatCode>General</c:formatCode>
                <c:ptCount val="2"/>
                <c:pt idx="0">
                  <c:v>406.71</c:v>
                </c:pt>
                <c:pt idx="1">
                  <c:v>333.31</c:v>
                </c:pt>
              </c:numCache>
            </c:numRef>
          </c:val>
        </c:ser>
        <c:dLbls>
          <c:showLegendKey val="false"/>
          <c:showVal val="false"/>
          <c:showCatName val="false"/>
          <c:showSerName val="false"/>
          <c:showPercent val="false"/>
          <c:showBubbleSize val="false"/>
        </c:dLbls>
        <c:gapWidth val="219"/>
        <c:overlap val="-27"/>
        <c:axId val="-1107075536"/>
        <c:axId val="-1105759968"/>
        <c:extLst>
          <c:ext xmlns:c15="http://schemas.microsoft.com/office/drawing/2012/chart" uri="{02D57815-91ED-43cb-92C2-25804820EDAC}">
            <c15:filteredBarSeries>
              <c15:ser>
                <c:idx val="1"/>
                <c:order val="1"/>
                <c:tx>
                  <c:strRef>
                    <c:extLst>
                      <c:ext uri="{02D57815-91ED-43cb-92C2-25804820EDAC}">
                        <c15:formulaRef>
                          <c15:sqref>Sheet1!#REF!</c15:sqref>
                        </c15:formulaRef>
                      </c:ext>
                    </c:extLst>
                    <c:strCache>
                      <c:ptCount val="1"/>
                      <c:pt idx="0">
                        <c:v/>
                      </c:pt>
                    </c:strCache>
                  </c:strRef>
                </c:tx>
                <c:spPr>
                  <a:solidFill>
                    <a:schemeClr val="accent2"/>
                  </a:solidFill>
                  <a:ln>
                    <a:noFill/>
                  </a:ln>
                  <a:effectLst/>
                </c:spPr>
                <c:invertIfNegative val="false"/>
                <c:dLbls>
                  <c:delete val="true"/>
                </c:dLbls>
                <c:cat>
                  <c:strRef>
                    <c:extLst>
                      <c:ext uri="{02D57815-91ED-43cb-92C2-25804820EDAC}">
                        <c15:fullRef>
                          <c15:sqref/>
                        </c15:fullRef>
                        <c15:formulaRef>
                          <c15:sqref>Sheet1!$A$2:$A$3</c15:sqref>
                        </c15:formulaRef>
                      </c:ext>
                    </c:extLst>
                    <c:strCache>
                      <c:ptCount val="2"/>
                      <c:pt idx="0">
                        <c:v>2022年</c:v>
                      </c:pt>
                      <c:pt idx="1">
                        <c:v>2021年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false"/>
                <c:dLbls>
                  <c:delete val="true"/>
                </c:dLbls>
                <c:cat>
                  <c:strRef>
                    <c:extLst>
                      <c:ext uri="{02D57815-91ED-43cb-92C2-25804820EDAC}">
                        <c15:fullRef>
                          <c15:sqref/>
                        </c15:fullRef>
                        <c15:formulaRef>
                          <c15:sqref>Sheet1!$A$2:$A$3</c15:sqref>
                        </c15:formulaRef>
                      </c:ext>
                    </c:extLst>
                    <c:strCache>
                      <c:ptCount val="2"/>
                      <c:pt idx="0">
                        <c:v>2022年</c:v>
                      </c:pt>
                      <c:pt idx="1">
                        <c:v>2021年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1107075536"/>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105759968"/>
        <c:crosses val="autoZero"/>
        <c:auto val="true"/>
        <c:lblAlgn val="ctr"/>
        <c:lblOffset val="100"/>
        <c:noMultiLvlLbl val="false"/>
      </c:catAx>
      <c:valAx>
        <c:axId val="-1105759968"/>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10707553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图6：一般公共预算财政拨款支出决算结构</a:t>
            </a:r>
          </a:p>
        </c:rich>
      </c:tx>
      <c:layout>
        <c:manualLayout>
          <c:xMode val="edge"/>
          <c:yMode val="edge"/>
          <c:x val="0.206671930517173"/>
          <c:y val="0.0160623781676413"/>
        </c:manualLayout>
      </c:layout>
      <c:overlay val="false"/>
      <c:spPr>
        <a:noFill/>
        <a:ln>
          <a:noFill/>
        </a:ln>
        <a:effectLst/>
      </c:spPr>
    </c:title>
    <c:autoTitleDeleted val="false"/>
    <c:plotArea>
      <c:layout/>
      <c:pieChart>
        <c:varyColors val="true"/>
        <c:ser>
          <c:idx val="0"/>
          <c:order val="0"/>
          <c:tx>
            <c:strRef>
              <c:f>[2022年决算审核图示.xlsx]Sheet1!$B$69</c:f>
              <c:strCache>
                <c:ptCount val="1"/>
                <c:pt idx="0">
                  <c:v>金额（万元）</c:v>
                </c:pt>
              </c:strCache>
            </c:strRef>
          </c:tx>
          <c:spPr/>
          <c:explosion val="3"/>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Lbls>
            <c:dLbl>
              <c:idx val="0"/>
              <c:layout>
                <c:manualLayout>
                  <c:x val="0.0690880378997236"/>
                  <c:y val="-0.0353086419753086"/>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1"/>
                      </a:solidFill>
                      <a:latin typeface="+mn-lt"/>
                      <a:ea typeface="+mn-ea"/>
                      <a:cs typeface="+mn-cs"/>
                    </a:defRPr>
                  </a:pPr>
                </a:p>
              </c:txPr>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1"/>
              <c:layout>
                <c:manualLayout>
                  <c:x val="-0.0167127253585998"/>
                  <c:y val="0.132553606237817"/>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2"/>
                      </a:solidFill>
                      <a:latin typeface="+mn-lt"/>
                      <a:ea typeface="+mn-ea"/>
                      <a:cs typeface="+mn-cs"/>
                    </a:defRPr>
                  </a:pPr>
                </a:p>
              </c:txPr>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153967627319384"/>
                  <c:y val="0.20320987654321"/>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3"/>
                      </a:solidFill>
                      <a:latin typeface="+mn-lt"/>
                      <a:ea typeface="+mn-ea"/>
                      <a:cs typeface="+mn-cs"/>
                    </a:defRPr>
                  </a:pPr>
                </a:p>
              </c:txPr>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3"/>
              <c:layout>
                <c:manualLayout>
                  <c:x val="-0.19844716410054"/>
                  <c:y val="0.0224691358024691"/>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4"/>
                      </a:solidFill>
                      <a:latin typeface="+mn-lt"/>
                      <a:ea typeface="+mn-ea"/>
                      <a:cs typeface="+mn-cs"/>
                    </a:defRPr>
                  </a:pPr>
                </a:p>
              </c:txPr>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4"/>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5"/>
                      </a:solidFill>
                      <a:latin typeface="+mn-lt"/>
                      <a:ea typeface="+mn-ea"/>
                      <a:cs typeface="+mn-cs"/>
                    </a:defRPr>
                  </a:pPr>
                </a:p>
              </c:txPr>
              <c:dLblPos val="outEnd"/>
              <c:showLegendKey val="true"/>
              <c:showVal val="false"/>
              <c:showCatName val="true"/>
              <c:showSerName val="false"/>
              <c:showPercent val="true"/>
              <c:showBubbleSize val="false"/>
              <c:separator>
</c:separator>
              <c:extLst>
                <c:ext xmlns:c15="http://schemas.microsoft.com/office/drawing/2012/chart" uri="{CE6537A1-D6FC-4f65-9D91-7224C49458BB}"/>
              </c:extLst>
            </c:dLbl>
            <c:dLbl>
              <c:idx val="5"/>
              <c:layout>
                <c:manualLayout>
                  <c:x val="0.205290169759179"/>
                  <c:y val="0.00894087069525666"/>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6"/>
                      </a:solidFill>
                      <a:latin typeface="+mn-lt"/>
                      <a:ea typeface="+mn-ea"/>
                      <a:cs typeface="+mn-cs"/>
                    </a:defRPr>
                  </a:pPr>
                </a:p>
              </c:txPr>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6"/>
              <c:layout>
                <c:manualLayout>
                  <c:x val="0.207264113699171"/>
                  <c:y val="0.0359974009096816"/>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1">
                          <a:lumMod val="60000"/>
                        </a:schemeClr>
                      </a:solidFill>
                      <a:latin typeface="+mn-lt"/>
                      <a:ea typeface="+mn-ea"/>
                      <a:cs typeface="+mn-cs"/>
                    </a:defRPr>
                  </a:pPr>
                </a:p>
              </c:txPr>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1"/>
                    </a:solidFill>
                    <a:latin typeface="+mn-lt"/>
                    <a:ea typeface="+mn-ea"/>
                    <a:cs typeface="+mn-cs"/>
                  </a:defRPr>
                </a:pPr>
              </a:p>
            </c:txPr>
            <c:dLblPos val="outEnd"/>
            <c:showLegendKey val="tru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[2022年决算审核图示.xlsx]Sheet1!$A$70:$A$76</c:f>
              <c:strCache>
                <c:ptCount val="7"/>
                <c:pt idx="0">
                  <c:v>一般公共服务支出</c:v>
                </c:pt>
                <c:pt idx="2">
                  <c:v>社会保障和就业支出</c:v>
                </c:pt>
                <c:pt idx="3">
                  <c:v>卫生健康支出</c:v>
                </c:pt>
                <c:pt idx="5">
                  <c:v>住房保障支出</c:v>
                </c:pt>
              </c:strCache>
            </c:strRef>
          </c:cat>
          <c:val>
            <c:numRef>
              <c:f>[2022年决算审核图示.xlsx]Sheet1!$B$70:$B$76</c:f>
              <c:numCache>
                <c:formatCode>#,##0.00</c:formatCode>
                <c:ptCount val="7"/>
                <c:pt idx="0">
                  <c:v>339.05</c:v>
                </c:pt>
                <c:pt idx="2">
                  <c:v>35.37</c:v>
                </c:pt>
                <c:pt idx="3" c:formatCode="General">
                  <c:v>9.02</c:v>
                </c:pt>
                <c:pt idx="5" c:formatCode="General">
                  <c:v>23.26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sz="1200">
                <a:latin typeface="+mn-ea"/>
                <a:cs typeface="+mn-ea"/>
              </a:rPr>
              <a:t>“</a:t>
            </a:r>
            <a:r>
              <a:rPr lang="zh-CN" altLang="en-US" sz="1200">
                <a:latin typeface="+mn-ea"/>
                <a:ea typeface="宋体" panose="02010600030101010101" charset="-122"/>
                <a:cs typeface="+mn-ea"/>
              </a:rPr>
              <a:t>三公”经费财政拨款支出结构</a:t>
            </a:r>
            <a:endParaRPr lang="zh-CN" altLang="en-US" sz="1200">
              <a:latin typeface="+mn-ea"/>
              <a:ea typeface="宋体" panose="02010600030101010101" charset="-122"/>
              <a:cs typeface="+mn-ea"/>
            </a:endParaRPr>
          </a:p>
        </c:rich>
      </c:tx>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delete val="true"/>
            </c:dLbl>
            <c:dLbl>
              <c:idx val="1"/>
              <c:delete val="true"/>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formatCode="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36</Pages>
  <Words>3818</Words>
  <Characters>21767</Characters>
  <Lines>181</Lines>
  <Paragraphs>51</Paragraphs>
  <TotalTime>28</TotalTime>
  <ScaleCrop>false</ScaleCrop>
  <LinksUpToDate>false</LinksUpToDate>
  <CharactersWithSpaces>25534</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uos</cp:lastModifiedBy>
  <cp:lastPrinted>2023-07-31T18:35:00Z</cp:lastPrinted>
  <dcterms:modified xsi:type="dcterms:W3CDTF">2023-10-17T18:03:58Z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6B70361D626A4593B4A9C4A901EC4F63</vt:lpwstr>
  </property>
</Properties>
</file>