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77425"/>
      <w:bookmarkStart w:id="2" w:name="_Toc15377193"/>
      <w:bookmarkStart w:id="3" w:name="_Toc22634"/>
      <w:bookmarkStart w:id="4" w:name="_Toc15396475"/>
      <w:bookmarkStart w:id="5" w:name="_Toc15378441"/>
      <w:bookmarkStart w:id="6" w:name="_Toc15396597"/>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p>
    <w:bookmarkEnd w:id="0"/>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7" w:name="_Toc15378442"/>
      <w:bookmarkStart w:id="8" w:name="_Toc15377194"/>
      <w:bookmarkStart w:id="9" w:name="_Toc15396598"/>
      <w:bookmarkStart w:id="10" w:name="_Toc15306268"/>
      <w:bookmarkStart w:id="11" w:name="_Toc8363"/>
      <w:bookmarkStart w:id="12" w:name="_Toc15377426"/>
      <w:bookmarkStart w:id="13" w:name="_Toc15396476"/>
      <w:r>
        <w:rPr>
          <w:rFonts w:hint="eastAsia" w:ascii="方正小标宋简体" w:hAnsi="方正小标宋简体" w:eastAsia="方正小标宋简体" w:cs="方正小标宋简体"/>
          <w:color w:val="auto"/>
          <w:sz w:val="72"/>
          <w:szCs w:val="72"/>
          <w:highlight w:val="none"/>
          <w:lang w:eastAsia="zh-CN"/>
        </w:rPr>
        <w:t>广元市委办公室单位</w:t>
      </w:r>
      <w:r>
        <w:rPr>
          <w:rFonts w:hint="eastAsia" w:ascii="方正小标宋简体" w:hAnsi="方正小标宋简体" w:eastAsia="方正小标宋简体" w:cs="方正小标宋简体"/>
          <w:color w:val="auto"/>
          <w:sz w:val="72"/>
          <w:szCs w:val="72"/>
          <w:highlight w:val="none"/>
        </w:rPr>
        <w:t>决算</w:t>
      </w:r>
      <w:bookmarkEnd w:id="7"/>
      <w:bookmarkEnd w:id="8"/>
      <w:bookmarkEnd w:id="9"/>
      <w:bookmarkEnd w:id="10"/>
      <w:bookmarkEnd w:id="11"/>
      <w:bookmarkEnd w:id="12"/>
      <w:bookmarkEnd w:id="13"/>
    </w:p>
    <w:p>
      <w:pPr>
        <w:widowControl/>
        <w:jc w:val="center"/>
        <w:rPr>
          <w:rFonts w:ascii="方正小标宋简体" w:hAnsi="宋体" w:eastAsia="方正小标宋简体"/>
          <w:color w:val="auto"/>
          <w:sz w:val="36"/>
          <w:szCs w:val="36"/>
          <w:highlight w:val="none"/>
        </w:rPr>
      </w:pPr>
      <w:r>
        <w:rPr>
          <w:rFonts w:ascii="方正小标宋简体" w:hAnsi="宋体" w:eastAsia="方正小标宋简体"/>
          <w:color w:val="auto"/>
          <w:sz w:val="36"/>
          <w:szCs w:val="36"/>
          <w:highlight w:val="none"/>
        </w:rPr>
        <w:br w:type="page"/>
      </w:r>
    </w:p>
    <w:p>
      <w:pPr>
        <w:widowControl/>
        <w:jc w:val="right"/>
        <w:rPr>
          <w:rFonts w:ascii="方正小标宋简体" w:hAnsi="宋体" w:eastAsia="方正小标宋简体"/>
          <w:color w:val="auto"/>
          <w:sz w:val="36"/>
          <w:szCs w:val="36"/>
          <w:highlight w:val="none"/>
        </w:rPr>
      </w:pPr>
    </w:p>
    <w:p>
      <w:pPr>
        <w:widowControl/>
        <w:jc w:val="center"/>
        <w:rPr>
          <w:rFonts w:ascii="黑体" w:hAnsi="黑体" w:eastAsia="黑体" w:cstheme="minorBidi"/>
          <w:color w:val="auto"/>
          <w:sz w:val="28"/>
          <w:szCs w:val="28"/>
          <w:highlight w:val="none"/>
        </w:rPr>
      </w:pPr>
      <w:r>
        <w:rPr>
          <w:rFonts w:hint="eastAsia" w:ascii="黑体" w:hAnsi="黑体" w:eastAsia="黑体"/>
          <w:color w:val="auto"/>
          <w:sz w:val="48"/>
          <w:szCs w:val="48"/>
          <w:highlight w:val="none"/>
        </w:rPr>
        <w:t>目</w:t>
      </w:r>
      <w:r>
        <w:rPr>
          <w:rFonts w:hint="eastAsia" w:ascii="黑体" w:hAnsi="黑体" w:eastAsia="黑体"/>
          <w:color w:val="auto"/>
          <w:sz w:val="48"/>
          <w:szCs w:val="48"/>
          <w:highlight w:val="none"/>
          <w:lang w:val="en-US" w:eastAsia="zh-CN"/>
        </w:rPr>
        <w:t xml:space="preserve">   </w:t>
      </w:r>
      <w:r>
        <w:rPr>
          <w:rFonts w:hint="eastAsia" w:ascii="黑体" w:hAnsi="黑体" w:eastAsia="黑体"/>
          <w:color w:val="auto"/>
          <w:sz w:val="48"/>
          <w:szCs w:val="48"/>
          <w:highlight w:val="none"/>
        </w:rPr>
        <w:t>录</w:t>
      </w:r>
    </w:p>
    <w:p>
      <w:pPr>
        <w:pStyle w:val="12"/>
        <w:rPr>
          <w:rFonts w:hint="eastAsia" w:eastAsia="仿宋"/>
          <w:color w:val="auto"/>
          <w:highlight w:val="none"/>
          <w:lang w:val="en-US" w:eastAsia="zh-CN"/>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 xml:space="preserve">10 </w:t>
      </w:r>
      <w:r>
        <w:rPr>
          <w:rFonts w:hint="eastAsia"/>
          <w:color w:val="auto"/>
          <w:highlight w:val="none"/>
        </w:rPr>
        <w:t>月</w:t>
      </w:r>
      <w:r>
        <w:rPr>
          <w:rFonts w:hint="eastAsia"/>
          <w:color w:val="auto"/>
          <w:highlight w:val="none"/>
          <w:lang w:val="en-US" w:eastAsia="zh-CN"/>
        </w:rPr>
        <w:t>16</w:t>
      </w:r>
      <w:r>
        <w:rPr>
          <w:rFonts w:hint="eastAsia"/>
          <w:color w:val="auto"/>
          <w:highlight w:val="none"/>
        </w:rPr>
        <w:t>日</w:t>
      </w:r>
      <w:bookmarkStart w:id="103" w:name="_GoBack"/>
      <w:bookmarkEnd w:id="103"/>
    </w:p>
    <w:sdt>
      <w:sdtPr>
        <w:rPr>
          <w:rFonts w:ascii="宋体" w:hAnsi="宋体" w:eastAsia="宋体" w:cs="Times New Roman"/>
          <w:kern w:val="2"/>
          <w:sz w:val="21"/>
          <w:szCs w:val="24"/>
          <w:lang w:val="en-US" w:eastAsia="zh-CN" w:bidi="ar-SA"/>
        </w:rPr>
        <w:id w:val="147453031"/>
        <w15:color w:val="DBDBDB"/>
        <w:docPartObj>
          <w:docPartGallery w:val="Table of Contents"/>
          <w:docPartUnique/>
        </w:docPartObj>
      </w:sdtPr>
      <w:sdtEndPr>
        <w:rPr>
          <w:rFonts w:hint="eastAsia" w:ascii="Times New Roman" w:hAnsi="Times New Roman" w:eastAsia="宋体" w:cs="Times New Roman"/>
          <w:b/>
          <w:color w:val="auto"/>
          <w:kern w:val="2"/>
          <w:sz w:val="21"/>
          <w:szCs w:val="28"/>
          <w:highlight w:val="none"/>
          <w:lang w:val="en-US" w:eastAsia="zh-CN" w:bidi="ar-SA"/>
        </w:rPr>
      </w:sdtEndPr>
      <w:sdtContent>
        <w:p>
          <w:pPr>
            <w:spacing w:before="0" w:beforeLines="0" w:after="0" w:afterLines="0" w:line="240" w:lineRule="auto"/>
            <w:ind w:left="0" w:leftChars="0" w:right="0" w:rightChars="0" w:firstLine="0" w:firstLineChars="0"/>
            <w:jc w:val="center"/>
            <w:rPr>
              <w:b/>
            </w:rPr>
          </w:pPr>
          <w:r>
            <w:rPr>
              <w:rFonts w:hint="eastAsia"/>
              <w:color w:val="auto"/>
              <w:sz w:val="28"/>
              <w:szCs w:val="28"/>
              <w:highlight w:val="none"/>
            </w:rPr>
            <w:fldChar w:fldCharType="begin"/>
          </w:r>
          <w:r>
            <w:rPr>
              <w:rFonts w:hint="eastAsia"/>
              <w:color w:val="auto"/>
              <w:sz w:val="28"/>
              <w:szCs w:val="28"/>
              <w:highlight w:val="none"/>
            </w:rPr>
            <w:instrText xml:space="preserve">TOC \o "1-2" \h \u </w:instrText>
          </w:r>
          <w:r>
            <w:rPr>
              <w:rFonts w:hint="eastAsia"/>
              <w:color w:val="auto"/>
              <w:sz w:val="28"/>
              <w:szCs w:val="28"/>
              <w:highlight w:val="none"/>
            </w:rPr>
            <w:fldChar w:fldCharType="separate"/>
          </w:r>
        </w:p>
        <w:p>
          <w:pPr>
            <w:pStyle w:val="32"/>
            <w:tabs>
              <w:tab w:val="right" w:leader="dot" w:pos="8306"/>
            </w:tabs>
            <w:rPr>
              <w:b/>
            </w:rPr>
          </w:pPr>
          <w:r>
            <w:rPr>
              <w:rFonts w:hint="eastAsia"/>
              <w:b/>
              <w:color w:val="auto"/>
              <w:szCs w:val="28"/>
              <w:highlight w:val="none"/>
            </w:rPr>
            <w:fldChar w:fldCharType="begin"/>
          </w:r>
          <w:r>
            <w:rPr>
              <w:rFonts w:hint="eastAsia"/>
              <w:b/>
              <w:szCs w:val="28"/>
              <w:highlight w:val="none"/>
            </w:rPr>
            <w:instrText xml:space="preserve"> HYPERLINK \l _Toc27633 </w:instrText>
          </w:r>
          <w:r>
            <w:rPr>
              <w:rFonts w:hint="eastAsia"/>
              <w:b/>
              <w:szCs w:val="28"/>
              <w:highlight w:val="none"/>
            </w:rPr>
            <w:fldChar w:fldCharType="separate"/>
          </w:r>
          <w:r>
            <w:rPr>
              <w:rFonts w:hint="eastAsia" w:ascii="黑体" w:hAnsi="黑体" w:eastAsia="黑体"/>
              <w:b/>
              <w:highlight w:val="none"/>
            </w:rPr>
            <w:t xml:space="preserve">第一部分 </w:t>
          </w:r>
          <w:r>
            <w:rPr>
              <w:rFonts w:hint="eastAsia" w:ascii="黑体" w:hAnsi="黑体" w:eastAsia="黑体"/>
              <w:b/>
              <w:highlight w:val="none"/>
              <w:lang w:eastAsia="zh-CN"/>
            </w:rPr>
            <w:t>单位</w:t>
          </w:r>
          <w:r>
            <w:rPr>
              <w:rFonts w:hint="eastAsia" w:ascii="黑体" w:hAnsi="黑体" w:eastAsia="黑体"/>
              <w:b/>
              <w:bCs w:val="0"/>
              <w:highlight w:val="none"/>
            </w:rPr>
            <w:t>概况</w:t>
          </w:r>
          <w:r>
            <w:rPr>
              <w:b/>
            </w:rPr>
            <w:tab/>
          </w:r>
          <w:r>
            <w:rPr>
              <w:b/>
            </w:rPr>
            <w:fldChar w:fldCharType="begin"/>
          </w:r>
          <w:r>
            <w:rPr>
              <w:b/>
            </w:rPr>
            <w:instrText xml:space="preserve"> PAGEREF _Toc27633 \h </w:instrText>
          </w:r>
          <w:r>
            <w:rPr>
              <w:b/>
            </w:rPr>
            <w:fldChar w:fldCharType="separate"/>
          </w:r>
          <w:r>
            <w:rPr>
              <w:b/>
            </w:rPr>
            <w:t>1</w:t>
          </w:r>
          <w:r>
            <w:rPr>
              <w:b/>
            </w:rPr>
            <w:fldChar w:fldCharType="end"/>
          </w:r>
          <w:r>
            <w:rPr>
              <w:rFonts w:hint="eastAsia"/>
              <w:b/>
              <w:color w:val="auto"/>
              <w:szCs w:val="28"/>
              <w:highlight w:val="none"/>
            </w:rPr>
            <w:fldChar w:fldCharType="end"/>
          </w:r>
        </w:p>
        <w:p>
          <w:pPr>
            <w:pStyle w:val="33"/>
            <w:tabs>
              <w:tab w:val="right" w:leader="dot" w:pos="8306"/>
            </w:tabs>
          </w:pPr>
          <w:r>
            <w:rPr>
              <w:rFonts w:hint="eastAsia"/>
              <w:color w:val="auto"/>
              <w:szCs w:val="28"/>
              <w:highlight w:val="none"/>
            </w:rPr>
            <w:fldChar w:fldCharType="begin"/>
          </w:r>
          <w:r>
            <w:rPr>
              <w:rFonts w:hint="eastAsia"/>
              <w:szCs w:val="28"/>
              <w:highlight w:val="none"/>
            </w:rPr>
            <w:instrText xml:space="preserve"> HYPERLINK \l _Toc21936 </w:instrText>
          </w:r>
          <w:r>
            <w:rPr>
              <w:rFonts w:hint="eastAsia"/>
              <w:szCs w:val="28"/>
              <w:highlight w:val="none"/>
            </w:rPr>
            <w:fldChar w:fldCharType="separate"/>
          </w:r>
          <w:r>
            <w:rPr>
              <w:rFonts w:hint="eastAsia" w:ascii="黑体" w:hAnsi="黑体" w:eastAsia="黑体"/>
              <w:bCs w:val="0"/>
              <w:highlight w:val="none"/>
              <w:lang w:eastAsia="zh-CN"/>
            </w:rPr>
            <w:t>一、主要职责</w:t>
          </w:r>
          <w:r>
            <w:tab/>
          </w:r>
          <w:r>
            <w:fldChar w:fldCharType="begin"/>
          </w:r>
          <w:r>
            <w:instrText xml:space="preserve"> PAGEREF _Toc21936 \h </w:instrText>
          </w:r>
          <w:r>
            <w:fldChar w:fldCharType="separate"/>
          </w:r>
          <w:r>
            <w:t>1</w:t>
          </w:r>
          <w:r>
            <w:fldChar w:fldCharType="end"/>
          </w:r>
          <w:r>
            <w:rPr>
              <w:rFonts w:hint="eastAsia"/>
              <w:color w:val="auto"/>
              <w:szCs w:val="28"/>
              <w:highlight w:val="none"/>
            </w:rPr>
            <w:fldChar w:fldCharType="end"/>
          </w:r>
        </w:p>
        <w:p>
          <w:pPr>
            <w:pStyle w:val="33"/>
            <w:tabs>
              <w:tab w:val="right" w:leader="dot" w:pos="8306"/>
            </w:tabs>
          </w:pPr>
          <w:r>
            <w:rPr>
              <w:rFonts w:hint="eastAsia"/>
              <w:color w:val="auto"/>
              <w:szCs w:val="28"/>
              <w:highlight w:val="none"/>
            </w:rPr>
            <w:fldChar w:fldCharType="begin"/>
          </w:r>
          <w:r>
            <w:rPr>
              <w:rFonts w:hint="eastAsia"/>
              <w:szCs w:val="28"/>
              <w:highlight w:val="none"/>
            </w:rPr>
            <w:instrText xml:space="preserve"> HYPERLINK \l _Toc20144 </w:instrText>
          </w:r>
          <w:r>
            <w:rPr>
              <w:rFonts w:hint="eastAsia"/>
              <w:szCs w:val="28"/>
              <w:highlight w:val="none"/>
            </w:rPr>
            <w:fldChar w:fldCharType="separate"/>
          </w:r>
          <w:r>
            <w:rPr>
              <w:rFonts w:hint="eastAsia" w:ascii="黑体" w:hAnsi="黑体" w:eastAsia="黑体"/>
              <w:bCs w:val="0"/>
              <w:highlight w:val="none"/>
              <w:lang w:val="en-US" w:eastAsia="zh-CN"/>
            </w:rPr>
            <w:t>二、机构设置</w:t>
          </w:r>
          <w:r>
            <w:tab/>
          </w:r>
          <w:r>
            <w:fldChar w:fldCharType="begin"/>
          </w:r>
          <w:r>
            <w:instrText xml:space="preserve"> PAGEREF _Toc20144 \h </w:instrText>
          </w:r>
          <w:r>
            <w:fldChar w:fldCharType="separate"/>
          </w:r>
          <w:r>
            <w:t>2</w:t>
          </w:r>
          <w:r>
            <w:fldChar w:fldCharType="end"/>
          </w:r>
          <w:r>
            <w:rPr>
              <w:rFonts w:hint="eastAsia"/>
              <w:color w:val="auto"/>
              <w:szCs w:val="28"/>
              <w:highlight w:val="none"/>
            </w:rPr>
            <w:fldChar w:fldCharType="end"/>
          </w:r>
        </w:p>
        <w:p>
          <w:pPr>
            <w:pStyle w:val="32"/>
            <w:tabs>
              <w:tab w:val="right" w:leader="dot" w:pos="8306"/>
            </w:tabs>
            <w:rPr>
              <w:b/>
            </w:rPr>
          </w:pPr>
          <w:r>
            <w:rPr>
              <w:rFonts w:hint="eastAsia"/>
              <w:b/>
              <w:color w:val="auto"/>
              <w:szCs w:val="28"/>
              <w:highlight w:val="none"/>
            </w:rPr>
            <w:fldChar w:fldCharType="begin"/>
          </w:r>
          <w:r>
            <w:rPr>
              <w:rFonts w:hint="eastAsia"/>
              <w:b/>
              <w:szCs w:val="28"/>
              <w:highlight w:val="none"/>
            </w:rPr>
            <w:instrText xml:space="preserve"> HYPERLINK \l _Toc13868 </w:instrText>
          </w:r>
          <w:r>
            <w:rPr>
              <w:rFonts w:hint="eastAsia"/>
              <w:b/>
              <w:szCs w:val="28"/>
              <w:highlight w:val="none"/>
            </w:rPr>
            <w:fldChar w:fldCharType="separate"/>
          </w:r>
          <w:r>
            <w:rPr>
              <w:rFonts w:hint="eastAsia" w:ascii="黑体" w:hAnsi="黑体" w:eastAsia="黑体"/>
              <w:b/>
              <w:bCs/>
              <w:highlight w:val="none"/>
            </w:rPr>
            <w:t xml:space="preserve">第二部分 </w:t>
          </w:r>
          <w:r>
            <w:rPr>
              <w:rFonts w:hint="eastAsia" w:ascii="黑体" w:hAnsi="黑体" w:eastAsia="黑体"/>
              <w:b/>
              <w:bCs/>
              <w:highlight w:val="none"/>
              <w:lang w:val="en-US" w:eastAsia="zh-CN"/>
            </w:rPr>
            <w:t>2022年度</w:t>
          </w:r>
          <w:r>
            <w:rPr>
              <w:rFonts w:hint="eastAsia" w:ascii="黑体" w:hAnsi="黑体" w:eastAsia="黑体"/>
              <w:b/>
              <w:bCs/>
              <w:highlight w:val="none"/>
              <w:lang w:eastAsia="zh-CN"/>
            </w:rPr>
            <w:t>单位</w:t>
          </w:r>
          <w:r>
            <w:rPr>
              <w:rFonts w:hint="eastAsia" w:ascii="黑体" w:hAnsi="黑体" w:eastAsia="黑体"/>
              <w:b/>
              <w:bCs/>
              <w:highlight w:val="none"/>
            </w:rPr>
            <w:t>决算情况说明</w:t>
          </w:r>
          <w:r>
            <w:rPr>
              <w:b/>
            </w:rPr>
            <w:tab/>
          </w:r>
          <w:r>
            <w:rPr>
              <w:b/>
            </w:rPr>
            <w:fldChar w:fldCharType="begin"/>
          </w:r>
          <w:r>
            <w:rPr>
              <w:b/>
            </w:rPr>
            <w:instrText xml:space="preserve"> PAGEREF _Toc13868 \h </w:instrText>
          </w:r>
          <w:r>
            <w:rPr>
              <w:b/>
            </w:rPr>
            <w:fldChar w:fldCharType="separate"/>
          </w:r>
          <w:r>
            <w:rPr>
              <w:b/>
            </w:rPr>
            <w:t>3</w:t>
          </w:r>
          <w:r>
            <w:rPr>
              <w:b/>
            </w:rPr>
            <w:fldChar w:fldCharType="end"/>
          </w:r>
          <w:r>
            <w:rPr>
              <w:rFonts w:hint="eastAsia"/>
              <w:b/>
              <w:color w:val="auto"/>
              <w:szCs w:val="28"/>
              <w:highlight w:val="none"/>
            </w:rPr>
            <w:fldChar w:fldCharType="end"/>
          </w:r>
        </w:p>
        <w:p>
          <w:pPr>
            <w:pStyle w:val="33"/>
            <w:tabs>
              <w:tab w:val="right" w:leader="dot" w:pos="8306"/>
            </w:tabs>
          </w:pPr>
          <w:r>
            <w:rPr>
              <w:rFonts w:hint="eastAsia"/>
              <w:color w:val="auto"/>
              <w:szCs w:val="28"/>
              <w:highlight w:val="none"/>
            </w:rPr>
            <w:fldChar w:fldCharType="begin"/>
          </w:r>
          <w:r>
            <w:rPr>
              <w:rFonts w:hint="eastAsia"/>
              <w:szCs w:val="28"/>
              <w:highlight w:val="none"/>
            </w:rPr>
            <w:instrText xml:space="preserve"> HYPERLINK \l _Toc26800 </w:instrText>
          </w:r>
          <w:r>
            <w:rPr>
              <w:rFonts w:hint="eastAsia"/>
              <w:szCs w:val="28"/>
              <w:highlight w:val="none"/>
            </w:rPr>
            <w:fldChar w:fldCharType="separate"/>
          </w:r>
          <w:r>
            <w:rPr>
              <w:rFonts w:hint="default" w:ascii="黑体" w:hAnsi="黑体" w:eastAsia="黑体"/>
            </w:rPr>
            <w:t xml:space="preserve">一、 </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_Toc26800 \h </w:instrText>
          </w:r>
          <w:r>
            <w:fldChar w:fldCharType="separate"/>
          </w:r>
          <w:r>
            <w:t>3</w:t>
          </w:r>
          <w:r>
            <w:fldChar w:fldCharType="end"/>
          </w:r>
          <w:r>
            <w:rPr>
              <w:rFonts w:hint="eastAsia"/>
              <w:color w:val="auto"/>
              <w:szCs w:val="28"/>
              <w:highlight w:val="none"/>
            </w:rPr>
            <w:fldChar w:fldCharType="end"/>
          </w:r>
        </w:p>
        <w:p>
          <w:pPr>
            <w:pStyle w:val="33"/>
            <w:tabs>
              <w:tab w:val="right" w:leader="dot" w:pos="8306"/>
            </w:tabs>
          </w:pPr>
          <w:r>
            <w:rPr>
              <w:rFonts w:hint="eastAsia"/>
              <w:color w:val="auto"/>
              <w:szCs w:val="28"/>
              <w:highlight w:val="none"/>
            </w:rPr>
            <w:fldChar w:fldCharType="begin"/>
          </w:r>
          <w:r>
            <w:rPr>
              <w:rFonts w:hint="eastAsia"/>
              <w:szCs w:val="28"/>
              <w:highlight w:val="none"/>
            </w:rPr>
            <w:instrText xml:space="preserve"> HYPERLINK \l _Toc13549 </w:instrText>
          </w:r>
          <w:r>
            <w:rPr>
              <w:rFonts w:hint="eastAsia"/>
              <w:szCs w:val="28"/>
              <w:highlight w:val="none"/>
            </w:rPr>
            <w:fldChar w:fldCharType="separate"/>
          </w:r>
          <w:r>
            <w:rPr>
              <w:rFonts w:hint="default" w:ascii="黑体" w:hAnsi="黑体" w:eastAsia="黑体"/>
            </w:rPr>
            <w:t xml:space="preserve">二、 </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_Toc13549 \h </w:instrText>
          </w:r>
          <w:r>
            <w:fldChar w:fldCharType="separate"/>
          </w:r>
          <w:r>
            <w:t>3</w:t>
          </w:r>
          <w:r>
            <w:fldChar w:fldCharType="end"/>
          </w:r>
          <w:r>
            <w:rPr>
              <w:rFonts w:hint="eastAsia"/>
              <w:color w:val="auto"/>
              <w:szCs w:val="28"/>
              <w:highlight w:val="none"/>
            </w:rPr>
            <w:fldChar w:fldCharType="end"/>
          </w:r>
        </w:p>
        <w:p>
          <w:pPr>
            <w:pStyle w:val="33"/>
            <w:tabs>
              <w:tab w:val="right" w:leader="dot" w:pos="8306"/>
            </w:tabs>
          </w:pPr>
          <w:r>
            <w:rPr>
              <w:rFonts w:hint="eastAsia"/>
              <w:color w:val="auto"/>
              <w:szCs w:val="28"/>
              <w:highlight w:val="none"/>
            </w:rPr>
            <w:fldChar w:fldCharType="begin"/>
          </w:r>
          <w:r>
            <w:rPr>
              <w:rFonts w:hint="eastAsia"/>
              <w:szCs w:val="28"/>
              <w:highlight w:val="none"/>
            </w:rPr>
            <w:instrText xml:space="preserve"> HYPERLINK \l _Toc30619 </w:instrText>
          </w:r>
          <w:r>
            <w:rPr>
              <w:rFonts w:hint="eastAsia"/>
              <w:szCs w:val="28"/>
              <w:highlight w:val="none"/>
            </w:rPr>
            <w:fldChar w:fldCharType="separate"/>
          </w:r>
          <w:r>
            <w:rPr>
              <w:rFonts w:hint="default" w:ascii="黑体" w:hAnsi="黑体" w:eastAsia="黑体"/>
            </w:rPr>
            <w:t xml:space="preserve">三、 </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_Toc30619 \h </w:instrText>
          </w:r>
          <w:r>
            <w:fldChar w:fldCharType="separate"/>
          </w:r>
          <w:r>
            <w:t>4</w:t>
          </w:r>
          <w:r>
            <w:fldChar w:fldCharType="end"/>
          </w:r>
          <w:r>
            <w:rPr>
              <w:rFonts w:hint="eastAsia"/>
              <w:color w:val="auto"/>
              <w:szCs w:val="28"/>
              <w:highlight w:val="none"/>
            </w:rPr>
            <w:fldChar w:fldCharType="end"/>
          </w:r>
        </w:p>
        <w:p>
          <w:pPr>
            <w:pStyle w:val="33"/>
            <w:tabs>
              <w:tab w:val="right" w:leader="dot" w:pos="8306"/>
            </w:tabs>
          </w:pPr>
          <w:r>
            <w:rPr>
              <w:rFonts w:hint="eastAsia"/>
              <w:color w:val="auto"/>
              <w:szCs w:val="28"/>
              <w:highlight w:val="none"/>
            </w:rPr>
            <w:fldChar w:fldCharType="begin"/>
          </w:r>
          <w:r>
            <w:rPr>
              <w:rFonts w:hint="eastAsia"/>
              <w:szCs w:val="28"/>
              <w:highlight w:val="none"/>
            </w:rPr>
            <w:instrText xml:space="preserve"> HYPERLINK \l _Toc28980 </w:instrText>
          </w:r>
          <w:r>
            <w:rPr>
              <w:rFonts w:hint="eastAsia"/>
              <w:szCs w:val="28"/>
              <w:highlight w:val="none"/>
            </w:rP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_Toc28980 \h </w:instrText>
          </w:r>
          <w:r>
            <w:fldChar w:fldCharType="separate"/>
          </w:r>
          <w:r>
            <w:t>4</w:t>
          </w:r>
          <w:r>
            <w:fldChar w:fldCharType="end"/>
          </w:r>
          <w:r>
            <w:rPr>
              <w:rFonts w:hint="eastAsia"/>
              <w:color w:val="auto"/>
              <w:szCs w:val="28"/>
              <w:highlight w:val="none"/>
            </w:rPr>
            <w:fldChar w:fldCharType="end"/>
          </w:r>
        </w:p>
        <w:p>
          <w:pPr>
            <w:pStyle w:val="33"/>
            <w:tabs>
              <w:tab w:val="right" w:leader="dot" w:pos="8306"/>
            </w:tabs>
          </w:pPr>
          <w:r>
            <w:rPr>
              <w:rFonts w:hint="eastAsia"/>
              <w:color w:val="auto"/>
              <w:szCs w:val="28"/>
              <w:highlight w:val="none"/>
            </w:rPr>
            <w:fldChar w:fldCharType="begin"/>
          </w:r>
          <w:r>
            <w:rPr>
              <w:rFonts w:hint="eastAsia"/>
              <w:szCs w:val="28"/>
              <w:highlight w:val="none"/>
            </w:rPr>
            <w:instrText xml:space="preserve"> HYPERLINK \l _Toc20301 </w:instrText>
          </w:r>
          <w:r>
            <w:rPr>
              <w:rFonts w:hint="eastAsia"/>
              <w:szCs w:val="28"/>
              <w:highlight w:val="none"/>
            </w:rP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_Toc20301 \h </w:instrText>
          </w:r>
          <w:r>
            <w:fldChar w:fldCharType="separate"/>
          </w:r>
          <w:r>
            <w:t>4</w:t>
          </w:r>
          <w:r>
            <w:fldChar w:fldCharType="end"/>
          </w:r>
          <w:r>
            <w:rPr>
              <w:rFonts w:hint="eastAsia"/>
              <w:color w:val="auto"/>
              <w:szCs w:val="28"/>
              <w:highlight w:val="none"/>
            </w:rPr>
            <w:fldChar w:fldCharType="end"/>
          </w:r>
        </w:p>
        <w:p>
          <w:pPr>
            <w:pStyle w:val="33"/>
            <w:tabs>
              <w:tab w:val="right" w:leader="dot" w:pos="8306"/>
            </w:tabs>
          </w:pPr>
          <w:r>
            <w:rPr>
              <w:rFonts w:hint="eastAsia"/>
              <w:color w:val="auto"/>
              <w:szCs w:val="28"/>
              <w:highlight w:val="none"/>
            </w:rPr>
            <w:fldChar w:fldCharType="begin"/>
          </w:r>
          <w:r>
            <w:rPr>
              <w:rFonts w:hint="eastAsia"/>
              <w:szCs w:val="28"/>
              <w:highlight w:val="none"/>
            </w:rPr>
            <w:instrText xml:space="preserve"> HYPERLINK \l _Toc27989 </w:instrText>
          </w:r>
          <w:r>
            <w:rPr>
              <w:rFonts w:hint="eastAsia"/>
              <w:szCs w:val="28"/>
              <w:highlight w:val="none"/>
            </w:rP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_Toc27989 \h </w:instrText>
          </w:r>
          <w:r>
            <w:fldChar w:fldCharType="separate"/>
          </w:r>
          <w:r>
            <w:t>7</w:t>
          </w:r>
          <w:r>
            <w:fldChar w:fldCharType="end"/>
          </w:r>
          <w:r>
            <w:rPr>
              <w:rFonts w:hint="eastAsia"/>
              <w:color w:val="auto"/>
              <w:szCs w:val="28"/>
              <w:highlight w:val="none"/>
            </w:rPr>
            <w:fldChar w:fldCharType="end"/>
          </w:r>
        </w:p>
        <w:p>
          <w:pPr>
            <w:pStyle w:val="33"/>
            <w:tabs>
              <w:tab w:val="right" w:leader="dot" w:pos="8306"/>
            </w:tabs>
          </w:pPr>
          <w:r>
            <w:rPr>
              <w:rFonts w:hint="eastAsia"/>
              <w:color w:val="auto"/>
              <w:szCs w:val="28"/>
              <w:highlight w:val="none"/>
            </w:rPr>
            <w:fldChar w:fldCharType="begin"/>
          </w:r>
          <w:r>
            <w:rPr>
              <w:rFonts w:hint="eastAsia"/>
              <w:szCs w:val="28"/>
              <w:highlight w:val="none"/>
            </w:rPr>
            <w:instrText xml:space="preserve"> HYPERLINK \l _Toc180 </w:instrText>
          </w:r>
          <w:r>
            <w:rPr>
              <w:rFonts w:hint="eastAsia"/>
              <w:szCs w:val="28"/>
              <w:highlight w:val="none"/>
            </w:rPr>
            <w:fldChar w:fldCharType="separate"/>
          </w:r>
          <w:r>
            <w:rPr>
              <w:rFonts w:hint="eastAsia" w:ascii="黑体" w:eastAsia="黑体"/>
              <w:szCs w:val="32"/>
              <w:highlight w:val="none"/>
            </w:rPr>
            <w:t>七、</w:t>
          </w:r>
          <w:r>
            <w:rPr>
              <w:rFonts w:hint="eastAsia" w:ascii="黑体" w:hAnsi="黑体" w:eastAsia="黑体"/>
              <w:highlight w:val="none"/>
            </w:rPr>
            <w:t>财政拨款“三公”经费支出决算情况说明</w:t>
          </w:r>
          <w:r>
            <w:tab/>
          </w:r>
          <w:r>
            <w:fldChar w:fldCharType="begin"/>
          </w:r>
          <w:r>
            <w:instrText xml:space="preserve"> PAGEREF _Toc180 \h </w:instrText>
          </w:r>
          <w:r>
            <w:fldChar w:fldCharType="separate"/>
          </w:r>
          <w:r>
            <w:t>7</w:t>
          </w:r>
          <w:r>
            <w:fldChar w:fldCharType="end"/>
          </w:r>
          <w:r>
            <w:rPr>
              <w:rFonts w:hint="eastAsia"/>
              <w:color w:val="auto"/>
              <w:szCs w:val="28"/>
              <w:highlight w:val="none"/>
            </w:rPr>
            <w:fldChar w:fldCharType="end"/>
          </w:r>
        </w:p>
        <w:p>
          <w:pPr>
            <w:pStyle w:val="33"/>
            <w:tabs>
              <w:tab w:val="right" w:leader="dot" w:pos="8306"/>
            </w:tabs>
          </w:pPr>
          <w:r>
            <w:rPr>
              <w:rFonts w:hint="eastAsia"/>
              <w:color w:val="auto"/>
              <w:szCs w:val="28"/>
              <w:highlight w:val="none"/>
            </w:rPr>
            <w:fldChar w:fldCharType="begin"/>
          </w:r>
          <w:r>
            <w:rPr>
              <w:rFonts w:hint="eastAsia"/>
              <w:szCs w:val="28"/>
              <w:highlight w:val="none"/>
            </w:rPr>
            <w:instrText xml:space="preserve"> HYPERLINK \l _Toc31458 </w:instrText>
          </w:r>
          <w:r>
            <w:rPr>
              <w:rFonts w:hint="eastAsia"/>
              <w:szCs w:val="28"/>
              <w:highlight w:val="none"/>
            </w:rP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_Toc31458 \h </w:instrText>
          </w:r>
          <w:r>
            <w:fldChar w:fldCharType="separate"/>
          </w:r>
          <w:r>
            <w:t>9</w:t>
          </w:r>
          <w:r>
            <w:fldChar w:fldCharType="end"/>
          </w:r>
          <w:r>
            <w:rPr>
              <w:rFonts w:hint="eastAsia"/>
              <w:color w:val="auto"/>
              <w:szCs w:val="28"/>
              <w:highlight w:val="none"/>
            </w:rPr>
            <w:fldChar w:fldCharType="end"/>
          </w:r>
        </w:p>
        <w:p>
          <w:pPr>
            <w:pStyle w:val="33"/>
            <w:tabs>
              <w:tab w:val="right" w:leader="dot" w:pos="8306"/>
            </w:tabs>
          </w:pPr>
          <w:r>
            <w:rPr>
              <w:rFonts w:hint="eastAsia"/>
              <w:color w:val="auto"/>
              <w:szCs w:val="28"/>
              <w:highlight w:val="none"/>
            </w:rPr>
            <w:fldChar w:fldCharType="begin"/>
          </w:r>
          <w:r>
            <w:rPr>
              <w:rFonts w:hint="eastAsia"/>
              <w:szCs w:val="28"/>
              <w:highlight w:val="none"/>
            </w:rPr>
            <w:instrText xml:space="preserve"> HYPERLINK \l _Toc14699 </w:instrText>
          </w:r>
          <w:r>
            <w:rPr>
              <w:rFonts w:hint="eastAsia"/>
              <w:szCs w:val="28"/>
              <w:highlight w:val="none"/>
            </w:rPr>
            <w:fldChar w:fldCharType="separate"/>
          </w:r>
          <w:r>
            <w:rPr>
              <w:rFonts w:hint="eastAsia" w:ascii="黑体" w:hAnsi="黑体" w:eastAsia="黑体"/>
            </w:rPr>
            <w:t xml:space="preserve">九、 </w:t>
          </w:r>
          <w:r>
            <w:rPr>
              <w:rFonts w:hint="eastAsia" w:ascii="黑体" w:hAnsi="黑体" w:eastAsia="黑体"/>
              <w:highlight w:val="none"/>
            </w:rPr>
            <w:t>国有资本经营预算支出决算情况说明</w:t>
          </w:r>
          <w:r>
            <w:tab/>
          </w:r>
          <w:r>
            <w:fldChar w:fldCharType="begin"/>
          </w:r>
          <w:r>
            <w:instrText xml:space="preserve"> PAGEREF _Toc14699 \h </w:instrText>
          </w:r>
          <w:r>
            <w:fldChar w:fldCharType="separate"/>
          </w:r>
          <w:r>
            <w:t>9</w:t>
          </w:r>
          <w:r>
            <w:fldChar w:fldCharType="end"/>
          </w:r>
          <w:r>
            <w:rPr>
              <w:rFonts w:hint="eastAsia"/>
              <w:color w:val="auto"/>
              <w:szCs w:val="28"/>
              <w:highlight w:val="none"/>
            </w:rPr>
            <w:fldChar w:fldCharType="end"/>
          </w:r>
        </w:p>
        <w:p>
          <w:pPr>
            <w:pStyle w:val="33"/>
            <w:tabs>
              <w:tab w:val="right" w:leader="dot" w:pos="8306"/>
            </w:tabs>
          </w:pPr>
          <w:r>
            <w:rPr>
              <w:rFonts w:hint="eastAsia"/>
              <w:color w:val="auto"/>
              <w:szCs w:val="28"/>
              <w:highlight w:val="none"/>
            </w:rPr>
            <w:fldChar w:fldCharType="begin"/>
          </w:r>
          <w:r>
            <w:rPr>
              <w:rFonts w:hint="eastAsia"/>
              <w:szCs w:val="28"/>
              <w:highlight w:val="none"/>
            </w:rPr>
            <w:instrText xml:space="preserve"> HYPERLINK \l _Toc22726 </w:instrText>
          </w:r>
          <w:r>
            <w:rPr>
              <w:rFonts w:hint="eastAsia"/>
              <w:szCs w:val="28"/>
              <w:highlight w:val="none"/>
            </w:rPr>
            <w:fldChar w:fldCharType="separate"/>
          </w:r>
          <w:r>
            <w:rPr>
              <w:rFonts w:hint="eastAsia" w:ascii="黑体" w:hAnsi="黑体" w:eastAsia="黑体"/>
            </w:rPr>
            <w:t xml:space="preserve">十、 </w:t>
          </w:r>
          <w:r>
            <w:rPr>
              <w:rFonts w:hint="eastAsia" w:ascii="黑体" w:hAnsi="黑体" w:eastAsia="黑体"/>
              <w:highlight w:val="none"/>
            </w:rPr>
            <w:t>其他重要事项的情况说明</w:t>
          </w:r>
          <w:r>
            <w:tab/>
          </w:r>
          <w:r>
            <w:fldChar w:fldCharType="begin"/>
          </w:r>
          <w:r>
            <w:instrText xml:space="preserve"> PAGEREF _Toc22726 \h </w:instrText>
          </w:r>
          <w:r>
            <w:fldChar w:fldCharType="separate"/>
          </w:r>
          <w:r>
            <w:t>9</w:t>
          </w:r>
          <w:r>
            <w:fldChar w:fldCharType="end"/>
          </w:r>
          <w:r>
            <w:rPr>
              <w:rFonts w:hint="eastAsia"/>
              <w:color w:val="auto"/>
              <w:szCs w:val="28"/>
              <w:highlight w:val="none"/>
            </w:rPr>
            <w:fldChar w:fldCharType="end"/>
          </w:r>
        </w:p>
        <w:p>
          <w:pPr>
            <w:pStyle w:val="32"/>
            <w:tabs>
              <w:tab w:val="right" w:leader="dot" w:pos="8306"/>
            </w:tabs>
            <w:rPr>
              <w:b/>
            </w:rPr>
          </w:pPr>
          <w:r>
            <w:rPr>
              <w:rFonts w:hint="eastAsia"/>
              <w:b/>
              <w:color w:val="auto"/>
              <w:szCs w:val="28"/>
              <w:highlight w:val="none"/>
            </w:rPr>
            <w:fldChar w:fldCharType="begin"/>
          </w:r>
          <w:r>
            <w:rPr>
              <w:rFonts w:hint="eastAsia"/>
              <w:b/>
              <w:szCs w:val="28"/>
              <w:highlight w:val="none"/>
            </w:rPr>
            <w:instrText xml:space="preserve"> HYPERLINK \l _Toc832 </w:instrText>
          </w:r>
          <w:r>
            <w:rPr>
              <w:rFonts w:hint="eastAsia"/>
              <w:b/>
              <w:szCs w:val="28"/>
              <w:highlight w:val="none"/>
            </w:rPr>
            <w:fldChar w:fldCharType="separate"/>
          </w:r>
          <w:r>
            <w:rPr>
              <w:rFonts w:hint="eastAsia" w:ascii="黑体" w:hAnsi="黑体" w:eastAsia="黑体" w:cs="黑体"/>
              <w:b/>
              <w:szCs w:val="44"/>
            </w:rPr>
            <w:t xml:space="preserve">第三部分 </w:t>
          </w:r>
          <w:r>
            <w:rPr>
              <w:rFonts w:hint="eastAsia" w:ascii="黑体" w:hAnsi="黑体" w:eastAsia="黑体"/>
              <w:b/>
              <w:szCs w:val="44"/>
              <w:highlight w:val="none"/>
            </w:rPr>
            <w:t>名</w:t>
          </w:r>
          <w:r>
            <w:rPr>
              <w:rFonts w:hint="eastAsia" w:ascii="黑体" w:hAnsi="黑体" w:eastAsia="黑体"/>
              <w:b/>
              <w:highlight w:val="none"/>
            </w:rPr>
            <w:t>词解释</w:t>
          </w:r>
          <w:r>
            <w:rPr>
              <w:b/>
            </w:rPr>
            <w:tab/>
          </w:r>
          <w:r>
            <w:rPr>
              <w:b/>
            </w:rPr>
            <w:fldChar w:fldCharType="begin"/>
          </w:r>
          <w:r>
            <w:rPr>
              <w:b/>
            </w:rPr>
            <w:instrText xml:space="preserve"> PAGEREF _Toc832 \h </w:instrText>
          </w:r>
          <w:r>
            <w:rPr>
              <w:b/>
            </w:rPr>
            <w:fldChar w:fldCharType="separate"/>
          </w:r>
          <w:r>
            <w:rPr>
              <w:b/>
            </w:rPr>
            <w:t>11</w:t>
          </w:r>
          <w:r>
            <w:rPr>
              <w:b/>
            </w:rPr>
            <w:fldChar w:fldCharType="end"/>
          </w:r>
          <w:r>
            <w:rPr>
              <w:rFonts w:hint="eastAsia"/>
              <w:b/>
              <w:color w:val="auto"/>
              <w:szCs w:val="28"/>
              <w:highlight w:val="none"/>
            </w:rPr>
            <w:fldChar w:fldCharType="end"/>
          </w:r>
        </w:p>
        <w:p>
          <w:pPr>
            <w:pStyle w:val="32"/>
            <w:tabs>
              <w:tab w:val="right" w:leader="dot" w:pos="8306"/>
            </w:tabs>
            <w:rPr>
              <w:b/>
            </w:rPr>
          </w:pPr>
          <w:r>
            <w:rPr>
              <w:rFonts w:hint="eastAsia"/>
              <w:b/>
              <w:color w:val="auto"/>
              <w:szCs w:val="28"/>
              <w:highlight w:val="none"/>
            </w:rPr>
            <w:fldChar w:fldCharType="begin"/>
          </w:r>
          <w:r>
            <w:rPr>
              <w:rFonts w:hint="eastAsia"/>
              <w:b/>
              <w:szCs w:val="28"/>
              <w:highlight w:val="none"/>
            </w:rPr>
            <w:instrText xml:space="preserve"> HYPERLINK \l _Toc9382 </w:instrText>
          </w:r>
          <w:r>
            <w:rPr>
              <w:rFonts w:hint="eastAsia"/>
              <w:b/>
              <w:szCs w:val="28"/>
              <w:highlight w:val="none"/>
            </w:rPr>
            <w:fldChar w:fldCharType="separate"/>
          </w:r>
          <w:r>
            <w:rPr>
              <w:rFonts w:hint="eastAsia" w:ascii="黑体" w:hAnsi="黑体" w:eastAsia="黑体"/>
              <w:b/>
              <w:szCs w:val="44"/>
              <w:highlight w:val="none"/>
            </w:rPr>
            <w:t>第</w:t>
          </w:r>
          <w:r>
            <w:rPr>
              <w:rFonts w:hint="eastAsia" w:ascii="黑体" w:hAnsi="黑体" w:eastAsia="黑体"/>
              <w:b/>
              <w:highlight w:val="none"/>
            </w:rPr>
            <w:t>四部分 附件</w:t>
          </w:r>
          <w:r>
            <w:rPr>
              <w:b/>
            </w:rPr>
            <w:tab/>
          </w:r>
          <w:r>
            <w:rPr>
              <w:b/>
            </w:rPr>
            <w:fldChar w:fldCharType="begin"/>
          </w:r>
          <w:r>
            <w:rPr>
              <w:b/>
            </w:rPr>
            <w:instrText xml:space="preserve"> PAGEREF _Toc9382 \h </w:instrText>
          </w:r>
          <w:r>
            <w:rPr>
              <w:b/>
            </w:rPr>
            <w:fldChar w:fldCharType="separate"/>
          </w:r>
          <w:r>
            <w:rPr>
              <w:b/>
            </w:rPr>
            <w:t>14</w:t>
          </w:r>
          <w:r>
            <w:rPr>
              <w:b/>
            </w:rPr>
            <w:fldChar w:fldCharType="end"/>
          </w:r>
          <w:r>
            <w:rPr>
              <w:rFonts w:hint="eastAsia"/>
              <w:b/>
              <w:color w:val="auto"/>
              <w:szCs w:val="28"/>
              <w:highlight w:val="none"/>
            </w:rPr>
            <w:fldChar w:fldCharType="end"/>
          </w:r>
        </w:p>
        <w:p>
          <w:pPr>
            <w:pStyle w:val="32"/>
            <w:tabs>
              <w:tab w:val="right" w:leader="dot" w:pos="8306"/>
            </w:tabs>
            <w:rPr>
              <w:b/>
            </w:rPr>
          </w:pPr>
          <w:r>
            <w:rPr>
              <w:rFonts w:hint="eastAsia"/>
              <w:b/>
              <w:color w:val="auto"/>
              <w:szCs w:val="28"/>
              <w:highlight w:val="none"/>
            </w:rPr>
            <w:fldChar w:fldCharType="begin"/>
          </w:r>
          <w:r>
            <w:rPr>
              <w:rFonts w:hint="eastAsia"/>
              <w:b/>
              <w:szCs w:val="28"/>
              <w:highlight w:val="none"/>
            </w:rPr>
            <w:instrText xml:space="preserve"> HYPERLINK \l _Toc23934 </w:instrText>
          </w:r>
          <w:r>
            <w:rPr>
              <w:rFonts w:hint="eastAsia"/>
              <w:b/>
              <w:szCs w:val="28"/>
              <w:highlight w:val="none"/>
            </w:rPr>
            <w:fldChar w:fldCharType="separate"/>
          </w:r>
          <w:r>
            <w:rPr>
              <w:rFonts w:hint="eastAsia" w:ascii="黑体" w:hAnsi="黑体" w:eastAsia="黑体"/>
              <w:b/>
              <w:szCs w:val="44"/>
              <w:highlight w:val="none"/>
            </w:rPr>
            <w:t>第</w:t>
          </w:r>
          <w:r>
            <w:rPr>
              <w:rFonts w:hint="eastAsia" w:ascii="黑体" w:hAnsi="黑体" w:eastAsia="黑体"/>
              <w:b/>
              <w:highlight w:val="none"/>
            </w:rPr>
            <w:t>五部分 附表</w:t>
          </w:r>
          <w:r>
            <w:rPr>
              <w:b/>
            </w:rPr>
            <w:tab/>
          </w:r>
          <w:r>
            <w:rPr>
              <w:rFonts w:hint="eastAsia"/>
              <w:b/>
              <w:lang w:val="en-US" w:eastAsia="zh-CN"/>
            </w:rPr>
            <w:t>39</w:t>
          </w:r>
          <w:r>
            <w:rPr>
              <w:rFonts w:hint="eastAsia"/>
              <w:b/>
              <w:color w:val="auto"/>
              <w:szCs w:val="28"/>
              <w:highlight w:val="none"/>
            </w:rPr>
            <w:fldChar w:fldCharType="end"/>
          </w:r>
        </w:p>
        <w:p>
          <w:pPr>
            <w:pStyle w:val="33"/>
            <w:tabs>
              <w:tab w:val="right" w:leader="dot" w:pos="8306"/>
            </w:tabs>
            <w:rPr>
              <w:rFonts w:hint="eastAsia" w:eastAsiaTheme="minorEastAsia"/>
              <w:lang w:val="en-US" w:eastAsia="zh-CN"/>
            </w:rPr>
          </w:pPr>
          <w:r>
            <w:rPr>
              <w:rFonts w:hint="eastAsia"/>
              <w:color w:val="auto"/>
              <w:szCs w:val="28"/>
              <w:highlight w:val="none"/>
            </w:rPr>
            <w:fldChar w:fldCharType="begin"/>
          </w:r>
          <w:r>
            <w:rPr>
              <w:rFonts w:hint="eastAsia"/>
              <w:szCs w:val="28"/>
              <w:highlight w:val="none"/>
            </w:rPr>
            <w:instrText xml:space="preserve"> HYPERLINK \l _Toc6174 </w:instrText>
          </w:r>
          <w:r>
            <w:rPr>
              <w:rFonts w:hint="eastAsia"/>
              <w:szCs w:val="28"/>
              <w:highlight w:val="none"/>
            </w:rPr>
            <w:fldChar w:fldCharType="separate"/>
          </w:r>
          <w:r>
            <w:rPr>
              <w:rFonts w:hint="eastAsia" w:ascii="仿宋" w:hAnsi="仿宋" w:eastAsia="仿宋"/>
              <w:highlight w:val="none"/>
            </w:rPr>
            <w:t>一、收</w:t>
          </w:r>
          <w:r>
            <w:rPr>
              <w:rFonts w:hint="eastAsia" w:ascii="仿宋" w:hAnsi="仿宋" w:eastAsia="仿宋"/>
              <w:bCs w:val="0"/>
              <w:highlight w:val="none"/>
            </w:rPr>
            <w:t>入支出决算总表</w:t>
          </w:r>
          <w:r>
            <w:tab/>
          </w:r>
          <w:r>
            <w:rPr>
              <w:rFonts w:hint="eastAsia"/>
              <w:lang w:val="en-US" w:eastAsia="zh-CN"/>
            </w:rPr>
            <w:t>3</w:t>
          </w:r>
          <w:r>
            <w:rPr>
              <w:rFonts w:hint="eastAsia"/>
              <w:color w:val="auto"/>
              <w:szCs w:val="28"/>
              <w:highlight w:val="none"/>
            </w:rPr>
            <w:fldChar w:fldCharType="end"/>
          </w:r>
          <w:r>
            <w:rPr>
              <w:rFonts w:hint="eastAsia"/>
              <w:color w:val="auto"/>
              <w:szCs w:val="28"/>
              <w:highlight w:val="none"/>
              <w:lang w:val="en-US" w:eastAsia="zh-CN"/>
            </w:rPr>
            <w:t>9</w:t>
          </w:r>
        </w:p>
        <w:p>
          <w:pPr>
            <w:pStyle w:val="33"/>
            <w:tabs>
              <w:tab w:val="right" w:leader="dot" w:pos="8306"/>
            </w:tabs>
            <w:rPr>
              <w:rFonts w:hint="eastAsia" w:eastAsiaTheme="minorEastAsia"/>
              <w:lang w:val="en-US" w:eastAsia="zh-CN"/>
            </w:rPr>
          </w:pPr>
          <w:r>
            <w:rPr>
              <w:rFonts w:hint="eastAsia"/>
              <w:color w:val="auto"/>
              <w:szCs w:val="28"/>
              <w:highlight w:val="none"/>
            </w:rPr>
            <w:fldChar w:fldCharType="begin"/>
          </w:r>
          <w:r>
            <w:rPr>
              <w:rFonts w:hint="eastAsia"/>
              <w:szCs w:val="28"/>
              <w:highlight w:val="none"/>
            </w:rPr>
            <w:instrText xml:space="preserve"> HYPERLINK \l _Toc21367 </w:instrText>
          </w:r>
          <w:r>
            <w:rPr>
              <w:rFonts w:hint="eastAsia"/>
              <w:szCs w:val="28"/>
              <w:highlight w:val="none"/>
            </w:rPr>
            <w:fldChar w:fldCharType="separate"/>
          </w:r>
          <w:r>
            <w:rPr>
              <w:rFonts w:hint="eastAsia" w:ascii="仿宋" w:hAnsi="仿宋" w:eastAsia="仿宋"/>
              <w:highlight w:val="none"/>
            </w:rPr>
            <w:t>二、收</w:t>
          </w:r>
          <w:r>
            <w:rPr>
              <w:rFonts w:hint="eastAsia" w:ascii="仿宋" w:hAnsi="仿宋" w:eastAsia="仿宋"/>
              <w:bCs w:val="0"/>
              <w:highlight w:val="none"/>
            </w:rPr>
            <w:t>入决算表</w:t>
          </w:r>
          <w:r>
            <w:tab/>
          </w:r>
          <w:r>
            <w:rPr>
              <w:rFonts w:hint="eastAsia"/>
              <w:lang w:val="en-US" w:eastAsia="zh-CN"/>
            </w:rPr>
            <w:t>3</w:t>
          </w:r>
          <w:r>
            <w:rPr>
              <w:rFonts w:hint="eastAsia"/>
              <w:color w:val="auto"/>
              <w:szCs w:val="28"/>
              <w:highlight w:val="none"/>
            </w:rPr>
            <w:fldChar w:fldCharType="end"/>
          </w:r>
          <w:r>
            <w:rPr>
              <w:rFonts w:hint="eastAsia"/>
              <w:color w:val="auto"/>
              <w:szCs w:val="28"/>
              <w:highlight w:val="none"/>
              <w:lang w:val="en-US" w:eastAsia="zh-CN"/>
            </w:rPr>
            <w:t>9</w:t>
          </w:r>
        </w:p>
        <w:p>
          <w:pPr>
            <w:pStyle w:val="33"/>
            <w:tabs>
              <w:tab w:val="right" w:leader="dot" w:pos="8306"/>
            </w:tabs>
            <w:rPr>
              <w:rFonts w:hint="eastAsia" w:eastAsiaTheme="minorEastAsia"/>
              <w:lang w:val="en-US" w:eastAsia="zh-CN"/>
            </w:rPr>
          </w:pPr>
          <w:r>
            <w:rPr>
              <w:rFonts w:hint="eastAsia"/>
              <w:color w:val="auto"/>
              <w:szCs w:val="28"/>
              <w:highlight w:val="none"/>
            </w:rPr>
            <w:fldChar w:fldCharType="begin"/>
          </w:r>
          <w:r>
            <w:rPr>
              <w:rFonts w:hint="eastAsia"/>
              <w:szCs w:val="28"/>
              <w:highlight w:val="none"/>
            </w:rPr>
            <w:instrText xml:space="preserve"> HYPERLINK \l _Toc20395 </w:instrText>
          </w:r>
          <w:r>
            <w:rPr>
              <w:rFonts w:hint="eastAsia"/>
              <w:szCs w:val="28"/>
              <w:highlight w:val="none"/>
            </w:rPr>
            <w:fldChar w:fldCharType="separate"/>
          </w:r>
          <w:r>
            <w:rPr>
              <w:rFonts w:hint="eastAsia" w:ascii="仿宋" w:hAnsi="仿宋" w:eastAsia="仿宋"/>
              <w:bCs w:val="0"/>
              <w:highlight w:val="none"/>
            </w:rPr>
            <w:t>三、</w:t>
          </w:r>
          <w:r>
            <w:rPr>
              <w:rFonts w:hint="eastAsia" w:ascii="仿宋" w:hAnsi="仿宋" w:eastAsia="仿宋"/>
              <w:highlight w:val="none"/>
            </w:rPr>
            <w:t>支</w:t>
          </w:r>
          <w:r>
            <w:rPr>
              <w:rFonts w:hint="eastAsia" w:ascii="仿宋" w:hAnsi="仿宋" w:eastAsia="仿宋"/>
              <w:bCs w:val="0"/>
              <w:highlight w:val="none"/>
            </w:rPr>
            <w:t>出决算表</w:t>
          </w:r>
          <w:r>
            <w:tab/>
          </w:r>
          <w:r>
            <w:rPr>
              <w:rFonts w:hint="eastAsia"/>
              <w:lang w:val="en-US" w:eastAsia="zh-CN"/>
            </w:rPr>
            <w:t>3</w:t>
          </w:r>
          <w:r>
            <w:rPr>
              <w:rFonts w:hint="eastAsia"/>
              <w:color w:val="auto"/>
              <w:szCs w:val="28"/>
              <w:highlight w:val="none"/>
            </w:rPr>
            <w:fldChar w:fldCharType="end"/>
          </w:r>
          <w:r>
            <w:rPr>
              <w:rFonts w:hint="eastAsia"/>
              <w:color w:val="auto"/>
              <w:szCs w:val="28"/>
              <w:highlight w:val="none"/>
              <w:lang w:val="en-US" w:eastAsia="zh-CN"/>
            </w:rPr>
            <w:t>9</w:t>
          </w:r>
        </w:p>
        <w:p>
          <w:pPr>
            <w:pStyle w:val="33"/>
            <w:tabs>
              <w:tab w:val="right" w:leader="dot" w:pos="8306"/>
            </w:tabs>
            <w:rPr>
              <w:rFonts w:hint="eastAsia" w:eastAsiaTheme="minorEastAsia"/>
              <w:lang w:val="en-US" w:eastAsia="zh-CN"/>
            </w:rPr>
          </w:pPr>
          <w:r>
            <w:rPr>
              <w:rFonts w:hint="eastAsia"/>
              <w:color w:val="auto"/>
              <w:szCs w:val="28"/>
              <w:highlight w:val="none"/>
            </w:rPr>
            <w:fldChar w:fldCharType="begin"/>
          </w:r>
          <w:r>
            <w:rPr>
              <w:rFonts w:hint="eastAsia"/>
              <w:szCs w:val="28"/>
              <w:highlight w:val="none"/>
            </w:rPr>
            <w:instrText xml:space="preserve"> HYPERLINK \l _Toc16518 </w:instrText>
          </w:r>
          <w:r>
            <w:rPr>
              <w:rFonts w:hint="eastAsia"/>
              <w:szCs w:val="28"/>
              <w:highlight w:val="none"/>
            </w:rPr>
            <w:fldChar w:fldCharType="separate"/>
          </w:r>
          <w:r>
            <w:rPr>
              <w:rFonts w:hint="eastAsia" w:ascii="仿宋" w:hAnsi="仿宋" w:eastAsia="仿宋"/>
              <w:bCs w:val="0"/>
              <w:highlight w:val="none"/>
            </w:rPr>
            <w:t>四、</w:t>
          </w:r>
          <w:r>
            <w:rPr>
              <w:rFonts w:hint="eastAsia" w:ascii="仿宋" w:hAnsi="仿宋" w:eastAsia="仿宋"/>
              <w:highlight w:val="none"/>
            </w:rPr>
            <w:t>财</w:t>
          </w:r>
          <w:r>
            <w:rPr>
              <w:rFonts w:hint="eastAsia" w:ascii="仿宋" w:hAnsi="仿宋" w:eastAsia="仿宋"/>
              <w:bCs w:val="0"/>
              <w:highlight w:val="none"/>
            </w:rPr>
            <w:t>政拨款收入支出决算总表</w:t>
          </w:r>
          <w:r>
            <w:tab/>
          </w:r>
          <w:r>
            <w:rPr>
              <w:rFonts w:hint="eastAsia"/>
              <w:lang w:val="en-US" w:eastAsia="zh-CN"/>
            </w:rPr>
            <w:t>3</w:t>
          </w:r>
          <w:r>
            <w:rPr>
              <w:rFonts w:hint="eastAsia"/>
              <w:color w:val="auto"/>
              <w:szCs w:val="28"/>
              <w:highlight w:val="none"/>
            </w:rPr>
            <w:fldChar w:fldCharType="end"/>
          </w:r>
          <w:r>
            <w:rPr>
              <w:rFonts w:hint="eastAsia"/>
              <w:color w:val="auto"/>
              <w:szCs w:val="28"/>
              <w:highlight w:val="none"/>
              <w:lang w:val="en-US" w:eastAsia="zh-CN"/>
            </w:rPr>
            <w:t>9</w:t>
          </w:r>
        </w:p>
        <w:p>
          <w:pPr>
            <w:pStyle w:val="33"/>
            <w:tabs>
              <w:tab w:val="right" w:leader="dot" w:pos="8306"/>
            </w:tabs>
            <w:rPr>
              <w:rFonts w:hint="default" w:eastAsiaTheme="minorEastAsia"/>
              <w:lang w:val="en-US" w:eastAsia="zh-CN"/>
            </w:rPr>
          </w:pPr>
          <w:r>
            <w:rPr>
              <w:rFonts w:hint="eastAsia"/>
              <w:color w:val="auto"/>
              <w:szCs w:val="28"/>
              <w:highlight w:val="none"/>
            </w:rPr>
            <w:fldChar w:fldCharType="begin"/>
          </w:r>
          <w:r>
            <w:rPr>
              <w:rFonts w:hint="eastAsia"/>
              <w:szCs w:val="28"/>
              <w:highlight w:val="none"/>
            </w:rPr>
            <w:instrText xml:space="preserve"> HYPERLINK \l _Toc11525 </w:instrText>
          </w:r>
          <w:r>
            <w:rPr>
              <w:rFonts w:hint="eastAsia"/>
              <w:szCs w:val="28"/>
              <w:highlight w:val="none"/>
            </w:rPr>
            <w:fldChar w:fldCharType="separate"/>
          </w:r>
          <w:r>
            <w:rPr>
              <w:rFonts w:hint="eastAsia" w:ascii="仿宋" w:hAnsi="仿宋" w:eastAsia="仿宋"/>
              <w:bCs w:val="0"/>
              <w:highlight w:val="none"/>
            </w:rPr>
            <w:t>五、</w:t>
          </w:r>
          <w:r>
            <w:rPr>
              <w:rFonts w:hint="eastAsia" w:ascii="仿宋" w:hAnsi="仿宋" w:eastAsia="仿宋"/>
              <w:highlight w:val="none"/>
            </w:rPr>
            <w:t>财</w:t>
          </w:r>
          <w:r>
            <w:rPr>
              <w:rFonts w:hint="eastAsia" w:ascii="仿宋" w:hAnsi="仿宋" w:eastAsia="仿宋"/>
              <w:bCs w:val="0"/>
              <w:highlight w:val="none"/>
            </w:rPr>
            <w:t>政拨款支出决算明细表</w:t>
          </w:r>
          <w:r>
            <w:tab/>
          </w:r>
          <w:r>
            <w:rPr>
              <w:rFonts w:hint="eastAsia"/>
              <w:lang w:val="en-US" w:eastAsia="zh-CN"/>
            </w:rPr>
            <w:t>.</w:t>
          </w:r>
          <w:r>
            <w:rPr>
              <w:rFonts w:hint="eastAsia"/>
              <w:color w:val="auto"/>
              <w:szCs w:val="28"/>
              <w:highlight w:val="none"/>
            </w:rPr>
            <w:fldChar w:fldCharType="end"/>
          </w:r>
          <w:r>
            <w:rPr>
              <w:rFonts w:hint="eastAsia"/>
              <w:color w:val="auto"/>
              <w:szCs w:val="28"/>
              <w:highlight w:val="none"/>
              <w:lang w:val="en-US" w:eastAsia="zh-CN"/>
            </w:rPr>
            <w:t>39</w:t>
          </w:r>
        </w:p>
        <w:p>
          <w:pPr>
            <w:pStyle w:val="33"/>
            <w:tabs>
              <w:tab w:val="right" w:leader="dot" w:pos="8306"/>
            </w:tabs>
          </w:pPr>
          <w:r>
            <w:rPr>
              <w:rFonts w:hint="eastAsia"/>
              <w:color w:val="auto"/>
              <w:szCs w:val="28"/>
              <w:highlight w:val="none"/>
            </w:rPr>
            <w:fldChar w:fldCharType="begin"/>
          </w:r>
          <w:r>
            <w:rPr>
              <w:rFonts w:hint="eastAsia"/>
              <w:szCs w:val="28"/>
              <w:highlight w:val="none"/>
            </w:rPr>
            <w:instrText xml:space="preserve"> HYPERLINK \l _Toc7175 </w:instrText>
          </w:r>
          <w:r>
            <w:rPr>
              <w:rFonts w:hint="eastAsia"/>
              <w:szCs w:val="28"/>
              <w:highlight w:val="none"/>
            </w:rPr>
            <w:fldChar w:fldCharType="separate"/>
          </w:r>
          <w:r>
            <w:rPr>
              <w:rFonts w:hint="eastAsia" w:ascii="仿宋" w:hAnsi="仿宋" w:eastAsia="仿宋"/>
              <w:bCs w:val="0"/>
              <w:highlight w:val="none"/>
            </w:rPr>
            <w:t>六、</w:t>
          </w:r>
          <w:r>
            <w:rPr>
              <w:rFonts w:hint="eastAsia" w:ascii="仿宋" w:hAnsi="仿宋" w:eastAsia="仿宋"/>
              <w:highlight w:val="none"/>
            </w:rPr>
            <w:t>一</w:t>
          </w:r>
          <w:r>
            <w:rPr>
              <w:rFonts w:hint="eastAsia" w:ascii="仿宋" w:hAnsi="仿宋" w:eastAsia="仿宋"/>
              <w:bCs w:val="0"/>
              <w:highlight w:val="none"/>
            </w:rPr>
            <w:t>般公共预算财政拨款支出决算表</w:t>
          </w:r>
          <w:r>
            <w:tab/>
          </w:r>
          <w:r>
            <w:rPr>
              <w:rFonts w:hint="eastAsia"/>
              <w:lang w:val="en-US" w:eastAsia="zh-CN"/>
            </w:rPr>
            <w:t>.39</w:t>
          </w:r>
          <w:r>
            <w:rPr>
              <w:rFonts w:hint="eastAsia"/>
              <w:color w:val="auto"/>
              <w:szCs w:val="28"/>
              <w:highlight w:val="none"/>
            </w:rPr>
            <w:fldChar w:fldCharType="end"/>
          </w:r>
        </w:p>
        <w:p>
          <w:pPr>
            <w:pStyle w:val="33"/>
            <w:tabs>
              <w:tab w:val="right" w:leader="dot" w:pos="8306"/>
            </w:tabs>
            <w:rPr>
              <w:rFonts w:hint="eastAsia" w:eastAsiaTheme="minorEastAsia"/>
              <w:lang w:val="en-US" w:eastAsia="zh-CN"/>
            </w:rPr>
          </w:pPr>
          <w:r>
            <w:rPr>
              <w:rFonts w:hint="eastAsia"/>
              <w:color w:val="auto"/>
              <w:szCs w:val="28"/>
              <w:highlight w:val="none"/>
            </w:rPr>
            <w:fldChar w:fldCharType="begin"/>
          </w:r>
          <w:r>
            <w:rPr>
              <w:rFonts w:hint="eastAsia"/>
              <w:szCs w:val="28"/>
              <w:highlight w:val="none"/>
            </w:rPr>
            <w:instrText xml:space="preserve"> HYPERLINK \l _Toc7287 </w:instrText>
          </w:r>
          <w:r>
            <w:rPr>
              <w:rFonts w:hint="eastAsia"/>
              <w:szCs w:val="28"/>
              <w:highlight w:val="none"/>
            </w:rPr>
            <w:fldChar w:fldCharType="separate"/>
          </w:r>
          <w:r>
            <w:rPr>
              <w:rFonts w:hint="eastAsia" w:ascii="仿宋" w:hAnsi="仿宋" w:eastAsia="仿宋"/>
              <w:bCs w:val="0"/>
              <w:highlight w:val="none"/>
            </w:rPr>
            <w:t>七、</w:t>
          </w:r>
          <w:r>
            <w:rPr>
              <w:rFonts w:hint="eastAsia" w:ascii="仿宋" w:hAnsi="仿宋" w:eastAsia="仿宋"/>
              <w:highlight w:val="none"/>
            </w:rPr>
            <w:t>一</w:t>
          </w:r>
          <w:r>
            <w:rPr>
              <w:rFonts w:hint="eastAsia" w:ascii="仿宋" w:hAnsi="仿宋" w:eastAsia="仿宋"/>
              <w:bCs w:val="0"/>
              <w:highlight w:val="none"/>
            </w:rPr>
            <w:t>般公共预算财政拨款支出决算明细表</w:t>
          </w:r>
          <w:r>
            <w:tab/>
          </w:r>
          <w:r>
            <w:rPr>
              <w:rFonts w:hint="eastAsia"/>
              <w:lang w:val="en-US" w:eastAsia="zh-CN"/>
            </w:rPr>
            <w:t>3</w:t>
          </w:r>
          <w:r>
            <w:rPr>
              <w:rFonts w:hint="eastAsia"/>
              <w:color w:val="auto"/>
              <w:szCs w:val="28"/>
              <w:highlight w:val="none"/>
            </w:rPr>
            <w:fldChar w:fldCharType="end"/>
          </w:r>
          <w:r>
            <w:rPr>
              <w:rFonts w:hint="eastAsia"/>
              <w:color w:val="auto"/>
              <w:szCs w:val="28"/>
              <w:highlight w:val="none"/>
              <w:lang w:val="en-US" w:eastAsia="zh-CN"/>
            </w:rPr>
            <w:t>9</w:t>
          </w:r>
        </w:p>
        <w:p>
          <w:pPr>
            <w:pStyle w:val="33"/>
            <w:tabs>
              <w:tab w:val="right" w:leader="dot" w:pos="8306"/>
            </w:tabs>
            <w:rPr>
              <w:rFonts w:hint="eastAsia" w:eastAsiaTheme="minorEastAsia"/>
              <w:lang w:val="en-US" w:eastAsia="zh-CN"/>
            </w:rPr>
          </w:pPr>
          <w:r>
            <w:rPr>
              <w:rFonts w:hint="eastAsia"/>
              <w:color w:val="auto"/>
              <w:szCs w:val="28"/>
              <w:highlight w:val="none"/>
            </w:rPr>
            <w:fldChar w:fldCharType="begin"/>
          </w:r>
          <w:r>
            <w:rPr>
              <w:rFonts w:hint="eastAsia"/>
              <w:szCs w:val="28"/>
              <w:highlight w:val="none"/>
            </w:rPr>
            <w:instrText xml:space="preserve"> HYPERLINK \l _Toc12788 </w:instrText>
          </w:r>
          <w:r>
            <w:rPr>
              <w:rFonts w:hint="eastAsia"/>
              <w:szCs w:val="28"/>
              <w:highlight w:val="none"/>
            </w:rPr>
            <w:fldChar w:fldCharType="separate"/>
          </w:r>
          <w:r>
            <w:rPr>
              <w:rFonts w:hint="eastAsia" w:ascii="仿宋" w:hAnsi="仿宋" w:eastAsia="仿宋"/>
              <w:bCs w:val="0"/>
              <w:highlight w:val="none"/>
            </w:rPr>
            <w:t>八、</w:t>
          </w:r>
          <w:r>
            <w:rPr>
              <w:rFonts w:hint="eastAsia" w:ascii="仿宋" w:hAnsi="仿宋" w:eastAsia="仿宋"/>
              <w:highlight w:val="none"/>
            </w:rPr>
            <w:t>一</w:t>
          </w:r>
          <w:r>
            <w:rPr>
              <w:rFonts w:hint="eastAsia" w:ascii="仿宋" w:hAnsi="仿宋" w:eastAsia="仿宋"/>
              <w:bCs w:val="0"/>
              <w:highlight w:val="none"/>
            </w:rPr>
            <w:t>般公共预算财政拨款基本支出决算表</w:t>
          </w:r>
          <w:r>
            <w:tab/>
          </w:r>
          <w:r>
            <w:rPr>
              <w:rFonts w:hint="eastAsia"/>
              <w:lang w:val="en-US" w:eastAsia="zh-CN"/>
            </w:rPr>
            <w:t>3</w:t>
          </w:r>
          <w:r>
            <w:rPr>
              <w:rFonts w:hint="eastAsia"/>
              <w:color w:val="auto"/>
              <w:szCs w:val="28"/>
              <w:highlight w:val="none"/>
            </w:rPr>
            <w:fldChar w:fldCharType="end"/>
          </w:r>
          <w:r>
            <w:rPr>
              <w:rFonts w:hint="eastAsia"/>
              <w:color w:val="auto"/>
              <w:szCs w:val="28"/>
              <w:highlight w:val="none"/>
              <w:lang w:val="en-US" w:eastAsia="zh-CN"/>
            </w:rPr>
            <w:t>9</w:t>
          </w:r>
        </w:p>
        <w:p>
          <w:pPr>
            <w:pStyle w:val="33"/>
            <w:tabs>
              <w:tab w:val="right" w:leader="dot" w:pos="8306"/>
            </w:tabs>
            <w:rPr>
              <w:rFonts w:hint="eastAsia" w:eastAsiaTheme="minorEastAsia"/>
              <w:lang w:val="en-US" w:eastAsia="zh-CN"/>
            </w:rPr>
          </w:pPr>
          <w:r>
            <w:rPr>
              <w:rFonts w:hint="eastAsia"/>
              <w:color w:val="auto"/>
              <w:szCs w:val="28"/>
              <w:highlight w:val="none"/>
            </w:rPr>
            <w:fldChar w:fldCharType="begin"/>
          </w:r>
          <w:r>
            <w:rPr>
              <w:rFonts w:hint="eastAsia"/>
              <w:szCs w:val="28"/>
              <w:highlight w:val="none"/>
            </w:rPr>
            <w:instrText xml:space="preserve"> HYPERLINK \l _Toc28547 </w:instrText>
          </w:r>
          <w:r>
            <w:rPr>
              <w:rFonts w:hint="eastAsia"/>
              <w:szCs w:val="28"/>
              <w:highlight w:val="none"/>
            </w:rPr>
            <w:fldChar w:fldCharType="separate"/>
          </w:r>
          <w:r>
            <w:rPr>
              <w:rFonts w:hint="eastAsia" w:ascii="仿宋" w:hAnsi="仿宋" w:eastAsia="仿宋"/>
              <w:bCs w:val="0"/>
              <w:highlight w:val="none"/>
            </w:rPr>
            <w:t>九、</w:t>
          </w:r>
          <w:r>
            <w:rPr>
              <w:rFonts w:hint="eastAsia" w:ascii="仿宋" w:hAnsi="仿宋" w:eastAsia="仿宋"/>
              <w:highlight w:val="none"/>
            </w:rPr>
            <w:t>一</w:t>
          </w:r>
          <w:r>
            <w:rPr>
              <w:rFonts w:hint="eastAsia" w:ascii="仿宋" w:hAnsi="仿宋" w:eastAsia="仿宋"/>
              <w:bCs w:val="0"/>
              <w:highlight w:val="none"/>
            </w:rPr>
            <w:t>般公共预算财政拨款项目支出决算表</w:t>
          </w:r>
          <w:r>
            <w:tab/>
          </w:r>
          <w:r>
            <w:rPr>
              <w:rFonts w:hint="eastAsia"/>
              <w:lang w:val="en-US" w:eastAsia="zh-CN"/>
            </w:rPr>
            <w:t>3</w:t>
          </w:r>
          <w:r>
            <w:rPr>
              <w:rFonts w:hint="eastAsia"/>
              <w:color w:val="auto"/>
              <w:szCs w:val="28"/>
              <w:highlight w:val="none"/>
            </w:rPr>
            <w:fldChar w:fldCharType="end"/>
          </w:r>
          <w:r>
            <w:rPr>
              <w:rFonts w:hint="eastAsia"/>
              <w:color w:val="auto"/>
              <w:szCs w:val="28"/>
              <w:highlight w:val="none"/>
              <w:lang w:val="en-US" w:eastAsia="zh-CN"/>
            </w:rPr>
            <w:t>9</w:t>
          </w:r>
        </w:p>
        <w:p>
          <w:pPr>
            <w:pStyle w:val="33"/>
            <w:tabs>
              <w:tab w:val="right" w:leader="dot" w:pos="8306"/>
            </w:tabs>
            <w:rPr>
              <w:rFonts w:hint="eastAsia" w:eastAsiaTheme="minorEastAsia"/>
              <w:lang w:val="en-US" w:eastAsia="zh-CN"/>
            </w:rPr>
          </w:pPr>
          <w:r>
            <w:rPr>
              <w:rFonts w:hint="eastAsia"/>
              <w:color w:val="auto"/>
              <w:szCs w:val="28"/>
              <w:highlight w:val="none"/>
            </w:rPr>
            <w:fldChar w:fldCharType="begin"/>
          </w:r>
          <w:r>
            <w:rPr>
              <w:rFonts w:hint="eastAsia"/>
              <w:szCs w:val="28"/>
              <w:highlight w:val="none"/>
            </w:rPr>
            <w:instrText xml:space="preserve"> HYPERLINK \l _Toc13682 </w:instrText>
          </w:r>
          <w:r>
            <w:rPr>
              <w:rFonts w:hint="eastAsia"/>
              <w:szCs w:val="28"/>
              <w:highlight w:val="none"/>
            </w:rP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tab/>
          </w:r>
          <w:r>
            <w:rPr>
              <w:rFonts w:hint="eastAsia"/>
              <w:lang w:val="en-US" w:eastAsia="zh-CN"/>
            </w:rPr>
            <w:t>3</w:t>
          </w:r>
          <w:r>
            <w:rPr>
              <w:rFonts w:hint="eastAsia"/>
              <w:color w:val="auto"/>
              <w:szCs w:val="28"/>
              <w:highlight w:val="none"/>
            </w:rPr>
            <w:fldChar w:fldCharType="end"/>
          </w:r>
          <w:r>
            <w:rPr>
              <w:rFonts w:hint="eastAsia"/>
              <w:color w:val="auto"/>
              <w:szCs w:val="28"/>
              <w:highlight w:val="none"/>
              <w:lang w:val="en-US" w:eastAsia="zh-CN"/>
            </w:rPr>
            <w:t>9</w:t>
          </w:r>
        </w:p>
        <w:p>
          <w:pPr>
            <w:pStyle w:val="33"/>
            <w:tabs>
              <w:tab w:val="right" w:leader="dot" w:pos="8306"/>
            </w:tabs>
            <w:rPr>
              <w:rFonts w:hint="eastAsia" w:eastAsiaTheme="minorEastAsia"/>
              <w:lang w:val="en-US" w:eastAsia="zh-CN"/>
            </w:rPr>
          </w:pPr>
          <w:r>
            <w:rPr>
              <w:rFonts w:hint="eastAsia"/>
              <w:color w:val="auto"/>
              <w:szCs w:val="28"/>
              <w:highlight w:val="none"/>
            </w:rPr>
            <w:fldChar w:fldCharType="begin"/>
          </w:r>
          <w:r>
            <w:rPr>
              <w:rFonts w:hint="eastAsia"/>
              <w:szCs w:val="28"/>
              <w:highlight w:val="none"/>
            </w:rPr>
            <w:instrText xml:space="preserve"> HYPERLINK \l _Toc15806 </w:instrText>
          </w:r>
          <w:r>
            <w:rPr>
              <w:rFonts w:hint="eastAsia"/>
              <w:szCs w:val="28"/>
              <w:highlight w:val="none"/>
            </w:rP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tab/>
          </w:r>
          <w:r>
            <w:rPr>
              <w:rFonts w:hint="eastAsia"/>
              <w:lang w:val="en-US" w:eastAsia="zh-CN"/>
            </w:rPr>
            <w:t>3</w:t>
          </w:r>
          <w:r>
            <w:rPr>
              <w:rFonts w:hint="eastAsia"/>
              <w:color w:val="auto"/>
              <w:szCs w:val="28"/>
              <w:highlight w:val="none"/>
            </w:rPr>
            <w:fldChar w:fldCharType="end"/>
          </w:r>
          <w:r>
            <w:rPr>
              <w:rFonts w:hint="eastAsia"/>
              <w:color w:val="auto"/>
              <w:szCs w:val="28"/>
              <w:highlight w:val="none"/>
              <w:lang w:val="en-US" w:eastAsia="zh-CN"/>
            </w:rPr>
            <w:t>9</w:t>
          </w:r>
        </w:p>
        <w:p>
          <w:pPr>
            <w:pStyle w:val="33"/>
            <w:tabs>
              <w:tab w:val="right" w:leader="dot" w:pos="8306"/>
            </w:tabs>
            <w:rPr>
              <w:rFonts w:hint="eastAsia" w:eastAsiaTheme="minorEastAsia"/>
              <w:lang w:val="en-US" w:eastAsia="zh-CN"/>
            </w:rPr>
          </w:pPr>
          <w:r>
            <w:rPr>
              <w:rFonts w:hint="eastAsia"/>
              <w:color w:val="auto"/>
              <w:szCs w:val="28"/>
              <w:highlight w:val="none"/>
            </w:rPr>
            <w:fldChar w:fldCharType="begin"/>
          </w:r>
          <w:r>
            <w:rPr>
              <w:rFonts w:hint="eastAsia"/>
              <w:szCs w:val="28"/>
              <w:highlight w:val="none"/>
            </w:rPr>
            <w:instrText xml:space="preserve"> HYPERLINK \l _Toc21693 </w:instrText>
          </w:r>
          <w:r>
            <w:rPr>
              <w:rFonts w:hint="eastAsia"/>
              <w:szCs w:val="28"/>
              <w:highlight w:val="none"/>
            </w:rP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tab/>
          </w:r>
          <w:r>
            <w:rPr>
              <w:rFonts w:hint="eastAsia"/>
              <w:lang w:val="en-US" w:eastAsia="zh-CN"/>
            </w:rPr>
            <w:t>3</w:t>
          </w:r>
          <w:r>
            <w:rPr>
              <w:rFonts w:hint="eastAsia"/>
              <w:color w:val="auto"/>
              <w:szCs w:val="28"/>
              <w:highlight w:val="none"/>
            </w:rPr>
            <w:fldChar w:fldCharType="end"/>
          </w:r>
          <w:r>
            <w:rPr>
              <w:rFonts w:hint="eastAsia"/>
              <w:color w:val="auto"/>
              <w:szCs w:val="28"/>
              <w:highlight w:val="none"/>
              <w:lang w:val="en-US" w:eastAsia="zh-CN"/>
            </w:rPr>
            <w:t>9</w:t>
          </w:r>
        </w:p>
        <w:p>
          <w:pPr>
            <w:pStyle w:val="33"/>
            <w:tabs>
              <w:tab w:val="right" w:leader="dot" w:pos="8306"/>
            </w:tabs>
            <w:rPr>
              <w:rFonts w:hint="eastAsia" w:eastAsiaTheme="minorEastAsia"/>
              <w:lang w:val="en-US" w:eastAsia="zh-CN"/>
            </w:rPr>
          </w:pPr>
          <w:r>
            <w:rPr>
              <w:rFonts w:hint="eastAsia"/>
              <w:color w:val="auto"/>
              <w:szCs w:val="28"/>
              <w:highlight w:val="none"/>
            </w:rPr>
            <w:fldChar w:fldCharType="begin"/>
          </w:r>
          <w:r>
            <w:rPr>
              <w:rFonts w:hint="eastAsia"/>
              <w:szCs w:val="28"/>
              <w:highlight w:val="none"/>
            </w:rPr>
            <w:instrText xml:space="preserve"> HYPERLINK \l _Toc1417 </w:instrText>
          </w:r>
          <w:r>
            <w:rPr>
              <w:rFonts w:hint="eastAsia"/>
              <w:szCs w:val="28"/>
              <w:highlight w:val="none"/>
            </w:rP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tab/>
          </w:r>
          <w:r>
            <w:rPr>
              <w:rFonts w:hint="eastAsia"/>
              <w:lang w:val="en-US" w:eastAsia="zh-CN"/>
            </w:rPr>
            <w:t>3</w:t>
          </w:r>
          <w:r>
            <w:rPr>
              <w:rFonts w:hint="eastAsia"/>
              <w:color w:val="auto"/>
              <w:szCs w:val="28"/>
              <w:highlight w:val="none"/>
            </w:rPr>
            <w:fldChar w:fldCharType="end"/>
          </w:r>
          <w:r>
            <w:rPr>
              <w:rFonts w:hint="eastAsia"/>
              <w:color w:val="auto"/>
              <w:szCs w:val="28"/>
              <w:highlight w:val="none"/>
              <w:lang w:val="en-US" w:eastAsia="zh-CN"/>
            </w:rPr>
            <w:t>9</w:t>
          </w:r>
        </w:p>
        <w:p>
          <w:pPr>
            <w:pStyle w:val="13"/>
            <w:adjustRightInd w:val="0"/>
            <w:snapToGrid w:val="0"/>
            <w:spacing w:line="440" w:lineRule="exact"/>
            <w:ind w:left="0" w:leftChars="0" w:firstLine="0" w:firstLineChars="0"/>
            <w:jc w:val="left"/>
            <w:rPr>
              <w:rFonts w:hint="eastAsia"/>
            </w:rPr>
            <w:sectPr>
              <w:headerReference r:id="rId3" w:type="default"/>
              <w:pgSz w:w="11906" w:h="16838"/>
              <w:pgMar w:top="1440" w:right="1800" w:bottom="1440" w:left="1800" w:header="851" w:footer="992" w:gutter="0"/>
              <w:pgNumType w:start="1"/>
              <w:cols w:space="425" w:num="1"/>
              <w:titlePg/>
              <w:docGrid w:type="lines" w:linePitch="312" w:charSpace="0"/>
            </w:sectPr>
          </w:pPr>
          <w:r>
            <w:rPr>
              <w:rFonts w:hint="eastAsia"/>
              <w:b/>
              <w:color w:val="auto"/>
              <w:szCs w:val="28"/>
              <w:highlight w:val="none"/>
            </w:rPr>
            <w:fldChar w:fldCharType="end"/>
          </w:r>
          <w:bookmarkStart w:id="14" w:name="_Toc15396599"/>
          <w:bookmarkStart w:id="15" w:name="_Toc15377196"/>
        </w:p>
      </w:sdtContent>
    </w:sdt>
    <w:p>
      <w:pPr>
        <w:pStyle w:val="3"/>
        <w:jc w:val="center"/>
        <w:rPr>
          <w:rFonts w:ascii="黑体" w:eastAsia="黑体"/>
          <w:color w:val="auto"/>
          <w:sz w:val="32"/>
          <w:szCs w:val="32"/>
          <w:highlight w:val="none"/>
        </w:rPr>
      </w:pPr>
      <w:bookmarkStart w:id="16" w:name="_Toc27633"/>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18"/>
          <w:rFonts w:hint="eastAsia" w:ascii="黑体" w:hAnsi="黑体" w:eastAsia="黑体"/>
          <w:b w:val="0"/>
          <w:bCs w:val="0"/>
          <w:color w:val="auto"/>
          <w:highlight w:val="none"/>
        </w:rPr>
        <w:t>概况</w:t>
      </w:r>
      <w:bookmarkEnd w:id="14"/>
      <w:bookmarkEnd w:id="15"/>
      <w:bookmarkEnd w:id="16"/>
    </w:p>
    <w:p>
      <w:pPr>
        <w:pStyle w:val="4"/>
        <w:numPr>
          <w:ilvl w:val="0"/>
          <w:numId w:val="0"/>
        </w:numPr>
        <w:spacing w:before="0" w:after="0" w:line="240" w:lineRule="auto"/>
        <w:ind w:firstLine="640" w:firstLineChars="200"/>
        <w:rPr>
          <w:rFonts w:hint="eastAsia"/>
          <w:lang w:eastAsia="zh-CN"/>
        </w:rPr>
      </w:pPr>
      <w:bookmarkStart w:id="17" w:name="_Toc21936"/>
      <w:bookmarkStart w:id="18" w:name="_Toc15377197"/>
      <w:bookmarkStart w:id="19" w:name="_Toc15396600"/>
      <w:r>
        <w:rPr>
          <w:rStyle w:val="19"/>
          <w:rFonts w:hint="eastAsia" w:ascii="黑体" w:hAnsi="黑体" w:eastAsia="黑体"/>
          <w:b w:val="0"/>
          <w:bCs w:val="0"/>
          <w:color w:val="auto"/>
          <w:highlight w:val="none"/>
          <w:lang w:eastAsia="zh-CN"/>
        </w:rPr>
        <w:t>一、主要职责</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lang w:val="en-US" w:eastAsia="zh-CN"/>
        </w:rPr>
        <w:t>中共广元</w:t>
      </w:r>
      <w:r>
        <w:rPr>
          <w:rFonts w:hint="eastAsia" w:ascii="仿宋_GB2312" w:hAnsi="仿宋_GB2312" w:eastAsia="仿宋_GB2312" w:cs="仿宋_GB2312"/>
          <w:sz w:val="32"/>
          <w:szCs w:val="32"/>
          <w:lang w:eastAsia="zh-CN"/>
        </w:rPr>
        <w:t>市委办公室：负责中央、省委和市委重要工作部署贯彻落实的协调、督促、检查，中央、省委和市委工作指示、领导同志批示的传达和督办；负责市委会议、重大活动的准备和实施工作，市委领导同志活动的协调安排，市委领导同志文稿的撰写、修改和印制；围绕中央、省委和市委工作部署，搜集信息、反映动态、综合调研；负责市委日常公文的承办工作，负责中央、省委和市委文件的分发、管理等工作；负责市委规范性文件报送省委备案工作，承办全市党内规范性文件备案工作；负责党务公开工作，承担市委党务公开协调小组日常工作；统筹指导市级议事协调机构工作；承担市委机关和市委领导后勤服务保障工作；负责管理市委机关公共设施、办公设备等固定资产；负责市委领导办公区域的安全保卫和市委机关大院社会治安综合治理及安全防范工作；负责市委办公室及财务归口管理部门的财务管理；负责市委日常值班、统筹节假日值班；承担市委机关人事劳资工作及离退休人员管理工作；承担市档案局、市党史办（市地方志办）的行政职能；承担全市党政专用通信规划建设工作；代管市公务服务中心、市委党史研究室，归口管理市委保密机要局、市委目标绩效办的工作；负责党群口日常牵头工作；完成市委交办的其他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lang w:eastAsia="zh-CN"/>
        </w:rPr>
        <w:t>广元市公务服务中心：</w:t>
      </w:r>
      <w:r>
        <w:rPr>
          <w:rFonts w:hint="eastAsia" w:ascii="仿宋_GB2312" w:hAnsi="仿宋_GB2312" w:eastAsia="仿宋_GB2312" w:cs="仿宋_GB2312"/>
          <w:sz w:val="32"/>
          <w:szCs w:val="32"/>
          <w:highlight w:val="none"/>
        </w:rPr>
        <w:t>承担副部（省、军）级以上领导（含曾经担任）来广的服务保障；负责和参与省委、省政府及以上派出的各类巡视、检查、督查（督导、督察）、考察、调研、考核、审计等工作组来广的服务保障；会同有关部门做好中央、国家机关各部委（含各民主党派、工商联等）和省级部门厅级实职领导来广的服务保障；负责外市（州）党政代表团和人大、政协主要领导率队的考察团来广的协调联络和服务保障；负责我市党政代表团赴外地考察的协调联络和服务保障；负责市委</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市政府交办的由市公务服务中心承担的公务服务和招商引资事项的服务保障；负责联系协调市级有关部门及关联单位承办市委、市政府重大公务活动的服务工作；会同市级有关部门承担市委、市政府交办的大型会议、活动的接待服务保障工作；指导全市公务活动服务保障工作；负责管理市接待服务中心。</w:t>
      </w:r>
    </w:p>
    <w:p>
      <w:pPr>
        <w:pStyle w:val="4"/>
        <w:numPr>
          <w:ilvl w:val="0"/>
          <w:numId w:val="0"/>
        </w:numPr>
        <w:spacing w:before="0" w:after="0" w:line="240" w:lineRule="auto"/>
        <w:ind w:firstLine="640" w:firstLineChars="200"/>
        <w:rPr>
          <w:rStyle w:val="19"/>
          <w:rFonts w:hint="eastAsia" w:ascii="黑体" w:hAnsi="黑体" w:eastAsia="黑体"/>
          <w:b w:val="0"/>
          <w:bCs w:val="0"/>
          <w:color w:val="auto"/>
          <w:highlight w:val="none"/>
          <w:lang w:val="en-US" w:eastAsia="zh-CN"/>
        </w:rPr>
      </w:pPr>
      <w:bookmarkStart w:id="20" w:name="_Toc20144"/>
      <w:r>
        <w:rPr>
          <w:rStyle w:val="19"/>
          <w:rFonts w:hint="eastAsia" w:ascii="黑体" w:hAnsi="黑体" w:eastAsia="黑体"/>
          <w:b w:val="0"/>
          <w:bCs w:val="0"/>
          <w:color w:val="auto"/>
          <w:highlight w:val="none"/>
          <w:lang w:val="en-US" w:eastAsia="zh-CN"/>
        </w:rPr>
        <w:t>二、机构设置</w:t>
      </w:r>
      <w:bookmarkEnd w:id="20"/>
    </w:p>
    <w:p>
      <w:pPr>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中共广元市委办公室</w:t>
      </w:r>
      <w:r>
        <w:rPr>
          <w:rFonts w:hint="eastAsia" w:ascii="仿宋_GB2312" w:hAnsi="仿宋_GB2312" w:eastAsia="仿宋_GB2312" w:cs="仿宋_GB2312"/>
          <w:sz w:val="32"/>
          <w:szCs w:val="32"/>
          <w:lang w:val="en-US" w:eastAsia="zh-CN"/>
        </w:rPr>
        <w:t>机关属于市委办公室部门下属二级预算单位。下设独立编制机构4</w:t>
      </w:r>
      <w:r>
        <w:rPr>
          <w:rFonts w:hint="default" w:ascii="仿宋_GB2312" w:hAnsi="仿宋_GB2312" w:eastAsia="仿宋_GB2312" w:cs="仿宋_GB2312"/>
          <w:sz w:val="32"/>
          <w:szCs w:val="32"/>
          <w:lang w:val="en-US" w:eastAsia="zh-CN"/>
        </w:rPr>
        <w:t>个，其中行政机构</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个，参照公务员法管理的事业机构</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个，其他事业编制</w:t>
      </w: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个。纳入2022年度单位决算编制范围的独立编制机构包括：</w:t>
      </w:r>
    </w:p>
    <w:p>
      <w:pPr>
        <w:pageBreakBefore w:val="0"/>
        <w:numPr>
          <w:ilvl w:val="0"/>
          <w:numId w:val="1"/>
        </w:numPr>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中共广元市委办公室机关</w:t>
      </w:r>
      <w:r>
        <w:rPr>
          <w:rFonts w:hint="eastAsia" w:ascii="仿宋_GB2312" w:hAnsi="仿宋_GB2312" w:eastAsia="仿宋_GB2312" w:cs="仿宋_GB2312"/>
          <w:sz w:val="32"/>
          <w:szCs w:val="32"/>
          <w:lang w:val="en-US" w:eastAsia="zh-CN"/>
        </w:rPr>
        <w:t>;</w:t>
      </w:r>
    </w:p>
    <w:p>
      <w:pPr>
        <w:pageBreakBefore w:val="0"/>
        <w:numPr>
          <w:ilvl w:val="0"/>
          <w:numId w:val="1"/>
        </w:numPr>
        <w:kinsoku/>
        <w:wordWrap/>
        <w:overflowPunct/>
        <w:topLinePunct w:val="0"/>
        <w:autoSpaceDE/>
        <w:autoSpaceDN/>
        <w:bidi w:val="0"/>
        <w:spacing w:line="576"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市公务服务中心；</w:t>
      </w:r>
    </w:p>
    <w:p>
      <w:pPr>
        <w:pageBreakBefore w:val="0"/>
        <w:numPr>
          <w:ilvl w:val="0"/>
          <w:numId w:val="1"/>
        </w:numPr>
        <w:kinsoku/>
        <w:wordWrap/>
        <w:overflowPunct/>
        <w:topLinePunct w:val="0"/>
        <w:autoSpaceDE/>
        <w:autoSpaceDN/>
        <w:bidi w:val="0"/>
        <w:spacing w:line="576" w:lineRule="exact"/>
        <w:ind w:left="0"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市委办信息中心；</w:t>
      </w:r>
    </w:p>
    <w:p>
      <w:pPr>
        <w:pageBreakBefore w:val="0"/>
        <w:numPr>
          <w:ilvl w:val="0"/>
          <w:numId w:val="1"/>
        </w:numPr>
        <w:kinsoku/>
        <w:wordWrap/>
        <w:overflowPunct/>
        <w:topLinePunct w:val="0"/>
        <w:autoSpaceDE/>
        <w:autoSpaceDN/>
        <w:bidi w:val="0"/>
        <w:spacing w:line="576"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市接待服务中心。</w:t>
      </w:r>
    </w:p>
    <w:bookmarkEnd w:id="18"/>
    <w:bookmarkEnd w:id="19"/>
    <w:p>
      <w:pPr>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eastAsia="zh-CN"/>
        </w:rPr>
      </w:pPr>
      <w:bookmarkStart w:id="21" w:name="_Toc15377204"/>
      <w:bookmarkStart w:id="22" w:name="_Toc15396602"/>
    </w:p>
    <w:p>
      <w:pPr>
        <w:rPr>
          <w:rFonts w:hint="eastAsia"/>
        </w:rPr>
      </w:pPr>
    </w:p>
    <w:p>
      <w:pPr>
        <w:pStyle w:val="3"/>
        <w:ind w:right="440"/>
        <w:jc w:val="center"/>
        <w:rPr>
          <w:rStyle w:val="18"/>
          <w:rFonts w:ascii="黑体" w:hAnsi="黑体" w:eastAsia="黑体"/>
          <w:b w:val="0"/>
          <w:bCs/>
          <w:color w:val="auto"/>
          <w:highlight w:val="none"/>
        </w:rPr>
      </w:pPr>
      <w:r>
        <w:rPr>
          <w:rFonts w:hint="eastAsia" w:ascii="黑体" w:hAnsi="黑体" w:eastAsia="黑体"/>
          <w:b w:val="0"/>
          <w:bCs/>
          <w:color w:val="auto"/>
          <w:highlight w:val="none"/>
          <w:lang w:val="en-US" w:eastAsia="zh-CN"/>
        </w:rPr>
        <w:t xml:space="preserve">  </w:t>
      </w:r>
      <w:bookmarkStart w:id="23" w:name="_Toc13868"/>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18"/>
          <w:rFonts w:hint="eastAsia" w:ascii="黑体" w:hAnsi="黑体" w:eastAsia="黑体"/>
          <w:b w:val="0"/>
          <w:bCs/>
          <w:color w:val="auto"/>
          <w:highlight w:val="none"/>
          <w:lang w:eastAsia="zh-CN"/>
        </w:rPr>
        <w:t>单位</w:t>
      </w:r>
      <w:r>
        <w:rPr>
          <w:rStyle w:val="18"/>
          <w:rFonts w:hint="eastAsia" w:ascii="黑体" w:hAnsi="黑体" w:eastAsia="黑体"/>
          <w:b w:val="0"/>
          <w:bCs/>
          <w:color w:val="auto"/>
          <w:highlight w:val="none"/>
        </w:rPr>
        <w:t>决算情况说明</w:t>
      </w:r>
      <w:bookmarkEnd w:id="21"/>
      <w:bookmarkEnd w:id="22"/>
      <w:bookmarkEnd w:id="23"/>
    </w:p>
    <w:p>
      <w:pPr>
        <w:rPr>
          <w:color w:val="auto"/>
          <w:highlight w:val="none"/>
        </w:rPr>
      </w:pPr>
    </w:p>
    <w:p>
      <w:pPr>
        <w:pStyle w:val="28"/>
        <w:numPr>
          <w:ilvl w:val="0"/>
          <w:numId w:val="2"/>
        </w:numPr>
        <w:spacing w:line="600" w:lineRule="exact"/>
        <w:ind w:firstLineChars="0"/>
        <w:outlineLvl w:val="1"/>
        <w:rPr>
          <w:rStyle w:val="19"/>
          <w:rFonts w:ascii="黑体" w:hAnsi="黑体" w:eastAsia="黑体"/>
          <w:b w:val="0"/>
          <w:color w:val="auto"/>
          <w:highlight w:val="none"/>
        </w:rPr>
      </w:pPr>
      <w:bookmarkStart w:id="24" w:name="_Toc15377205"/>
      <w:bookmarkStart w:id="25" w:name="_Toc15396603"/>
      <w:bookmarkStart w:id="26" w:name="_Toc26800"/>
      <w:r>
        <w:rPr>
          <w:rFonts w:hint="eastAsia" w:ascii="黑体" w:hAnsi="黑体" w:eastAsia="黑体"/>
          <w:color w:val="auto"/>
          <w:sz w:val="32"/>
          <w:szCs w:val="32"/>
          <w:highlight w:val="none"/>
        </w:rPr>
        <w:t>收</w:t>
      </w:r>
      <w:r>
        <w:rPr>
          <w:rStyle w:val="19"/>
          <w:rFonts w:hint="eastAsia" w:ascii="黑体" w:hAnsi="黑体" w:eastAsia="黑体"/>
          <w:b w:val="0"/>
          <w:color w:val="auto"/>
          <w:highlight w:val="none"/>
        </w:rPr>
        <w:t>入支出决算总体情况说明</w:t>
      </w:r>
      <w:bookmarkEnd w:id="24"/>
      <w:bookmarkEnd w:id="25"/>
      <w:bookmarkEnd w:id="26"/>
    </w:p>
    <w:p>
      <w:pPr>
        <w:spacing w:line="60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年度收、支总计</w:t>
      </w:r>
      <w:r>
        <w:rPr>
          <w:rFonts w:hint="eastAsia" w:ascii="仿宋_GB2312" w:hAnsi="仿宋_GB2312" w:eastAsia="仿宋_GB2312" w:cs="仿宋_GB2312"/>
          <w:color w:val="auto"/>
          <w:sz w:val="32"/>
          <w:szCs w:val="32"/>
          <w:highlight w:val="none"/>
          <w:lang w:val="en-US" w:eastAsia="zh-CN"/>
        </w:rPr>
        <w:t>5127.67</w:t>
      </w:r>
      <w:r>
        <w:rPr>
          <w:rFonts w:hint="eastAsia" w:ascii="仿宋_GB2312" w:hAnsi="仿宋_GB2312" w:eastAsia="仿宋_GB2312" w:cs="仿宋_GB2312"/>
          <w:color w:val="auto"/>
          <w:sz w:val="32"/>
          <w:szCs w:val="32"/>
          <w:highlight w:val="none"/>
        </w:rPr>
        <w:t>万元。与20</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年相比，收、支总计各减少</w:t>
      </w:r>
      <w:r>
        <w:rPr>
          <w:rFonts w:hint="eastAsia" w:ascii="仿宋_GB2312" w:hAnsi="仿宋_GB2312" w:eastAsia="仿宋_GB2312" w:cs="仿宋_GB2312"/>
          <w:color w:val="auto"/>
          <w:sz w:val="32"/>
          <w:szCs w:val="32"/>
          <w:highlight w:val="none"/>
          <w:lang w:val="en-US" w:eastAsia="zh-CN"/>
        </w:rPr>
        <w:t>609.79</w:t>
      </w:r>
      <w:r>
        <w:rPr>
          <w:rFonts w:hint="eastAsia" w:ascii="仿宋_GB2312" w:hAnsi="仿宋_GB2312" w:eastAsia="仿宋_GB2312" w:cs="仿宋_GB2312"/>
          <w:color w:val="auto"/>
          <w:sz w:val="32"/>
          <w:szCs w:val="32"/>
          <w:highlight w:val="none"/>
        </w:rPr>
        <w:t>万元，下降</w:t>
      </w:r>
      <w:r>
        <w:rPr>
          <w:rFonts w:hint="eastAsia" w:ascii="仿宋_GB2312" w:hAnsi="仿宋_GB2312" w:eastAsia="仿宋_GB2312" w:cs="仿宋_GB2312"/>
          <w:color w:val="auto"/>
          <w:sz w:val="32"/>
          <w:szCs w:val="32"/>
          <w:highlight w:val="none"/>
          <w:lang w:val="en-US" w:eastAsia="zh-CN"/>
        </w:rPr>
        <w:t>10.63</w:t>
      </w:r>
      <w:r>
        <w:rPr>
          <w:rFonts w:hint="eastAsia" w:ascii="仿宋_GB2312" w:hAnsi="仿宋_GB2312" w:eastAsia="仿宋_GB2312" w:cs="仿宋_GB2312"/>
          <w:color w:val="auto"/>
          <w:sz w:val="32"/>
          <w:szCs w:val="32"/>
          <w:highlight w:val="none"/>
        </w:rPr>
        <w:t>%。主要变动原因是</w:t>
      </w:r>
      <w:r>
        <w:rPr>
          <w:rFonts w:hint="eastAsia" w:ascii="仿宋_GB2312" w:hAnsi="仿宋_GB2312" w:eastAsia="仿宋_GB2312" w:cs="仿宋_GB2312"/>
          <w:color w:val="auto"/>
          <w:sz w:val="32"/>
          <w:szCs w:val="32"/>
          <w:highlight w:val="none"/>
          <w:lang w:val="en-US" w:eastAsia="zh-CN"/>
        </w:rPr>
        <w:t>2022年项目经费减少。</w:t>
      </w:r>
    </w:p>
    <w:p>
      <w:pPr>
        <w:pStyle w:val="7"/>
        <w:jc w:val="center"/>
        <w:rPr>
          <w:rFonts w:hint="eastAsia" w:ascii="仿宋_GB2312" w:hAnsi="仿宋_GB2312" w:eastAsia="仿宋_GB2312" w:cs="仿宋_GB2312"/>
          <w:color w:val="auto"/>
          <w:sz w:val="32"/>
          <w:szCs w:val="32"/>
          <w:highlight w:val="none"/>
          <w:lang w:val="en-US" w:eastAsia="zh-CN"/>
        </w:rPr>
      </w:pPr>
      <w:r>
        <w:drawing>
          <wp:inline distT="0" distB="0" distL="114300" distR="114300">
            <wp:extent cx="2315845" cy="1833245"/>
            <wp:effectExtent l="0" t="0" r="8255" b="14605"/>
            <wp:docPr id="5" name="图片 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true"/>
                    </pic:cNvPicPr>
                  </pic:nvPicPr>
                  <pic:blipFill>
                    <a:blip r:embed="rId7"/>
                    <a:stretch>
                      <a:fillRect/>
                    </a:stretch>
                  </pic:blipFill>
                  <pic:spPr>
                    <a:xfrm>
                      <a:off x="0" y="0"/>
                      <a:ext cx="2315845" cy="1833245"/>
                    </a:xfrm>
                    <a:prstGeom prst="rect">
                      <a:avLst/>
                    </a:prstGeom>
                    <a:noFill/>
                    <a:ln>
                      <a:noFill/>
                    </a:ln>
                  </pic:spPr>
                </pic:pic>
              </a:graphicData>
            </a:graphic>
          </wp:inline>
        </w:drawing>
      </w:r>
    </w:p>
    <w:p>
      <w:pPr>
        <w:spacing w:line="600" w:lineRule="exact"/>
        <w:ind w:firstLine="640" w:firstLineChars="20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（图1：收、支决算总计变动情况图）</w:t>
      </w:r>
    </w:p>
    <w:p>
      <w:pPr>
        <w:pStyle w:val="28"/>
        <w:numPr>
          <w:ilvl w:val="0"/>
          <w:numId w:val="2"/>
        </w:numPr>
        <w:spacing w:line="600" w:lineRule="exact"/>
        <w:ind w:firstLineChars="0"/>
        <w:outlineLvl w:val="1"/>
        <w:rPr>
          <w:rStyle w:val="19"/>
          <w:rFonts w:ascii="黑体" w:hAnsi="黑体" w:eastAsia="黑体"/>
          <w:b w:val="0"/>
          <w:color w:val="auto"/>
          <w:highlight w:val="none"/>
        </w:rPr>
      </w:pPr>
      <w:bookmarkStart w:id="27" w:name="_Toc13549"/>
      <w:bookmarkStart w:id="28" w:name="_Toc15377206"/>
      <w:bookmarkStart w:id="29" w:name="_Toc15396604"/>
      <w:r>
        <w:rPr>
          <w:rFonts w:hint="eastAsia" w:ascii="黑体" w:hAnsi="黑体" w:eastAsia="黑体"/>
          <w:color w:val="auto"/>
          <w:sz w:val="32"/>
          <w:szCs w:val="32"/>
          <w:highlight w:val="none"/>
        </w:rPr>
        <w:t>收</w:t>
      </w:r>
      <w:r>
        <w:rPr>
          <w:rStyle w:val="19"/>
          <w:rFonts w:hint="eastAsia" w:ascii="黑体" w:hAnsi="黑体" w:eastAsia="黑体"/>
          <w:b w:val="0"/>
          <w:color w:val="auto"/>
          <w:highlight w:val="none"/>
        </w:rPr>
        <w:t>入决算情况说明</w:t>
      </w:r>
      <w:bookmarkEnd w:id="27"/>
      <w:bookmarkEnd w:id="28"/>
      <w:bookmarkEnd w:id="29"/>
    </w:p>
    <w:p>
      <w:pPr>
        <w:spacing w:line="600" w:lineRule="exact"/>
        <w:ind w:firstLine="640" w:firstLineChars="200"/>
        <w:outlineLvl w:val="1"/>
        <w:rPr>
          <w:rFonts w:hint="eastAsia" w:ascii="仿宋_GB2312" w:hAnsi="仿宋_GB2312" w:eastAsia="仿宋_GB2312" w:cs="仿宋_GB2312"/>
          <w:color w:val="auto"/>
          <w:sz w:val="32"/>
          <w:szCs w:val="32"/>
          <w:highlight w:val="none"/>
          <w:lang w:val="en-US" w:eastAsia="zh-CN"/>
        </w:rPr>
      </w:pPr>
      <w:bookmarkStart w:id="30" w:name="_Toc2251"/>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年本年收入合计</w:t>
      </w:r>
      <w:r>
        <w:rPr>
          <w:rFonts w:hint="eastAsia" w:ascii="仿宋_GB2312" w:hAnsi="仿宋_GB2312" w:eastAsia="仿宋_GB2312" w:cs="仿宋_GB2312"/>
          <w:color w:val="auto"/>
          <w:sz w:val="32"/>
          <w:szCs w:val="32"/>
          <w:highlight w:val="none"/>
          <w:lang w:val="en-US" w:eastAsia="zh-CN"/>
        </w:rPr>
        <w:t>4893.16</w:t>
      </w:r>
      <w:r>
        <w:rPr>
          <w:rFonts w:hint="eastAsia" w:ascii="仿宋_GB2312" w:hAnsi="仿宋_GB2312" w:eastAsia="仿宋_GB2312" w:cs="仿宋_GB2312"/>
          <w:color w:val="auto"/>
          <w:sz w:val="32"/>
          <w:szCs w:val="32"/>
          <w:highlight w:val="none"/>
        </w:rPr>
        <w:t>万元，其中：一般公共预算财政拨款收入</w:t>
      </w:r>
      <w:r>
        <w:rPr>
          <w:rFonts w:hint="eastAsia" w:ascii="仿宋_GB2312" w:hAnsi="仿宋_GB2312" w:eastAsia="仿宋_GB2312" w:cs="仿宋_GB2312"/>
          <w:color w:val="auto"/>
          <w:sz w:val="32"/>
          <w:szCs w:val="32"/>
          <w:highlight w:val="none"/>
          <w:lang w:val="en-US" w:eastAsia="zh-CN"/>
        </w:rPr>
        <w:t>4893.16</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bookmarkEnd w:id="30"/>
      <w:r>
        <w:rPr>
          <w:rFonts w:hint="eastAsia" w:ascii="仿宋_GB2312" w:hAnsi="仿宋_GB2312" w:eastAsia="仿宋_GB2312" w:cs="仿宋_GB2312"/>
          <w:color w:val="auto"/>
          <w:sz w:val="32"/>
          <w:szCs w:val="32"/>
          <w:highlight w:val="none"/>
        </w:rPr>
        <w:t>。</w:t>
      </w:r>
    </w:p>
    <w:p>
      <w:pPr>
        <w:pStyle w:val="7"/>
        <w:jc w:val="center"/>
        <w:rPr>
          <w:rFonts w:hint="eastAsia" w:eastAsia="仿宋_GB2312"/>
          <w:lang w:eastAsia="zh-CN"/>
        </w:rPr>
      </w:pPr>
      <w:r>
        <w:drawing>
          <wp:inline distT="0" distB="0" distL="114300" distR="114300">
            <wp:extent cx="2633345" cy="1833245"/>
            <wp:effectExtent l="5080" t="4445" r="9525" b="10160"/>
            <wp:docPr id="103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rFonts w:hint="eastAsia"/>
          <w:lang w:val="en-US" w:eastAsia="zh-CN"/>
        </w:rPr>
        <w:t xml:space="preserve"> </w:t>
      </w:r>
    </w:p>
    <w:p>
      <w:pPr>
        <w:pStyle w:val="7"/>
        <w:jc w:val="center"/>
        <w:rPr>
          <w:rFonts w:hint="eastAsia" w:ascii="仿宋_GB2312" w:hAnsi="仿宋_GB2312" w:eastAsia="仿宋_GB2312" w:cs="仿宋_GB2312"/>
          <w:color w:val="auto"/>
          <w:sz w:val="32"/>
          <w:szCs w:val="32"/>
          <w:highlight w:val="none"/>
        </w:rPr>
      </w:pPr>
      <w:r>
        <w:rPr>
          <w:rFonts w:hint="eastAsia" w:ascii="仿宋" w:hAnsi="仿宋" w:eastAsia="仿宋"/>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（图2：收入决算结构图）</w:t>
      </w:r>
    </w:p>
    <w:p>
      <w:pPr>
        <w:pStyle w:val="28"/>
        <w:numPr>
          <w:ilvl w:val="0"/>
          <w:numId w:val="2"/>
        </w:numPr>
        <w:spacing w:line="600" w:lineRule="exact"/>
        <w:ind w:firstLineChars="0"/>
        <w:outlineLvl w:val="1"/>
        <w:rPr>
          <w:rStyle w:val="19"/>
          <w:rFonts w:ascii="黑体" w:hAnsi="黑体" w:eastAsia="黑体"/>
          <w:b w:val="0"/>
          <w:color w:val="auto"/>
          <w:highlight w:val="none"/>
        </w:rPr>
      </w:pPr>
      <w:bookmarkStart w:id="31" w:name="_Toc30619"/>
      <w:bookmarkStart w:id="32" w:name="_Toc15377207"/>
      <w:bookmarkStart w:id="33" w:name="_Toc15396605"/>
      <w:r>
        <w:rPr>
          <w:rFonts w:hint="eastAsia" w:ascii="黑体" w:hAnsi="黑体" w:eastAsia="黑体"/>
          <w:color w:val="auto"/>
          <w:sz w:val="32"/>
          <w:szCs w:val="32"/>
          <w:highlight w:val="none"/>
        </w:rPr>
        <w:t>支</w:t>
      </w:r>
      <w:r>
        <w:rPr>
          <w:rStyle w:val="19"/>
          <w:rFonts w:hint="eastAsia" w:ascii="黑体" w:hAnsi="黑体" w:eastAsia="黑体"/>
          <w:b w:val="0"/>
          <w:color w:val="auto"/>
          <w:highlight w:val="none"/>
        </w:rPr>
        <w:t>出决算情况说明</w:t>
      </w:r>
      <w:bookmarkEnd w:id="31"/>
      <w:bookmarkEnd w:id="32"/>
      <w:bookmarkEnd w:id="33"/>
    </w:p>
    <w:p>
      <w:pPr>
        <w:spacing w:line="240" w:lineRule="auto"/>
        <w:ind w:firstLine="640" w:firstLineChars="200"/>
        <w:outlineLvl w:val="1"/>
        <w:rPr>
          <w:rFonts w:hint="eastAsia" w:ascii="仿宋_GB2312" w:hAnsi="仿宋_GB2312" w:eastAsia="仿宋_GB2312" w:cs="仿宋_GB2312"/>
          <w:color w:val="auto"/>
          <w:sz w:val="32"/>
          <w:szCs w:val="32"/>
          <w:highlight w:val="none"/>
        </w:rPr>
      </w:pPr>
      <w:bookmarkStart w:id="34" w:name="_Toc28509"/>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年本年支出合计</w:t>
      </w:r>
      <w:r>
        <w:rPr>
          <w:rFonts w:hint="eastAsia" w:ascii="仿宋_GB2312" w:hAnsi="仿宋_GB2312" w:eastAsia="仿宋_GB2312" w:cs="仿宋_GB2312"/>
          <w:color w:val="auto"/>
          <w:sz w:val="32"/>
          <w:szCs w:val="32"/>
          <w:highlight w:val="none"/>
          <w:lang w:val="en-US" w:eastAsia="zh-CN"/>
        </w:rPr>
        <w:t>4935.62</w:t>
      </w:r>
      <w:r>
        <w:rPr>
          <w:rFonts w:hint="eastAsia" w:ascii="仿宋_GB2312" w:hAnsi="仿宋_GB2312" w:eastAsia="仿宋_GB2312" w:cs="仿宋_GB2312"/>
          <w:color w:val="auto"/>
          <w:sz w:val="32"/>
          <w:szCs w:val="32"/>
          <w:highlight w:val="none"/>
        </w:rPr>
        <w:t>万元，其中：基本支出</w:t>
      </w:r>
      <w:r>
        <w:rPr>
          <w:rFonts w:hint="eastAsia" w:ascii="仿宋_GB2312" w:hAnsi="仿宋_GB2312" w:eastAsia="仿宋_GB2312" w:cs="仿宋_GB2312"/>
          <w:color w:val="auto"/>
          <w:sz w:val="32"/>
          <w:szCs w:val="32"/>
          <w:highlight w:val="none"/>
          <w:lang w:val="en-US" w:eastAsia="zh-CN"/>
        </w:rPr>
        <w:t>1798.06</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36.43</w:t>
      </w:r>
      <w:r>
        <w:rPr>
          <w:rFonts w:hint="eastAsia" w:ascii="仿宋_GB2312" w:hAnsi="仿宋_GB2312" w:eastAsia="仿宋_GB2312" w:cs="仿宋_GB2312"/>
          <w:color w:val="auto"/>
          <w:sz w:val="32"/>
          <w:szCs w:val="32"/>
          <w:highlight w:val="none"/>
        </w:rPr>
        <w:t>%；项目支出</w:t>
      </w:r>
      <w:r>
        <w:rPr>
          <w:rFonts w:hint="eastAsia" w:ascii="仿宋_GB2312" w:hAnsi="仿宋_GB2312" w:eastAsia="仿宋_GB2312" w:cs="仿宋_GB2312"/>
          <w:color w:val="auto"/>
          <w:sz w:val="32"/>
          <w:szCs w:val="32"/>
          <w:highlight w:val="none"/>
          <w:lang w:val="en-US" w:eastAsia="zh-CN"/>
        </w:rPr>
        <w:t>3137.56</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63.57</w:t>
      </w:r>
      <w:r>
        <w:rPr>
          <w:rFonts w:hint="eastAsia" w:ascii="仿宋_GB2312" w:hAnsi="仿宋_GB2312" w:eastAsia="仿宋_GB2312" w:cs="仿宋_GB2312"/>
          <w:color w:val="auto"/>
          <w:sz w:val="32"/>
          <w:szCs w:val="32"/>
          <w:highlight w:val="none"/>
        </w:rPr>
        <w:t>%。</w:t>
      </w:r>
      <w:bookmarkEnd w:id="34"/>
    </w:p>
    <w:p>
      <w:pPr>
        <w:pStyle w:val="7"/>
        <w:jc w:val="center"/>
      </w:pPr>
      <w:r>
        <w:drawing>
          <wp:inline distT="0" distB="0" distL="114300" distR="114300">
            <wp:extent cx="3415030" cy="2011680"/>
            <wp:effectExtent l="0" t="0" r="13970" b="7620"/>
            <wp:docPr id="7" name="图片 10"/>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7" name="图片 10"/>
                    <pic:cNvPicPr>
                      <a:picLocks noChangeAspect="true"/>
                    </pic:cNvPicPr>
                  </pic:nvPicPr>
                  <pic:blipFill>
                    <a:blip r:embed="rId9"/>
                    <a:stretch>
                      <a:fillRect/>
                    </a:stretch>
                  </pic:blipFill>
                  <pic:spPr>
                    <a:xfrm>
                      <a:off x="0" y="0"/>
                      <a:ext cx="3415030" cy="2011680"/>
                    </a:xfrm>
                    <a:prstGeom prst="rect">
                      <a:avLst/>
                    </a:prstGeom>
                    <a:noFill/>
                    <a:ln>
                      <a:noFill/>
                    </a:ln>
                  </pic:spPr>
                </pic:pic>
              </a:graphicData>
            </a:graphic>
          </wp:inline>
        </w:drawing>
      </w:r>
    </w:p>
    <w:p>
      <w:pPr>
        <w:spacing w:line="600" w:lineRule="exact"/>
        <w:ind w:firstLine="2240" w:firstLineChars="700"/>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（图3：支出决算结构图）</w:t>
      </w:r>
    </w:p>
    <w:p>
      <w:pPr>
        <w:spacing w:line="600" w:lineRule="exact"/>
        <w:ind w:firstLine="640" w:firstLineChars="200"/>
        <w:outlineLvl w:val="1"/>
        <w:rPr>
          <w:rStyle w:val="19"/>
          <w:rFonts w:ascii="黑体" w:hAnsi="黑体" w:eastAsia="黑体"/>
          <w:b w:val="0"/>
          <w:color w:val="auto"/>
          <w:highlight w:val="none"/>
        </w:rPr>
      </w:pPr>
      <w:bookmarkStart w:id="35" w:name="_Toc28980"/>
      <w:bookmarkStart w:id="36" w:name="_Toc15377208"/>
      <w:bookmarkStart w:id="37" w:name="_Toc15396606"/>
      <w:r>
        <w:rPr>
          <w:rFonts w:hint="eastAsia" w:ascii="黑体" w:hAnsi="黑体" w:eastAsia="黑体"/>
          <w:color w:val="auto"/>
          <w:sz w:val="32"/>
          <w:szCs w:val="32"/>
          <w:highlight w:val="none"/>
        </w:rPr>
        <w:t>四、财</w:t>
      </w:r>
      <w:r>
        <w:rPr>
          <w:rStyle w:val="19"/>
          <w:rFonts w:hint="eastAsia" w:ascii="黑体" w:hAnsi="黑体" w:eastAsia="黑体"/>
          <w:b w:val="0"/>
          <w:color w:val="auto"/>
          <w:highlight w:val="none"/>
        </w:rPr>
        <w:t>政拨款收入支出决算总体情况说明</w:t>
      </w:r>
      <w:bookmarkEnd w:id="35"/>
      <w:bookmarkEnd w:id="36"/>
      <w:bookmarkEnd w:id="37"/>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年财政拨款收、支总计</w:t>
      </w:r>
      <w:r>
        <w:rPr>
          <w:rFonts w:hint="eastAsia" w:ascii="仿宋_GB2312" w:hAnsi="仿宋_GB2312" w:eastAsia="仿宋_GB2312" w:cs="仿宋_GB2312"/>
          <w:color w:val="auto"/>
          <w:sz w:val="32"/>
          <w:szCs w:val="32"/>
          <w:highlight w:val="none"/>
          <w:lang w:val="en-US" w:eastAsia="zh-CN"/>
        </w:rPr>
        <w:t>5127.67</w:t>
      </w:r>
      <w:r>
        <w:rPr>
          <w:rFonts w:hint="eastAsia" w:ascii="仿宋_GB2312" w:hAnsi="仿宋_GB2312" w:eastAsia="仿宋_GB2312" w:cs="仿宋_GB2312"/>
          <w:color w:val="auto"/>
          <w:sz w:val="32"/>
          <w:szCs w:val="32"/>
          <w:highlight w:val="none"/>
        </w:rPr>
        <w:t>万元。与20</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年相比，财政拨款收、支总计各减少</w:t>
      </w:r>
      <w:r>
        <w:rPr>
          <w:rFonts w:hint="eastAsia" w:ascii="仿宋_GB2312" w:hAnsi="仿宋_GB2312" w:eastAsia="仿宋_GB2312" w:cs="仿宋_GB2312"/>
          <w:color w:val="auto"/>
          <w:sz w:val="32"/>
          <w:szCs w:val="32"/>
          <w:highlight w:val="none"/>
          <w:lang w:val="en-US" w:eastAsia="zh-CN"/>
        </w:rPr>
        <w:t>609.79</w:t>
      </w:r>
      <w:r>
        <w:rPr>
          <w:rFonts w:hint="eastAsia" w:ascii="仿宋_GB2312" w:hAnsi="仿宋_GB2312" w:eastAsia="仿宋_GB2312" w:cs="仿宋_GB2312"/>
          <w:color w:val="auto"/>
          <w:sz w:val="32"/>
          <w:szCs w:val="32"/>
          <w:highlight w:val="none"/>
        </w:rPr>
        <w:t>万元，下降</w:t>
      </w:r>
      <w:r>
        <w:rPr>
          <w:rFonts w:hint="eastAsia" w:ascii="仿宋_GB2312" w:hAnsi="仿宋_GB2312" w:eastAsia="仿宋_GB2312" w:cs="仿宋_GB2312"/>
          <w:color w:val="auto"/>
          <w:sz w:val="32"/>
          <w:szCs w:val="32"/>
          <w:highlight w:val="none"/>
          <w:lang w:val="en-US" w:eastAsia="zh-CN"/>
        </w:rPr>
        <w:t>10.63</w:t>
      </w:r>
      <w:r>
        <w:rPr>
          <w:rFonts w:hint="eastAsia" w:ascii="仿宋_GB2312" w:hAnsi="仿宋_GB2312" w:eastAsia="仿宋_GB2312" w:cs="仿宋_GB2312"/>
          <w:color w:val="auto"/>
          <w:sz w:val="32"/>
          <w:szCs w:val="32"/>
          <w:highlight w:val="none"/>
        </w:rPr>
        <w:t>%。主要变动原因是</w:t>
      </w:r>
      <w:r>
        <w:rPr>
          <w:rFonts w:hint="eastAsia" w:ascii="仿宋_GB2312" w:hAnsi="仿宋_GB2312" w:eastAsia="仿宋_GB2312" w:cs="仿宋_GB2312"/>
          <w:color w:val="auto"/>
          <w:sz w:val="32"/>
          <w:szCs w:val="32"/>
          <w:highlight w:val="none"/>
          <w:lang w:val="en-US" w:eastAsia="zh-CN"/>
        </w:rPr>
        <w:t>2022年项目经费减少。</w:t>
      </w:r>
    </w:p>
    <w:p>
      <w:pPr>
        <w:pStyle w:val="7"/>
        <w:jc w:val="center"/>
        <w:rPr>
          <w:rFonts w:ascii="仿宋" w:hAnsi="仿宋" w:eastAsia="仿宋"/>
          <w:color w:val="auto"/>
          <w:sz w:val="32"/>
          <w:szCs w:val="32"/>
          <w:highlight w:val="none"/>
        </w:rPr>
      </w:pPr>
      <w:r>
        <w:drawing>
          <wp:inline distT="0" distB="0" distL="114300" distR="114300">
            <wp:extent cx="2872105" cy="2065020"/>
            <wp:effectExtent l="0" t="0" r="4445" b="11430"/>
            <wp:docPr id="9" name="图片 1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9" name="图片 12"/>
                    <pic:cNvPicPr>
                      <a:picLocks noChangeAspect="true"/>
                    </pic:cNvPicPr>
                  </pic:nvPicPr>
                  <pic:blipFill>
                    <a:blip r:embed="rId10"/>
                    <a:stretch>
                      <a:fillRect/>
                    </a:stretch>
                  </pic:blipFill>
                  <pic:spPr>
                    <a:xfrm>
                      <a:off x="0" y="0"/>
                      <a:ext cx="2872105" cy="2065020"/>
                    </a:xfrm>
                    <a:prstGeom prst="rect">
                      <a:avLst/>
                    </a:prstGeom>
                    <a:noFill/>
                    <a:ln>
                      <a:noFill/>
                    </a:ln>
                  </pic:spPr>
                </pic:pic>
              </a:graphicData>
            </a:graphic>
          </wp:inline>
        </w:drawing>
      </w:r>
    </w:p>
    <w:p>
      <w:pPr>
        <w:spacing w:line="600" w:lineRule="exact"/>
        <w:ind w:firstLine="960" w:firstLineChars="300"/>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rPr>
        <w:t>（图4：财政拨款收、支决算总计变动情况）</w:t>
      </w:r>
    </w:p>
    <w:p>
      <w:pPr>
        <w:spacing w:line="600" w:lineRule="exact"/>
        <w:ind w:firstLine="640" w:firstLineChars="200"/>
        <w:outlineLvl w:val="1"/>
        <w:rPr>
          <w:rStyle w:val="19"/>
          <w:rFonts w:ascii="黑体" w:hAnsi="黑体" w:eastAsia="黑体"/>
          <w:b w:val="0"/>
          <w:color w:val="auto"/>
          <w:highlight w:val="none"/>
        </w:rPr>
      </w:pPr>
      <w:bookmarkStart w:id="38" w:name="_Toc15377209"/>
      <w:bookmarkStart w:id="39" w:name="_Toc15396607"/>
      <w:bookmarkStart w:id="40" w:name="_Toc20301"/>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9"/>
          <w:rFonts w:hint="eastAsia" w:ascii="黑体" w:hAnsi="黑体" w:eastAsia="黑体"/>
          <w:b w:val="0"/>
          <w:color w:val="auto"/>
          <w:highlight w:val="none"/>
        </w:rPr>
        <w:t>般公共预算财政拨款支出决算情况说明</w:t>
      </w:r>
      <w:bookmarkEnd w:id="38"/>
      <w:bookmarkEnd w:id="39"/>
      <w:bookmarkEnd w:id="40"/>
    </w:p>
    <w:p>
      <w:pPr>
        <w:spacing w:line="600" w:lineRule="exact"/>
        <w:ind w:firstLine="640" w:firstLineChars="200"/>
        <w:outlineLvl w:val="2"/>
        <w:rPr>
          <w:rFonts w:ascii="仿宋" w:hAnsi="仿宋" w:eastAsia="仿宋"/>
          <w:b/>
          <w:color w:val="auto"/>
          <w:sz w:val="32"/>
          <w:szCs w:val="32"/>
          <w:highlight w:val="none"/>
        </w:rPr>
      </w:pPr>
      <w:bookmarkStart w:id="41" w:name="_Toc15377210"/>
      <w:r>
        <w:rPr>
          <w:rFonts w:hint="eastAsia" w:ascii="楷体_GB2312" w:hAnsi="楷体_GB2312" w:eastAsia="楷体_GB2312" w:cs="楷体_GB2312"/>
          <w:b w:val="0"/>
          <w:bCs/>
          <w:color w:val="auto"/>
          <w:sz w:val="32"/>
          <w:szCs w:val="32"/>
          <w:highlight w:val="none"/>
        </w:rPr>
        <w:t>（一）一般公共预算财政拨款支出决算总体情况</w:t>
      </w:r>
      <w:bookmarkEnd w:id="41"/>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年一般公共预算财政拨款支出</w:t>
      </w:r>
      <w:r>
        <w:rPr>
          <w:rFonts w:hint="eastAsia" w:ascii="仿宋_GB2312" w:hAnsi="仿宋_GB2312" w:eastAsia="仿宋_GB2312" w:cs="仿宋_GB2312"/>
          <w:color w:val="auto"/>
          <w:sz w:val="32"/>
          <w:szCs w:val="32"/>
          <w:highlight w:val="none"/>
          <w:lang w:val="en-US" w:eastAsia="zh-CN"/>
        </w:rPr>
        <w:t>4935.62</w:t>
      </w:r>
      <w:r>
        <w:rPr>
          <w:rFonts w:hint="eastAsia" w:ascii="仿宋_GB2312" w:hAnsi="仿宋_GB2312" w:eastAsia="仿宋_GB2312" w:cs="仿宋_GB2312"/>
          <w:color w:val="auto"/>
          <w:sz w:val="32"/>
          <w:szCs w:val="32"/>
          <w:highlight w:val="none"/>
        </w:rPr>
        <w:t>万元，占本年支出合计的</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%。与20</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年相比，一般公共预算财政拨款</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rPr>
        <w:t>减少</w:t>
      </w:r>
      <w:r>
        <w:rPr>
          <w:rFonts w:hint="eastAsia" w:ascii="仿宋_GB2312" w:hAnsi="仿宋_GB2312" w:eastAsia="仿宋_GB2312" w:cs="仿宋_GB2312"/>
          <w:color w:val="auto"/>
          <w:sz w:val="32"/>
          <w:szCs w:val="32"/>
          <w:highlight w:val="none"/>
          <w:lang w:val="en-US" w:eastAsia="zh-CN"/>
        </w:rPr>
        <w:t>510.25</w:t>
      </w:r>
      <w:r>
        <w:rPr>
          <w:rFonts w:hint="eastAsia" w:ascii="仿宋_GB2312" w:hAnsi="仿宋_GB2312" w:eastAsia="仿宋_GB2312" w:cs="仿宋_GB2312"/>
          <w:color w:val="auto"/>
          <w:sz w:val="32"/>
          <w:szCs w:val="32"/>
          <w:highlight w:val="none"/>
        </w:rPr>
        <w:t>万元，下降</w:t>
      </w:r>
      <w:r>
        <w:rPr>
          <w:rFonts w:hint="eastAsia" w:ascii="仿宋_GB2312" w:hAnsi="仿宋_GB2312" w:eastAsia="仿宋_GB2312" w:cs="仿宋_GB2312"/>
          <w:color w:val="auto"/>
          <w:sz w:val="32"/>
          <w:szCs w:val="32"/>
          <w:highlight w:val="none"/>
          <w:lang w:val="en-US" w:eastAsia="zh-CN"/>
        </w:rPr>
        <w:t>9.37</w:t>
      </w:r>
      <w:r>
        <w:rPr>
          <w:rFonts w:hint="eastAsia" w:ascii="仿宋_GB2312" w:hAnsi="仿宋_GB2312" w:eastAsia="仿宋_GB2312" w:cs="仿宋_GB2312"/>
          <w:color w:val="auto"/>
          <w:sz w:val="32"/>
          <w:szCs w:val="32"/>
          <w:highlight w:val="none"/>
        </w:rPr>
        <w:t>%。主要变动原因是</w:t>
      </w:r>
      <w:r>
        <w:rPr>
          <w:rFonts w:hint="eastAsia" w:ascii="仿宋_GB2312" w:hAnsi="仿宋_GB2312" w:eastAsia="仿宋_GB2312" w:cs="仿宋_GB2312"/>
          <w:color w:val="auto"/>
          <w:sz w:val="32"/>
          <w:szCs w:val="32"/>
          <w:highlight w:val="none"/>
          <w:lang w:val="en-US" w:eastAsia="zh-CN"/>
        </w:rPr>
        <w:t>2022年项目经费减少</w:t>
      </w:r>
      <w:r>
        <w:rPr>
          <w:rFonts w:hint="eastAsia" w:ascii="仿宋_GB2312" w:hAnsi="仿宋_GB2312" w:eastAsia="仿宋_GB2312" w:cs="仿宋_GB2312"/>
          <w:color w:val="auto"/>
          <w:sz w:val="32"/>
          <w:szCs w:val="32"/>
          <w:highlight w:val="none"/>
          <w:lang w:eastAsia="zh-CN"/>
        </w:rPr>
        <w:t>。</w:t>
      </w:r>
    </w:p>
    <w:p>
      <w:pPr>
        <w:pStyle w:val="7"/>
        <w:jc w:val="center"/>
        <w:rPr>
          <w:rFonts w:hint="eastAsia" w:ascii="仿宋" w:hAnsi="仿宋" w:eastAsia="仿宋"/>
          <w:color w:val="auto"/>
          <w:sz w:val="32"/>
          <w:szCs w:val="32"/>
          <w:highlight w:val="none"/>
        </w:rPr>
      </w:pPr>
      <w:r>
        <w:drawing>
          <wp:inline distT="0" distB="0" distL="114300" distR="114300">
            <wp:extent cx="3074035" cy="1962150"/>
            <wp:effectExtent l="0" t="0" r="12065" b="0"/>
            <wp:docPr id="15" name="图片 18"/>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5" name="图片 18"/>
                    <pic:cNvPicPr>
                      <a:picLocks noChangeAspect="true"/>
                    </pic:cNvPicPr>
                  </pic:nvPicPr>
                  <pic:blipFill>
                    <a:blip r:embed="rId11"/>
                    <a:stretch>
                      <a:fillRect/>
                    </a:stretch>
                  </pic:blipFill>
                  <pic:spPr>
                    <a:xfrm>
                      <a:off x="0" y="0"/>
                      <a:ext cx="3074035" cy="1962150"/>
                    </a:xfrm>
                    <a:prstGeom prst="rect">
                      <a:avLst/>
                    </a:prstGeom>
                    <a:noFill/>
                    <a:ln>
                      <a:noFill/>
                    </a:ln>
                  </pic:spPr>
                </pic:pic>
              </a:graphicData>
            </a:graphic>
          </wp:inline>
        </w:drawing>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（图5：一般公共预算财政拨款支出决算变动情况）</w:t>
      </w:r>
    </w:p>
    <w:p>
      <w:pPr>
        <w:spacing w:line="600" w:lineRule="exact"/>
        <w:ind w:firstLine="640" w:firstLineChars="200"/>
        <w:outlineLvl w:val="2"/>
        <w:rPr>
          <w:rFonts w:ascii="仿宋" w:hAnsi="仿宋" w:eastAsia="仿宋"/>
          <w:b/>
          <w:color w:val="auto"/>
          <w:sz w:val="32"/>
          <w:szCs w:val="32"/>
          <w:highlight w:val="none"/>
        </w:rPr>
      </w:pPr>
      <w:bookmarkStart w:id="42" w:name="_Toc15377211"/>
      <w:r>
        <w:rPr>
          <w:rFonts w:hint="eastAsia" w:ascii="楷体_GB2312" w:hAnsi="楷体_GB2312" w:eastAsia="楷体_GB2312" w:cs="楷体_GB2312"/>
          <w:b w:val="0"/>
          <w:bCs/>
          <w:color w:val="auto"/>
          <w:sz w:val="32"/>
          <w:szCs w:val="32"/>
          <w:highlight w:val="none"/>
        </w:rPr>
        <w:t>（二）一般公共预算财政拨款支出决算结构情况</w:t>
      </w:r>
      <w:bookmarkEnd w:id="42"/>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年一般公共预算财政拨款支出</w:t>
      </w:r>
      <w:r>
        <w:rPr>
          <w:rFonts w:hint="eastAsia" w:ascii="仿宋_GB2312" w:hAnsi="仿宋_GB2312" w:eastAsia="仿宋_GB2312" w:cs="仿宋_GB2312"/>
          <w:color w:val="auto"/>
          <w:sz w:val="32"/>
          <w:szCs w:val="32"/>
          <w:highlight w:val="none"/>
          <w:lang w:val="en-US" w:eastAsia="zh-CN"/>
        </w:rPr>
        <w:t>4935.62</w:t>
      </w:r>
      <w:r>
        <w:rPr>
          <w:rFonts w:hint="eastAsia" w:ascii="仿宋_GB2312" w:hAnsi="仿宋_GB2312" w:eastAsia="仿宋_GB2312" w:cs="仿宋_GB2312"/>
          <w:color w:val="auto"/>
          <w:sz w:val="32"/>
          <w:szCs w:val="32"/>
          <w:highlight w:val="none"/>
        </w:rPr>
        <w:t>万元，主要用于以下方面</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一般公共服务支出</w:t>
      </w:r>
      <w:r>
        <w:rPr>
          <w:rFonts w:hint="eastAsia" w:ascii="仿宋_GB2312" w:hAnsi="仿宋_GB2312" w:eastAsia="仿宋_GB2312" w:cs="仿宋_GB2312"/>
          <w:color w:val="auto"/>
          <w:sz w:val="32"/>
          <w:szCs w:val="32"/>
          <w:highlight w:val="none"/>
          <w:lang w:val="en-US" w:eastAsia="zh-CN"/>
        </w:rPr>
        <w:t>4647.58</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94.16</w:t>
      </w:r>
      <w:r>
        <w:rPr>
          <w:rFonts w:hint="eastAsia" w:ascii="仿宋_GB2312" w:hAnsi="仿宋_GB2312" w:eastAsia="仿宋_GB2312" w:cs="仿宋_GB2312"/>
          <w:color w:val="auto"/>
          <w:sz w:val="32"/>
          <w:szCs w:val="32"/>
          <w:highlight w:val="none"/>
        </w:rPr>
        <w:t>%；社会保障和就业支出</w:t>
      </w:r>
      <w:r>
        <w:rPr>
          <w:rFonts w:hint="eastAsia" w:ascii="仿宋_GB2312" w:hAnsi="仿宋_GB2312" w:eastAsia="仿宋_GB2312" w:cs="仿宋_GB2312"/>
          <w:color w:val="auto"/>
          <w:sz w:val="32"/>
          <w:szCs w:val="32"/>
          <w:highlight w:val="none"/>
          <w:lang w:val="en-US" w:eastAsia="zh-CN"/>
        </w:rPr>
        <w:t>140.08</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2.84</w:t>
      </w:r>
      <w:r>
        <w:rPr>
          <w:rFonts w:hint="eastAsia" w:ascii="仿宋_GB2312" w:hAnsi="仿宋_GB2312" w:eastAsia="仿宋_GB2312" w:cs="仿宋_GB2312"/>
          <w:color w:val="auto"/>
          <w:sz w:val="32"/>
          <w:szCs w:val="32"/>
          <w:highlight w:val="none"/>
        </w:rPr>
        <w:t>%；卫生健康支出</w:t>
      </w:r>
      <w:r>
        <w:rPr>
          <w:rFonts w:hint="eastAsia" w:ascii="仿宋_GB2312" w:hAnsi="仿宋_GB2312" w:eastAsia="仿宋_GB2312" w:cs="仿宋_GB2312"/>
          <w:color w:val="auto"/>
          <w:sz w:val="32"/>
          <w:szCs w:val="32"/>
          <w:highlight w:val="none"/>
          <w:lang w:val="en-US" w:eastAsia="zh-CN"/>
        </w:rPr>
        <w:t>51.77</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1.05</w:t>
      </w:r>
      <w:r>
        <w:rPr>
          <w:rFonts w:hint="eastAsia" w:ascii="仿宋_GB2312" w:hAnsi="仿宋_GB2312" w:eastAsia="仿宋_GB2312" w:cs="仿宋_GB2312"/>
          <w:color w:val="auto"/>
          <w:sz w:val="32"/>
          <w:szCs w:val="32"/>
          <w:highlight w:val="none"/>
        </w:rPr>
        <w:t>%；住房保障支出</w:t>
      </w:r>
      <w:r>
        <w:rPr>
          <w:rFonts w:hint="eastAsia" w:ascii="仿宋_GB2312" w:hAnsi="仿宋_GB2312" w:eastAsia="仿宋_GB2312" w:cs="仿宋_GB2312"/>
          <w:color w:val="auto"/>
          <w:sz w:val="32"/>
          <w:szCs w:val="32"/>
          <w:highlight w:val="none"/>
          <w:lang w:val="en-US" w:eastAsia="zh-CN"/>
        </w:rPr>
        <w:t>96.19</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1.95</w:t>
      </w:r>
      <w:r>
        <w:rPr>
          <w:rFonts w:hint="eastAsia" w:ascii="仿宋_GB2312" w:hAnsi="仿宋_GB2312" w:eastAsia="仿宋_GB2312" w:cs="仿宋_GB2312"/>
          <w:color w:val="auto"/>
          <w:sz w:val="32"/>
          <w:szCs w:val="32"/>
          <w:highlight w:val="none"/>
        </w:rPr>
        <w:t>%。</w:t>
      </w:r>
    </w:p>
    <w:p>
      <w:pPr>
        <w:pStyle w:val="7"/>
        <w:jc w:val="center"/>
        <w:rPr>
          <w:rFonts w:ascii="仿宋" w:hAnsi="仿宋" w:eastAsia="仿宋"/>
          <w:color w:val="auto"/>
          <w:sz w:val="32"/>
          <w:szCs w:val="32"/>
          <w:highlight w:val="none"/>
        </w:rPr>
      </w:pPr>
      <w:r>
        <w:drawing>
          <wp:inline distT="0" distB="0" distL="114300" distR="114300">
            <wp:extent cx="3879850" cy="2220595"/>
            <wp:effectExtent l="0" t="0" r="6350" b="8255"/>
            <wp:docPr id="16" name="图片 19"/>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6" name="图片 19"/>
                    <pic:cNvPicPr>
                      <a:picLocks noChangeAspect="true"/>
                    </pic:cNvPicPr>
                  </pic:nvPicPr>
                  <pic:blipFill>
                    <a:blip r:embed="rId12"/>
                    <a:stretch>
                      <a:fillRect/>
                    </a:stretch>
                  </pic:blipFill>
                  <pic:spPr>
                    <a:xfrm>
                      <a:off x="0" y="0"/>
                      <a:ext cx="3879850" cy="2220595"/>
                    </a:xfrm>
                    <a:prstGeom prst="rect">
                      <a:avLst/>
                    </a:prstGeom>
                    <a:noFill/>
                    <a:ln>
                      <a:noFill/>
                    </a:ln>
                  </pic:spPr>
                </pic:pic>
              </a:graphicData>
            </a:graphic>
          </wp:inline>
        </w:drawing>
      </w:r>
    </w:p>
    <w:p>
      <w:pPr>
        <w:spacing w:line="60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（图6：一般公共预算财政拨款支出决算结构）</w:t>
      </w:r>
    </w:p>
    <w:p>
      <w:pPr>
        <w:spacing w:line="600" w:lineRule="exact"/>
        <w:ind w:firstLine="640" w:firstLineChars="200"/>
        <w:outlineLvl w:val="2"/>
        <w:rPr>
          <w:rFonts w:hint="eastAsia" w:ascii="楷体_GB2312" w:hAnsi="楷体_GB2312" w:eastAsia="楷体_GB2312" w:cs="楷体_GB2312"/>
          <w:b w:val="0"/>
          <w:bCs/>
          <w:color w:val="auto"/>
          <w:sz w:val="32"/>
          <w:szCs w:val="32"/>
          <w:highlight w:val="none"/>
        </w:rPr>
      </w:pPr>
      <w:bookmarkStart w:id="43" w:name="_Toc15377212"/>
      <w:r>
        <w:rPr>
          <w:rFonts w:hint="eastAsia" w:ascii="楷体_GB2312" w:hAnsi="楷体_GB2312" w:eastAsia="楷体_GB2312" w:cs="楷体_GB2312"/>
          <w:b w:val="0"/>
          <w:bCs/>
          <w:color w:val="auto"/>
          <w:sz w:val="32"/>
          <w:szCs w:val="32"/>
          <w:highlight w:val="none"/>
        </w:rPr>
        <w:t>（三）一般公共预算财政拨款支出决算具体情况</w:t>
      </w:r>
      <w:bookmarkEnd w:id="43"/>
    </w:p>
    <w:p>
      <w:pPr>
        <w:spacing w:line="600" w:lineRule="exact"/>
        <w:ind w:firstLine="640" w:firstLineChars="200"/>
        <w:outlineLvl w:val="2"/>
        <w:rPr>
          <w:rFonts w:hint="eastAsia" w:ascii="仿宋_GB2312" w:hAnsi="仿宋_GB2312" w:eastAsia="仿宋_GB2312" w:cs="仿宋_GB2312"/>
          <w:b w:val="0"/>
          <w:bCs/>
          <w:color w:val="auto"/>
          <w:sz w:val="32"/>
          <w:szCs w:val="32"/>
          <w:highlight w:val="none"/>
        </w:rPr>
      </w:pPr>
      <w:bookmarkStart w:id="44" w:name="_Toc15377213"/>
      <w:bookmarkStart w:id="45" w:name="_Toc15377444"/>
      <w:bookmarkStart w:id="46" w:name="_Toc15378460"/>
      <w:r>
        <w:rPr>
          <w:rFonts w:hint="eastAsia" w:ascii="仿宋_GB2312" w:hAnsi="仿宋_GB2312" w:eastAsia="仿宋_GB2312" w:cs="仿宋_GB2312"/>
          <w:b w:val="0"/>
          <w:bCs/>
          <w:color w:val="auto"/>
          <w:sz w:val="32"/>
          <w:szCs w:val="32"/>
          <w:highlight w:val="none"/>
        </w:rPr>
        <w:t>20</w:t>
      </w:r>
      <w:r>
        <w:rPr>
          <w:rFonts w:hint="eastAsia" w:ascii="仿宋_GB2312" w:hAnsi="仿宋_GB2312" w:eastAsia="仿宋_GB2312" w:cs="仿宋_GB2312"/>
          <w:b w:val="0"/>
          <w:bCs/>
          <w:color w:val="auto"/>
          <w:sz w:val="32"/>
          <w:szCs w:val="32"/>
          <w:highlight w:val="none"/>
          <w:lang w:val="en-US" w:eastAsia="zh-CN"/>
        </w:rPr>
        <w:t>22</w:t>
      </w:r>
      <w:r>
        <w:rPr>
          <w:rFonts w:hint="eastAsia" w:ascii="仿宋_GB2312" w:hAnsi="仿宋_GB2312" w:eastAsia="仿宋_GB2312" w:cs="仿宋_GB2312"/>
          <w:b w:val="0"/>
          <w:bCs/>
          <w:color w:val="auto"/>
          <w:sz w:val="32"/>
          <w:szCs w:val="32"/>
          <w:highlight w:val="none"/>
        </w:rPr>
        <w:t>年</w:t>
      </w:r>
      <w:r>
        <w:rPr>
          <w:rFonts w:hint="eastAsia" w:ascii="仿宋_GB2312" w:hAnsi="仿宋_GB2312" w:eastAsia="仿宋_GB2312" w:cs="仿宋_GB2312"/>
          <w:b w:val="0"/>
          <w:bCs/>
          <w:color w:val="auto"/>
          <w:sz w:val="32"/>
          <w:szCs w:val="32"/>
          <w:highlight w:val="none"/>
          <w:lang w:eastAsia="zh-CN"/>
        </w:rPr>
        <w:t>一</w:t>
      </w:r>
      <w:r>
        <w:rPr>
          <w:rFonts w:hint="eastAsia" w:ascii="仿宋_GB2312" w:hAnsi="仿宋_GB2312" w:eastAsia="仿宋_GB2312" w:cs="仿宋_GB2312"/>
          <w:b w:val="0"/>
          <w:bCs/>
          <w:color w:val="auto"/>
          <w:sz w:val="32"/>
          <w:szCs w:val="32"/>
          <w:highlight w:val="none"/>
        </w:rPr>
        <w:t>般公共预算支出决算数为</w:t>
      </w:r>
      <w:r>
        <w:rPr>
          <w:rFonts w:hint="eastAsia" w:ascii="仿宋_GB2312" w:hAnsi="仿宋_GB2312" w:eastAsia="仿宋_GB2312" w:cs="仿宋_GB2312"/>
          <w:b w:val="0"/>
          <w:bCs/>
          <w:color w:val="auto"/>
          <w:sz w:val="32"/>
          <w:szCs w:val="32"/>
          <w:highlight w:val="none"/>
          <w:lang w:val="en-US" w:eastAsia="zh-CN"/>
        </w:rPr>
        <w:t xml:space="preserve">4935.62万元 </w:t>
      </w:r>
      <w:r>
        <w:rPr>
          <w:rFonts w:hint="eastAsia" w:ascii="仿宋_GB2312" w:hAnsi="仿宋_GB2312" w:eastAsia="仿宋_GB2312" w:cs="仿宋_GB2312"/>
          <w:b w:val="0"/>
          <w:bCs/>
          <w:color w:val="auto"/>
          <w:sz w:val="32"/>
          <w:szCs w:val="32"/>
          <w:highlight w:val="none"/>
        </w:rPr>
        <w:t>，</w:t>
      </w:r>
      <w:r>
        <w:rPr>
          <w:rStyle w:val="16"/>
          <w:rFonts w:hint="eastAsia" w:ascii="仿宋_GB2312" w:hAnsi="仿宋_GB2312" w:eastAsia="仿宋_GB2312" w:cs="仿宋_GB2312"/>
          <w:b w:val="0"/>
          <w:bCs/>
          <w:color w:val="auto"/>
          <w:sz w:val="32"/>
          <w:szCs w:val="32"/>
          <w:highlight w:val="none"/>
        </w:rPr>
        <w:t>完成预算</w:t>
      </w:r>
      <w:r>
        <w:rPr>
          <w:rStyle w:val="16"/>
          <w:rFonts w:hint="eastAsia" w:ascii="仿宋_GB2312" w:hAnsi="仿宋_GB2312" w:eastAsia="仿宋_GB2312" w:cs="仿宋_GB2312"/>
          <w:b w:val="0"/>
          <w:bCs/>
          <w:color w:val="auto"/>
          <w:sz w:val="32"/>
          <w:szCs w:val="32"/>
          <w:highlight w:val="none"/>
          <w:lang w:val="en-US" w:eastAsia="zh-CN"/>
        </w:rPr>
        <w:t>96.25</w:t>
      </w:r>
      <w:r>
        <w:rPr>
          <w:rStyle w:val="16"/>
          <w:rFonts w:hint="eastAsia" w:ascii="仿宋_GB2312" w:hAnsi="仿宋_GB2312" w:eastAsia="仿宋_GB2312" w:cs="仿宋_GB2312"/>
          <w:b w:val="0"/>
          <w:bCs/>
          <w:color w:val="auto"/>
          <w:sz w:val="32"/>
          <w:szCs w:val="32"/>
          <w:highlight w:val="none"/>
        </w:rPr>
        <w:t>%。其中：</w:t>
      </w:r>
      <w:bookmarkEnd w:id="44"/>
      <w:bookmarkEnd w:id="45"/>
      <w:bookmarkEnd w:id="46"/>
    </w:p>
    <w:p>
      <w:pPr>
        <w:numPr>
          <w:ilvl w:val="0"/>
          <w:numId w:val="0"/>
        </w:numPr>
        <w:spacing w:line="576" w:lineRule="exact"/>
        <w:ind w:firstLine="640" w:firstLineChars="200"/>
        <w:rPr>
          <w:rStyle w:val="16"/>
          <w:rFonts w:hint="eastAsia" w:ascii="仿宋_GB2312" w:hAnsi="仿宋_GB2312" w:eastAsia="仿宋_GB2312" w:cs="仿宋_GB2312"/>
          <w:b w:val="0"/>
          <w:bCs w:val="0"/>
          <w:color w:val="auto"/>
          <w:sz w:val="32"/>
          <w:szCs w:val="32"/>
          <w:highlight w:val="none"/>
        </w:rPr>
      </w:pPr>
      <w:r>
        <w:rPr>
          <w:rStyle w:val="16"/>
          <w:rFonts w:hint="eastAsia" w:ascii="仿宋_GB2312" w:hAnsi="仿宋_GB2312" w:eastAsia="仿宋_GB2312" w:cs="仿宋_GB2312"/>
          <w:b w:val="0"/>
          <w:bCs w:val="0"/>
          <w:color w:val="auto"/>
          <w:sz w:val="32"/>
          <w:szCs w:val="32"/>
          <w:highlight w:val="none"/>
          <w:lang w:val="en-US" w:eastAsia="zh-CN"/>
        </w:rPr>
        <w:t>1.</w:t>
      </w:r>
      <w:r>
        <w:rPr>
          <w:rStyle w:val="16"/>
          <w:rFonts w:hint="eastAsia" w:ascii="仿宋_GB2312" w:hAnsi="仿宋_GB2312" w:eastAsia="仿宋_GB2312" w:cs="仿宋_GB2312"/>
          <w:b w:val="0"/>
          <w:bCs w:val="0"/>
          <w:color w:val="auto"/>
          <w:sz w:val="32"/>
          <w:szCs w:val="32"/>
          <w:highlight w:val="none"/>
        </w:rPr>
        <w:t>一般公共服务支出（类）党委办公厅（室）及相关机构事务（款）行政运行（项）</w:t>
      </w:r>
      <w:r>
        <w:rPr>
          <w:rStyle w:val="16"/>
          <w:rFonts w:hint="eastAsia" w:ascii="仿宋_GB2312" w:hAnsi="仿宋_GB2312" w:eastAsia="仿宋_GB2312" w:cs="仿宋_GB2312"/>
          <w:b w:val="0"/>
          <w:bCs w:val="0"/>
          <w:color w:val="auto"/>
          <w:sz w:val="32"/>
          <w:szCs w:val="32"/>
          <w:highlight w:val="none"/>
          <w:lang w:eastAsia="zh-CN"/>
        </w:rPr>
        <w:t>：</w:t>
      </w:r>
      <w:r>
        <w:rPr>
          <w:rStyle w:val="16"/>
          <w:rFonts w:hint="eastAsia" w:ascii="仿宋_GB2312" w:hAnsi="仿宋_GB2312" w:eastAsia="仿宋_GB2312" w:cs="仿宋_GB2312"/>
          <w:b w:val="0"/>
          <w:bCs w:val="0"/>
          <w:color w:val="auto"/>
          <w:sz w:val="32"/>
          <w:szCs w:val="32"/>
          <w:highlight w:val="none"/>
        </w:rPr>
        <w:t>支出决算为</w:t>
      </w:r>
      <w:r>
        <w:rPr>
          <w:rStyle w:val="16"/>
          <w:rFonts w:hint="eastAsia" w:ascii="仿宋_GB2312" w:hAnsi="仿宋_GB2312" w:eastAsia="仿宋_GB2312" w:cs="仿宋_GB2312"/>
          <w:b w:val="0"/>
          <w:bCs w:val="0"/>
          <w:color w:val="auto"/>
          <w:sz w:val="32"/>
          <w:szCs w:val="32"/>
          <w:highlight w:val="none"/>
          <w:lang w:val="en-US" w:eastAsia="zh-CN"/>
        </w:rPr>
        <w:t>1431.48</w:t>
      </w:r>
      <w:r>
        <w:rPr>
          <w:rStyle w:val="16"/>
          <w:rFonts w:hint="eastAsia" w:ascii="仿宋_GB2312" w:hAnsi="仿宋_GB2312" w:eastAsia="仿宋_GB2312" w:cs="仿宋_GB2312"/>
          <w:b w:val="0"/>
          <w:bCs w:val="0"/>
          <w:color w:val="auto"/>
          <w:sz w:val="32"/>
          <w:szCs w:val="32"/>
          <w:highlight w:val="none"/>
        </w:rPr>
        <w:t>万元，完成预算</w:t>
      </w:r>
      <w:r>
        <w:rPr>
          <w:rStyle w:val="16"/>
          <w:rFonts w:hint="eastAsia" w:ascii="仿宋_GB2312" w:hAnsi="仿宋_GB2312" w:eastAsia="仿宋_GB2312" w:cs="仿宋_GB2312"/>
          <w:b w:val="0"/>
          <w:bCs w:val="0"/>
          <w:color w:val="auto"/>
          <w:sz w:val="32"/>
          <w:szCs w:val="32"/>
          <w:highlight w:val="none"/>
          <w:lang w:val="en-US" w:eastAsia="zh-CN"/>
        </w:rPr>
        <w:t>98.07</w:t>
      </w:r>
      <w:r>
        <w:rPr>
          <w:rStyle w:val="16"/>
          <w:rFonts w:hint="eastAsia" w:ascii="仿宋_GB2312" w:hAnsi="仿宋_GB2312" w:eastAsia="仿宋_GB2312" w:cs="仿宋_GB2312"/>
          <w:b w:val="0"/>
          <w:bCs w:val="0"/>
          <w:color w:val="auto"/>
          <w:sz w:val="32"/>
          <w:szCs w:val="32"/>
          <w:highlight w:val="none"/>
        </w:rPr>
        <w:t>%，决算数小于预算数的主要原因</w:t>
      </w:r>
      <w:r>
        <w:rPr>
          <w:rStyle w:val="16"/>
          <w:rFonts w:hint="eastAsia" w:ascii="仿宋_GB2312" w:hAnsi="仿宋_GB2312" w:eastAsia="仿宋_GB2312" w:cs="仿宋_GB2312"/>
          <w:b w:val="0"/>
          <w:bCs w:val="0"/>
          <w:color w:val="auto"/>
          <w:sz w:val="32"/>
          <w:szCs w:val="32"/>
          <w:highlight w:val="none"/>
          <w:lang w:eastAsia="zh-CN"/>
        </w:rPr>
        <w:t>是年末未缴纳绩效清算的保险</w:t>
      </w:r>
      <w:r>
        <w:rPr>
          <w:rStyle w:val="16"/>
          <w:rFonts w:hint="eastAsia" w:ascii="仿宋_GB2312" w:hAnsi="仿宋_GB2312" w:eastAsia="仿宋_GB2312" w:cs="仿宋_GB2312"/>
          <w:b w:val="0"/>
          <w:bCs w:val="0"/>
          <w:color w:val="auto"/>
          <w:sz w:val="32"/>
          <w:szCs w:val="32"/>
          <w:highlight w:val="none"/>
        </w:rPr>
        <w:t>。</w:t>
      </w:r>
    </w:p>
    <w:p>
      <w:pPr>
        <w:numPr>
          <w:ilvl w:val="0"/>
          <w:numId w:val="0"/>
        </w:numPr>
        <w:spacing w:line="240" w:lineRule="auto"/>
        <w:ind w:left="0" w:leftChars="0" w:firstLine="640" w:firstLineChars="200"/>
        <w:rPr>
          <w:rStyle w:val="16"/>
          <w:rFonts w:hint="eastAsia" w:ascii="仿宋_GB2312" w:hAnsi="仿宋_GB2312" w:eastAsia="仿宋_GB2312" w:cs="仿宋_GB2312"/>
          <w:b w:val="0"/>
          <w:bCs/>
          <w:color w:val="000000"/>
          <w:sz w:val="32"/>
          <w:szCs w:val="32"/>
          <w:highlight w:val="none"/>
        </w:rPr>
      </w:pPr>
      <w:r>
        <w:rPr>
          <w:rStyle w:val="16"/>
          <w:rFonts w:hint="eastAsia" w:ascii="仿宋_GB2312" w:hAnsi="仿宋_GB2312" w:eastAsia="仿宋_GB2312" w:cs="仿宋_GB2312"/>
          <w:b w:val="0"/>
          <w:bCs/>
          <w:color w:val="000000"/>
          <w:sz w:val="32"/>
          <w:szCs w:val="32"/>
          <w:highlight w:val="none"/>
          <w:lang w:val="en-US" w:eastAsia="zh-CN"/>
        </w:rPr>
        <w:t>2.</w:t>
      </w:r>
      <w:r>
        <w:rPr>
          <w:rStyle w:val="16"/>
          <w:rFonts w:hint="eastAsia" w:ascii="仿宋_GB2312" w:hAnsi="仿宋_GB2312" w:eastAsia="仿宋_GB2312" w:cs="仿宋_GB2312"/>
          <w:b w:val="0"/>
          <w:bCs/>
          <w:color w:val="000000"/>
          <w:sz w:val="32"/>
          <w:szCs w:val="32"/>
          <w:highlight w:val="none"/>
        </w:rPr>
        <w:t>一般公共服务支出（类）党委办公厅（室）及相关机构事务（款）一般行政管理事务（项</w:t>
      </w:r>
      <w:r>
        <w:rPr>
          <w:rStyle w:val="16"/>
          <w:rFonts w:hint="eastAsia" w:ascii="仿宋_GB2312" w:hAnsi="仿宋_GB2312" w:eastAsia="仿宋_GB2312" w:cs="仿宋_GB2312"/>
          <w:b w:val="0"/>
          <w:bCs/>
          <w:color w:val="auto"/>
          <w:sz w:val="32"/>
          <w:szCs w:val="32"/>
          <w:highlight w:val="none"/>
        </w:rPr>
        <w:t>）</w:t>
      </w:r>
      <w:r>
        <w:rPr>
          <w:rStyle w:val="16"/>
          <w:rFonts w:hint="eastAsia" w:ascii="仿宋_GB2312" w:hAnsi="仿宋_GB2312" w:eastAsia="仿宋_GB2312" w:cs="仿宋_GB2312"/>
          <w:b w:val="0"/>
          <w:bCs/>
          <w:color w:val="auto"/>
          <w:sz w:val="32"/>
          <w:szCs w:val="32"/>
          <w:highlight w:val="none"/>
          <w:lang w:eastAsia="zh-CN"/>
        </w:rPr>
        <w:t>：</w:t>
      </w:r>
      <w:r>
        <w:rPr>
          <w:rStyle w:val="16"/>
          <w:rFonts w:hint="eastAsia" w:ascii="仿宋_GB2312" w:hAnsi="仿宋_GB2312" w:eastAsia="仿宋_GB2312" w:cs="仿宋_GB2312"/>
          <w:b w:val="0"/>
          <w:bCs/>
          <w:color w:val="000000"/>
          <w:sz w:val="32"/>
          <w:szCs w:val="32"/>
          <w:highlight w:val="none"/>
        </w:rPr>
        <w:t>支出决算为</w:t>
      </w:r>
      <w:r>
        <w:rPr>
          <w:rStyle w:val="16"/>
          <w:rFonts w:hint="eastAsia" w:ascii="仿宋_GB2312" w:hAnsi="仿宋_GB2312" w:eastAsia="仿宋_GB2312" w:cs="仿宋_GB2312"/>
          <w:b w:val="0"/>
          <w:bCs/>
          <w:color w:val="000000"/>
          <w:sz w:val="32"/>
          <w:szCs w:val="32"/>
          <w:highlight w:val="none"/>
          <w:lang w:val="en-US" w:eastAsia="zh-CN"/>
        </w:rPr>
        <w:t>561.25</w:t>
      </w:r>
      <w:r>
        <w:rPr>
          <w:rStyle w:val="16"/>
          <w:rFonts w:hint="eastAsia" w:ascii="仿宋_GB2312" w:hAnsi="仿宋_GB2312" w:eastAsia="仿宋_GB2312" w:cs="仿宋_GB2312"/>
          <w:b w:val="0"/>
          <w:bCs/>
          <w:color w:val="000000"/>
          <w:sz w:val="32"/>
          <w:szCs w:val="32"/>
          <w:highlight w:val="none"/>
        </w:rPr>
        <w:t>万元，完成预算</w:t>
      </w:r>
      <w:r>
        <w:rPr>
          <w:rStyle w:val="16"/>
          <w:rFonts w:hint="eastAsia" w:ascii="仿宋_GB2312" w:hAnsi="仿宋_GB2312" w:eastAsia="仿宋_GB2312" w:cs="仿宋_GB2312"/>
          <w:b w:val="0"/>
          <w:bCs/>
          <w:color w:val="000000"/>
          <w:sz w:val="32"/>
          <w:szCs w:val="32"/>
          <w:highlight w:val="none"/>
          <w:lang w:val="en-US" w:eastAsia="zh-CN"/>
        </w:rPr>
        <w:t>77.4</w:t>
      </w:r>
      <w:r>
        <w:rPr>
          <w:rStyle w:val="16"/>
          <w:rFonts w:hint="eastAsia" w:ascii="仿宋_GB2312" w:hAnsi="仿宋_GB2312" w:eastAsia="仿宋_GB2312" w:cs="仿宋_GB2312"/>
          <w:b w:val="0"/>
          <w:bCs/>
          <w:color w:val="000000"/>
          <w:sz w:val="32"/>
          <w:szCs w:val="32"/>
          <w:highlight w:val="none"/>
        </w:rPr>
        <w:t>%，决算数小于预算数的主要</w:t>
      </w:r>
      <w:r>
        <w:rPr>
          <w:rStyle w:val="16"/>
          <w:rFonts w:hint="eastAsia" w:ascii="仿宋_GB2312" w:hAnsi="仿宋_GB2312" w:eastAsia="仿宋_GB2312" w:cs="仿宋_GB2312"/>
          <w:b w:val="0"/>
          <w:bCs/>
          <w:color w:val="000000"/>
          <w:sz w:val="32"/>
          <w:szCs w:val="32"/>
          <w:highlight w:val="none"/>
          <w:lang w:eastAsia="zh-CN"/>
        </w:rPr>
        <w:t>原因是</w:t>
      </w:r>
      <w:r>
        <w:rPr>
          <w:rStyle w:val="16"/>
          <w:rFonts w:hint="eastAsia" w:ascii="仿宋_GB2312" w:hAnsi="仿宋_GB2312" w:eastAsia="仿宋_GB2312" w:cs="仿宋_GB2312"/>
          <w:b w:val="0"/>
          <w:bCs/>
          <w:color w:val="000000"/>
          <w:sz w:val="32"/>
          <w:szCs w:val="32"/>
          <w:highlight w:val="none"/>
        </w:rPr>
        <w:t>疫情原因部分项目经费未能及时支付。</w:t>
      </w:r>
    </w:p>
    <w:p>
      <w:pPr>
        <w:pStyle w:val="6"/>
        <w:ind w:firstLine="640"/>
        <w:rPr>
          <w:rStyle w:val="16"/>
          <w:rFonts w:hint="eastAsia" w:ascii="仿宋_GB2312" w:hAnsi="仿宋_GB2312" w:eastAsia="仿宋_GB2312" w:cs="仿宋_GB2312"/>
          <w:b w:val="0"/>
          <w:bCs/>
          <w:color w:val="000000"/>
          <w:sz w:val="32"/>
          <w:szCs w:val="32"/>
          <w:highlight w:val="none"/>
          <w:lang w:val="en-US" w:eastAsia="zh-CN"/>
        </w:rPr>
      </w:pPr>
      <w:r>
        <w:rPr>
          <w:rStyle w:val="16"/>
          <w:rFonts w:hint="eastAsia" w:ascii="仿宋_GB2312" w:hAnsi="仿宋_GB2312" w:eastAsia="仿宋_GB2312" w:cs="仿宋_GB2312"/>
          <w:b w:val="0"/>
          <w:bCs/>
          <w:color w:val="000000"/>
          <w:sz w:val="32"/>
          <w:szCs w:val="32"/>
          <w:highlight w:val="none"/>
          <w:lang w:val="en-US" w:eastAsia="zh-CN"/>
        </w:rPr>
        <w:t>3.</w:t>
      </w:r>
      <w:r>
        <w:rPr>
          <w:rStyle w:val="16"/>
          <w:rFonts w:hint="eastAsia" w:ascii="仿宋_GB2312" w:hAnsi="仿宋_GB2312" w:eastAsia="仿宋_GB2312" w:cs="仿宋_GB2312"/>
          <w:b w:val="0"/>
          <w:bCs/>
          <w:color w:val="000000"/>
          <w:sz w:val="32"/>
          <w:szCs w:val="32"/>
          <w:highlight w:val="none"/>
        </w:rPr>
        <w:t>一般公共服务支出（类）党委办公厅（室）及相关机构事务（款）</w:t>
      </w:r>
      <w:r>
        <w:rPr>
          <w:rStyle w:val="16"/>
          <w:rFonts w:hint="eastAsia" w:ascii="仿宋_GB2312" w:hAnsi="仿宋_GB2312" w:eastAsia="仿宋_GB2312" w:cs="仿宋_GB2312"/>
          <w:b w:val="0"/>
          <w:bCs/>
          <w:color w:val="000000"/>
          <w:sz w:val="32"/>
          <w:szCs w:val="32"/>
          <w:highlight w:val="none"/>
          <w:lang w:eastAsia="zh-CN"/>
        </w:rPr>
        <w:t>事业运行</w:t>
      </w:r>
      <w:r>
        <w:rPr>
          <w:rStyle w:val="16"/>
          <w:rFonts w:hint="eastAsia" w:ascii="仿宋_GB2312" w:hAnsi="仿宋_GB2312" w:eastAsia="仿宋_GB2312" w:cs="仿宋_GB2312"/>
          <w:b w:val="0"/>
          <w:bCs/>
          <w:color w:val="000000"/>
          <w:sz w:val="32"/>
          <w:szCs w:val="32"/>
          <w:highlight w:val="none"/>
          <w:lang w:val="en-US" w:eastAsia="zh-CN"/>
        </w:rPr>
        <w:t>（</w:t>
      </w:r>
      <w:r>
        <w:rPr>
          <w:rStyle w:val="16"/>
          <w:rFonts w:hint="eastAsia" w:ascii="仿宋_GB2312" w:hAnsi="仿宋_GB2312" w:eastAsia="仿宋_GB2312" w:cs="仿宋_GB2312"/>
          <w:b w:val="0"/>
          <w:bCs/>
          <w:color w:val="000000"/>
          <w:sz w:val="32"/>
          <w:szCs w:val="32"/>
          <w:highlight w:val="none"/>
          <w:lang w:eastAsia="zh-CN"/>
        </w:rPr>
        <w:t>项</w:t>
      </w:r>
      <w:r>
        <w:rPr>
          <w:rStyle w:val="16"/>
          <w:rFonts w:hint="eastAsia" w:ascii="仿宋_GB2312" w:hAnsi="仿宋_GB2312" w:eastAsia="仿宋_GB2312" w:cs="仿宋_GB2312"/>
          <w:b w:val="0"/>
          <w:bCs/>
          <w:color w:val="auto"/>
          <w:sz w:val="32"/>
          <w:szCs w:val="32"/>
          <w:highlight w:val="none"/>
          <w:lang w:val="en-US" w:eastAsia="zh-CN"/>
        </w:rPr>
        <w:t>）：</w:t>
      </w:r>
      <w:r>
        <w:rPr>
          <w:rStyle w:val="16"/>
          <w:rFonts w:hint="eastAsia" w:ascii="仿宋_GB2312" w:hAnsi="仿宋_GB2312" w:eastAsia="仿宋_GB2312" w:cs="仿宋_GB2312"/>
          <w:b w:val="0"/>
          <w:bCs/>
          <w:color w:val="auto"/>
          <w:sz w:val="32"/>
          <w:szCs w:val="32"/>
          <w:highlight w:val="none"/>
          <w:lang w:eastAsia="zh-CN"/>
        </w:rPr>
        <w:t>支</w:t>
      </w:r>
      <w:r>
        <w:rPr>
          <w:rStyle w:val="16"/>
          <w:rFonts w:hint="eastAsia" w:ascii="仿宋_GB2312" w:hAnsi="仿宋_GB2312" w:eastAsia="仿宋_GB2312" w:cs="仿宋_GB2312"/>
          <w:b w:val="0"/>
          <w:bCs/>
          <w:color w:val="000000"/>
          <w:sz w:val="32"/>
          <w:szCs w:val="32"/>
          <w:highlight w:val="none"/>
          <w:lang w:eastAsia="zh-CN"/>
        </w:rPr>
        <w:t>出决算为</w:t>
      </w:r>
      <w:r>
        <w:rPr>
          <w:rStyle w:val="16"/>
          <w:rFonts w:hint="eastAsia" w:ascii="仿宋_GB2312" w:hAnsi="仿宋_GB2312" w:eastAsia="仿宋_GB2312" w:cs="仿宋_GB2312"/>
          <w:b w:val="0"/>
          <w:bCs/>
          <w:color w:val="000000"/>
          <w:sz w:val="32"/>
          <w:szCs w:val="32"/>
          <w:highlight w:val="none"/>
          <w:lang w:val="en-US" w:eastAsia="zh-CN"/>
        </w:rPr>
        <w:t>86.53万元，完成预算100%。</w:t>
      </w:r>
    </w:p>
    <w:p>
      <w:pPr>
        <w:ind w:firstLine="640"/>
        <w:rPr>
          <w:rStyle w:val="16"/>
          <w:rFonts w:hint="eastAsia" w:ascii="仿宋_GB2312" w:hAnsi="仿宋_GB2312" w:eastAsia="仿宋_GB2312" w:cs="仿宋_GB2312"/>
          <w:b w:val="0"/>
          <w:bCs/>
          <w:color w:val="000000"/>
          <w:sz w:val="32"/>
          <w:szCs w:val="32"/>
          <w:highlight w:val="none"/>
        </w:rPr>
      </w:pPr>
      <w:r>
        <w:rPr>
          <w:rStyle w:val="16"/>
          <w:rFonts w:hint="eastAsia" w:ascii="仿宋_GB2312" w:hAnsi="仿宋_GB2312" w:eastAsia="仿宋_GB2312" w:cs="仿宋_GB2312"/>
          <w:b w:val="0"/>
          <w:bCs/>
          <w:color w:val="000000"/>
          <w:kern w:val="2"/>
          <w:sz w:val="32"/>
          <w:szCs w:val="32"/>
          <w:highlight w:val="none"/>
          <w:lang w:val="en-US" w:eastAsia="zh-CN" w:bidi="ar-SA"/>
        </w:rPr>
        <w:t>4.一般公</w:t>
      </w:r>
      <w:r>
        <w:rPr>
          <w:rStyle w:val="16"/>
          <w:rFonts w:hint="eastAsia" w:ascii="仿宋_GB2312" w:hAnsi="仿宋_GB2312" w:eastAsia="仿宋_GB2312" w:cs="仿宋_GB2312"/>
          <w:b w:val="0"/>
          <w:bCs/>
          <w:color w:val="000000"/>
          <w:sz w:val="32"/>
          <w:szCs w:val="32"/>
          <w:highlight w:val="none"/>
        </w:rPr>
        <w:t>共服务支出（类）党委办公厅（室）及相关机构事务（款）</w:t>
      </w:r>
      <w:r>
        <w:rPr>
          <w:rStyle w:val="16"/>
          <w:rFonts w:hint="eastAsia" w:ascii="仿宋_GB2312" w:hAnsi="仿宋_GB2312" w:eastAsia="仿宋_GB2312" w:cs="仿宋_GB2312"/>
          <w:b w:val="0"/>
          <w:bCs/>
          <w:color w:val="000000"/>
          <w:sz w:val="32"/>
          <w:szCs w:val="32"/>
          <w:highlight w:val="none"/>
          <w:lang w:eastAsia="zh-CN"/>
        </w:rPr>
        <w:t>其他党委办公厅（室）及相关机构事务支出（项</w:t>
      </w:r>
      <w:r>
        <w:rPr>
          <w:rStyle w:val="16"/>
          <w:rFonts w:hint="eastAsia" w:ascii="仿宋_GB2312" w:hAnsi="仿宋_GB2312" w:eastAsia="仿宋_GB2312" w:cs="仿宋_GB2312"/>
          <w:b w:val="0"/>
          <w:bCs/>
          <w:color w:val="auto"/>
          <w:sz w:val="32"/>
          <w:szCs w:val="32"/>
          <w:highlight w:val="none"/>
          <w:lang w:eastAsia="zh-CN"/>
        </w:rPr>
        <w:t>）：</w:t>
      </w:r>
      <w:r>
        <w:rPr>
          <w:rStyle w:val="16"/>
          <w:rFonts w:hint="eastAsia" w:ascii="仿宋_GB2312" w:hAnsi="仿宋_GB2312" w:eastAsia="仿宋_GB2312" w:cs="仿宋_GB2312"/>
          <w:b w:val="0"/>
          <w:bCs/>
          <w:color w:val="000000"/>
          <w:sz w:val="32"/>
          <w:szCs w:val="32"/>
          <w:highlight w:val="none"/>
          <w:lang w:eastAsia="zh-CN"/>
        </w:rPr>
        <w:t>支出决算为</w:t>
      </w:r>
      <w:r>
        <w:rPr>
          <w:rStyle w:val="16"/>
          <w:rFonts w:hint="eastAsia" w:ascii="仿宋_GB2312" w:hAnsi="仿宋_GB2312" w:eastAsia="仿宋_GB2312" w:cs="仿宋_GB2312"/>
          <w:b w:val="0"/>
          <w:bCs/>
          <w:color w:val="000000"/>
          <w:sz w:val="32"/>
          <w:szCs w:val="32"/>
          <w:highlight w:val="none"/>
          <w:lang w:val="en-US" w:eastAsia="zh-CN"/>
        </w:rPr>
        <w:t>2568.31万元，</w:t>
      </w:r>
      <w:r>
        <w:rPr>
          <w:rStyle w:val="16"/>
          <w:rFonts w:hint="eastAsia" w:ascii="仿宋_GB2312" w:hAnsi="仿宋_GB2312" w:eastAsia="仿宋_GB2312" w:cs="仿宋_GB2312"/>
          <w:b w:val="0"/>
          <w:bCs/>
          <w:color w:val="000000"/>
          <w:sz w:val="32"/>
          <w:szCs w:val="32"/>
          <w:highlight w:val="none"/>
        </w:rPr>
        <w:t>完成预算100%。</w:t>
      </w:r>
    </w:p>
    <w:p>
      <w:pPr>
        <w:spacing w:line="576" w:lineRule="exact"/>
        <w:ind w:firstLine="640" w:firstLineChars="200"/>
        <w:rPr>
          <w:rFonts w:hint="eastAsia" w:ascii="仿宋_GB2312" w:hAnsi="仿宋_GB2312" w:eastAsia="仿宋_GB2312" w:cs="仿宋_GB2312"/>
          <w:sz w:val="32"/>
          <w:szCs w:val="32"/>
          <w:highlight w:val="none"/>
          <w:lang w:val="en-US" w:eastAsia="zh-CN"/>
        </w:rPr>
      </w:pPr>
      <w:r>
        <w:rPr>
          <w:rStyle w:val="16"/>
          <w:rFonts w:hint="eastAsia" w:ascii="仿宋_GB2312" w:hAnsi="仿宋_GB2312" w:eastAsia="仿宋_GB2312" w:cs="仿宋_GB2312"/>
          <w:b w:val="0"/>
          <w:bCs/>
          <w:color w:val="000000"/>
          <w:sz w:val="32"/>
          <w:szCs w:val="32"/>
          <w:highlight w:val="none"/>
          <w:lang w:val="en-US" w:eastAsia="zh-CN"/>
        </w:rPr>
        <w:t>5.</w:t>
      </w:r>
      <w:r>
        <w:rPr>
          <w:rStyle w:val="16"/>
          <w:rFonts w:hint="eastAsia" w:ascii="仿宋_GB2312" w:hAnsi="仿宋_GB2312" w:eastAsia="仿宋_GB2312" w:cs="仿宋_GB2312"/>
          <w:b w:val="0"/>
          <w:bCs/>
          <w:color w:val="000000"/>
          <w:sz w:val="32"/>
          <w:szCs w:val="32"/>
          <w:highlight w:val="none"/>
        </w:rPr>
        <w:t>社会保障和就业支出（类）</w:t>
      </w:r>
      <w:r>
        <w:rPr>
          <w:rStyle w:val="16"/>
          <w:rFonts w:hint="eastAsia" w:ascii="仿宋_GB2312" w:hAnsi="仿宋_GB2312" w:eastAsia="仿宋_GB2312" w:cs="仿宋_GB2312"/>
          <w:b w:val="0"/>
          <w:bCs/>
          <w:color w:val="000000"/>
          <w:sz w:val="32"/>
          <w:szCs w:val="32"/>
          <w:highlight w:val="none"/>
          <w:lang w:eastAsia="zh-CN"/>
        </w:rPr>
        <w:t>人力资源和社会保障管理事务</w:t>
      </w:r>
      <w:r>
        <w:rPr>
          <w:rStyle w:val="16"/>
          <w:rFonts w:hint="eastAsia" w:ascii="仿宋_GB2312" w:hAnsi="仿宋_GB2312" w:eastAsia="仿宋_GB2312" w:cs="仿宋_GB2312"/>
          <w:b w:val="0"/>
          <w:bCs/>
          <w:color w:val="000000"/>
          <w:sz w:val="32"/>
          <w:szCs w:val="32"/>
          <w:highlight w:val="none"/>
          <w:lang w:val="en-US" w:eastAsia="zh-CN"/>
        </w:rPr>
        <w:t>（款）其他人力资源和社会保障管理事务（项</w:t>
      </w:r>
      <w:r>
        <w:rPr>
          <w:rStyle w:val="16"/>
          <w:rFonts w:hint="eastAsia" w:ascii="仿宋_GB2312" w:hAnsi="仿宋_GB2312" w:eastAsia="仿宋_GB2312" w:cs="仿宋_GB2312"/>
          <w:b w:val="0"/>
          <w:bCs/>
          <w:color w:val="auto"/>
          <w:sz w:val="32"/>
          <w:szCs w:val="32"/>
          <w:highlight w:val="none"/>
          <w:lang w:val="en-US" w:eastAsia="zh-CN"/>
        </w:rPr>
        <w:t>）：支</w:t>
      </w:r>
      <w:r>
        <w:rPr>
          <w:rStyle w:val="16"/>
          <w:rFonts w:hint="eastAsia" w:ascii="仿宋_GB2312" w:hAnsi="仿宋_GB2312" w:eastAsia="仿宋_GB2312" w:cs="仿宋_GB2312"/>
          <w:b w:val="0"/>
          <w:bCs/>
          <w:color w:val="000000"/>
          <w:sz w:val="32"/>
          <w:szCs w:val="32"/>
          <w:highlight w:val="none"/>
          <w:lang w:val="en-US" w:eastAsia="zh-CN"/>
        </w:rPr>
        <w:t>出决算为8万元，</w:t>
      </w:r>
      <w:r>
        <w:rPr>
          <w:rStyle w:val="16"/>
          <w:rFonts w:hint="eastAsia" w:ascii="仿宋_GB2312" w:hAnsi="仿宋_GB2312" w:eastAsia="仿宋_GB2312" w:cs="仿宋_GB2312"/>
          <w:b w:val="0"/>
          <w:bCs/>
          <w:color w:val="000000"/>
          <w:sz w:val="32"/>
          <w:szCs w:val="32"/>
          <w:highlight w:val="none"/>
        </w:rPr>
        <w:t>完成预算100%。</w:t>
      </w:r>
    </w:p>
    <w:p>
      <w:pPr>
        <w:spacing w:line="576" w:lineRule="exact"/>
        <w:ind w:firstLine="640" w:firstLineChars="200"/>
        <w:rPr>
          <w:rStyle w:val="16"/>
          <w:rFonts w:hint="eastAsia" w:ascii="仿宋_GB2312" w:hAnsi="仿宋_GB2312" w:eastAsia="仿宋_GB2312" w:cs="仿宋_GB2312"/>
          <w:b w:val="0"/>
          <w:bCs/>
          <w:color w:val="000000"/>
          <w:sz w:val="32"/>
          <w:szCs w:val="32"/>
          <w:highlight w:val="none"/>
          <w:lang w:val="en-US" w:eastAsia="zh-CN"/>
        </w:rPr>
      </w:pPr>
      <w:r>
        <w:rPr>
          <w:rStyle w:val="16"/>
          <w:rFonts w:hint="eastAsia" w:ascii="仿宋_GB2312" w:hAnsi="仿宋_GB2312" w:eastAsia="仿宋_GB2312" w:cs="仿宋_GB2312"/>
          <w:b w:val="0"/>
          <w:bCs/>
          <w:color w:val="000000"/>
          <w:sz w:val="32"/>
          <w:szCs w:val="32"/>
          <w:highlight w:val="none"/>
          <w:lang w:val="en-US" w:eastAsia="zh-CN"/>
        </w:rPr>
        <w:t>6</w:t>
      </w:r>
      <w:r>
        <w:rPr>
          <w:rStyle w:val="16"/>
          <w:rFonts w:hint="eastAsia" w:ascii="仿宋_GB2312" w:hAnsi="仿宋_GB2312" w:eastAsia="仿宋_GB2312" w:cs="仿宋_GB2312"/>
          <w:b w:val="0"/>
          <w:bCs/>
          <w:color w:val="000000"/>
          <w:sz w:val="32"/>
          <w:szCs w:val="32"/>
          <w:highlight w:val="none"/>
        </w:rPr>
        <w:t>.社会保障和就业支出（类）行政事业单位养老支出（款）机关事业单位基本养老保险缴费支出（</w:t>
      </w:r>
      <w:r>
        <w:rPr>
          <w:rStyle w:val="16"/>
          <w:rFonts w:hint="eastAsia" w:ascii="仿宋_GB2312" w:hAnsi="仿宋_GB2312" w:eastAsia="仿宋_GB2312" w:cs="仿宋_GB2312"/>
          <w:b w:val="0"/>
          <w:bCs/>
          <w:color w:val="auto"/>
          <w:sz w:val="32"/>
          <w:szCs w:val="32"/>
          <w:highlight w:val="none"/>
        </w:rPr>
        <w:t>项）</w:t>
      </w:r>
      <w:r>
        <w:rPr>
          <w:rStyle w:val="16"/>
          <w:rFonts w:hint="eastAsia" w:ascii="仿宋_GB2312" w:hAnsi="仿宋_GB2312" w:eastAsia="仿宋_GB2312" w:cs="仿宋_GB2312"/>
          <w:b w:val="0"/>
          <w:bCs/>
          <w:color w:val="auto"/>
          <w:sz w:val="32"/>
          <w:szCs w:val="32"/>
          <w:highlight w:val="none"/>
          <w:lang w:eastAsia="zh-CN"/>
        </w:rPr>
        <w:t>：</w:t>
      </w:r>
      <w:r>
        <w:rPr>
          <w:rStyle w:val="16"/>
          <w:rFonts w:hint="eastAsia" w:ascii="仿宋_GB2312" w:hAnsi="仿宋_GB2312" w:eastAsia="仿宋_GB2312" w:cs="仿宋_GB2312"/>
          <w:b w:val="0"/>
          <w:bCs/>
          <w:color w:val="000000"/>
          <w:sz w:val="32"/>
          <w:szCs w:val="32"/>
          <w:highlight w:val="none"/>
        </w:rPr>
        <w:t>支出决算为</w:t>
      </w:r>
      <w:r>
        <w:rPr>
          <w:rStyle w:val="16"/>
          <w:rFonts w:hint="eastAsia" w:ascii="仿宋_GB2312" w:hAnsi="仿宋_GB2312" w:eastAsia="仿宋_GB2312" w:cs="仿宋_GB2312"/>
          <w:b w:val="0"/>
          <w:bCs/>
          <w:color w:val="000000"/>
          <w:sz w:val="32"/>
          <w:szCs w:val="32"/>
          <w:highlight w:val="none"/>
          <w:lang w:val="en-US" w:eastAsia="zh-CN"/>
        </w:rPr>
        <w:t>95.22</w:t>
      </w:r>
      <w:r>
        <w:rPr>
          <w:rStyle w:val="16"/>
          <w:rFonts w:hint="eastAsia" w:ascii="仿宋_GB2312" w:hAnsi="仿宋_GB2312" w:eastAsia="仿宋_GB2312" w:cs="仿宋_GB2312"/>
          <w:b w:val="0"/>
          <w:bCs/>
          <w:color w:val="000000"/>
          <w:sz w:val="32"/>
          <w:szCs w:val="32"/>
          <w:highlight w:val="none"/>
        </w:rPr>
        <w:t>万元，完成预算100%。</w:t>
      </w:r>
    </w:p>
    <w:p>
      <w:pPr>
        <w:spacing w:line="576" w:lineRule="exact"/>
        <w:ind w:firstLine="640" w:firstLineChars="200"/>
        <w:rPr>
          <w:rStyle w:val="16"/>
          <w:rFonts w:hint="eastAsia" w:ascii="仿宋_GB2312" w:hAnsi="仿宋_GB2312" w:eastAsia="仿宋_GB2312" w:cs="仿宋_GB2312"/>
          <w:b w:val="0"/>
          <w:bCs/>
          <w:color w:val="000000"/>
          <w:sz w:val="32"/>
          <w:szCs w:val="32"/>
          <w:highlight w:val="none"/>
        </w:rPr>
      </w:pPr>
      <w:r>
        <w:rPr>
          <w:rStyle w:val="16"/>
          <w:rFonts w:hint="eastAsia" w:ascii="仿宋_GB2312" w:hAnsi="仿宋_GB2312" w:eastAsia="仿宋_GB2312" w:cs="仿宋_GB2312"/>
          <w:b w:val="0"/>
          <w:bCs/>
          <w:color w:val="000000"/>
          <w:sz w:val="32"/>
          <w:szCs w:val="32"/>
          <w:highlight w:val="none"/>
          <w:lang w:val="en-US" w:eastAsia="zh-CN"/>
        </w:rPr>
        <w:t>7</w:t>
      </w:r>
      <w:r>
        <w:rPr>
          <w:rStyle w:val="16"/>
          <w:rFonts w:hint="eastAsia" w:ascii="仿宋_GB2312" w:hAnsi="仿宋_GB2312" w:eastAsia="仿宋_GB2312" w:cs="仿宋_GB2312"/>
          <w:b w:val="0"/>
          <w:bCs/>
          <w:color w:val="000000"/>
          <w:sz w:val="32"/>
          <w:szCs w:val="32"/>
          <w:highlight w:val="none"/>
        </w:rPr>
        <w:t>.社会保障和就业支出（类）行政事业单位养老支出（款）机关事业单位职业年金缴费支出（项）</w:t>
      </w:r>
      <w:r>
        <w:rPr>
          <w:rStyle w:val="16"/>
          <w:rFonts w:hint="eastAsia" w:ascii="仿宋_GB2312" w:hAnsi="仿宋_GB2312" w:eastAsia="仿宋_GB2312" w:cs="仿宋_GB2312"/>
          <w:b w:val="0"/>
          <w:bCs/>
          <w:color w:val="000000"/>
          <w:sz w:val="32"/>
          <w:szCs w:val="32"/>
          <w:highlight w:val="none"/>
          <w:lang w:eastAsia="zh-CN"/>
        </w:rPr>
        <w:t>：</w:t>
      </w:r>
      <w:r>
        <w:rPr>
          <w:rStyle w:val="16"/>
          <w:rFonts w:hint="eastAsia" w:ascii="仿宋_GB2312" w:hAnsi="仿宋_GB2312" w:eastAsia="仿宋_GB2312" w:cs="仿宋_GB2312"/>
          <w:b w:val="0"/>
          <w:bCs/>
          <w:color w:val="000000"/>
          <w:sz w:val="32"/>
          <w:szCs w:val="32"/>
          <w:highlight w:val="none"/>
        </w:rPr>
        <w:t>支出决算为</w:t>
      </w:r>
      <w:r>
        <w:rPr>
          <w:rStyle w:val="16"/>
          <w:rFonts w:hint="eastAsia" w:ascii="仿宋_GB2312" w:hAnsi="仿宋_GB2312" w:eastAsia="仿宋_GB2312" w:cs="仿宋_GB2312"/>
          <w:b w:val="0"/>
          <w:bCs/>
          <w:color w:val="000000"/>
          <w:sz w:val="32"/>
          <w:szCs w:val="32"/>
          <w:highlight w:val="none"/>
          <w:lang w:val="en-US" w:eastAsia="zh-CN"/>
        </w:rPr>
        <w:t>36.86</w:t>
      </w:r>
      <w:r>
        <w:rPr>
          <w:rStyle w:val="16"/>
          <w:rFonts w:hint="eastAsia" w:ascii="仿宋_GB2312" w:hAnsi="仿宋_GB2312" w:eastAsia="仿宋_GB2312" w:cs="仿宋_GB2312"/>
          <w:b w:val="0"/>
          <w:bCs/>
          <w:color w:val="000000"/>
          <w:sz w:val="32"/>
          <w:szCs w:val="32"/>
          <w:highlight w:val="none"/>
        </w:rPr>
        <w:t>万元，完成预算100%。</w:t>
      </w:r>
    </w:p>
    <w:p>
      <w:pPr>
        <w:spacing w:line="576" w:lineRule="exact"/>
        <w:ind w:firstLine="640" w:firstLineChars="200"/>
        <w:rPr>
          <w:rFonts w:hint="eastAsia" w:ascii="仿宋_GB2312" w:hAnsi="仿宋_GB2312" w:eastAsia="仿宋_GB2312" w:cs="仿宋_GB2312"/>
          <w:color w:val="000000"/>
          <w:sz w:val="32"/>
          <w:szCs w:val="32"/>
          <w:highlight w:val="none"/>
        </w:rPr>
      </w:pPr>
      <w:r>
        <w:rPr>
          <w:rStyle w:val="16"/>
          <w:rFonts w:hint="eastAsia" w:ascii="仿宋_GB2312" w:hAnsi="仿宋_GB2312" w:eastAsia="仿宋_GB2312" w:cs="仿宋_GB2312"/>
          <w:b w:val="0"/>
          <w:bCs/>
          <w:color w:val="000000"/>
          <w:sz w:val="32"/>
          <w:szCs w:val="32"/>
          <w:highlight w:val="none"/>
          <w:lang w:val="en-US" w:eastAsia="zh-CN"/>
        </w:rPr>
        <w:t>8</w:t>
      </w:r>
      <w:r>
        <w:rPr>
          <w:rStyle w:val="16"/>
          <w:rFonts w:hint="eastAsia" w:ascii="仿宋_GB2312" w:hAnsi="仿宋_GB2312" w:eastAsia="仿宋_GB2312" w:cs="仿宋_GB2312"/>
          <w:b w:val="0"/>
          <w:bCs/>
          <w:color w:val="000000"/>
          <w:sz w:val="32"/>
          <w:szCs w:val="32"/>
          <w:highlight w:val="none"/>
        </w:rPr>
        <w:t>.</w:t>
      </w:r>
      <w:r>
        <w:rPr>
          <w:rFonts w:hint="eastAsia" w:ascii="仿宋_GB2312" w:hAnsi="仿宋_GB2312" w:eastAsia="仿宋_GB2312" w:cs="仿宋_GB2312"/>
          <w:bCs/>
          <w:color w:val="000000"/>
          <w:sz w:val="32"/>
          <w:szCs w:val="32"/>
          <w:highlight w:val="none"/>
        </w:rPr>
        <w:t>卫生健康支出</w:t>
      </w:r>
      <w:r>
        <w:rPr>
          <w:rStyle w:val="16"/>
          <w:rFonts w:hint="eastAsia" w:ascii="仿宋_GB2312" w:hAnsi="仿宋_GB2312" w:eastAsia="仿宋_GB2312" w:cs="仿宋_GB2312"/>
          <w:b w:val="0"/>
          <w:bCs/>
          <w:color w:val="000000"/>
          <w:sz w:val="32"/>
          <w:szCs w:val="32"/>
          <w:highlight w:val="none"/>
        </w:rPr>
        <w:t>（类）行政事业单位医疗（款）行政单位医疗（项）</w:t>
      </w:r>
      <w:r>
        <w:rPr>
          <w:rStyle w:val="16"/>
          <w:rFonts w:hint="eastAsia" w:ascii="仿宋_GB2312" w:hAnsi="仿宋_GB2312" w:eastAsia="仿宋_GB2312" w:cs="仿宋_GB2312"/>
          <w:b w:val="0"/>
          <w:bCs/>
          <w:color w:val="000000"/>
          <w:sz w:val="32"/>
          <w:szCs w:val="32"/>
          <w:highlight w:val="none"/>
          <w:lang w:eastAsia="zh-CN"/>
        </w:rPr>
        <w:t>：</w:t>
      </w:r>
      <w:r>
        <w:rPr>
          <w:rStyle w:val="16"/>
          <w:rFonts w:hint="eastAsia" w:ascii="仿宋_GB2312" w:hAnsi="仿宋_GB2312" w:eastAsia="仿宋_GB2312" w:cs="仿宋_GB2312"/>
          <w:b w:val="0"/>
          <w:bCs/>
          <w:color w:val="000000"/>
          <w:sz w:val="32"/>
          <w:szCs w:val="32"/>
          <w:highlight w:val="none"/>
        </w:rPr>
        <w:t>支出决算为</w:t>
      </w:r>
      <w:r>
        <w:rPr>
          <w:rStyle w:val="16"/>
          <w:rFonts w:hint="eastAsia" w:ascii="仿宋_GB2312" w:hAnsi="仿宋_GB2312" w:eastAsia="仿宋_GB2312" w:cs="仿宋_GB2312"/>
          <w:b w:val="0"/>
          <w:bCs/>
          <w:color w:val="000000"/>
          <w:sz w:val="32"/>
          <w:szCs w:val="32"/>
          <w:highlight w:val="none"/>
          <w:lang w:val="en-US" w:eastAsia="zh-CN"/>
        </w:rPr>
        <w:t>51.77</w:t>
      </w:r>
      <w:r>
        <w:rPr>
          <w:rStyle w:val="16"/>
          <w:rFonts w:hint="eastAsia" w:ascii="仿宋_GB2312" w:hAnsi="仿宋_GB2312" w:eastAsia="仿宋_GB2312" w:cs="仿宋_GB2312"/>
          <w:b w:val="0"/>
          <w:bCs/>
          <w:color w:val="000000"/>
          <w:sz w:val="32"/>
          <w:szCs w:val="32"/>
          <w:highlight w:val="none"/>
        </w:rPr>
        <w:t>万元，完成预算100%。</w:t>
      </w:r>
    </w:p>
    <w:p>
      <w:pPr>
        <w:spacing w:line="576" w:lineRule="exact"/>
        <w:ind w:firstLine="640" w:firstLineChars="200"/>
        <w:rPr>
          <w:rFonts w:hint="eastAsia" w:ascii="仿宋_GB2312" w:hAnsi="仿宋_GB2312" w:eastAsia="仿宋_GB2312" w:cs="仿宋_GB2312"/>
          <w:b/>
          <w:color w:val="auto"/>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9</w:t>
      </w:r>
      <w:r>
        <w:rPr>
          <w:rFonts w:hint="eastAsia" w:ascii="仿宋_GB2312" w:hAnsi="仿宋_GB2312" w:eastAsia="仿宋_GB2312" w:cs="仿宋_GB2312"/>
          <w:color w:val="000000"/>
          <w:sz w:val="32"/>
          <w:szCs w:val="32"/>
          <w:highlight w:val="none"/>
        </w:rPr>
        <w:t>.住房保障支出（类）住房改革支出（款）住房公积金（项）</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rPr>
        <w:t>支出决算数为</w:t>
      </w:r>
      <w:r>
        <w:rPr>
          <w:rFonts w:hint="eastAsia" w:ascii="仿宋_GB2312" w:hAnsi="仿宋_GB2312" w:eastAsia="仿宋_GB2312" w:cs="仿宋_GB2312"/>
          <w:color w:val="000000"/>
          <w:sz w:val="32"/>
          <w:szCs w:val="32"/>
          <w:highlight w:val="none"/>
          <w:lang w:val="en-US" w:eastAsia="zh-CN"/>
        </w:rPr>
        <w:t>96.19</w:t>
      </w:r>
      <w:r>
        <w:rPr>
          <w:rFonts w:hint="eastAsia" w:ascii="仿宋_GB2312" w:hAnsi="仿宋_GB2312" w:eastAsia="仿宋_GB2312" w:cs="仿宋_GB2312"/>
          <w:color w:val="000000"/>
          <w:sz w:val="32"/>
          <w:szCs w:val="32"/>
          <w:highlight w:val="none"/>
        </w:rPr>
        <w:t>万元，完成预算100%。</w:t>
      </w:r>
    </w:p>
    <w:p>
      <w:pPr>
        <w:tabs>
          <w:tab w:val="right" w:pos="8306"/>
        </w:tabs>
        <w:spacing w:line="600" w:lineRule="exact"/>
        <w:ind w:firstLine="640"/>
        <w:outlineLvl w:val="1"/>
        <w:rPr>
          <w:rStyle w:val="19"/>
          <w:color w:val="auto"/>
          <w:highlight w:val="none"/>
        </w:rPr>
      </w:pPr>
      <w:bookmarkStart w:id="47" w:name="_Toc15377214"/>
      <w:bookmarkStart w:id="48" w:name="_Toc27989"/>
      <w:bookmarkStart w:id="49" w:name="_Toc15396608"/>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9"/>
          <w:rFonts w:hint="eastAsia" w:ascii="黑体" w:hAnsi="黑体" w:eastAsia="黑体"/>
          <w:b w:val="0"/>
          <w:color w:val="auto"/>
          <w:highlight w:val="none"/>
        </w:rPr>
        <w:t>般公共预算财政拨款基本支出决算情况说明</w:t>
      </w:r>
      <w:bookmarkEnd w:id="47"/>
      <w:bookmarkEnd w:id="48"/>
      <w:bookmarkEnd w:id="49"/>
      <w:r>
        <w:rPr>
          <w:rStyle w:val="19"/>
          <w:rFonts w:ascii="黑体" w:hAnsi="黑体" w:eastAsia="黑体"/>
          <w:b w:val="0"/>
          <w:color w:val="auto"/>
          <w:highlight w:val="none"/>
        </w:rPr>
        <w:tab/>
      </w:r>
    </w:p>
    <w:p>
      <w:pPr>
        <w:spacing w:line="600" w:lineRule="exact"/>
        <w:ind w:firstLine="645"/>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年一般公共预算财政拨款基本支出</w:t>
      </w:r>
      <w:r>
        <w:rPr>
          <w:rFonts w:hint="eastAsia" w:ascii="仿宋_GB2312" w:hAnsi="仿宋_GB2312" w:eastAsia="仿宋_GB2312" w:cs="仿宋_GB2312"/>
          <w:color w:val="auto"/>
          <w:sz w:val="32"/>
          <w:szCs w:val="32"/>
          <w:highlight w:val="none"/>
          <w:lang w:val="en-US" w:eastAsia="zh-CN"/>
        </w:rPr>
        <w:t>1798.06</w:t>
      </w:r>
      <w:r>
        <w:rPr>
          <w:rFonts w:hint="eastAsia" w:ascii="仿宋_GB2312" w:hAnsi="仿宋_GB2312" w:eastAsia="仿宋_GB2312" w:cs="仿宋_GB2312"/>
          <w:color w:val="auto"/>
          <w:sz w:val="32"/>
          <w:szCs w:val="32"/>
          <w:highlight w:val="none"/>
        </w:rPr>
        <w:t>万元，其中：</w:t>
      </w:r>
    </w:p>
    <w:p>
      <w:pPr>
        <w:spacing w:line="600" w:lineRule="exact"/>
        <w:ind w:firstLine="645"/>
        <w:rPr>
          <w:rFonts w:ascii="仿宋" w:hAnsi="仿宋" w:eastAsia="仿宋"/>
          <w:b/>
          <w:color w:val="auto"/>
          <w:sz w:val="32"/>
          <w:szCs w:val="32"/>
          <w:highlight w:val="none"/>
        </w:rPr>
      </w:pPr>
      <w:r>
        <w:rPr>
          <w:rFonts w:hint="eastAsia" w:ascii="仿宋_GB2312" w:hAnsi="仿宋_GB2312" w:eastAsia="仿宋_GB2312" w:cs="仿宋_GB2312"/>
          <w:color w:val="auto"/>
          <w:sz w:val="32"/>
          <w:szCs w:val="32"/>
          <w:highlight w:val="none"/>
        </w:rPr>
        <w:t>人员经费</w:t>
      </w:r>
      <w:r>
        <w:rPr>
          <w:rFonts w:hint="eastAsia" w:ascii="仿宋_GB2312" w:hAnsi="仿宋_GB2312" w:eastAsia="仿宋_GB2312" w:cs="仿宋_GB2312"/>
          <w:color w:val="auto"/>
          <w:sz w:val="32"/>
          <w:szCs w:val="32"/>
          <w:highlight w:val="none"/>
          <w:lang w:val="en-US" w:eastAsia="zh-CN"/>
        </w:rPr>
        <w:t>1521.84</w:t>
      </w:r>
      <w:r>
        <w:rPr>
          <w:rFonts w:hint="eastAsia" w:ascii="仿宋_GB2312" w:hAnsi="仿宋_GB2312" w:eastAsia="仿宋_GB2312" w:cs="仿宋_GB2312"/>
          <w:color w:val="auto"/>
          <w:sz w:val="32"/>
          <w:szCs w:val="32"/>
          <w:highlight w:val="none"/>
        </w:rPr>
        <w:t>万元，主要包括：基本工资、津贴补贴、奖金、绩效工资、机关事业单位基本养老保险缴费、职业年金缴费、</w:t>
      </w:r>
      <w:r>
        <w:rPr>
          <w:rFonts w:hint="eastAsia" w:ascii="仿宋_GB2312" w:hAnsi="仿宋_GB2312" w:eastAsia="仿宋_GB2312" w:cs="仿宋_GB2312"/>
          <w:color w:val="auto"/>
          <w:sz w:val="32"/>
          <w:szCs w:val="32"/>
          <w:highlight w:val="none"/>
          <w:lang w:eastAsia="zh-CN"/>
        </w:rPr>
        <w:t>职工基本医疗保险缴费、</w:t>
      </w:r>
      <w:r>
        <w:rPr>
          <w:rFonts w:hint="eastAsia" w:ascii="仿宋_GB2312" w:hAnsi="仿宋_GB2312" w:eastAsia="仿宋_GB2312" w:cs="仿宋_GB2312"/>
          <w:color w:val="auto"/>
          <w:sz w:val="32"/>
          <w:szCs w:val="32"/>
          <w:highlight w:val="none"/>
        </w:rPr>
        <w:t>其他社会保障缴费、住房公积金、其他工资福利支出、生活补助、其他对个人和家庭的补助支出。</w:t>
      </w:r>
      <w:r>
        <w:rPr>
          <w:rFonts w:hint="eastAsia" w:ascii="仿宋_GB2312" w:hAnsi="仿宋_GB2312" w:eastAsia="仿宋_GB2312" w:cs="仿宋_GB2312"/>
          <w:color w:val="auto"/>
          <w:sz w:val="32"/>
          <w:szCs w:val="32"/>
          <w:highlight w:val="none"/>
        </w:rPr>
        <w:br w:type="textWrapping"/>
      </w:r>
      <w:r>
        <w:rPr>
          <w:rFonts w:hint="eastAsia" w:ascii="仿宋_GB2312" w:hAnsi="仿宋_GB2312" w:eastAsia="仿宋_GB2312" w:cs="仿宋_GB2312"/>
          <w:color w:val="auto"/>
          <w:sz w:val="32"/>
          <w:szCs w:val="32"/>
          <w:highlight w:val="none"/>
        </w:rPr>
        <w:t>　　公用经费</w:t>
      </w:r>
      <w:r>
        <w:rPr>
          <w:rFonts w:hint="eastAsia" w:ascii="仿宋_GB2312" w:hAnsi="仿宋_GB2312" w:eastAsia="仿宋_GB2312" w:cs="仿宋_GB2312"/>
          <w:color w:val="auto"/>
          <w:sz w:val="32"/>
          <w:szCs w:val="32"/>
          <w:highlight w:val="none"/>
          <w:lang w:val="en-US" w:eastAsia="zh-CN"/>
        </w:rPr>
        <w:t>276.22</w:t>
      </w:r>
      <w:r>
        <w:rPr>
          <w:rFonts w:hint="eastAsia" w:ascii="仿宋_GB2312" w:hAnsi="仿宋_GB2312" w:eastAsia="仿宋_GB2312" w:cs="仿宋_GB2312"/>
          <w:color w:val="auto"/>
          <w:sz w:val="32"/>
          <w:szCs w:val="32"/>
          <w:highlight w:val="none"/>
        </w:rPr>
        <w:t>万元，主要包括：办公费、印刷费、水费、电费、邮电费、物业管理费、差旅费、维修（护）费、公务接待费、劳务费、工会经费、福利费、公务用车运行维护费、其他交通费</w:t>
      </w:r>
      <w:r>
        <w:rPr>
          <w:rFonts w:hint="eastAsia" w:ascii="仿宋_GB2312" w:hAnsi="仿宋_GB2312" w:eastAsia="仿宋_GB2312" w:cs="仿宋_GB2312"/>
          <w:color w:val="auto"/>
          <w:sz w:val="32"/>
          <w:szCs w:val="32"/>
          <w:highlight w:val="none"/>
          <w:lang w:val="en-US" w:eastAsia="zh-CN"/>
        </w:rPr>
        <w:t>用</w:t>
      </w:r>
      <w:r>
        <w:rPr>
          <w:rFonts w:hint="eastAsia" w:ascii="仿宋_GB2312" w:hAnsi="仿宋_GB2312" w:eastAsia="仿宋_GB2312" w:cs="仿宋_GB2312"/>
          <w:color w:val="auto"/>
          <w:sz w:val="32"/>
          <w:szCs w:val="32"/>
          <w:highlight w:val="none"/>
        </w:rPr>
        <w:t>、其他商品和服务支出。</w:t>
      </w:r>
    </w:p>
    <w:p>
      <w:pPr>
        <w:spacing w:line="600" w:lineRule="exact"/>
        <w:ind w:firstLine="640"/>
        <w:outlineLvl w:val="1"/>
        <w:rPr>
          <w:rStyle w:val="19"/>
          <w:rFonts w:ascii="黑体" w:hAnsi="黑体" w:eastAsia="黑体"/>
          <w:b w:val="0"/>
          <w:color w:val="auto"/>
          <w:highlight w:val="none"/>
        </w:rPr>
      </w:pPr>
      <w:bookmarkStart w:id="50" w:name="_Toc15396609"/>
      <w:bookmarkStart w:id="51" w:name="_Toc15377215"/>
      <w:bookmarkStart w:id="52" w:name="_Toc180"/>
      <w:r>
        <w:rPr>
          <w:rFonts w:hint="eastAsia" w:ascii="黑体" w:eastAsia="黑体"/>
          <w:color w:val="auto"/>
          <w:sz w:val="32"/>
          <w:szCs w:val="32"/>
          <w:highlight w:val="none"/>
        </w:rPr>
        <w:t>七、</w:t>
      </w:r>
      <w:r>
        <w:rPr>
          <w:rStyle w:val="19"/>
          <w:rFonts w:hint="eastAsia" w:ascii="黑体" w:hAnsi="黑体" w:eastAsia="黑体"/>
          <w:b w:val="0"/>
          <w:color w:val="auto"/>
          <w:highlight w:val="none"/>
        </w:rPr>
        <w:t>财政拨款</w:t>
      </w:r>
      <w:r>
        <w:rPr>
          <w:rStyle w:val="19"/>
          <w:rFonts w:hint="eastAsia" w:ascii="黑体" w:hAnsi="黑体" w:eastAsia="黑体"/>
          <w:color w:val="auto"/>
          <w:highlight w:val="none"/>
        </w:rPr>
        <w:t>“</w:t>
      </w:r>
      <w:r>
        <w:rPr>
          <w:rStyle w:val="19"/>
          <w:rFonts w:hint="eastAsia" w:ascii="黑体" w:hAnsi="黑体" w:eastAsia="黑体"/>
          <w:b w:val="0"/>
          <w:color w:val="auto"/>
          <w:highlight w:val="none"/>
        </w:rPr>
        <w:t>三公”经费支出决算情况说明</w:t>
      </w:r>
      <w:bookmarkEnd w:id="50"/>
      <w:bookmarkEnd w:id="51"/>
      <w:bookmarkEnd w:id="52"/>
    </w:p>
    <w:p>
      <w:pPr>
        <w:spacing w:line="600" w:lineRule="exact"/>
        <w:ind w:firstLine="640"/>
        <w:outlineLvl w:val="2"/>
        <w:rPr>
          <w:rFonts w:hint="eastAsia" w:ascii="楷体_GB2312" w:hAnsi="楷体_GB2312" w:eastAsia="楷体_GB2312" w:cs="楷体_GB2312"/>
          <w:b w:val="0"/>
          <w:bCs/>
          <w:color w:val="auto"/>
          <w:sz w:val="32"/>
          <w:szCs w:val="32"/>
          <w:highlight w:val="none"/>
        </w:rPr>
      </w:pPr>
      <w:bookmarkStart w:id="53" w:name="_Toc15377216"/>
      <w:r>
        <w:rPr>
          <w:rFonts w:hint="eastAsia" w:ascii="楷体_GB2312" w:hAnsi="楷体_GB2312" w:eastAsia="楷体_GB2312" w:cs="楷体_GB2312"/>
          <w:b w:val="0"/>
          <w:bCs/>
          <w:color w:val="auto"/>
          <w:sz w:val="32"/>
          <w:szCs w:val="32"/>
          <w:highlight w:val="none"/>
        </w:rPr>
        <w:t>（一）“三公”经费财政拨款支出决算总体情况说明</w:t>
      </w:r>
      <w:bookmarkEnd w:id="53"/>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年“三公”经费财政拨款支出决算为100.7万元，完成预算</w:t>
      </w:r>
      <w:r>
        <w:rPr>
          <w:rFonts w:hint="eastAsia" w:ascii="仿宋_GB2312" w:hAnsi="仿宋_GB2312" w:eastAsia="仿宋_GB2312" w:cs="仿宋_GB2312"/>
          <w:color w:val="auto"/>
          <w:sz w:val="32"/>
          <w:szCs w:val="32"/>
          <w:highlight w:val="none"/>
          <w:lang w:val="en-US" w:eastAsia="zh-CN"/>
        </w:rPr>
        <w:t>93.71</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较上年</w:t>
      </w:r>
      <w:r>
        <w:rPr>
          <w:rFonts w:hint="eastAsia" w:ascii="仿宋_GB2312" w:hAnsi="仿宋_GB2312" w:eastAsia="仿宋_GB2312" w:cs="仿宋_GB2312"/>
          <w:color w:val="auto"/>
          <w:sz w:val="32"/>
          <w:szCs w:val="32"/>
          <w:highlight w:val="none"/>
          <w:lang w:val="en-US" w:eastAsia="zh-CN"/>
        </w:rPr>
        <w:t>减少15.28万元，下降13.17%。</w:t>
      </w:r>
      <w:r>
        <w:rPr>
          <w:rFonts w:hint="eastAsia" w:ascii="仿宋_GB2312" w:hAnsi="仿宋_GB2312" w:eastAsia="仿宋_GB2312" w:cs="仿宋_GB2312"/>
          <w:color w:val="auto"/>
          <w:sz w:val="32"/>
          <w:szCs w:val="32"/>
          <w:highlight w:val="none"/>
        </w:rPr>
        <w:t>决算数小于预算数的主要原因是公务接待费</w:t>
      </w:r>
      <w:r>
        <w:rPr>
          <w:rFonts w:hint="eastAsia" w:ascii="仿宋_GB2312" w:hAnsi="仿宋_GB2312" w:eastAsia="仿宋_GB2312" w:cs="仿宋_GB2312"/>
          <w:color w:val="000000"/>
          <w:sz w:val="32"/>
          <w:szCs w:val="32"/>
          <w:highlight w:val="none"/>
        </w:rPr>
        <w:t>减少。</w:t>
      </w:r>
    </w:p>
    <w:p>
      <w:pPr>
        <w:spacing w:line="600" w:lineRule="exact"/>
        <w:ind w:firstLine="640"/>
        <w:outlineLvl w:val="2"/>
        <w:rPr>
          <w:rFonts w:hint="eastAsia" w:ascii="楷体_GB2312" w:hAnsi="楷体_GB2312" w:eastAsia="楷体_GB2312" w:cs="楷体_GB2312"/>
          <w:b w:val="0"/>
          <w:bCs/>
          <w:color w:val="auto"/>
          <w:sz w:val="32"/>
          <w:szCs w:val="32"/>
          <w:highlight w:val="none"/>
        </w:rPr>
      </w:pPr>
      <w:bookmarkStart w:id="54" w:name="_Toc15377217"/>
      <w:r>
        <w:rPr>
          <w:rFonts w:hint="eastAsia" w:ascii="楷体_GB2312" w:hAnsi="楷体_GB2312" w:eastAsia="楷体_GB2312" w:cs="楷体_GB2312"/>
          <w:b w:val="0"/>
          <w:bCs/>
          <w:color w:val="auto"/>
          <w:sz w:val="32"/>
          <w:szCs w:val="32"/>
          <w:highlight w:val="none"/>
        </w:rPr>
        <w:t>（二）“三公”经费财政拨款支出决算具体情况说明</w:t>
      </w:r>
      <w:bookmarkEnd w:id="54"/>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年“三公”经费财政拨款支出决算中，因公出国（境）费支出决算</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%；公务用车购置及运行维护费支出决算81.39万元，占</w:t>
      </w:r>
      <w:r>
        <w:rPr>
          <w:rFonts w:hint="eastAsia" w:ascii="仿宋_GB2312" w:hAnsi="仿宋_GB2312" w:eastAsia="仿宋_GB2312" w:cs="仿宋_GB2312"/>
          <w:color w:val="auto"/>
          <w:sz w:val="32"/>
          <w:szCs w:val="32"/>
          <w:highlight w:val="none"/>
          <w:lang w:val="en-US" w:eastAsia="zh-CN"/>
        </w:rPr>
        <w:t>80.82</w:t>
      </w:r>
      <w:r>
        <w:rPr>
          <w:rFonts w:hint="eastAsia" w:ascii="仿宋_GB2312" w:hAnsi="仿宋_GB2312" w:eastAsia="仿宋_GB2312" w:cs="仿宋_GB2312"/>
          <w:color w:val="auto"/>
          <w:sz w:val="32"/>
          <w:szCs w:val="32"/>
          <w:highlight w:val="none"/>
        </w:rPr>
        <w:t>%；公务接待费支出决算19.31万元，占</w:t>
      </w:r>
      <w:r>
        <w:rPr>
          <w:rFonts w:hint="eastAsia" w:ascii="仿宋_GB2312" w:hAnsi="仿宋_GB2312" w:eastAsia="仿宋_GB2312" w:cs="仿宋_GB2312"/>
          <w:color w:val="auto"/>
          <w:sz w:val="32"/>
          <w:szCs w:val="32"/>
          <w:highlight w:val="none"/>
          <w:lang w:val="en-US" w:eastAsia="zh-CN"/>
        </w:rPr>
        <w:t>19.18</w:t>
      </w:r>
      <w:r>
        <w:rPr>
          <w:rFonts w:hint="eastAsia" w:ascii="仿宋_GB2312" w:hAnsi="仿宋_GB2312" w:eastAsia="仿宋_GB2312" w:cs="仿宋_GB2312"/>
          <w:color w:val="auto"/>
          <w:sz w:val="32"/>
          <w:szCs w:val="32"/>
          <w:highlight w:val="none"/>
        </w:rPr>
        <w:t>%。具体情况如下：</w:t>
      </w:r>
    </w:p>
    <w:p>
      <w:pPr>
        <w:pStyle w:val="7"/>
        <w:jc w:val="center"/>
        <w:rPr>
          <w:rFonts w:hint="eastAsia" w:ascii="仿宋_GB2312" w:hAnsi="仿宋_GB2312" w:eastAsia="仿宋_GB2312" w:cs="仿宋_GB2312"/>
          <w:color w:val="auto"/>
          <w:sz w:val="32"/>
          <w:szCs w:val="32"/>
          <w:highlight w:val="none"/>
        </w:rPr>
      </w:pPr>
      <w:r>
        <w:drawing>
          <wp:inline distT="0" distB="0" distL="114300" distR="114300">
            <wp:extent cx="3473450" cy="2294255"/>
            <wp:effectExtent l="0" t="0" r="12700" b="10795"/>
            <wp:docPr id="17" name="图片 20"/>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7" name="图片 20"/>
                    <pic:cNvPicPr>
                      <a:picLocks noChangeAspect="true"/>
                    </pic:cNvPicPr>
                  </pic:nvPicPr>
                  <pic:blipFill>
                    <a:blip r:embed="rId13"/>
                    <a:stretch>
                      <a:fillRect/>
                    </a:stretch>
                  </pic:blipFill>
                  <pic:spPr>
                    <a:xfrm>
                      <a:off x="0" y="0"/>
                      <a:ext cx="3473450" cy="2294255"/>
                    </a:xfrm>
                    <a:prstGeom prst="rect">
                      <a:avLst/>
                    </a:prstGeom>
                    <a:noFill/>
                    <a:ln>
                      <a:noFill/>
                    </a:ln>
                  </pic:spPr>
                </pic:pic>
              </a:graphicData>
            </a:graphic>
          </wp:inline>
        </w:drawing>
      </w:r>
    </w:p>
    <w:p>
      <w:pPr>
        <w:spacing w:line="600" w:lineRule="exact"/>
        <w:ind w:firstLine="1292" w:firstLineChars="404"/>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（图7：“三公”经费财政拨款支出结构）</w:t>
      </w:r>
    </w:p>
    <w:p>
      <w:pPr>
        <w:keepNext w:val="0"/>
        <w:keepLines w:val="0"/>
        <w:pageBreakBefore w:val="0"/>
        <w:widowControl w:val="0"/>
        <w:numPr>
          <w:ilvl w:val="0"/>
          <w:numId w:val="0"/>
        </w:numPr>
        <w:kinsoku/>
        <w:wordWrap/>
        <w:overflowPunct/>
        <w:topLinePunct w:val="0"/>
        <w:bidi w:val="0"/>
        <w:spacing w:line="576"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auto"/>
          <w:sz w:val="32"/>
          <w:szCs w:val="32"/>
          <w:highlight w:val="none"/>
        </w:rPr>
        <w:t>1.因公出国（境）经费支出</w:t>
      </w:r>
      <w:r>
        <w:rPr>
          <w:rFonts w:hint="eastAsia" w:ascii="仿宋_GB2312" w:hAnsi="仿宋_GB2312" w:eastAsia="仿宋_GB2312" w:cs="仿宋_GB2312"/>
          <w:b w:val="0"/>
          <w:bCs/>
          <w:color w:val="auto"/>
          <w:sz w:val="32"/>
          <w:szCs w:val="32"/>
          <w:highlight w:val="none"/>
          <w:lang w:val="en-US" w:eastAsia="zh-CN"/>
        </w:rPr>
        <w:t>0</w:t>
      </w:r>
      <w:r>
        <w:rPr>
          <w:rFonts w:hint="eastAsia" w:ascii="仿宋_GB2312" w:hAnsi="仿宋_GB2312" w:eastAsia="仿宋_GB2312" w:cs="仿宋_GB2312"/>
          <w:b w:val="0"/>
          <w:bCs/>
          <w:color w:val="auto"/>
          <w:sz w:val="32"/>
          <w:szCs w:val="32"/>
          <w:highlight w:val="none"/>
        </w:rPr>
        <w:t>万元，</w:t>
      </w:r>
      <w:r>
        <w:rPr>
          <w:rFonts w:hint="eastAsia" w:ascii="仿宋_GB2312" w:hAnsi="仿宋_GB2312" w:eastAsia="仿宋_GB2312" w:cs="仿宋_GB2312"/>
          <w:b w:val="0"/>
          <w:bCs/>
          <w:color w:val="000000"/>
          <w:sz w:val="32"/>
          <w:szCs w:val="32"/>
          <w:lang w:eastAsia="zh-CN"/>
        </w:rPr>
        <w:t>年初未安排预算。因公出国（境）支出决算较202</w:t>
      </w:r>
      <w:r>
        <w:rPr>
          <w:rFonts w:hint="eastAsia" w:ascii="仿宋_GB2312" w:hAnsi="仿宋_GB2312" w:eastAsia="仿宋_GB2312" w:cs="仿宋_GB2312"/>
          <w:b w:val="0"/>
          <w:bCs/>
          <w:color w:val="000000"/>
          <w:sz w:val="32"/>
          <w:szCs w:val="32"/>
          <w:lang w:val="en-US" w:eastAsia="zh-CN"/>
        </w:rPr>
        <w:t>1</w:t>
      </w:r>
      <w:r>
        <w:rPr>
          <w:rFonts w:hint="eastAsia" w:ascii="仿宋_GB2312" w:hAnsi="仿宋_GB2312" w:eastAsia="仿宋_GB2312" w:cs="仿宋_GB2312"/>
          <w:b w:val="0"/>
          <w:bCs/>
          <w:color w:val="000000"/>
          <w:sz w:val="32"/>
          <w:szCs w:val="32"/>
          <w:lang w:eastAsia="zh-CN"/>
        </w:rPr>
        <w:t>年无变化。</w:t>
      </w:r>
    </w:p>
    <w:p>
      <w:pPr>
        <w:keepNext w:val="0"/>
        <w:keepLines w:val="0"/>
        <w:pageBreakBefore w:val="0"/>
        <w:widowControl w:val="0"/>
        <w:kinsoku/>
        <w:wordWrap/>
        <w:overflowPunct/>
        <w:topLinePunct w:val="0"/>
        <w:bidi w:val="0"/>
        <w:spacing w:line="576" w:lineRule="exact"/>
        <w:ind w:firstLine="640"/>
        <w:textAlignment w:val="auto"/>
        <w:rPr>
          <w:rFonts w:hint="eastAsia" w:ascii="仿宋_GB2312" w:hAnsi="仿宋_GB2312" w:eastAsia="仿宋_GB2312" w:cs="仿宋_GB2312"/>
          <w:b w:val="0"/>
          <w:bCs/>
          <w:color w:val="auto"/>
          <w:sz w:val="32"/>
          <w:szCs w:val="32"/>
          <w:highlight w:val="none"/>
        </w:rPr>
      </w:pPr>
      <w:bookmarkStart w:id="55" w:name="_Toc15377218"/>
      <w:bookmarkStart w:id="56" w:name="_Toc15396610"/>
      <w:r>
        <w:rPr>
          <w:rFonts w:hint="eastAsia" w:ascii="仿宋_GB2312" w:hAnsi="仿宋_GB2312" w:eastAsia="仿宋_GB2312" w:cs="仿宋_GB2312"/>
          <w:b w:val="0"/>
          <w:bCs/>
          <w:color w:val="auto"/>
          <w:sz w:val="32"/>
          <w:szCs w:val="32"/>
          <w:highlight w:val="none"/>
        </w:rPr>
        <w:t>2.公务用车购置及运行维护费支出81.39万元</w:t>
      </w:r>
      <w:r>
        <w:rPr>
          <w:rFonts w:hint="eastAsia" w:ascii="仿宋_GB2312" w:hAnsi="仿宋_GB2312" w:eastAsia="仿宋_GB2312" w:cs="仿宋_GB2312"/>
          <w:b w:val="0"/>
          <w:bCs/>
          <w:color w:val="auto"/>
          <w:sz w:val="32"/>
          <w:szCs w:val="32"/>
          <w:highlight w:val="none"/>
          <w:lang w:eastAsia="zh-CN"/>
        </w:rPr>
        <w:t>，</w:t>
      </w:r>
      <w:r>
        <w:rPr>
          <w:rStyle w:val="16"/>
          <w:rFonts w:hint="eastAsia" w:ascii="仿宋_GB2312" w:hAnsi="仿宋_GB2312" w:eastAsia="仿宋_GB2312" w:cs="仿宋_GB2312"/>
          <w:b w:val="0"/>
          <w:bCs/>
          <w:color w:val="auto"/>
          <w:sz w:val="32"/>
          <w:szCs w:val="32"/>
          <w:highlight w:val="none"/>
        </w:rPr>
        <w:t>完成预算</w:t>
      </w:r>
      <w:r>
        <w:rPr>
          <w:rStyle w:val="16"/>
          <w:rFonts w:hint="eastAsia" w:ascii="仿宋_GB2312" w:hAnsi="仿宋_GB2312" w:eastAsia="仿宋_GB2312" w:cs="仿宋_GB2312"/>
          <w:b w:val="0"/>
          <w:bCs/>
          <w:color w:val="auto"/>
          <w:sz w:val="32"/>
          <w:szCs w:val="32"/>
          <w:highlight w:val="none"/>
          <w:lang w:val="en-US" w:eastAsia="zh-CN"/>
        </w:rPr>
        <w:t>100</w:t>
      </w:r>
      <w:r>
        <w:rPr>
          <w:rStyle w:val="16"/>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rPr>
        <w:t>公务用车购置及运行维护费支出决算比20</w:t>
      </w:r>
      <w:r>
        <w:rPr>
          <w:rFonts w:hint="eastAsia" w:ascii="仿宋_GB2312" w:hAnsi="仿宋_GB2312" w:eastAsia="仿宋_GB2312" w:cs="仿宋_GB2312"/>
          <w:b w:val="0"/>
          <w:bCs/>
          <w:color w:val="auto"/>
          <w:sz w:val="32"/>
          <w:szCs w:val="32"/>
          <w:highlight w:val="none"/>
          <w:lang w:val="en-US" w:eastAsia="zh-CN"/>
        </w:rPr>
        <w:t>21</w:t>
      </w:r>
      <w:r>
        <w:rPr>
          <w:rFonts w:hint="eastAsia" w:ascii="仿宋_GB2312" w:hAnsi="仿宋_GB2312" w:eastAsia="仿宋_GB2312" w:cs="仿宋_GB2312"/>
          <w:b w:val="0"/>
          <w:bCs/>
          <w:color w:val="auto"/>
          <w:sz w:val="32"/>
          <w:szCs w:val="32"/>
          <w:highlight w:val="none"/>
        </w:rPr>
        <w:t>年减少</w:t>
      </w:r>
      <w:r>
        <w:rPr>
          <w:rFonts w:hint="eastAsia" w:ascii="仿宋_GB2312" w:hAnsi="仿宋_GB2312" w:eastAsia="仿宋_GB2312" w:cs="仿宋_GB2312"/>
          <w:b w:val="0"/>
          <w:bCs/>
          <w:color w:val="auto"/>
          <w:sz w:val="32"/>
          <w:szCs w:val="32"/>
          <w:highlight w:val="none"/>
          <w:lang w:val="en-US" w:eastAsia="zh-CN"/>
        </w:rPr>
        <w:t>1.37</w:t>
      </w:r>
      <w:r>
        <w:rPr>
          <w:rFonts w:hint="eastAsia" w:ascii="仿宋_GB2312" w:hAnsi="仿宋_GB2312" w:eastAsia="仿宋_GB2312" w:cs="仿宋_GB2312"/>
          <w:b w:val="0"/>
          <w:bCs/>
          <w:color w:val="auto"/>
          <w:sz w:val="32"/>
          <w:szCs w:val="32"/>
          <w:highlight w:val="none"/>
        </w:rPr>
        <w:t>万元，下降</w:t>
      </w:r>
      <w:r>
        <w:rPr>
          <w:rFonts w:hint="eastAsia" w:ascii="仿宋_GB2312" w:hAnsi="仿宋_GB2312" w:eastAsia="仿宋_GB2312" w:cs="仿宋_GB2312"/>
          <w:b w:val="0"/>
          <w:bCs/>
          <w:color w:val="auto"/>
          <w:sz w:val="32"/>
          <w:szCs w:val="32"/>
          <w:highlight w:val="none"/>
          <w:lang w:val="en-US" w:eastAsia="zh-CN"/>
        </w:rPr>
        <w:t>1.66</w:t>
      </w: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rPr>
        <w:t>主要原因是公务用车运行维护费</w:t>
      </w:r>
      <w:r>
        <w:rPr>
          <w:rFonts w:hint="eastAsia" w:ascii="仿宋_GB2312" w:hAnsi="仿宋_GB2312" w:eastAsia="仿宋_GB2312" w:cs="仿宋_GB2312"/>
          <w:b w:val="0"/>
          <w:bCs/>
          <w:color w:val="auto"/>
          <w:sz w:val="32"/>
          <w:szCs w:val="32"/>
          <w:highlight w:val="none"/>
          <w:lang w:eastAsia="zh-CN"/>
        </w:rPr>
        <w:t>减少</w:t>
      </w:r>
      <w:r>
        <w:rPr>
          <w:rFonts w:hint="eastAsia" w:ascii="仿宋_GB2312" w:hAnsi="仿宋_GB2312" w:eastAsia="仿宋_GB2312" w:cs="仿宋_GB2312"/>
          <w:b w:val="0"/>
          <w:bCs/>
          <w:color w:val="auto"/>
          <w:sz w:val="32"/>
          <w:szCs w:val="32"/>
          <w:highlight w:val="none"/>
        </w:rPr>
        <w:t>。</w:t>
      </w:r>
    </w:p>
    <w:p>
      <w:pPr>
        <w:keepNext w:val="0"/>
        <w:keepLines w:val="0"/>
        <w:pageBreakBefore w:val="0"/>
        <w:widowControl w:val="0"/>
        <w:kinsoku/>
        <w:wordWrap/>
        <w:overflowPunct/>
        <w:topLinePunct w:val="0"/>
        <w:bidi w:val="0"/>
        <w:spacing w:line="576" w:lineRule="exact"/>
        <w:ind w:firstLine="640" w:firstLineChars="200"/>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其中：公务用车购置支出</w:t>
      </w:r>
      <w:r>
        <w:rPr>
          <w:rFonts w:hint="eastAsia" w:ascii="仿宋_GB2312" w:hAnsi="仿宋_GB2312" w:eastAsia="仿宋_GB2312" w:cs="仿宋_GB2312"/>
          <w:b w:val="0"/>
          <w:bCs/>
          <w:color w:val="auto"/>
          <w:sz w:val="32"/>
          <w:szCs w:val="32"/>
          <w:highlight w:val="none"/>
          <w:lang w:val="en-US" w:eastAsia="zh-CN"/>
        </w:rPr>
        <w:t>0</w:t>
      </w:r>
      <w:r>
        <w:rPr>
          <w:rFonts w:hint="eastAsia" w:ascii="仿宋_GB2312" w:hAnsi="仿宋_GB2312" w:eastAsia="仿宋_GB2312" w:cs="仿宋_GB2312"/>
          <w:b w:val="0"/>
          <w:bCs/>
          <w:color w:val="auto"/>
          <w:sz w:val="32"/>
          <w:szCs w:val="32"/>
          <w:highlight w:val="none"/>
        </w:rPr>
        <w:t>万元</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rPr>
        <w:t>截至20</w:t>
      </w:r>
      <w:r>
        <w:rPr>
          <w:rFonts w:hint="eastAsia" w:ascii="仿宋_GB2312" w:hAnsi="仿宋_GB2312" w:eastAsia="仿宋_GB2312" w:cs="仿宋_GB2312"/>
          <w:b w:val="0"/>
          <w:bCs/>
          <w:color w:val="auto"/>
          <w:sz w:val="32"/>
          <w:szCs w:val="32"/>
          <w:highlight w:val="none"/>
          <w:lang w:val="en-US" w:eastAsia="zh-CN"/>
        </w:rPr>
        <w:t>22</w:t>
      </w:r>
      <w:r>
        <w:rPr>
          <w:rFonts w:hint="eastAsia" w:ascii="仿宋_GB2312" w:hAnsi="仿宋_GB2312" w:eastAsia="仿宋_GB2312" w:cs="仿宋_GB2312"/>
          <w:b w:val="0"/>
          <w:bCs/>
          <w:color w:val="auto"/>
          <w:sz w:val="32"/>
          <w:szCs w:val="32"/>
          <w:highlight w:val="none"/>
        </w:rPr>
        <w:t>年12月底，</w:t>
      </w:r>
      <w:r>
        <w:rPr>
          <w:rFonts w:hint="eastAsia" w:ascii="仿宋_GB2312" w:hAnsi="仿宋_GB2312" w:eastAsia="仿宋_GB2312" w:cs="仿宋_GB2312"/>
          <w:b w:val="0"/>
          <w:bCs/>
          <w:color w:val="000000"/>
          <w:sz w:val="32"/>
          <w:szCs w:val="32"/>
          <w:highlight w:val="none"/>
        </w:rPr>
        <w:t>单位共有公务用车10辆，其中：轿车3辆、越野车2辆、</w:t>
      </w:r>
      <w:r>
        <w:rPr>
          <w:rFonts w:hint="eastAsia" w:ascii="仿宋_GB2312" w:hAnsi="仿宋_GB2312" w:eastAsia="仿宋_GB2312" w:cs="仿宋_GB2312"/>
          <w:b w:val="0"/>
          <w:bCs/>
          <w:color w:val="000000"/>
          <w:sz w:val="32"/>
          <w:szCs w:val="32"/>
          <w:highlight w:val="none"/>
          <w:lang w:eastAsia="zh-CN"/>
        </w:rPr>
        <w:t>公务接待中巴车</w:t>
      </w:r>
      <w:r>
        <w:rPr>
          <w:rFonts w:hint="eastAsia" w:ascii="仿宋_GB2312" w:hAnsi="仿宋_GB2312" w:eastAsia="仿宋_GB2312" w:cs="仿宋_GB2312"/>
          <w:b w:val="0"/>
          <w:bCs/>
          <w:color w:val="000000"/>
          <w:sz w:val="32"/>
          <w:szCs w:val="32"/>
          <w:highlight w:val="none"/>
        </w:rPr>
        <w:t>5辆。</w:t>
      </w:r>
    </w:p>
    <w:p>
      <w:pPr>
        <w:keepNext w:val="0"/>
        <w:keepLines w:val="0"/>
        <w:pageBreakBefore w:val="0"/>
        <w:widowControl w:val="0"/>
        <w:kinsoku/>
        <w:wordWrap/>
        <w:overflowPunct/>
        <w:topLinePunct w:val="0"/>
        <w:bidi w:val="0"/>
        <w:spacing w:line="576" w:lineRule="exact"/>
        <w:ind w:firstLine="640"/>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公务用车运行维护费支出81.39万元。主要用于</w:t>
      </w:r>
      <w:r>
        <w:rPr>
          <w:rFonts w:hint="eastAsia" w:ascii="仿宋_GB2312" w:hAnsi="仿宋_GB2312" w:eastAsia="仿宋_GB2312" w:cs="仿宋_GB2312"/>
          <w:b w:val="0"/>
          <w:bCs/>
          <w:color w:val="000000"/>
          <w:sz w:val="32"/>
          <w:szCs w:val="32"/>
          <w:highlight w:val="none"/>
        </w:rPr>
        <w:t>公务活动</w:t>
      </w:r>
      <w:r>
        <w:rPr>
          <w:rFonts w:hint="eastAsia" w:ascii="仿宋_GB2312" w:hAnsi="仿宋_GB2312" w:eastAsia="仿宋_GB2312" w:cs="仿宋_GB2312"/>
          <w:b w:val="0"/>
          <w:bCs/>
          <w:color w:val="auto"/>
          <w:sz w:val="32"/>
          <w:szCs w:val="32"/>
          <w:highlight w:val="none"/>
        </w:rPr>
        <w:t>等所需的公务用车燃料费、维修费、过路过桥费、保险费等支出。</w:t>
      </w:r>
    </w:p>
    <w:p>
      <w:pPr>
        <w:keepNext w:val="0"/>
        <w:keepLines w:val="0"/>
        <w:pageBreakBefore w:val="0"/>
        <w:widowControl w:val="0"/>
        <w:kinsoku/>
        <w:wordWrap/>
        <w:overflowPunct/>
        <w:topLinePunct w:val="0"/>
        <w:bidi w:val="0"/>
        <w:spacing w:line="576" w:lineRule="exact"/>
        <w:ind w:firstLine="640"/>
        <w:textAlignment w:val="auto"/>
        <w:rPr>
          <w:rFonts w:hint="eastAsia" w:ascii="仿宋_GB2312" w:hAnsi="仿宋_GB2312" w:eastAsia="仿宋_GB2312" w:cs="仿宋_GB2312"/>
          <w:b w:val="0"/>
          <w:bCs/>
          <w:color w:val="auto"/>
          <w:sz w:val="32"/>
          <w:szCs w:val="32"/>
          <w:highlight w:val="yellow"/>
        </w:rPr>
      </w:pPr>
      <w:r>
        <w:rPr>
          <w:rFonts w:hint="eastAsia" w:ascii="仿宋_GB2312" w:hAnsi="仿宋_GB2312" w:eastAsia="仿宋_GB2312" w:cs="仿宋_GB2312"/>
          <w:b w:val="0"/>
          <w:bCs/>
          <w:color w:val="auto"/>
          <w:sz w:val="32"/>
          <w:szCs w:val="32"/>
          <w:highlight w:val="none"/>
        </w:rPr>
        <w:t>3.公务接待费支出19.31万元，</w:t>
      </w:r>
      <w:r>
        <w:rPr>
          <w:rStyle w:val="16"/>
          <w:rFonts w:hint="eastAsia" w:ascii="仿宋_GB2312" w:hAnsi="仿宋_GB2312" w:eastAsia="仿宋_GB2312" w:cs="仿宋_GB2312"/>
          <w:b w:val="0"/>
          <w:bCs/>
          <w:color w:val="auto"/>
          <w:sz w:val="32"/>
          <w:szCs w:val="32"/>
          <w:highlight w:val="none"/>
        </w:rPr>
        <w:t>完成预算</w:t>
      </w:r>
      <w:r>
        <w:rPr>
          <w:rStyle w:val="16"/>
          <w:rFonts w:hint="eastAsia" w:ascii="仿宋_GB2312" w:hAnsi="仿宋_GB2312" w:eastAsia="仿宋_GB2312" w:cs="仿宋_GB2312"/>
          <w:b w:val="0"/>
          <w:bCs/>
          <w:color w:val="auto"/>
          <w:sz w:val="32"/>
          <w:szCs w:val="32"/>
          <w:highlight w:val="none"/>
          <w:lang w:val="en-US" w:eastAsia="zh-CN"/>
        </w:rPr>
        <w:t>74.07</w:t>
      </w:r>
      <w:r>
        <w:rPr>
          <w:rStyle w:val="16"/>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rPr>
        <w:t>公务接待费支出决算比20</w:t>
      </w:r>
      <w:r>
        <w:rPr>
          <w:rFonts w:hint="eastAsia" w:ascii="仿宋_GB2312" w:hAnsi="仿宋_GB2312" w:eastAsia="仿宋_GB2312" w:cs="仿宋_GB2312"/>
          <w:b w:val="0"/>
          <w:bCs/>
          <w:color w:val="auto"/>
          <w:sz w:val="32"/>
          <w:szCs w:val="32"/>
          <w:highlight w:val="none"/>
          <w:lang w:val="en-US" w:eastAsia="zh-CN"/>
        </w:rPr>
        <w:t>21</w:t>
      </w:r>
      <w:r>
        <w:rPr>
          <w:rFonts w:hint="eastAsia" w:ascii="仿宋_GB2312" w:hAnsi="仿宋_GB2312" w:eastAsia="仿宋_GB2312" w:cs="仿宋_GB2312"/>
          <w:b w:val="0"/>
          <w:bCs/>
          <w:color w:val="auto"/>
          <w:sz w:val="32"/>
          <w:szCs w:val="32"/>
          <w:highlight w:val="none"/>
        </w:rPr>
        <w:t>年减少</w:t>
      </w:r>
      <w:r>
        <w:rPr>
          <w:rFonts w:hint="eastAsia" w:ascii="仿宋_GB2312" w:hAnsi="仿宋_GB2312" w:eastAsia="仿宋_GB2312" w:cs="仿宋_GB2312"/>
          <w:b w:val="0"/>
          <w:bCs/>
          <w:color w:val="auto"/>
          <w:sz w:val="32"/>
          <w:szCs w:val="32"/>
          <w:highlight w:val="none"/>
          <w:lang w:val="en-US" w:eastAsia="zh-CN"/>
        </w:rPr>
        <w:t>13.91</w:t>
      </w:r>
      <w:r>
        <w:rPr>
          <w:rFonts w:hint="eastAsia" w:ascii="仿宋_GB2312" w:hAnsi="仿宋_GB2312" w:eastAsia="仿宋_GB2312" w:cs="仿宋_GB2312"/>
          <w:b w:val="0"/>
          <w:bCs/>
          <w:color w:val="auto"/>
          <w:sz w:val="32"/>
          <w:szCs w:val="32"/>
          <w:highlight w:val="none"/>
        </w:rPr>
        <w:t>万元，下降</w:t>
      </w:r>
      <w:r>
        <w:rPr>
          <w:rFonts w:hint="eastAsia" w:ascii="仿宋_GB2312" w:hAnsi="仿宋_GB2312" w:eastAsia="仿宋_GB2312" w:cs="仿宋_GB2312"/>
          <w:b w:val="0"/>
          <w:bCs/>
          <w:color w:val="auto"/>
          <w:sz w:val="32"/>
          <w:szCs w:val="32"/>
          <w:highlight w:val="none"/>
          <w:lang w:val="en-US" w:eastAsia="zh-CN"/>
        </w:rPr>
        <w:t>41.87</w:t>
      </w:r>
      <w:r>
        <w:rPr>
          <w:rFonts w:hint="eastAsia" w:ascii="仿宋_GB2312" w:hAnsi="仿宋_GB2312" w:eastAsia="仿宋_GB2312" w:cs="仿宋_GB2312"/>
          <w:b w:val="0"/>
          <w:bCs/>
          <w:color w:val="auto"/>
          <w:sz w:val="32"/>
          <w:szCs w:val="32"/>
          <w:highlight w:val="none"/>
        </w:rPr>
        <w:t>%。主要原因是</w:t>
      </w:r>
      <w:r>
        <w:rPr>
          <w:rFonts w:hint="eastAsia" w:ascii="仿宋_GB2312" w:hAnsi="仿宋_GB2312" w:eastAsia="仿宋_GB2312" w:cs="仿宋_GB2312"/>
          <w:b w:val="0"/>
          <w:bCs/>
          <w:color w:val="000000"/>
          <w:sz w:val="32"/>
          <w:szCs w:val="32"/>
          <w:highlight w:val="none"/>
          <w:lang w:eastAsia="zh-CN"/>
        </w:rPr>
        <w:t>受疫情影响公务接待减少</w:t>
      </w:r>
      <w:r>
        <w:rPr>
          <w:rFonts w:hint="eastAsia" w:ascii="仿宋_GB2312" w:hAnsi="仿宋_GB2312" w:eastAsia="仿宋_GB2312" w:cs="仿宋_GB2312"/>
          <w:b w:val="0"/>
          <w:bCs/>
          <w:color w:val="auto"/>
          <w:sz w:val="32"/>
          <w:szCs w:val="32"/>
          <w:highlight w:val="none"/>
        </w:rPr>
        <w:t>。其中：</w:t>
      </w:r>
    </w:p>
    <w:p>
      <w:pPr>
        <w:keepNext w:val="0"/>
        <w:keepLines w:val="0"/>
        <w:pageBreakBefore w:val="0"/>
        <w:widowControl w:val="0"/>
        <w:kinsoku/>
        <w:wordWrap/>
        <w:overflowPunct/>
        <w:topLinePunct w:val="0"/>
        <w:bidi w:val="0"/>
        <w:spacing w:line="576" w:lineRule="exact"/>
        <w:ind w:firstLine="640"/>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国内公务接待支出19.31万元，主要用于</w:t>
      </w:r>
      <w:r>
        <w:rPr>
          <w:rFonts w:hint="eastAsia" w:ascii="仿宋_GB2312" w:hAnsi="仿宋_GB2312" w:eastAsia="仿宋_GB2312" w:cs="仿宋_GB2312"/>
          <w:b w:val="0"/>
          <w:bCs/>
          <w:color w:val="000000"/>
          <w:sz w:val="32"/>
          <w:szCs w:val="32"/>
          <w:highlight w:val="none"/>
        </w:rPr>
        <w:t>执行公务、开展业务活动开支的交通费、住宿费、用餐费等公务接待费用。</w:t>
      </w:r>
      <w:r>
        <w:rPr>
          <w:rFonts w:hint="eastAsia" w:ascii="仿宋_GB2312" w:hAnsi="仿宋_GB2312" w:eastAsia="仿宋_GB2312" w:cs="仿宋_GB2312"/>
          <w:b w:val="0"/>
          <w:bCs/>
          <w:color w:val="auto"/>
          <w:sz w:val="32"/>
          <w:szCs w:val="32"/>
          <w:highlight w:val="none"/>
        </w:rPr>
        <w:t>国内公务接待</w:t>
      </w:r>
      <w:r>
        <w:rPr>
          <w:rFonts w:hint="eastAsia" w:ascii="仿宋_GB2312" w:hAnsi="仿宋_GB2312" w:eastAsia="仿宋_GB2312" w:cs="仿宋_GB2312"/>
          <w:b w:val="0"/>
          <w:bCs/>
          <w:color w:val="auto"/>
          <w:sz w:val="32"/>
          <w:szCs w:val="32"/>
          <w:highlight w:val="none"/>
          <w:lang w:val="en-US" w:eastAsia="zh-CN"/>
        </w:rPr>
        <w:t>63</w:t>
      </w:r>
      <w:r>
        <w:rPr>
          <w:rFonts w:hint="eastAsia" w:ascii="仿宋_GB2312" w:hAnsi="仿宋_GB2312" w:eastAsia="仿宋_GB2312" w:cs="仿宋_GB2312"/>
          <w:b w:val="0"/>
          <w:bCs/>
          <w:color w:val="auto"/>
          <w:sz w:val="32"/>
          <w:szCs w:val="32"/>
          <w:highlight w:val="none"/>
        </w:rPr>
        <w:t>批次，</w:t>
      </w:r>
      <w:r>
        <w:rPr>
          <w:rFonts w:hint="eastAsia" w:ascii="仿宋_GB2312" w:hAnsi="仿宋_GB2312" w:eastAsia="仿宋_GB2312" w:cs="仿宋_GB2312"/>
          <w:b w:val="0"/>
          <w:bCs/>
          <w:color w:val="auto"/>
          <w:sz w:val="32"/>
          <w:szCs w:val="32"/>
          <w:highlight w:val="none"/>
          <w:lang w:val="en-US" w:eastAsia="zh-CN"/>
        </w:rPr>
        <w:t>565</w:t>
      </w:r>
      <w:r>
        <w:rPr>
          <w:rFonts w:hint="eastAsia" w:ascii="仿宋_GB2312" w:hAnsi="仿宋_GB2312" w:eastAsia="仿宋_GB2312" w:cs="仿宋_GB2312"/>
          <w:b w:val="0"/>
          <w:bCs/>
          <w:color w:val="auto"/>
          <w:sz w:val="32"/>
          <w:szCs w:val="32"/>
          <w:highlight w:val="none"/>
        </w:rPr>
        <w:t>人次（不包括陪同人员），共计支出</w:t>
      </w:r>
      <w:r>
        <w:rPr>
          <w:rFonts w:hint="eastAsia" w:ascii="仿宋_GB2312" w:hAnsi="仿宋_GB2312" w:eastAsia="仿宋_GB2312" w:cs="仿宋_GB2312"/>
          <w:b w:val="0"/>
          <w:bCs/>
          <w:color w:val="auto"/>
          <w:sz w:val="32"/>
          <w:szCs w:val="32"/>
          <w:highlight w:val="none"/>
          <w:lang w:val="en-US" w:eastAsia="zh-CN"/>
        </w:rPr>
        <w:t>19.31</w:t>
      </w:r>
      <w:r>
        <w:rPr>
          <w:rFonts w:hint="eastAsia" w:ascii="仿宋_GB2312" w:hAnsi="仿宋_GB2312" w:eastAsia="仿宋_GB2312" w:cs="仿宋_GB2312"/>
          <w:b w:val="0"/>
          <w:bCs/>
          <w:color w:val="auto"/>
          <w:sz w:val="32"/>
          <w:szCs w:val="32"/>
          <w:highlight w:val="none"/>
        </w:rPr>
        <w:t>万元，具体内容包括：</w:t>
      </w:r>
      <w:r>
        <w:rPr>
          <w:rFonts w:hint="eastAsia" w:ascii="仿宋_GB2312" w:hAnsi="仿宋_GB2312" w:eastAsia="仿宋_GB2312" w:cs="仿宋_GB2312"/>
          <w:b w:val="0"/>
          <w:bCs/>
          <w:color w:val="000000"/>
          <w:sz w:val="32"/>
          <w:szCs w:val="32"/>
          <w:highlight w:val="none"/>
        </w:rPr>
        <w:t>市公务服务中心专项接待费所发生的费用，全市的大型接待及市委办公室零星接待等支出。</w:t>
      </w:r>
    </w:p>
    <w:p>
      <w:pPr>
        <w:keepNext w:val="0"/>
        <w:keepLines w:val="0"/>
        <w:pageBreakBefore w:val="0"/>
        <w:widowControl w:val="0"/>
        <w:kinsoku/>
        <w:wordWrap/>
        <w:overflowPunct/>
        <w:topLinePunct w:val="0"/>
        <w:bidi w:val="0"/>
        <w:spacing w:line="576" w:lineRule="exact"/>
        <w:ind w:firstLine="640"/>
        <w:textAlignment w:val="auto"/>
        <w:rPr>
          <w:rFonts w:hint="eastAsia" w:ascii="黑体" w:eastAsia="黑体"/>
          <w:color w:val="auto"/>
          <w:sz w:val="32"/>
          <w:szCs w:val="32"/>
          <w:highlight w:val="none"/>
        </w:rPr>
      </w:pPr>
      <w:r>
        <w:rPr>
          <w:rFonts w:hint="eastAsia" w:ascii="仿宋_GB2312" w:hAnsi="仿宋_GB2312" w:eastAsia="仿宋_GB2312" w:cs="仿宋_GB2312"/>
          <w:b w:val="0"/>
          <w:bCs/>
          <w:color w:val="auto"/>
          <w:sz w:val="32"/>
          <w:szCs w:val="32"/>
          <w:highlight w:val="none"/>
        </w:rPr>
        <w:t>外事接待支出</w:t>
      </w:r>
      <w:r>
        <w:rPr>
          <w:rFonts w:hint="eastAsia" w:ascii="仿宋_GB2312" w:hAnsi="仿宋_GB2312" w:eastAsia="仿宋_GB2312" w:cs="仿宋_GB2312"/>
          <w:b w:val="0"/>
          <w:bCs/>
          <w:color w:val="auto"/>
          <w:sz w:val="32"/>
          <w:szCs w:val="32"/>
          <w:highlight w:val="none"/>
          <w:lang w:val="en-US" w:eastAsia="zh-CN"/>
        </w:rPr>
        <w:t>0</w:t>
      </w:r>
      <w:r>
        <w:rPr>
          <w:rFonts w:hint="eastAsia" w:ascii="仿宋_GB2312" w:hAnsi="仿宋_GB2312" w:eastAsia="仿宋_GB2312" w:cs="仿宋_GB2312"/>
          <w:b w:val="0"/>
          <w:bCs/>
          <w:color w:val="auto"/>
          <w:sz w:val="32"/>
          <w:szCs w:val="32"/>
          <w:highlight w:val="none"/>
        </w:rPr>
        <w:t>万元。</w:t>
      </w:r>
    </w:p>
    <w:p>
      <w:pPr>
        <w:spacing w:line="600" w:lineRule="exact"/>
        <w:ind w:firstLine="640"/>
        <w:outlineLvl w:val="1"/>
        <w:rPr>
          <w:rStyle w:val="19"/>
          <w:rFonts w:ascii="黑体" w:hAnsi="黑体" w:eastAsia="黑体"/>
          <w:color w:val="auto"/>
          <w:highlight w:val="none"/>
        </w:rPr>
      </w:pPr>
      <w:bookmarkStart w:id="57" w:name="_Toc31458"/>
      <w:r>
        <w:rPr>
          <w:rFonts w:hint="eastAsia" w:ascii="黑体" w:eastAsia="黑体"/>
          <w:color w:val="auto"/>
          <w:sz w:val="32"/>
          <w:szCs w:val="32"/>
          <w:highlight w:val="none"/>
        </w:rPr>
        <w:t>八、</w:t>
      </w:r>
      <w:r>
        <w:rPr>
          <w:rStyle w:val="19"/>
          <w:rFonts w:hint="eastAsia" w:ascii="黑体" w:hAnsi="黑体" w:eastAsia="黑体"/>
          <w:b w:val="0"/>
          <w:color w:val="auto"/>
          <w:highlight w:val="none"/>
        </w:rPr>
        <w:t>政府性基金预算支出决算情况说明</w:t>
      </w:r>
      <w:bookmarkEnd w:id="55"/>
      <w:bookmarkEnd w:id="56"/>
      <w:bookmarkEnd w:id="57"/>
    </w:p>
    <w:p>
      <w:pPr>
        <w:keepNext w:val="0"/>
        <w:keepLines w:val="0"/>
        <w:pageBreakBefore w:val="0"/>
        <w:widowControl w:val="0"/>
        <w:kinsoku/>
        <w:wordWrap/>
        <w:overflowPunct/>
        <w:topLinePunct w:val="0"/>
        <w:bidi w:val="0"/>
        <w:spacing w:line="576" w:lineRule="exact"/>
        <w:ind w:firstLine="640" w:firstLineChars="200"/>
        <w:textAlignment w:val="auto"/>
        <w:rPr>
          <w:rFonts w:ascii="仿宋_GB2312" w:eastAsia="仿宋_GB2312"/>
          <w:color w:val="auto"/>
          <w:sz w:val="32"/>
          <w:szCs w:val="32"/>
          <w:highlight w:val="none"/>
        </w:rPr>
      </w:pPr>
      <w:r>
        <w:rPr>
          <w:rFonts w:hint="eastAsia" w:ascii="仿宋_GB2312" w:hAnsi="仿宋_GB2312" w:eastAsia="仿宋_GB2312" w:cs="仿宋_GB2312"/>
          <w:b w:val="0"/>
          <w:bCs/>
          <w:color w:val="auto"/>
          <w:sz w:val="32"/>
          <w:szCs w:val="32"/>
          <w:highlight w:val="none"/>
        </w:rPr>
        <w:t>20</w:t>
      </w:r>
      <w:r>
        <w:rPr>
          <w:rFonts w:hint="eastAsia" w:ascii="仿宋_GB2312" w:hAnsi="仿宋_GB2312" w:eastAsia="仿宋_GB2312" w:cs="仿宋_GB2312"/>
          <w:b w:val="0"/>
          <w:bCs/>
          <w:color w:val="auto"/>
          <w:sz w:val="32"/>
          <w:szCs w:val="32"/>
          <w:highlight w:val="none"/>
          <w:lang w:val="en-US" w:eastAsia="zh-CN"/>
        </w:rPr>
        <w:t>22</w:t>
      </w:r>
      <w:r>
        <w:rPr>
          <w:rFonts w:hint="eastAsia" w:ascii="仿宋_GB2312" w:hAnsi="仿宋_GB2312" w:eastAsia="仿宋_GB2312" w:cs="仿宋_GB2312"/>
          <w:b w:val="0"/>
          <w:bCs/>
          <w:color w:val="auto"/>
          <w:sz w:val="32"/>
          <w:szCs w:val="32"/>
          <w:highlight w:val="none"/>
        </w:rPr>
        <w:t>年</w:t>
      </w:r>
      <w:r>
        <w:rPr>
          <w:rFonts w:hint="eastAsia" w:ascii="仿宋_GB2312" w:hAnsi="仿宋_GB2312" w:eastAsia="仿宋_GB2312" w:cs="仿宋_GB2312"/>
          <w:b w:val="0"/>
          <w:bCs/>
          <w:color w:val="000000"/>
          <w:sz w:val="32"/>
          <w:szCs w:val="32"/>
        </w:rPr>
        <w:t>市委办公室</w:t>
      </w:r>
      <w:r>
        <w:rPr>
          <w:rFonts w:hint="eastAsia" w:ascii="仿宋_GB2312" w:hAnsi="仿宋_GB2312" w:eastAsia="仿宋_GB2312" w:cs="仿宋_GB2312"/>
          <w:b w:val="0"/>
          <w:bCs/>
          <w:color w:val="000000"/>
          <w:sz w:val="32"/>
          <w:szCs w:val="32"/>
          <w:lang w:eastAsia="zh-CN"/>
        </w:rPr>
        <w:t>机关</w:t>
      </w:r>
      <w:r>
        <w:rPr>
          <w:rFonts w:hint="eastAsia" w:ascii="仿宋_GB2312" w:hAnsi="仿宋" w:eastAsia="仿宋_GB2312"/>
          <w:color w:val="000000"/>
          <w:sz w:val="32"/>
          <w:szCs w:val="32"/>
        </w:rPr>
        <w:t>（含市公务服务中心）</w:t>
      </w:r>
      <w:r>
        <w:rPr>
          <w:rFonts w:hint="eastAsia" w:ascii="仿宋_GB2312" w:hAnsi="仿宋_GB2312" w:eastAsia="仿宋_GB2312" w:cs="仿宋_GB2312"/>
          <w:b w:val="0"/>
          <w:bCs/>
          <w:color w:val="000000"/>
          <w:sz w:val="32"/>
          <w:szCs w:val="32"/>
        </w:rPr>
        <w:t>无政府性基金预算拨款支出。</w:t>
      </w:r>
    </w:p>
    <w:p>
      <w:pPr>
        <w:numPr>
          <w:ilvl w:val="0"/>
          <w:numId w:val="3"/>
        </w:numPr>
        <w:spacing w:line="600" w:lineRule="exact"/>
        <w:ind w:firstLine="640"/>
        <w:outlineLvl w:val="1"/>
        <w:rPr>
          <w:rStyle w:val="19"/>
          <w:rFonts w:ascii="黑体" w:hAnsi="黑体" w:eastAsia="黑体"/>
          <w:b w:val="0"/>
          <w:color w:val="auto"/>
          <w:highlight w:val="none"/>
        </w:rPr>
      </w:pPr>
      <w:bookmarkStart w:id="58" w:name="_Toc14699"/>
      <w:bookmarkStart w:id="59" w:name="_Toc15377219"/>
      <w:bookmarkStart w:id="60" w:name="_Toc15396611"/>
      <w:r>
        <w:rPr>
          <w:rStyle w:val="19"/>
          <w:rFonts w:hint="eastAsia" w:ascii="黑体" w:hAnsi="黑体" w:eastAsia="黑体"/>
          <w:b w:val="0"/>
          <w:color w:val="auto"/>
          <w:highlight w:val="none"/>
        </w:rPr>
        <w:t>国有资本经营预算支出决算情况说明</w:t>
      </w:r>
      <w:bookmarkEnd w:id="58"/>
      <w:bookmarkEnd w:id="59"/>
      <w:bookmarkEnd w:id="60"/>
    </w:p>
    <w:p>
      <w:pPr>
        <w:keepNext w:val="0"/>
        <w:keepLines w:val="0"/>
        <w:pageBreakBefore w:val="0"/>
        <w:widowControl w:val="0"/>
        <w:kinsoku/>
        <w:wordWrap/>
        <w:overflowPunct/>
        <w:topLinePunct w:val="0"/>
        <w:bidi w:val="0"/>
        <w:spacing w:line="576" w:lineRule="exact"/>
        <w:ind w:firstLine="640"/>
        <w:textAlignment w:val="auto"/>
        <w:rPr>
          <w:rFonts w:ascii="方正小标宋简体" w:hAnsi="方正小标宋简体" w:eastAsia="方正小标宋简体" w:cs="方正小标宋简体"/>
          <w:b w:val="0"/>
          <w:bCs/>
          <w:color w:val="auto"/>
          <w:sz w:val="44"/>
          <w:szCs w:val="44"/>
          <w:highlight w:val="none"/>
        </w:rPr>
      </w:pPr>
      <w:bookmarkStart w:id="61" w:name="_Toc15377221"/>
      <w:bookmarkStart w:id="62" w:name="_Toc15396612"/>
      <w:r>
        <w:rPr>
          <w:rFonts w:hint="eastAsia" w:ascii="仿宋_GB2312" w:hAnsi="仿宋_GB2312" w:eastAsia="仿宋_GB2312" w:cs="仿宋_GB2312"/>
          <w:b w:val="0"/>
          <w:bCs/>
          <w:color w:val="auto"/>
          <w:sz w:val="32"/>
          <w:szCs w:val="32"/>
          <w:highlight w:val="none"/>
        </w:rPr>
        <w:t>20</w:t>
      </w:r>
      <w:r>
        <w:rPr>
          <w:rFonts w:hint="eastAsia" w:ascii="仿宋_GB2312" w:hAnsi="仿宋_GB2312" w:eastAsia="仿宋_GB2312" w:cs="仿宋_GB2312"/>
          <w:b w:val="0"/>
          <w:bCs/>
          <w:color w:val="auto"/>
          <w:sz w:val="32"/>
          <w:szCs w:val="32"/>
          <w:highlight w:val="none"/>
          <w:lang w:val="en-US" w:eastAsia="zh-CN"/>
        </w:rPr>
        <w:t>22</w:t>
      </w:r>
      <w:r>
        <w:rPr>
          <w:rFonts w:hint="eastAsia" w:ascii="仿宋_GB2312" w:hAnsi="仿宋_GB2312" w:eastAsia="仿宋_GB2312" w:cs="仿宋_GB2312"/>
          <w:b w:val="0"/>
          <w:bCs/>
          <w:color w:val="auto"/>
          <w:sz w:val="32"/>
          <w:szCs w:val="32"/>
          <w:highlight w:val="none"/>
        </w:rPr>
        <w:t>年</w:t>
      </w:r>
      <w:r>
        <w:rPr>
          <w:rFonts w:hint="eastAsia" w:ascii="仿宋_GB2312" w:hAnsi="仿宋_GB2312" w:eastAsia="仿宋_GB2312" w:cs="仿宋_GB2312"/>
          <w:b w:val="0"/>
          <w:bCs/>
          <w:color w:val="000000"/>
          <w:sz w:val="32"/>
          <w:szCs w:val="32"/>
        </w:rPr>
        <w:t>市委办公室</w:t>
      </w:r>
      <w:r>
        <w:rPr>
          <w:rFonts w:hint="eastAsia" w:ascii="仿宋_GB2312" w:hAnsi="仿宋_GB2312" w:eastAsia="仿宋_GB2312" w:cs="仿宋_GB2312"/>
          <w:b w:val="0"/>
          <w:bCs/>
          <w:color w:val="000000"/>
          <w:sz w:val="32"/>
          <w:szCs w:val="32"/>
          <w:lang w:eastAsia="zh-CN"/>
        </w:rPr>
        <w:t>机关</w:t>
      </w:r>
      <w:r>
        <w:rPr>
          <w:rFonts w:hint="eastAsia" w:ascii="仿宋_GB2312" w:hAnsi="仿宋" w:eastAsia="仿宋_GB2312"/>
          <w:color w:val="000000"/>
          <w:sz w:val="32"/>
          <w:szCs w:val="32"/>
        </w:rPr>
        <w:t>（含市公务服务中心）</w:t>
      </w:r>
      <w:r>
        <w:rPr>
          <w:rFonts w:hint="eastAsia" w:ascii="仿宋_GB2312" w:hAnsi="仿宋_GB2312" w:eastAsia="仿宋_GB2312" w:cs="仿宋_GB2312"/>
          <w:b w:val="0"/>
          <w:bCs/>
          <w:color w:val="000000"/>
          <w:sz w:val="32"/>
          <w:szCs w:val="32"/>
          <w:lang w:eastAsia="zh-CN"/>
        </w:rPr>
        <w:t>无</w:t>
      </w:r>
      <w:r>
        <w:rPr>
          <w:rFonts w:hint="eastAsia" w:ascii="仿宋_GB2312" w:hAnsi="仿宋_GB2312" w:eastAsia="仿宋_GB2312" w:cs="仿宋_GB2312"/>
          <w:b w:val="0"/>
          <w:bCs/>
          <w:color w:val="auto"/>
          <w:sz w:val="32"/>
          <w:szCs w:val="32"/>
          <w:highlight w:val="none"/>
        </w:rPr>
        <w:t>国有资本经营预算</w:t>
      </w:r>
      <w:r>
        <w:rPr>
          <w:rFonts w:hint="eastAsia" w:ascii="仿宋_GB2312" w:hAnsi="仿宋_GB2312" w:eastAsia="仿宋_GB2312" w:cs="仿宋_GB2312"/>
          <w:b w:val="0"/>
          <w:bCs/>
          <w:color w:val="auto"/>
          <w:sz w:val="32"/>
          <w:szCs w:val="32"/>
          <w:highlight w:val="none"/>
          <w:lang w:eastAsia="zh-CN"/>
        </w:rPr>
        <w:t>财政</w:t>
      </w:r>
      <w:r>
        <w:rPr>
          <w:rFonts w:hint="eastAsia" w:ascii="仿宋_GB2312" w:hAnsi="仿宋_GB2312" w:eastAsia="仿宋_GB2312" w:cs="仿宋_GB2312"/>
          <w:b w:val="0"/>
          <w:bCs/>
          <w:color w:val="auto"/>
          <w:sz w:val="32"/>
          <w:szCs w:val="32"/>
          <w:highlight w:val="none"/>
        </w:rPr>
        <w:t>拨款支出。</w:t>
      </w:r>
    </w:p>
    <w:p>
      <w:pPr>
        <w:numPr>
          <w:ilvl w:val="0"/>
          <w:numId w:val="3"/>
        </w:numPr>
        <w:spacing w:line="600" w:lineRule="exact"/>
        <w:ind w:firstLine="640"/>
        <w:outlineLvl w:val="1"/>
        <w:rPr>
          <w:rStyle w:val="19"/>
          <w:rFonts w:hint="eastAsia" w:ascii="黑体" w:hAnsi="黑体" w:eastAsia="黑体"/>
          <w:b w:val="0"/>
          <w:color w:val="auto"/>
          <w:highlight w:val="none"/>
        </w:rPr>
      </w:pPr>
      <w:bookmarkStart w:id="63" w:name="_Toc22726"/>
      <w:r>
        <w:rPr>
          <w:rStyle w:val="19"/>
          <w:rFonts w:hint="eastAsia" w:ascii="黑体" w:hAnsi="黑体" w:eastAsia="黑体"/>
          <w:b w:val="0"/>
          <w:color w:val="auto"/>
          <w:highlight w:val="none"/>
        </w:rPr>
        <w:t>其他重要事项的情况说明</w:t>
      </w:r>
      <w:bookmarkEnd w:id="61"/>
      <w:bookmarkEnd w:id="62"/>
      <w:bookmarkEnd w:id="63"/>
    </w:p>
    <w:p>
      <w:pPr>
        <w:spacing w:line="600" w:lineRule="exact"/>
        <w:ind w:firstLine="640" w:firstLineChars="200"/>
        <w:outlineLvl w:val="2"/>
        <w:rPr>
          <w:rFonts w:hint="eastAsia" w:ascii="楷体_GB2312" w:hAnsi="楷体_GB2312" w:eastAsia="楷体_GB2312" w:cs="楷体_GB2312"/>
          <w:b w:val="0"/>
          <w:bCs/>
          <w:color w:val="auto"/>
          <w:sz w:val="32"/>
          <w:szCs w:val="32"/>
          <w:highlight w:val="none"/>
        </w:rPr>
      </w:pPr>
      <w:bookmarkStart w:id="64" w:name="_Toc15377222"/>
      <w:r>
        <w:rPr>
          <w:rFonts w:hint="eastAsia" w:ascii="楷体_GB2312" w:hAnsi="楷体_GB2312" w:eastAsia="楷体_GB2312" w:cs="楷体_GB2312"/>
          <w:b w:val="0"/>
          <w:bCs/>
          <w:color w:val="auto"/>
          <w:sz w:val="32"/>
          <w:szCs w:val="32"/>
          <w:highlight w:val="none"/>
        </w:rPr>
        <w:t>（一）机关运行经费支出情况</w:t>
      </w:r>
      <w:bookmarkEnd w:id="64"/>
    </w:p>
    <w:p>
      <w:pPr>
        <w:keepNext w:val="0"/>
        <w:keepLines w:val="0"/>
        <w:pageBreakBefore w:val="0"/>
        <w:widowControl w:val="0"/>
        <w:kinsoku/>
        <w:wordWrap/>
        <w:overflowPunct/>
        <w:topLinePunct w:val="0"/>
        <w:bidi w:val="0"/>
        <w:spacing w:line="576" w:lineRule="exact"/>
        <w:ind w:firstLine="640" w:firstLineChars="200"/>
        <w:textAlignment w:val="auto"/>
        <w:rPr>
          <w:rFonts w:hint="eastAsia" w:ascii="仿宋_GB2312" w:eastAsia="仿宋_GB2312"/>
          <w:b w:val="0"/>
          <w:bCs/>
          <w:color w:val="auto"/>
          <w:sz w:val="32"/>
          <w:szCs w:val="32"/>
          <w:highlight w:val="none"/>
          <w:lang w:eastAsia="zh-CN"/>
        </w:rPr>
      </w:pPr>
      <w:bookmarkStart w:id="65" w:name="_Toc15377223"/>
      <w:r>
        <w:rPr>
          <w:rFonts w:ascii="仿宋_GB2312" w:eastAsia="仿宋_GB2312"/>
          <w:b w:val="0"/>
          <w:bCs/>
          <w:color w:val="auto"/>
          <w:sz w:val="32"/>
          <w:szCs w:val="32"/>
          <w:highlight w:val="none"/>
        </w:rPr>
        <w:t>20</w:t>
      </w:r>
      <w:r>
        <w:rPr>
          <w:rFonts w:hint="eastAsia" w:ascii="仿宋_GB2312" w:eastAsia="仿宋_GB2312"/>
          <w:b w:val="0"/>
          <w:bCs/>
          <w:color w:val="auto"/>
          <w:sz w:val="32"/>
          <w:szCs w:val="32"/>
          <w:highlight w:val="none"/>
          <w:lang w:val="en-US" w:eastAsia="zh-CN"/>
        </w:rPr>
        <w:t>22</w:t>
      </w:r>
      <w:r>
        <w:rPr>
          <w:rFonts w:hint="eastAsia" w:ascii="仿宋_GB2312" w:eastAsia="仿宋_GB2312"/>
          <w:b w:val="0"/>
          <w:bCs/>
          <w:color w:val="auto"/>
          <w:sz w:val="32"/>
          <w:szCs w:val="32"/>
          <w:highlight w:val="none"/>
        </w:rPr>
        <w:t>年，</w:t>
      </w:r>
      <w:r>
        <w:rPr>
          <w:rFonts w:hint="eastAsia" w:ascii="仿宋_GB2312" w:hAnsi="仿宋" w:eastAsia="仿宋_GB2312"/>
          <w:b w:val="0"/>
          <w:bCs/>
          <w:color w:val="000000"/>
          <w:sz w:val="32"/>
          <w:szCs w:val="32"/>
          <w:highlight w:val="none"/>
        </w:rPr>
        <w:t>市委办公室</w:t>
      </w:r>
      <w:r>
        <w:rPr>
          <w:rFonts w:hint="eastAsia" w:ascii="仿宋_GB2312" w:hAnsi="仿宋" w:eastAsia="仿宋_GB2312"/>
          <w:b w:val="0"/>
          <w:bCs/>
          <w:color w:val="000000"/>
          <w:sz w:val="32"/>
          <w:szCs w:val="32"/>
          <w:highlight w:val="none"/>
          <w:lang w:eastAsia="zh-CN"/>
        </w:rPr>
        <w:t>机关</w:t>
      </w:r>
      <w:r>
        <w:rPr>
          <w:rFonts w:hint="eastAsia" w:ascii="仿宋_GB2312" w:hAnsi="仿宋" w:eastAsia="仿宋_GB2312"/>
          <w:color w:val="000000"/>
          <w:sz w:val="32"/>
          <w:szCs w:val="32"/>
          <w:highlight w:val="none"/>
        </w:rPr>
        <w:t>（含市公务服务中心）</w:t>
      </w:r>
      <w:r>
        <w:rPr>
          <w:rFonts w:hint="eastAsia" w:ascii="仿宋_GB2312" w:eastAsia="仿宋_GB2312"/>
          <w:b w:val="0"/>
          <w:bCs/>
          <w:color w:val="auto"/>
          <w:sz w:val="32"/>
          <w:szCs w:val="32"/>
          <w:highlight w:val="none"/>
        </w:rPr>
        <w:t>机关运行经费支出</w:t>
      </w:r>
      <w:r>
        <w:rPr>
          <w:rFonts w:hint="eastAsia" w:ascii="仿宋_GB2312" w:eastAsia="仿宋_GB2312"/>
          <w:b w:val="0"/>
          <w:bCs/>
          <w:color w:val="auto"/>
          <w:sz w:val="32"/>
          <w:szCs w:val="32"/>
          <w:highlight w:val="none"/>
          <w:lang w:val="en-US" w:eastAsia="zh-CN"/>
        </w:rPr>
        <w:t>276.22</w:t>
      </w:r>
      <w:r>
        <w:rPr>
          <w:rFonts w:hint="eastAsia" w:ascii="仿宋_GB2312" w:eastAsia="仿宋_GB2312"/>
          <w:b w:val="0"/>
          <w:bCs/>
          <w:color w:val="auto"/>
          <w:sz w:val="32"/>
          <w:szCs w:val="32"/>
          <w:highlight w:val="none"/>
        </w:rPr>
        <w:t>万元，比</w:t>
      </w:r>
      <w:r>
        <w:rPr>
          <w:rFonts w:ascii="仿宋_GB2312" w:eastAsia="仿宋_GB2312"/>
          <w:b w:val="0"/>
          <w:bCs/>
          <w:color w:val="auto"/>
          <w:sz w:val="32"/>
          <w:szCs w:val="32"/>
          <w:highlight w:val="none"/>
        </w:rPr>
        <w:t>20</w:t>
      </w:r>
      <w:r>
        <w:rPr>
          <w:rFonts w:hint="eastAsia" w:ascii="仿宋_GB2312" w:eastAsia="仿宋_GB2312"/>
          <w:b w:val="0"/>
          <w:bCs/>
          <w:color w:val="auto"/>
          <w:sz w:val="32"/>
          <w:szCs w:val="32"/>
          <w:highlight w:val="none"/>
          <w:lang w:val="en-US" w:eastAsia="zh-CN"/>
        </w:rPr>
        <w:t>21</w:t>
      </w:r>
      <w:r>
        <w:rPr>
          <w:rFonts w:hint="eastAsia" w:ascii="仿宋_GB2312" w:eastAsia="仿宋_GB2312"/>
          <w:b w:val="0"/>
          <w:bCs/>
          <w:color w:val="auto"/>
          <w:sz w:val="32"/>
          <w:szCs w:val="32"/>
          <w:highlight w:val="none"/>
        </w:rPr>
        <w:t>年增</w:t>
      </w:r>
      <w:r>
        <w:rPr>
          <w:rFonts w:hint="eastAsia" w:ascii="仿宋_GB2312" w:eastAsia="仿宋_GB2312"/>
          <w:b w:val="0"/>
          <w:bCs/>
          <w:color w:val="auto"/>
          <w:sz w:val="32"/>
          <w:szCs w:val="32"/>
          <w:highlight w:val="none"/>
          <w:lang w:val="en-US" w:eastAsia="zh-CN"/>
        </w:rPr>
        <w:t>33.71</w:t>
      </w:r>
      <w:r>
        <w:rPr>
          <w:rFonts w:hint="eastAsia" w:ascii="仿宋_GB2312" w:eastAsia="仿宋_GB2312"/>
          <w:b w:val="0"/>
          <w:bCs/>
          <w:color w:val="auto"/>
          <w:sz w:val="32"/>
          <w:szCs w:val="32"/>
          <w:highlight w:val="none"/>
        </w:rPr>
        <w:t>万元，增长</w:t>
      </w:r>
      <w:r>
        <w:rPr>
          <w:rFonts w:hint="eastAsia" w:ascii="仿宋_GB2312" w:eastAsia="仿宋_GB2312"/>
          <w:b w:val="0"/>
          <w:bCs/>
          <w:color w:val="auto"/>
          <w:sz w:val="32"/>
          <w:szCs w:val="32"/>
          <w:highlight w:val="none"/>
          <w:lang w:val="en-US" w:eastAsia="zh-CN"/>
        </w:rPr>
        <w:t>13.9</w:t>
      </w:r>
      <w:r>
        <w:rPr>
          <w:rFonts w:ascii="仿宋_GB2312" w:eastAsia="仿宋_GB2312"/>
          <w:b w:val="0"/>
          <w:bCs/>
          <w:color w:val="auto"/>
          <w:sz w:val="32"/>
          <w:szCs w:val="32"/>
          <w:highlight w:val="none"/>
        </w:rPr>
        <w:t>%</w:t>
      </w:r>
      <w:r>
        <w:rPr>
          <w:rFonts w:hint="eastAsia" w:ascii="仿宋_GB2312" w:eastAsia="仿宋_GB2312"/>
          <w:b w:val="0"/>
          <w:bCs/>
          <w:color w:val="auto"/>
          <w:sz w:val="32"/>
          <w:szCs w:val="32"/>
          <w:highlight w:val="none"/>
          <w:lang w:eastAsia="zh-CN"/>
        </w:rPr>
        <w:t>，</w:t>
      </w:r>
      <w:r>
        <w:rPr>
          <w:rFonts w:hint="eastAsia" w:ascii="仿宋_GB2312" w:eastAsia="仿宋_GB2312"/>
          <w:b w:val="0"/>
          <w:bCs/>
          <w:color w:val="auto"/>
          <w:sz w:val="32"/>
          <w:szCs w:val="32"/>
          <w:highlight w:val="none"/>
        </w:rPr>
        <w:t>主要原因是</w:t>
      </w:r>
      <w:r>
        <w:rPr>
          <w:rFonts w:hint="eastAsia" w:ascii="仿宋_GB2312" w:hAnsi="仿宋" w:eastAsia="仿宋_GB2312"/>
          <w:b w:val="0"/>
          <w:bCs/>
          <w:color w:val="000000"/>
          <w:sz w:val="32"/>
          <w:szCs w:val="32"/>
          <w:highlight w:val="none"/>
          <w:lang w:eastAsia="zh-CN"/>
        </w:rPr>
        <w:t>人员增加</w:t>
      </w:r>
      <w:r>
        <w:rPr>
          <w:rFonts w:hint="eastAsia" w:ascii="仿宋_GB2312" w:eastAsia="仿宋_GB2312"/>
          <w:b w:val="0"/>
          <w:bCs/>
          <w:color w:val="auto"/>
          <w:sz w:val="32"/>
          <w:szCs w:val="32"/>
          <w:highlight w:val="none"/>
          <w:lang w:eastAsia="zh-CN"/>
        </w:rPr>
        <w:t>。</w:t>
      </w:r>
    </w:p>
    <w:p>
      <w:pPr>
        <w:autoSpaceDE w:val="0"/>
        <w:autoSpaceDN w:val="0"/>
        <w:adjustRightInd w:val="0"/>
        <w:spacing w:line="600" w:lineRule="exact"/>
        <w:ind w:firstLine="640" w:firstLineChars="200"/>
        <w:jc w:val="left"/>
        <w:outlineLvl w:val="2"/>
        <w:rPr>
          <w:rFonts w:hint="eastAsia" w:ascii="楷体_GB2312" w:hAnsi="楷体_GB2312" w:eastAsia="楷体_GB2312" w:cs="楷体_GB2312"/>
          <w:b w:val="0"/>
          <w:bCs/>
          <w:color w:val="auto"/>
          <w:sz w:val="32"/>
          <w:szCs w:val="32"/>
          <w:highlight w:val="none"/>
        </w:rPr>
      </w:pPr>
      <w:r>
        <w:rPr>
          <w:rFonts w:hint="eastAsia" w:ascii="楷体_GB2312" w:hAnsi="楷体_GB2312" w:eastAsia="楷体_GB2312" w:cs="楷体_GB2312"/>
          <w:b w:val="0"/>
          <w:bCs/>
          <w:color w:val="auto"/>
          <w:sz w:val="32"/>
          <w:szCs w:val="32"/>
          <w:highlight w:val="none"/>
        </w:rPr>
        <w:t>（二）政府采购支出情况</w:t>
      </w:r>
      <w:bookmarkEnd w:id="65"/>
    </w:p>
    <w:p>
      <w:pPr>
        <w:keepNext w:val="0"/>
        <w:keepLines w:val="0"/>
        <w:widowControl/>
        <w:suppressLineNumbers w:val="0"/>
        <w:spacing w:before="0" w:beforeAutospacing="0" w:after="0" w:afterAutospacing="0" w:line="576" w:lineRule="atLeast"/>
        <w:ind w:left="0" w:right="0" w:firstLine="640"/>
        <w:jc w:val="both"/>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val="0"/>
          <w:bCs/>
          <w:color w:val="auto"/>
          <w:sz w:val="32"/>
          <w:szCs w:val="32"/>
          <w:highlight w:val="none"/>
        </w:rPr>
        <w:t>20</w:t>
      </w:r>
      <w:r>
        <w:rPr>
          <w:rFonts w:hint="eastAsia" w:ascii="仿宋_GB2312" w:hAnsi="仿宋_GB2312" w:eastAsia="仿宋_GB2312" w:cs="仿宋_GB2312"/>
          <w:b w:val="0"/>
          <w:bCs/>
          <w:color w:val="auto"/>
          <w:sz w:val="32"/>
          <w:szCs w:val="32"/>
          <w:highlight w:val="none"/>
          <w:lang w:val="en-US" w:eastAsia="zh-CN"/>
        </w:rPr>
        <w:t>22</w:t>
      </w:r>
      <w:r>
        <w:rPr>
          <w:rFonts w:hint="eastAsia" w:ascii="仿宋_GB2312" w:hAnsi="仿宋_GB2312" w:eastAsia="仿宋_GB2312" w:cs="仿宋_GB2312"/>
          <w:b w:val="0"/>
          <w:bCs/>
          <w:color w:val="auto"/>
          <w:sz w:val="32"/>
          <w:szCs w:val="32"/>
          <w:highlight w:val="none"/>
        </w:rPr>
        <w:t>年，</w:t>
      </w:r>
      <w:r>
        <w:rPr>
          <w:rFonts w:hint="eastAsia" w:ascii="仿宋_GB2312" w:hAnsi="仿宋_GB2312" w:eastAsia="仿宋_GB2312" w:cs="仿宋_GB2312"/>
          <w:b w:val="0"/>
          <w:bCs/>
          <w:color w:val="000000"/>
          <w:sz w:val="32"/>
          <w:szCs w:val="32"/>
          <w:highlight w:val="none"/>
        </w:rPr>
        <w:t>市委办公室</w:t>
      </w:r>
      <w:r>
        <w:rPr>
          <w:rFonts w:hint="eastAsia" w:ascii="仿宋_GB2312" w:hAnsi="仿宋_GB2312" w:eastAsia="仿宋_GB2312" w:cs="仿宋_GB2312"/>
          <w:b w:val="0"/>
          <w:bCs/>
          <w:color w:val="000000"/>
          <w:sz w:val="32"/>
          <w:szCs w:val="32"/>
          <w:highlight w:val="none"/>
          <w:lang w:eastAsia="zh-CN"/>
        </w:rPr>
        <w:t>机关</w:t>
      </w:r>
      <w:r>
        <w:rPr>
          <w:rFonts w:hint="eastAsia" w:ascii="仿宋_GB2312" w:hAnsi="仿宋_GB2312" w:eastAsia="仿宋_GB2312" w:cs="仿宋_GB2312"/>
          <w:b w:val="0"/>
          <w:bCs/>
          <w:color w:val="000000"/>
          <w:sz w:val="32"/>
          <w:szCs w:val="32"/>
          <w:highlight w:val="none"/>
        </w:rPr>
        <w:t>（</w:t>
      </w:r>
      <w:r>
        <w:rPr>
          <w:rFonts w:hint="eastAsia" w:ascii="仿宋_GB2312" w:hAnsi="仿宋_GB2312" w:eastAsia="仿宋_GB2312" w:cs="仿宋_GB2312"/>
          <w:color w:val="000000"/>
          <w:sz w:val="32"/>
          <w:szCs w:val="32"/>
          <w:highlight w:val="none"/>
        </w:rPr>
        <w:t>含市公务服务中心</w:t>
      </w:r>
      <w:r>
        <w:rPr>
          <w:rFonts w:hint="eastAsia" w:ascii="仿宋_GB2312" w:hAnsi="仿宋_GB2312" w:eastAsia="仿宋_GB2312" w:cs="仿宋_GB2312"/>
          <w:b w:val="0"/>
          <w:bCs/>
          <w:color w:val="000000"/>
          <w:sz w:val="32"/>
          <w:szCs w:val="32"/>
          <w:highlight w:val="none"/>
        </w:rPr>
        <w:t>）</w:t>
      </w:r>
      <w:r>
        <w:rPr>
          <w:rFonts w:hint="eastAsia" w:ascii="仿宋_GB2312" w:hAnsi="仿宋_GB2312" w:eastAsia="仿宋_GB2312" w:cs="仿宋_GB2312"/>
          <w:b w:val="0"/>
          <w:bCs/>
          <w:color w:val="auto"/>
          <w:sz w:val="32"/>
          <w:szCs w:val="32"/>
          <w:highlight w:val="none"/>
        </w:rPr>
        <w:t>政府采购支出总额</w:t>
      </w:r>
      <w:r>
        <w:rPr>
          <w:rFonts w:hint="eastAsia" w:ascii="仿宋_GB2312" w:hAnsi="仿宋_GB2312" w:eastAsia="仿宋_GB2312" w:cs="仿宋_GB2312"/>
          <w:b w:val="0"/>
          <w:bCs/>
          <w:color w:val="auto"/>
          <w:sz w:val="32"/>
          <w:szCs w:val="32"/>
          <w:highlight w:val="none"/>
          <w:lang w:val="en-US" w:eastAsia="zh-CN"/>
        </w:rPr>
        <w:t>2580.91</w:t>
      </w:r>
      <w:r>
        <w:rPr>
          <w:rFonts w:hint="eastAsia" w:ascii="仿宋_GB2312" w:hAnsi="仿宋_GB2312" w:eastAsia="仿宋_GB2312" w:cs="仿宋_GB2312"/>
          <w:b w:val="0"/>
          <w:bCs/>
          <w:color w:val="auto"/>
          <w:sz w:val="32"/>
          <w:szCs w:val="32"/>
          <w:highlight w:val="none"/>
        </w:rPr>
        <w:t>万元，其中：政府采购货物支出</w:t>
      </w:r>
      <w:r>
        <w:rPr>
          <w:rFonts w:hint="eastAsia" w:ascii="仿宋_GB2312" w:hAnsi="仿宋_GB2312" w:eastAsia="仿宋_GB2312" w:cs="仿宋_GB2312"/>
          <w:b w:val="0"/>
          <w:bCs/>
          <w:color w:val="auto"/>
          <w:sz w:val="32"/>
          <w:szCs w:val="32"/>
          <w:highlight w:val="none"/>
          <w:lang w:val="en-US" w:eastAsia="zh-CN"/>
        </w:rPr>
        <w:t>2554.39</w:t>
      </w:r>
      <w:r>
        <w:rPr>
          <w:rFonts w:hint="eastAsia" w:ascii="仿宋_GB2312" w:hAnsi="仿宋_GB2312" w:eastAsia="仿宋_GB2312" w:cs="仿宋_GB2312"/>
          <w:b w:val="0"/>
          <w:bCs/>
          <w:color w:val="auto"/>
          <w:sz w:val="32"/>
          <w:szCs w:val="32"/>
          <w:highlight w:val="none"/>
        </w:rPr>
        <w:t>万元、政府采购服务支出</w:t>
      </w:r>
      <w:r>
        <w:rPr>
          <w:rFonts w:hint="eastAsia" w:ascii="仿宋_GB2312" w:hAnsi="仿宋_GB2312" w:eastAsia="仿宋_GB2312" w:cs="仿宋_GB2312"/>
          <w:b w:val="0"/>
          <w:bCs/>
          <w:color w:val="auto"/>
          <w:sz w:val="32"/>
          <w:szCs w:val="32"/>
          <w:highlight w:val="none"/>
          <w:lang w:val="en-US" w:eastAsia="zh-CN"/>
        </w:rPr>
        <w:t>26.52</w:t>
      </w:r>
      <w:r>
        <w:rPr>
          <w:rFonts w:hint="eastAsia" w:ascii="仿宋_GB2312" w:hAnsi="仿宋_GB2312" w:eastAsia="仿宋_GB2312" w:cs="仿宋_GB2312"/>
          <w:b w:val="0"/>
          <w:bCs/>
          <w:color w:val="auto"/>
          <w:sz w:val="32"/>
          <w:szCs w:val="32"/>
          <w:highlight w:val="none"/>
        </w:rPr>
        <w:t>万元。主要用于</w:t>
      </w:r>
      <w:r>
        <w:rPr>
          <w:rFonts w:hint="eastAsia" w:ascii="仿宋_GB2312" w:hAnsi="仿宋_GB2312" w:eastAsia="仿宋_GB2312" w:cs="仿宋_GB2312"/>
          <w:b w:val="0"/>
          <w:bCs/>
          <w:color w:val="auto"/>
          <w:sz w:val="32"/>
          <w:szCs w:val="32"/>
          <w:highlight w:val="none"/>
          <w:lang w:eastAsia="zh-CN"/>
        </w:rPr>
        <w:t>市级机关国产办公设备替换、办公设备、家具用具、办公消耗用品购置</w:t>
      </w:r>
      <w:r>
        <w:rPr>
          <w:rFonts w:hint="eastAsia" w:ascii="仿宋_GB2312" w:hAnsi="仿宋_GB2312" w:eastAsia="仿宋_GB2312" w:cs="仿宋_GB2312"/>
          <w:b w:val="0"/>
          <w:bCs/>
          <w:color w:val="auto"/>
          <w:sz w:val="32"/>
          <w:szCs w:val="32"/>
          <w:highlight w:val="none"/>
        </w:rPr>
        <w:t>。授予中小企业合同金额</w:t>
      </w:r>
      <w:r>
        <w:rPr>
          <w:rFonts w:hint="eastAsia" w:ascii="仿宋_GB2312" w:hAnsi="仿宋_GB2312" w:eastAsia="仿宋_GB2312" w:cs="仿宋_GB2312"/>
          <w:b w:val="0"/>
          <w:bCs/>
          <w:color w:val="auto"/>
          <w:sz w:val="32"/>
          <w:szCs w:val="32"/>
          <w:highlight w:val="none"/>
          <w:lang w:val="en-US" w:eastAsia="zh-CN"/>
        </w:rPr>
        <w:t>2580.91</w:t>
      </w:r>
      <w:r>
        <w:rPr>
          <w:rFonts w:hint="eastAsia" w:ascii="仿宋_GB2312" w:hAnsi="仿宋_GB2312" w:eastAsia="仿宋_GB2312" w:cs="仿宋_GB2312"/>
          <w:b w:val="0"/>
          <w:bCs/>
          <w:color w:val="auto"/>
          <w:sz w:val="32"/>
          <w:szCs w:val="32"/>
          <w:highlight w:val="none"/>
        </w:rPr>
        <w:t>万元，占政府采购支出总额的</w:t>
      </w:r>
      <w:r>
        <w:rPr>
          <w:rFonts w:hint="eastAsia" w:ascii="仿宋_GB2312" w:hAnsi="仿宋_GB2312" w:eastAsia="仿宋_GB2312" w:cs="仿宋_GB2312"/>
          <w:b w:val="0"/>
          <w:bCs/>
          <w:color w:val="auto"/>
          <w:sz w:val="32"/>
          <w:szCs w:val="32"/>
          <w:highlight w:val="none"/>
          <w:lang w:val="en-US" w:eastAsia="zh-CN"/>
        </w:rPr>
        <w:t>100</w:t>
      </w: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i w:val="0"/>
          <w:iCs w:val="0"/>
          <w:caps w:val="0"/>
          <w:color w:val="000000"/>
          <w:spacing w:val="0"/>
          <w:kern w:val="0"/>
          <w:sz w:val="32"/>
          <w:szCs w:val="32"/>
          <w:highlight w:val="none"/>
          <w:lang w:val="en-US" w:eastAsia="zh-CN" w:bidi="ar"/>
        </w:rPr>
        <w:t>其中授予小微企业合同金额0万元，占政府采购支出总额0%。</w:t>
      </w:r>
    </w:p>
    <w:p>
      <w:pPr>
        <w:autoSpaceDE w:val="0"/>
        <w:autoSpaceDN w:val="0"/>
        <w:adjustRightInd w:val="0"/>
        <w:spacing w:line="600" w:lineRule="exact"/>
        <w:ind w:firstLine="640" w:firstLineChars="200"/>
        <w:jc w:val="left"/>
        <w:outlineLvl w:val="2"/>
        <w:rPr>
          <w:rFonts w:hint="eastAsia" w:ascii="楷体_GB2312" w:hAnsi="楷体_GB2312" w:eastAsia="楷体_GB2312" w:cs="楷体_GB2312"/>
          <w:b w:val="0"/>
          <w:bCs/>
          <w:color w:val="auto"/>
          <w:sz w:val="32"/>
          <w:szCs w:val="32"/>
          <w:highlight w:val="none"/>
        </w:rPr>
      </w:pPr>
      <w:bookmarkStart w:id="66" w:name="_Toc15377224"/>
      <w:r>
        <w:rPr>
          <w:rFonts w:hint="eastAsia" w:ascii="楷体_GB2312" w:hAnsi="楷体_GB2312" w:eastAsia="楷体_GB2312" w:cs="楷体_GB2312"/>
          <w:b w:val="0"/>
          <w:bCs/>
          <w:color w:val="auto"/>
          <w:sz w:val="32"/>
          <w:szCs w:val="32"/>
          <w:highlight w:val="none"/>
        </w:rPr>
        <w:t>（三）国有资产占有使用情况</w:t>
      </w:r>
      <w:bookmarkEnd w:id="66"/>
    </w:p>
    <w:p>
      <w:pPr>
        <w:keepNext w:val="0"/>
        <w:keepLines w:val="0"/>
        <w:pageBreakBefore w:val="0"/>
        <w:widowControl w:val="0"/>
        <w:kinsoku/>
        <w:wordWrap/>
        <w:overflowPunct/>
        <w:topLinePunct w:val="0"/>
        <w:bidi w:val="0"/>
        <w:spacing w:line="576" w:lineRule="exact"/>
        <w:ind w:firstLine="640" w:firstLineChars="200"/>
        <w:textAlignment w:val="auto"/>
        <w:rPr>
          <w:rFonts w:hint="eastAsia" w:ascii="仿宋_GB2312" w:eastAsia="仿宋_GB2312"/>
          <w:b w:val="0"/>
          <w:bCs/>
          <w:color w:val="auto"/>
          <w:sz w:val="32"/>
          <w:szCs w:val="32"/>
          <w:highlight w:val="none"/>
        </w:rPr>
      </w:pPr>
      <w:r>
        <w:rPr>
          <w:rFonts w:hint="eastAsia" w:ascii="仿宋_GB2312" w:eastAsia="仿宋_GB2312"/>
          <w:b w:val="0"/>
          <w:bCs/>
          <w:color w:val="auto"/>
          <w:sz w:val="32"/>
          <w:szCs w:val="32"/>
          <w:highlight w:val="none"/>
        </w:rPr>
        <w:t>截至</w:t>
      </w:r>
      <w:r>
        <w:rPr>
          <w:rFonts w:ascii="仿宋_GB2312" w:eastAsia="仿宋_GB2312"/>
          <w:b w:val="0"/>
          <w:bCs/>
          <w:color w:val="auto"/>
          <w:sz w:val="32"/>
          <w:szCs w:val="32"/>
          <w:highlight w:val="none"/>
        </w:rPr>
        <w:t>20</w:t>
      </w:r>
      <w:r>
        <w:rPr>
          <w:rFonts w:hint="eastAsia" w:ascii="仿宋_GB2312" w:eastAsia="仿宋_GB2312"/>
          <w:b w:val="0"/>
          <w:bCs/>
          <w:color w:val="auto"/>
          <w:sz w:val="32"/>
          <w:szCs w:val="32"/>
          <w:highlight w:val="none"/>
          <w:lang w:val="en-US" w:eastAsia="zh-CN"/>
        </w:rPr>
        <w:t>22</w:t>
      </w:r>
      <w:r>
        <w:rPr>
          <w:rFonts w:hint="eastAsia" w:ascii="仿宋_GB2312" w:eastAsia="仿宋_GB2312"/>
          <w:b w:val="0"/>
          <w:bCs/>
          <w:color w:val="auto"/>
          <w:sz w:val="32"/>
          <w:szCs w:val="32"/>
          <w:highlight w:val="none"/>
        </w:rPr>
        <w:t>年</w:t>
      </w:r>
      <w:r>
        <w:rPr>
          <w:rFonts w:ascii="仿宋_GB2312" w:eastAsia="仿宋_GB2312"/>
          <w:b w:val="0"/>
          <w:bCs/>
          <w:color w:val="auto"/>
          <w:sz w:val="32"/>
          <w:szCs w:val="32"/>
          <w:highlight w:val="none"/>
        </w:rPr>
        <w:t>12</w:t>
      </w:r>
      <w:r>
        <w:rPr>
          <w:rFonts w:hint="eastAsia" w:ascii="仿宋_GB2312" w:eastAsia="仿宋_GB2312"/>
          <w:b w:val="0"/>
          <w:bCs/>
          <w:color w:val="auto"/>
          <w:sz w:val="32"/>
          <w:szCs w:val="32"/>
          <w:highlight w:val="none"/>
        </w:rPr>
        <w:t>月</w:t>
      </w:r>
      <w:r>
        <w:rPr>
          <w:rFonts w:ascii="仿宋_GB2312" w:eastAsia="仿宋_GB2312"/>
          <w:b w:val="0"/>
          <w:bCs/>
          <w:color w:val="auto"/>
          <w:sz w:val="32"/>
          <w:szCs w:val="32"/>
          <w:highlight w:val="none"/>
        </w:rPr>
        <w:t>31</w:t>
      </w:r>
      <w:r>
        <w:rPr>
          <w:rFonts w:hint="eastAsia" w:ascii="仿宋_GB2312" w:eastAsia="仿宋_GB2312"/>
          <w:b w:val="0"/>
          <w:bCs/>
          <w:color w:val="auto"/>
          <w:sz w:val="32"/>
          <w:szCs w:val="32"/>
          <w:highlight w:val="none"/>
        </w:rPr>
        <w:t>日，</w:t>
      </w:r>
      <w:r>
        <w:rPr>
          <w:rFonts w:hint="eastAsia" w:ascii="仿宋_GB2312" w:hAnsi="仿宋" w:eastAsia="仿宋_GB2312"/>
          <w:b w:val="0"/>
          <w:bCs/>
          <w:color w:val="000000"/>
          <w:sz w:val="32"/>
          <w:szCs w:val="32"/>
          <w:highlight w:val="none"/>
        </w:rPr>
        <w:t>市委办公室</w:t>
      </w:r>
      <w:r>
        <w:rPr>
          <w:rFonts w:hint="eastAsia" w:ascii="仿宋_GB2312" w:hAnsi="仿宋" w:eastAsia="仿宋_GB2312"/>
          <w:b w:val="0"/>
          <w:bCs/>
          <w:color w:val="000000"/>
          <w:sz w:val="32"/>
          <w:szCs w:val="32"/>
          <w:highlight w:val="none"/>
          <w:lang w:eastAsia="zh-CN"/>
        </w:rPr>
        <w:t>机关</w:t>
      </w:r>
      <w:r>
        <w:rPr>
          <w:rFonts w:hint="eastAsia" w:ascii="仿宋_GB2312" w:hAnsi="仿宋" w:eastAsia="仿宋_GB2312"/>
          <w:b w:val="0"/>
          <w:bCs/>
          <w:color w:val="000000"/>
          <w:sz w:val="32"/>
          <w:szCs w:val="32"/>
          <w:highlight w:val="none"/>
        </w:rPr>
        <w:t>（</w:t>
      </w:r>
      <w:r>
        <w:rPr>
          <w:rFonts w:hint="eastAsia" w:ascii="仿宋_GB2312" w:hAnsi="仿宋" w:eastAsia="仿宋_GB2312"/>
          <w:color w:val="000000"/>
          <w:sz w:val="32"/>
          <w:szCs w:val="32"/>
          <w:highlight w:val="none"/>
        </w:rPr>
        <w:t>含市公务服务中心</w:t>
      </w:r>
      <w:r>
        <w:rPr>
          <w:rFonts w:hint="eastAsia" w:ascii="仿宋_GB2312" w:hAnsi="仿宋" w:eastAsia="仿宋_GB2312"/>
          <w:b w:val="0"/>
          <w:bCs/>
          <w:color w:val="000000"/>
          <w:sz w:val="32"/>
          <w:szCs w:val="32"/>
          <w:highlight w:val="none"/>
        </w:rPr>
        <w:t>）</w:t>
      </w:r>
      <w:r>
        <w:rPr>
          <w:rFonts w:hint="eastAsia" w:ascii="仿宋_GB2312" w:eastAsia="仿宋_GB2312"/>
          <w:b w:val="0"/>
          <w:bCs/>
          <w:color w:val="auto"/>
          <w:sz w:val="32"/>
          <w:szCs w:val="32"/>
          <w:highlight w:val="none"/>
        </w:rPr>
        <w:t>共有车辆</w:t>
      </w:r>
      <w:r>
        <w:rPr>
          <w:rFonts w:hint="eastAsia" w:ascii="仿宋_GB2312" w:eastAsia="仿宋_GB2312"/>
          <w:b w:val="0"/>
          <w:bCs/>
          <w:color w:val="auto"/>
          <w:sz w:val="32"/>
          <w:szCs w:val="32"/>
          <w:highlight w:val="none"/>
          <w:lang w:val="en-US" w:eastAsia="zh-CN"/>
        </w:rPr>
        <w:t>10</w:t>
      </w:r>
      <w:r>
        <w:rPr>
          <w:rFonts w:hint="eastAsia" w:ascii="仿宋_GB2312" w:eastAsia="仿宋_GB2312"/>
          <w:b w:val="0"/>
          <w:bCs/>
          <w:color w:val="auto"/>
          <w:sz w:val="32"/>
          <w:szCs w:val="32"/>
          <w:highlight w:val="none"/>
        </w:rPr>
        <w:t>辆，其中：主要领导用车1辆、其他用车9辆</w:t>
      </w:r>
      <w:r>
        <w:rPr>
          <w:rFonts w:hint="eastAsia" w:ascii="仿宋_GB2312" w:eastAsia="仿宋_GB2312"/>
          <w:b w:val="0"/>
          <w:bCs/>
          <w:color w:val="auto"/>
          <w:sz w:val="32"/>
          <w:szCs w:val="32"/>
          <w:highlight w:val="none"/>
          <w:lang w:eastAsia="zh-CN"/>
        </w:rPr>
        <w:t>，</w:t>
      </w:r>
      <w:r>
        <w:rPr>
          <w:rFonts w:hint="eastAsia" w:ascii="仿宋_GB2312" w:eastAsia="仿宋_GB2312"/>
          <w:b w:val="0"/>
          <w:bCs/>
          <w:color w:val="auto"/>
          <w:sz w:val="32"/>
          <w:szCs w:val="32"/>
          <w:highlight w:val="none"/>
        </w:rPr>
        <w:t>其他用车主要是用于市委办</w:t>
      </w:r>
      <w:r>
        <w:rPr>
          <w:rFonts w:hint="eastAsia" w:ascii="仿宋_GB2312" w:eastAsia="仿宋_GB2312"/>
          <w:b w:val="0"/>
          <w:bCs/>
          <w:color w:val="auto"/>
          <w:sz w:val="32"/>
          <w:szCs w:val="32"/>
          <w:highlight w:val="none"/>
          <w:lang w:eastAsia="zh-CN"/>
        </w:rPr>
        <w:t>公室</w:t>
      </w:r>
      <w:r>
        <w:rPr>
          <w:rFonts w:hint="eastAsia" w:ascii="仿宋_GB2312" w:eastAsia="仿宋_GB2312"/>
          <w:b w:val="0"/>
          <w:bCs/>
          <w:color w:val="auto"/>
          <w:sz w:val="32"/>
          <w:szCs w:val="32"/>
          <w:highlight w:val="none"/>
        </w:rPr>
        <w:t>应急保障用车</w:t>
      </w:r>
      <w:r>
        <w:rPr>
          <w:rFonts w:hint="eastAsia" w:ascii="仿宋_GB2312" w:eastAsia="仿宋_GB2312"/>
          <w:b w:val="0"/>
          <w:bCs/>
          <w:color w:val="auto"/>
          <w:sz w:val="32"/>
          <w:szCs w:val="32"/>
          <w:highlight w:val="none"/>
          <w:lang w:eastAsia="zh-CN"/>
        </w:rPr>
        <w:t>和</w:t>
      </w:r>
      <w:r>
        <w:rPr>
          <w:rFonts w:hint="eastAsia" w:ascii="仿宋_GB2312" w:eastAsia="仿宋_GB2312"/>
          <w:b w:val="0"/>
          <w:bCs/>
          <w:color w:val="auto"/>
          <w:sz w:val="32"/>
          <w:szCs w:val="32"/>
          <w:highlight w:val="none"/>
        </w:rPr>
        <w:t>市公务服务中心调研</w:t>
      </w:r>
      <w:r>
        <w:rPr>
          <w:rFonts w:hint="eastAsia" w:ascii="仿宋_GB2312" w:eastAsia="仿宋_GB2312"/>
          <w:b w:val="0"/>
          <w:bCs/>
          <w:color w:val="auto"/>
          <w:sz w:val="32"/>
          <w:szCs w:val="32"/>
          <w:highlight w:val="none"/>
          <w:lang w:eastAsia="zh-CN"/>
        </w:rPr>
        <w:t>、</w:t>
      </w:r>
      <w:r>
        <w:rPr>
          <w:rFonts w:hint="eastAsia" w:ascii="仿宋_GB2312" w:eastAsia="仿宋_GB2312"/>
          <w:b w:val="0"/>
          <w:bCs/>
          <w:color w:val="auto"/>
          <w:sz w:val="32"/>
          <w:szCs w:val="32"/>
          <w:highlight w:val="none"/>
        </w:rPr>
        <w:t>接待用车</w:t>
      </w:r>
      <w:r>
        <w:rPr>
          <w:rFonts w:hint="eastAsia" w:ascii="仿宋_GB2312" w:eastAsia="仿宋_GB2312"/>
          <w:b w:val="0"/>
          <w:bCs/>
          <w:color w:val="auto"/>
          <w:sz w:val="32"/>
          <w:szCs w:val="32"/>
          <w:highlight w:val="none"/>
          <w:lang w:eastAsia="zh-CN"/>
        </w:rPr>
        <w:t>。</w:t>
      </w:r>
      <w:r>
        <w:rPr>
          <w:rFonts w:hint="eastAsia" w:ascii="仿宋_GB2312" w:eastAsia="仿宋_GB2312"/>
          <w:b w:val="0"/>
          <w:bCs/>
          <w:color w:val="auto"/>
          <w:sz w:val="32"/>
          <w:szCs w:val="32"/>
          <w:highlight w:val="none"/>
        </w:rPr>
        <w:t>单价</w:t>
      </w:r>
      <w:r>
        <w:rPr>
          <w:rFonts w:ascii="仿宋_GB2312" w:eastAsia="仿宋_GB2312"/>
          <w:b w:val="0"/>
          <w:bCs/>
          <w:color w:val="auto"/>
          <w:sz w:val="32"/>
          <w:szCs w:val="32"/>
          <w:highlight w:val="none"/>
        </w:rPr>
        <w:t>100</w:t>
      </w:r>
      <w:r>
        <w:rPr>
          <w:rFonts w:hint="eastAsia" w:ascii="仿宋_GB2312" w:eastAsia="仿宋_GB2312"/>
          <w:b w:val="0"/>
          <w:bCs/>
          <w:color w:val="auto"/>
          <w:sz w:val="32"/>
          <w:szCs w:val="32"/>
          <w:highlight w:val="none"/>
        </w:rPr>
        <w:t>万元以上专用设备</w:t>
      </w:r>
      <w:r>
        <w:rPr>
          <w:rFonts w:hint="eastAsia" w:ascii="仿宋_GB2312" w:eastAsia="仿宋_GB2312"/>
          <w:b w:val="0"/>
          <w:bCs/>
          <w:color w:val="auto"/>
          <w:sz w:val="32"/>
          <w:szCs w:val="32"/>
          <w:highlight w:val="none"/>
          <w:lang w:val="en-US" w:eastAsia="zh-CN"/>
        </w:rPr>
        <w:t>0</w:t>
      </w:r>
      <w:r>
        <w:rPr>
          <w:rFonts w:hint="eastAsia" w:ascii="仿宋_GB2312" w:eastAsia="仿宋_GB2312"/>
          <w:b w:val="0"/>
          <w:bCs/>
          <w:color w:val="auto"/>
          <w:sz w:val="32"/>
          <w:szCs w:val="32"/>
          <w:highlight w:val="none"/>
        </w:rPr>
        <w:t>台（套）。</w:t>
      </w:r>
    </w:p>
    <w:p>
      <w:pPr>
        <w:autoSpaceDE w:val="0"/>
        <w:autoSpaceDN w:val="0"/>
        <w:adjustRightInd w:val="0"/>
        <w:spacing w:line="600" w:lineRule="exact"/>
        <w:ind w:firstLine="640" w:firstLineChars="200"/>
        <w:jc w:val="left"/>
        <w:outlineLvl w:val="2"/>
        <w:rPr>
          <w:rFonts w:hint="eastAsia" w:ascii="楷体_GB2312" w:hAnsi="楷体_GB2312" w:eastAsia="楷体_GB2312" w:cs="楷体_GB2312"/>
          <w:b w:val="0"/>
          <w:bCs/>
          <w:color w:val="auto"/>
          <w:sz w:val="32"/>
          <w:szCs w:val="32"/>
          <w:highlight w:val="none"/>
          <w:lang w:eastAsia="zh-CN"/>
        </w:rPr>
      </w:pPr>
      <w:r>
        <w:rPr>
          <w:rFonts w:hint="eastAsia" w:ascii="楷体_GB2312" w:hAnsi="楷体_GB2312" w:eastAsia="楷体_GB2312" w:cs="楷体_GB2312"/>
          <w:b w:val="0"/>
          <w:bCs/>
          <w:color w:val="auto"/>
          <w:sz w:val="32"/>
          <w:szCs w:val="32"/>
          <w:highlight w:val="none"/>
        </w:rPr>
        <w:t>（四）预算绩效管理情况</w:t>
      </w:r>
    </w:p>
    <w:p>
      <w:pPr>
        <w:pStyle w:val="7"/>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w:t>
      </w:r>
      <w:r>
        <w:rPr>
          <w:rFonts w:hint="eastAsia" w:ascii="仿宋_GB2312" w:hAnsi="仿宋_GB2312" w:eastAsia="仿宋_GB2312" w:cs="仿宋_GB2312"/>
          <w:b w:val="0"/>
          <w:bCs/>
          <w:color w:val="auto"/>
          <w:sz w:val="32"/>
          <w:szCs w:val="32"/>
          <w:highlight w:val="none"/>
          <w:lang w:val="en" w:eastAsia="zh-CN"/>
        </w:rPr>
        <w:t>公文处理及日常文印等补助经费</w:t>
      </w:r>
      <w:r>
        <w:rPr>
          <w:rFonts w:hint="eastAsia" w:ascii="仿宋_GB2312" w:hAnsi="仿宋_GB2312" w:eastAsia="仿宋_GB2312" w:cs="仿宋_GB2312"/>
          <w:color w:val="auto"/>
          <w:sz w:val="32"/>
          <w:szCs w:val="32"/>
          <w:highlight w:val="none"/>
        </w:rPr>
        <w:t>等</w:t>
      </w:r>
      <w:r>
        <w:rPr>
          <w:rFonts w:hint="eastAsia" w:hAnsi="仿宋_GB2312" w:cs="仿宋_GB2312"/>
          <w:color w:val="auto"/>
          <w:sz w:val="32"/>
          <w:szCs w:val="32"/>
          <w:highlight w:val="none"/>
          <w:lang w:val="en-US" w:eastAsia="zh-CN"/>
        </w:rPr>
        <w:t>17</w:t>
      </w:r>
      <w:r>
        <w:rPr>
          <w:rFonts w:hint="eastAsia" w:ascii="仿宋_GB2312" w:hAnsi="仿宋_GB2312" w:eastAsia="仿宋_GB2312" w:cs="仿宋_GB2312"/>
          <w:color w:val="auto"/>
          <w:sz w:val="32"/>
          <w:szCs w:val="32"/>
          <w:highlight w:val="none"/>
        </w:rPr>
        <w:t>个项目开展了预算事前绩效评估，对</w:t>
      </w:r>
      <w:r>
        <w:rPr>
          <w:rFonts w:hint="eastAsia" w:hAnsi="仿宋_GB2312" w:cs="仿宋_GB2312"/>
          <w:color w:val="auto"/>
          <w:sz w:val="32"/>
          <w:szCs w:val="32"/>
          <w:highlight w:val="none"/>
          <w:lang w:val="en-US" w:eastAsia="zh-CN"/>
        </w:rPr>
        <w:t>17</w:t>
      </w:r>
      <w:r>
        <w:rPr>
          <w:rFonts w:hint="eastAsia" w:ascii="仿宋_GB2312" w:hAnsi="仿宋_GB2312" w:eastAsia="仿宋_GB2312" w:cs="仿宋_GB2312"/>
          <w:color w:val="auto"/>
          <w:sz w:val="32"/>
          <w:szCs w:val="32"/>
          <w:highlight w:val="none"/>
        </w:rPr>
        <w:t>个项目编制了绩效目标，预算执行过程中，选取</w:t>
      </w:r>
      <w:r>
        <w:rPr>
          <w:rFonts w:hint="eastAsia" w:hAnsi="仿宋_GB2312" w:cs="仿宋_GB2312"/>
          <w:color w:val="auto"/>
          <w:sz w:val="32"/>
          <w:szCs w:val="32"/>
          <w:highlight w:val="none"/>
          <w:lang w:val="en-US" w:eastAsia="zh-CN"/>
        </w:rPr>
        <w:t>17</w:t>
      </w:r>
      <w:r>
        <w:rPr>
          <w:rFonts w:hint="eastAsia" w:ascii="仿宋_GB2312" w:hAnsi="仿宋_GB2312" w:eastAsia="仿宋_GB2312" w:cs="仿宋_GB2312"/>
          <w:color w:val="auto"/>
          <w:sz w:val="32"/>
          <w:szCs w:val="32"/>
          <w:highlight w:val="none"/>
        </w:rPr>
        <w:t>个项目开展绩效监控，组织对</w:t>
      </w:r>
      <w:r>
        <w:rPr>
          <w:rFonts w:hint="eastAsia" w:hAnsi="仿宋_GB2312" w:cs="仿宋_GB2312"/>
          <w:color w:val="auto"/>
          <w:sz w:val="32"/>
          <w:szCs w:val="32"/>
          <w:highlight w:val="none"/>
          <w:lang w:val="en-US" w:eastAsia="zh-CN"/>
        </w:rPr>
        <w:t>17</w:t>
      </w:r>
      <w:r>
        <w:rPr>
          <w:rFonts w:hint="eastAsia" w:ascii="仿宋_GB2312" w:hAnsi="仿宋_GB2312" w:eastAsia="仿宋_GB2312" w:cs="仿宋_GB2312"/>
          <w:color w:val="auto"/>
          <w:sz w:val="32"/>
          <w:szCs w:val="32"/>
          <w:highlight w:val="none"/>
        </w:rPr>
        <w:t>个项目开展绩效自评，绩效自评表详见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pStyle w:val="6"/>
      </w:pPr>
    </w:p>
    <w:p>
      <w:pPr>
        <w:numPr>
          <w:ilvl w:val="0"/>
          <w:numId w:val="4"/>
        </w:numPr>
        <w:spacing w:line="240" w:lineRule="auto"/>
        <w:ind w:firstLine="0" w:firstLineChars="0"/>
        <w:jc w:val="center"/>
        <w:outlineLvl w:val="0"/>
        <w:rPr>
          <w:rStyle w:val="18"/>
          <w:rFonts w:ascii="黑体" w:hAnsi="黑体" w:eastAsia="黑体"/>
          <w:b w:val="0"/>
          <w:color w:val="auto"/>
          <w:highlight w:val="none"/>
        </w:rPr>
      </w:pPr>
      <w:bookmarkStart w:id="67" w:name="_Toc832"/>
      <w:bookmarkStart w:id="68" w:name="_Toc15377225"/>
      <w:bookmarkStart w:id="69" w:name="_Toc15396613"/>
      <w:r>
        <w:rPr>
          <w:rFonts w:hint="eastAsia" w:ascii="黑体" w:hAnsi="黑体" w:eastAsia="黑体"/>
          <w:color w:val="auto"/>
          <w:sz w:val="44"/>
          <w:szCs w:val="44"/>
          <w:highlight w:val="none"/>
        </w:rPr>
        <w:t>名</w:t>
      </w:r>
      <w:r>
        <w:rPr>
          <w:rStyle w:val="18"/>
          <w:rFonts w:hint="eastAsia" w:ascii="黑体" w:hAnsi="黑体" w:eastAsia="黑体"/>
          <w:b w:val="0"/>
          <w:color w:val="auto"/>
          <w:highlight w:val="none"/>
        </w:rPr>
        <w:t>词解释</w:t>
      </w:r>
      <w:bookmarkEnd w:id="67"/>
      <w:bookmarkEnd w:id="68"/>
      <w:bookmarkEnd w:id="69"/>
    </w:p>
    <w:p>
      <w:pPr>
        <w:spacing w:line="600" w:lineRule="exact"/>
        <w:jc w:val="left"/>
        <w:rPr>
          <w:rFonts w:ascii="宋体"/>
          <w:b/>
          <w:color w:val="auto"/>
          <w:sz w:val="44"/>
          <w:szCs w:val="44"/>
          <w:highlight w:val="none"/>
        </w:rPr>
      </w:pPr>
    </w:p>
    <w:p>
      <w:pPr>
        <w:pStyle w:val="27"/>
        <w:keepNext w:val="0"/>
        <w:keepLines w:val="0"/>
        <w:pageBreakBefore w:val="0"/>
        <w:widowControl w:val="0"/>
        <w:numPr>
          <w:ilvl w:val="0"/>
          <w:numId w:val="5"/>
        </w:numPr>
        <w:kinsoku/>
        <w:wordWrap/>
        <w:overflowPunct/>
        <w:topLinePunct w:val="0"/>
        <w:bidi w:val="0"/>
        <w:snapToGrid/>
        <w:spacing w:line="576" w:lineRule="exact"/>
        <w:ind w:left="0" w:leftChars="0" w:firstLine="640" w:firstLineChars="200"/>
        <w:jc w:val="both"/>
        <w:textAlignment w:val="auto"/>
        <w:outlineLvl w:val="1"/>
        <w:rPr>
          <w:rFonts w:ascii="仿宋_GB2312" w:eastAsia="仿宋_GB2312"/>
          <w:b w:val="0"/>
          <w:bCs/>
          <w:color w:val="auto"/>
          <w:sz w:val="32"/>
          <w:szCs w:val="32"/>
          <w:highlight w:val="none"/>
        </w:rPr>
      </w:pPr>
      <w:bookmarkStart w:id="70" w:name="_Toc2758"/>
      <w:bookmarkStart w:id="71" w:name="_Toc24038"/>
      <w:bookmarkStart w:id="72" w:name="_Toc15377226"/>
      <w:r>
        <w:rPr>
          <w:rFonts w:hint="eastAsia" w:ascii="仿宋_GB2312" w:eastAsia="仿宋_GB2312"/>
          <w:b w:val="0"/>
          <w:bCs/>
          <w:color w:val="auto"/>
          <w:sz w:val="32"/>
          <w:szCs w:val="32"/>
          <w:highlight w:val="none"/>
        </w:rPr>
        <w:t>财政拨款收入：指单位从同级财政部门取得的财政预算资金。</w:t>
      </w:r>
      <w:bookmarkEnd w:id="70"/>
      <w:bookmarkEnd w:id="71"/>
    </w:p>
    <w:p>
      <w:pPr>
        <w:pStyle w:val="27"/>
        <w:keepNext w:val="0"/>
        <w:keepLines w:val="0"/>
        <w:pageBreakBefore w:val="0"/>
        <w:widowControl w:val="0"/>
        <w:numPr>
          <w:ilvl w:val="0"/>
          <w:numId w:val="5"/>
        </w:numPr>
        <w:kinsoku/>
        <w:wordWrap/>
        <w:overflowPunct/>
        <w:topLinePunct w:val="0"/>
        <w:bidi w:val="0"/>
        <w:snapToGrid/>
        <w:spacing w:line="576" w:lineRule="exact"/>
        <w:ind w:left="0" w:leftChars="0" w:firstLine="640" w:firstLineChars="200"/>
        <w:jc w:val="both"/>
        <w:textAlignment w:val="auto"/>
        <w:rPr>
          <w:rFonts w:hint="eastAsia" w:ascii="仿宋_GB2312" w:eastAsia="仿宋_GB2312"/>
          <w:b w:val="0"/>
          <w:bCs/>
          <w:color w:val="auto"/>
          <w:sz w:val="32"/>
          <w:szCs w:val="32"/>
          <w:highlight w:val="none"/>
          <w:lang w:eastAsia="zh-CN"/>
        </w:rPr>
      </w:pPr>
      <w:r>
        <w:rPr>
          <w:rFonts w:hint="eastAsia" w:ascii="仿宋_GB2312" w:eastAsia="仿宋_GB2312"/>
          <w:b w:val="0"/>
          <w:bCs/>
          <w:color w:val="auto"/>
          <w:sz w:val="32"/>
          <w:szCs w:val="32"/>
          <w:highlight w:val="none"/>
        </w:rPr>
        <w:t>年初结转和结余：指以前年度尚未完成、结转到本年按有关规定继续使用的资金。</w:t>
      </w:r>
    </w:p>
    <w:p>
      <w:pPr>
        <w:pStyle w:val="27"/>
        <w:keepNext w:val="0"/>
        <w:keepLines w:val="0"/>
        <w:pageBreakBefore w:val="0"/>
        <w:widowControl w:val="0"/>
        <w:numPr>
          <w:ilvl w:val="0"/>
          <w:numId w:val="5"/>
        </w:numPr>
        <w:kinsoku/>
        <w:wordWrap/>
        <w:overflowPunct/>
        <w:topLinePunct w:val="0"/>
        <w:bidi w:val="0"/>
        <w:snapToGrid/>
        <w:spacing w:line="576" w:lineRule="exact"/>
        <w:ind w:left="0" w:leftChars="0" w:firstLine="640" w:firstLineChars="200"/>
        <w:jc w:val="both"/>
        <w:textAlignment w:val="auto"/>
        <w:rPr>
          <w:rFonts w:hint="eastAsia" w:ascii="仿宋_GB2312" w:eastAsia="仿宋_GB2312"/>
          <w:b w:val="0"/>
          <w:bCs/>
          <w:color w:val="auto"/>
          <w:sz w:val="32"/>
          <w:szCs w:val="32"/>
          <w:highlight w:val="none"/>
        </w:rPr>
      </w:pPr>
      <w:r>
        <w:rPr>
          <w:rFonts w:hint="eastAsia" w:ascii="仿宋_GB2312" w:eastAsia="仿宋_GB2312"/>
          <w:b w:val="0"/>
          <w:bCs/>
          <w:color w:val="auto"/>
          <w:sz w:val="32"/>
          <w:szCs w:val="32"/>
          <w:highlight w:val="none"/>
        </w:rPr>
        <w:t>年末结转和结余：指单位按有关规定结转到下年或以后年度继续使用的资金。</w:t>
      </w:r>
    </w:p>
    <w:p>
      <w:pPr>
        <w:pStyle w:val="27"/>
        <w:keepNext w:val="0"/>
        <w:keepLines w:val="0"/>
        <w:pageBreakBefore w:val="0"/>
        <w:widowControl w:val="0"/>
        <w:numPr>
          <w:ilvl w:val="0"/>
          <w:numId w:val="5"/>
        </w:numPr>
        <w:kinsoku/>
        <w:wordWrap/>
        <w:overflowPunct/>
        <w:topLinePunct w:val="0"/>
        <w:bidi w:val="0"/>
        <w:snapToGrid/>
        <w:spacing w:line="576" w:lineRule="exact"/>
        <w:ind w:left="0" w:leftChars="0" w:firstLine="640" w:firstLineChars="200"/>
        <w:jc w:val="both"/>
        <w:textAlignment w:val="auto"/>
        <w:rPr>
          <w:rFonts w:hint="eastAsia" w:ascii="仿宋_GB2312" w:eastAsia="仿宋_GB2312"/>
          <w:b w:val="0"/>
          <w:bCs/>
          <w:color w:val="auto"/>
          <w:sz w:val="32"/>
          <w:szCs w:val="32"/>
          <w:highlight w:val="none"/>
          <w:lang w:val="en-US" w:eastAsia="zh-CN"/>
        </w:rPr>
      </w:pPr>
      <w:r>
        <w:rPr>
          <w:rFonts w:hint="eastAsia" w:ascii="仿宋_GB2312" w:eastAsia="仿宋_GB2312"/>
          <w:b w:val="0"/>
          <w:bCs/>
          <w:color w:val="auto"/>
          <w:sz w:val="32"/>
          <w:szCs w:val="32"/>
        </w:rPr>
        <w:t>一般公共服务支出（类）党委办公厅（室）及相关机构事务（款）行政运行（项）：反映行政单位（包括实行公务员管理的事业单位）的基本支出。</w:t>
      </w:r>
    </w:p>
    <w:p>
      <w:pPr>
        <w:keepNext w:val="0"/>
        <w:keepLines w:val="0"/>
        <w:pageBreakBefore w:val="0"/>
        <w:widowControl w:val="0"/>
        <w:numPr>
          <w:ilvl w:val="0"/>
          <w:numId w:val="5"/>
        </w:numPr>
        <w:kinsoku/>
        <w:wordWrap/>
        <w:overflowPunct/>
        <w:topLinePunct w:val="0"/>
        <w:bidi w:val="0"/>
        <w:snapToGrid/>
        <w:spacing w:line="576" w:lineRule="exact"/>
        <w:ind w:left="0" w:leftChars="0" w:firstLine="640" w:firstLineChars="200"/>
        <w:jc w:val="both"/>
        <w:textAlignment w:val="auto"/>
        <w:rPr>
          <w:rFonts w:hint="eastAsia" w:ascii="仿宋_GB2312" w:eastAsia="仿宋_GB2312"/>
          <w:b w:val="0"/>
          <w:bCs/>
          <w:color w:val="auto"/>
          <w:sz w:val="32"/>
          <w:szCs w:val="32"/>
        </w:rPr>
      </w:pPr>
      <w:r>
        <w:rPr>
          <w:rFonts w:hint="eastAsia" w:ascii="仿宋_GB2312" w:eastAsia="仿宋_GB2312"/>
          <w:b w:val="0"/>
          <w:bCs/>
          <w:color w:val="auto"/>
          <w:sz w:val="32"/>
          <w:szCs w:val="32"/>
        </w:rPr>
        <w:t>一般公共服务支出（类）党委办公厅（室）及相关机构事务（款）一般行政管理事务（项）</w:t>
      </w:r>
      <w:r>
        <w:rPr>
          <w:rFonts w:hint="eastAsia" w:ascii="仿宋_GB2312" w:eastAsia="仿宋_GB2312"/>
          <w:b w:val="0"/>
          <w:bCs/>
          <w:color w:val="auto"/>
          <w:sz w:val="32"/>
          <w:szCs w:val="32"/>
          <w:lang w:eastAsia="zh-CN"/>
        </w:rPr>
        <w:t>：</w:t>
      </w:r>
      <w:r>
        <w:rPr>
          <w:rFonts w:hint="eastAsia" w:ascii="仿宋_GB2312" w:eastAsia="仿宋_GB2312"/>
          <w:b w:val="0"/>
          <w:bCs/>
          <w:color w:val="auto"/>
          <w:sz w:val="32"/>
          <w:szCs w:val="32"/>
        </w:rPr>
        <w:t>反映行政单位（包括实行公务员管理的事业单位）未单独设置项级科目的其他项目支出。</w:t>
      </w:r>
    </w:p>
    <w:p>
      <w:pPr>
        <w:pStyle w:val="6"/>
        <w:keepNext w:val="0"/>
        <w:keepLines w:val="0"/>
        <w:pageBreakBefore w:val="0"/>
        <w:widowControl w:val="0"/>
        <w:numPr>
          <w:ilvl w:val="0"/>
          <w:numId w:val="5"/>
        </w:numPr>
        <w:kinsoku/>
        <w:wordWrap/>
        <w:overflowPunct/>
        <w:topLinePunct w:val="0"/>
        <w:bidi w:val="0"/>
        <w:snapToGrid/>
        <w:spacing w:line="576" w:lineRule="exact"/>
        <w:ind w:left="0" w:leftChars="0" w:firstLine="640" w:firstLineChars="200"/>
        <w:jc w:val="both"/>
        <w:textAlignment w:val="auto"/>
        <w:rPr>
          <w:rFonts w:hint="eastAsia" w:ascii="仿宋_GB2312" w:eastAsia="仿宋_GB2312"/>
          <w:b w:val="0"/>
          <w:bCs/>
          <w:color w:val="auto"/>
          <w:sz w:val="32"/>
          <w:szCs w:val="32"/>
          <w:lang w:eastAsia="zh-CN"/>
        </w:rPr>
      </w:pPr>
      <w:r>
        <w:rPr>
          <w:rFonts w:hint="eastAsia" w:ascii="仿宋_GB2312" w:eastAsia="仿宋_GB2312"/>
          <w:b w:val="0"/>
          <w:bCs/>
          <w:color w:val="auto"/>
          <w:sz w:val="32"/>
          <w:szCs w:val="32"/>
        </w:rPr>
        <w:t>一般公共服务支出（类）党委办公厅（室）及相关机构事务（款）</w:t>
      </w:r>
      <w:r>
        <w:rPr>
          <w:rFonts w:hint="eastAsia" w:ascii="仿宋_GB2312" w:eastAsia="仿宋_GB2312"/>
          <w:b w:val="0"/>
          <w:bCs/>
          <w:color w:val="auto"/>
          <w:sz w:val="32"/>
          <w:szCs w:val="32"/>
          <w:lang w:eastAsia="zh-CN"/>
        </w:rPr>
        <w:t>事业运行（项）：反映事业单位的基本支出，不包括行政单位（包括实行公务员管理的事业单位）后勤服务中心、医务室等附属事业单位。</w:t>
      </w:r>
    </w:p>
    <w:p>
      <w:pPr>
        <w:pStyle w:val="6"/>
        <w:keepNext w:val="0"/>
        <w:keepLines w:val="0"/>
        <w:pageBreakBefore w:val="0"/>
        <w:widowControl w:val="0"/>
        <w:numPr>
          <w:ilvl w:val="0"/>
          <w:numId w:val="5"/>
        </w:numPr>
        <w:kinsoku/>
        <w:wordWrap/>
        <w:overflowPunct/>
        <w:topLinePunct w:val="0"/>
        <w:bidi w:val="0"/>
        <w:snapToGrid/>
        <w:spacing w:line="576" w:lineRule="exact"/>
        <w:ind w:left="0" w:leftChars="0" w:firstLine="640" w:firstLineChars="200"/>
        <w:jc w:val="both"/>
        <w:textAlignment w:val="auto"/>
        <w:rPr>
          <w:rFonts w:hint="eastAsia" w:ascii="仿宋_GB2312" w:hAnsi="Times New Roman" w:eastAsia="仿宋_GB2312" w:cs="Times New Roman"/>
          <w:b w:val="0"/>
          <w:bCs/>
          <w:color w:val="auto"/>
          <w:kern w:val="2"/>
          <w:sz w:val="32"/>
          <w:szCs w:val="32"/>
          <w:highlight w:val="none"/>
          <w:lang w:val="en-US" w:eastAsia="zh-CN" w:bidi="ar-SA"/>
        </w:rPr>
      </w:pPr>
      <w:r>
        <w:rPr>
          <w:rFonts w:hint="eastAsia" w:ascii="仿宋_GB2312" w:hAnsi="Times New Roman" w:eastAsia="仿宋_GB2312" w:cs="Times New Roman"/>
          <w:b w:val="0"/>
          <w:bCs/>
          <w:color w:val="auto"/>
          <w:kern w:val="2"/>
          <w:sz w:val="32"/>
          <w:szCs w:val="32"/>
          <w:highlight w:val="none"/>
          <w:lang w:val="en-US" w:eastAsia="zh-CN" w:bidi="ar-SA"/>
        </w:rPr>
        <w:t>一般公共服务支出（类）党委办公厅（室）及相关机构事</w:t>
      </w:r>
      <w:r>
        <w:rPr>
          <w:rFonts w:hint="eastAsia" w:ascii="仿宋_GB2312" w:eastAsia="仿宋_GB2312"/>
          <w:b w:val="0"/>
          <w:bCs/>
          <w:color w:val="auto"/>
          <w:sz w:val="32"/>
          <w:szCs w:val="32"/>
          <w:highlight w:val="none"/>
          <w:lang w:val="en-US" w:eastAsia="zh-CN"/>
        </w:rPr>
        <w:t>务（款）其他党委办公厅（室）及相关机构事务支出（项）：</w:t>
      </w:r>
      <w:r>
        <w:rPr>
          <w:rFonts w:hint="eastAsia" w:ascii="仿宋_GB2312" w:eastAsia="仿宋_GB2312"/>
          <w:b w:val="0"/>
          <w:bCs/>
          <w:color w:val="auto"/>
          <w:sz w:val="32"/>
          <w:szCs w:val="32"/>
          <w:highlight w:val="none"/>
          <w:lang w:eastAsia="zh-CN"/>
        </w:rPr>
        <w:t>反映除上述项目以外其他用于党委办公厅（室）及相关机构事务支出。</w:t>
      </w:r>
      <w:r>
        <w:rPr>
          <w:rFonts w:ascii="宋体" w:hAnsi="宋体" w:eastAsia="宋体" w:cs="宋体"/>
          <w:b w:val="0"/>
          <w:bCs/>
          <w:sz w:val="32"/>
          <w:szCs w:val="32"/>
          <w:highlight w:val="none"/>
        </w:rPr>
        <w:t xml:space="preserve"> </w:t>
      </w:r>
    </w:p>
    <w:p>
      <w:pPr>
        <w:keepNext w:val="0"/>
        <w:keepLines w:val="0"/>
        <w:pageBreakBefore w:val="0"/>
        <w:widowControl w:val="0"/>
        <w:numPr>
          <w:ilvl w:val="0"/>
          <w:numId w:val="5"/>
        </w:numPr>
        <w:kinsoku/>
        <w:wordWrap/>
        <w:overflowPunct/>
        <w:topLinePunct w:val="0"/>
        <w:bidi w:val="0"/>
        <w:snapToGrid/>
        <w:spacing w:line="240" w:lineRule="auto"/>
        <w:ind w:left="0" w:leftChars="0" w:firstLine="640" w:firstLineChars="200"/>
        <w:jc w:val="both"/>
        <w:textAlignment w:val="auto"/>
        <w:rPr>
          <w:rFonts w:hint="eastAsia" w:ascii="仿宋_GB2312" w:eastAsia="仿宋_GB2312"/>
          <w:b w:val="0"/>
          <w:bCs/>
          <w:color w:val="auto"/>
          <w:sz w:val="32"/>
          <w:szCs w:val="32"/>
          <w:lang w:eastAsia="zh-CN"/>
        </w:rPr>
      </w:pPr>
      <w:r>
        <w:rPr>
          <w:rFonts w:hint="eastAsia" w:ascii="仿宋_GB2312" w:eastAsia="仿宋_GB2312" w:cs="Times New Roman"/>
          <w:b w:val="0"/>
          <w:bCs/>
          <w:color w:val="auto"/>
          <w:sz w:val="32"/>
          <w:szCs w:val="32"/>
        </w:rPr>
        <w:t>社会保障和就业支出（类）人力资源和社会保障管理事务</w:t>
      </w:r>
      <w:r>
        <w:rPr>
          <w:rStyle w:val="16"/>
          <w:rFonts w:hint="eastAsia" w:ascii="仿宋_GB2312" w:hAnsi="仿宋" w:eastAsia="仿宋_GB2312"/>
          <w:b w:val="0"/>
          <w:bCs/>
          <w:color w:val="auto"/>
          <w:sz w:val="32"/>
          <w:szCs w:val="32"/>
        </w:rPr>
        <w:t>（款）其他人力资源和社会保障管理事务支出（项）</w:t>
      </w:r>
      <w:r>
        <w:rPr>
          <w:rStyle w:val="16"/>
          <w:rFonts w:hint="eastAsia" w:ascii="仿宋_GB2312" w:hAnsi="仿宋" w:eastAsia="仿宋_GB2312"/>
          <w:b w:val="0"/>
          <w:bCs/>
          <w:color w:val="auto"/>
          <w:sz w:val="32"/>
          <w:szCs w:val="32"/>
          <w:lang w:eastAsia="zh-CN"/>
        </w:rPr>
        <w:t>：反映除上述项目以外其他用于社会保障和就业方面的支出。</w:t>
      </w:r>
    </w:p>
    <w:p>
      <w:pPr>
        <w:keepNext w:val="0"/>
        <w:keepLines w:val="0"/>
        <w:pageBreakBefore w:val="0"/>
        <w:widowControl w:val="0"/>
        <w:numPr>
          <w:ilvl w:val="0"/>
          <w:numId w:val="5"/>
        </w:numPr>
        <w:kinsoku/>
        <w:wordWrap/>
        <w:overflowPunct/>
        <w:topLinePunct w:val="0"/>
        <w:bidi w:val="0"/>
        <w:snapToGrid/>
        <w:spacing w:line="576" w:lineRule="exact"/>
        <w:ind w:left="0" w:leftChars="0" w:firstLine="640" w:firstLineChars="200"/>
        <w:jc w:val="both"/>
        <w:textAlignment w:val="auto"/>
        <w:rPr>
          <w:rFonts w:ascii="仿宋_GB2312" w:eastAsia="仿宋_GB2312"/>
          <w:b w:val="0"/>
          <w:bCs/>
          <w:color w:val="auto"/>
          <w:sz w:val="32"/>
          <w:szCs w:val="32"/>
        </w:rPr>
      </w:pPr>
      <w:r>
        <w:rPr>
          <w:rFonts w:hint="eastAsia" w:ascii="仿宋_GB2312" w:eastAsia="仿宋_GB2312"/>
          <w:b w:val="0"/>
          <w:bCs/>
          <w:color w:val="auto"/>
          <w:sz w:val="32"/>
          <w:szCs w:val="32"/>
        </w:rPr>
        <w:t>社会保障和就业支出（类）行政事业单位养老支出（款）机关事业单位基本养老保险缴费支出（项）</w:t>
      </w:r>
      <w:r>
        <w:rPr>
          <w:rFonts w:hint="eastAsia" w:ascii="仿宋_GB2312" w:eastAsia="仿宋_GB2312"/>
          <w:b w:val="0"/>
          <w:bCs/>
          <w:color w:val="auto"/>
          <w:sz w:val="32"/>
          <w:szCs w:val="32"/>
          <w:lang w:eastAsia="zh-CN"/>
        </w:rPr>
        <w:t>：</w:t>
      </w:r>
      <w:r>
        <w:rPr>
          <w:rFonts w:hint="eastAsia" w:ascii="仿宋_GB2312" w:eastAsia="仿宋_GB2312"/>
          <w:b w:val="0"/>
          <w:bCs/>
          <w:color w:val="auto"/>
          <w:sz w:val="32"/>
          <w:szCs w:val="32"/>
        </w:rPr>
        <w:t>反映机关事业单位实施养老保险制度由单位缴纳的基本养老保险费支出。</w:t>
      </w:r>
    </w:p>
    <w:p>
      <w:pPr>
        <w:keepNext w:val="0"/>
        <w:keepLines w:val="0"/>
        <w:pageBreakBefore w:val="0"/>
        <w:widowControl w:val="0"/>
        <w:numPr>
          <w:ilvl w:val="0"/>
          <w:numId w:val="5"/>
        </w:numPr>
        <w:kinsoku/>
        <w:wordWrap/>
        <w:overflowPunct/>
        <w:topLinePunct w:val="0"/>
        <w:bidi w:val="0"/>
        <w:snapToGrid/>
        <w:spacing w:line="576" w:lineRule="exact"/>
        <w:ind w:left="0" w:leftChars="0" w:firstLine="640" w:firstLineChars="200"/>
        <w:jc w:val="both"/>
        <w:textAlignment w:val="auto"/>
        <w:rPr>
          <w:rFonts w:hint="eastAsia" w:ascii="仿宋_GB2312" w:eastAsia="仿宋_GB2312" w:cs="Times New Roman"/>
          <w:b w:val="0"/>
          <w:bCs/>
          <w:color w:val="auto"/>
          <w:sz w:val="32"/>
          <w:szCs w:val="32"/>
        </w:rPr>
      </w:pPr>
      <w:r>
        <w:rPr>
          <w:rFonts w:hint="eastAsia" w:ascii="仿宋_GB2312" w:eastAsia="仿宋_GB2312"/>
          <w:b w:val="0"/>
          <w:bCs/>
          <w:color w:val="auto"/>
          <w:sz w:val="32"/>
          <w:szCs w:val="32"/>
        </w:rPr>
        <w:t>社会保障和就业支出（类）行政事业单位养老支出（款）机关事业单位职业年金缴费支出（项）</w:t>
      </w:r>
      <w:r>
        <w:rPr>
          <w:rFonts w:hint="eastAsia" w:ascii="仿宋_GB2312" w:eastAsia="仿宋_GB2312"/>
          <w:b w:val="0"/>
          <w:bCs/>
          <w:color w:val="auto"/>
          <w:sz w:val="32"/>
          <w:szCs w:val="32"/>
          <w:lang w:eastAsia="zh-CN"/>
        </w:rPr>
        <w:t>：</w:t>
      </w:r>
      <w:r>
        <w:rPr>
          <w:rFonts w:hint="eastAsia" w:ascii="仿宋_GB2312" w:eastAsia="仿宋_GB2312"/>
          <w:b w:val="0"/>
          <w:bCs/>
          <w:color w:val="auto"/>
          <w:sz w:val="32"/>
          <w:szCs w:val="32"/>
        </w:rPr>
        <w:t>反映机关</w:t>
      </w:r>
      <w:r>
        <w:rPr>
          <w:rFonts w:hint="eastAsia" w:ascii="仿宋_GB2312" w:eastAsia="仿宋_GB2312" w:cs="Times New Roman"/>
          <w:b w:val="0"/>
          <w:bCs/>
          <w:color w:val="auto"/>
          <w:sz w:val="32"/>
          <w:szCs w:val="32"/>
        </w:rPr>
        <w:t>事业单位实施养老保险制度由单位实际缴纳的职业年金支出。</w:t>
      </w:r>
    </w:p>
    <w:p>
      <w:pPr>
        <w:pStyle w:val="27"/>
        <w:keepNext w:val="0"/>
        <w:keepLines w:val="0"/>
        <w:pageBreakBefore w:val="0"/>
        <w:widowControl w:val="0"/>
        <w:numPr>
          <w:ilvl w:val="0"/>
          <w:numId w:val="5"/>
        </w:numPr>
        <w:kinsoku/>
        <w:wordWrap/>
        <w:overflowPunct/>
        <w:topLinePunct w:val="0"/>
        <w:bidi w:val="0"/>
        <w:snapToGrid/>
        <w:spacing w:line="576" w:lineRule="exact"/>
        <w:ind w:left="0" w:leftChars="0" w:firstLine="640" w:firstLineChars="200"/>
        <w:jc w:val="both"/>
        <w:textAlignment w:val="auto"/>
        <w:rPr>
          <w:rFonts w:hint="eastAsia" w:ascii="仿宋_GB2312" w:eastAsia="仿宋_GB2312"/>
          <w:b w:val="0"/>
          <w:bCs/>
          <w:color w:val="auto"/>
          <w:sz w:val="32"/>
          <w:szCs w:val="32"/>
        </w:rPr>
      </w:pPr>
      <w:r>
        <w:rPr>
          <w:rFonts w:hint="eastAsia" w:ascii="仿宋_GB2312" w:eastAsia="仿宋_GB2312"/>
          <w:b w:val="0"/>
          <w:bCs/>
          <w:color w:val="auto"/>
          <w:sz w:val="32"/>
          <w:szCs w:val="32"/>
        </w:rPr>
        <w:t>卫生健康支出（类）行政事业单位医疗（款）行政单位医疗（项）</w:t>
      </w:r>
      <w:r>
        <w:rPr>
          <w:rFonts w:hint="eastAsia" w:ascii="仿宋_GB2312" w:eastAsia="仿宋_GB2312"/>
          <w:b w:val="0"/>
          <w:bCs/>
          <w:color w:val="auto"/>
          <w:sz w:val="32"/>
          <w:szCs w:val="32"/>
          <w:lang w:eastAsia="zh-CN"/>
        </w:rPr>
        <w:t>：</w:t>
      </w:r>
      <w:r>
        <w:rPr>
          <w:rFonts w:hint="eastAsia" w:ascii="仿宋_GB2312" w:eastAsia="仿宋_GB2312"/>
          <w:b w:val="0"/>
          <w:bCs/>
          <w:color w:val="auto"/>
          <w:sz w:val="32"/>
          <w:szCs w:val="32"/>
        </w:rPr>
        <w:t>反映财政部门安排的行政单位（包括实行公务员管理的事业单位）基本医疗保险缴费经费，未参加医疗保险的行政单位的公费医疗经费，按国家规定享受离休人员、红军老战士待遇人员的医疗经费。</w:t>
      </w:r>
    </w:p>
    <w:p>
      <w:pPr>
        <w:keepNext w:val="0"/>
        <w:keepLines w:val="0"/>
        <w:pageBreakBefore w:val="0"/>
        <w:widowControl w:val="0"/>
        <w:numPr>
          <w:ilvl w:val="0"/>
          <w:numId w:val="5"/>
        </w:numPr>
        <w:kinsoku/>
        <w:wordWrap/>
        <w:overflowPunct/>
        <w:topLinePunct w:val="0"/>
        <w:bidi w:val="0"/>
        <w:snapToGrid/>
        <w:spacing w:line="576" w:lineRule="exact"/>
        <w:ind w:left="0" w:leftChars="0" w:firstLine="640" w:firstLineChars="200"/>
        <w:jc w:val="both"/>
        <w:textAlignment w:val="auto"/>
        <w:rPr>
          <w:rFonts w:ascii="仿宋_GB2312" w:eastAsia="仿宋_GB2312"/>
          <w:b w:val="0"/>
          <w:bCs/>
          <w:color w:val="auto"/>
          <w:sz w:val="32"/>
          <w:szCs w:val="32"/>
        </w:rPr>
      </w:pPr>
      <w:r>
        <w:rPr>
          <w:rFonts w:hint="eastAsia" w:ascii="仿宋_GB2312" w:eastAsia="仿宋_GB2312"/>
          <w:b w:val="0"/>
          <w:bCs/>
          <w:color w:val="auto"/>
          <w:sz w:val="32"/>
          <w:szCs w:val="32"/>
        </w:rPr>
        <w:t>住房保障（类）住房改革支出（款）住房公积金（项）</w:t>
      </w:r>
      <w:r>
        <w:rPr>
          <w:rFonts w:hint="eastAsia" w:ascii="仿宋_GB2312" w:eastAsia="仿宋_GB2312"/>
          <w:b w:val="0"/>
          <w:bCs/>
          <w:color w:val="auto"/>
          <w:sz w:val="32"/>
          <w:szCs w:val="32"/>
          <w:lang w:eastAsia="zh-CN"/>
        </w:rPr>
        <w:t>：</w:t>
      </w:r>
      <w:r>
        <w:rPr>
          <w:rFonts w:hint="eastAsia" w:ascii="仿宋_GB2312" w:eastAsia="仿宋_GB2312"/>
          <w:b w:val="0"/>
          <w:bCs/>
          <w:color w:val="auto"/>
          <w:sz w:val="32"/>
          <w:szCs w:val="32"/>
        </w:rPr>
        <w:t>反映行政事业单位按人力资源和社会保障部、财政部规定的基本工资和津贴补贴以及规定</w:t>
      </w:r>
      <w:r>
        <w:rPr>
          <w:rFonts w:hint="eastAsia" w:ascii="仿宋_GB2312" w:eastAsia="仿宋_GB2312"/>
          <w:b w:val="0"/>
          <w:bCs/>
          <w:color w:val="auto"/>
          <w:sz w:val="32"/>
          <w:szCs w:val="32"/>
          <w:lang w:eastAsia="zh-CN"/>
        </w:rPr>
        <w:t>比例为</w:t>
      </w:r>
      <w:r>
        <w:rPr>
          <w:rFonts w:hint="eastAsia" w:ascii="仿宋_GB2312" w:eastAsia="仿宋_GB2312"/>
          <w:b w:val="0"/>
          <w:bCs/>
          <w:color w:val="auto"/>
          <w:sz w:val="32"/>
          <w:szCs w:val="32"/>
        </w:rPr>
        <w:t>职工缴纳的住房公积金。</w:t>
      </w:r>
    </w:p>
    <w:p>
      <w:pPr>
        <w:keepNext w:val="0"/>
        <w:keepLines w:val="0"/>
        <w:pageBreakBefore w:val="0"/>
        <w:widowControl w:val="0"/>
        <w:numPr>
          <w:ilvl w:val="0"/>
          <w:numId w:val="5"/>
        </w:numPr>
        <w:kinsoku/>
        <w:wordWrap/>
        <w:overflowPunct/>
        <w:topLinePunct w:val="0"/>
        <w:bidi w:val="0"/>
        <w:snapToGrid/>
        <w:spacing w:line="576" w:lineRule="exact"/>
        <w:ind w:left="0" w:leftChars="0" w:firstLine="640" w:firstLineChars="200"/>
        <w:jc w:val="both"/>
        <w:textAlignment w:val="auto"/>
        <w:rPr>
          <w:rFonts w:hint="eastAsia" w:ascii="仿宋_GB2312" w:eastAsia="仿宋_GB2312"/>
          <w:b w:val="0"/>
          <w:bCs/>
          <w:color w:val="auto"/>
          <w:sz w:val="32"/>
          <w:szCs w:val="32"/>
          <w:highlight w:val="none"/>
        </w:rPr>
      </w:pPr>
      <w:r>
        <w:rPr>
          <w:rFonts w:hint="eastAsia" w:ascii="仿宋_GB2312" w:eastAsia="仿宋_GB2312"/>
          <w:b w:val="0"/>
          <w:bCs/>
          <w:color w:val="auto"/>
          <w:sz w:val="32"/>
          <w:szCs w:val="32"/>
          <w:highlight w:val="none"/>
        </w:rPr>
        <w:t>基本支出：指为保障机构正常运转、完成日常工作任务而发生的人员支出和公用支出。</w:t>
      </w:r>
    </w:p>
    <w:p>
      <w:pPr>
        <w:keepNext w:val="0"/>
        <w:keepLines w:val="0"/>
        <w:pageBreakBefore w:val="0"/>
        <w:widowControl w:val="0"/>
        <w:numPr>
          <w:ilvl w:val="0"/>
          <w:numId w:val="5"/>
        </w:numPr>
        <w:kinsoku/>
        <w:wordWrap/>
        <w:overflowPunct/>
        <w:topLinePunct w:val="0"/>
        <w:bidi w:val="0"/>
        <w:snapToGrid/>
        <w:spacing w:line="576" w:lineRule="exact"/>
        <w:ind w:left="0" w:leftChars="0" w:firstLine="640" w:firstLineChars="200"/>
        <w:jc w:val="both"/>
        <w:textAlignment w:val="auto"/>
        <w:rPr>
          <w:rFonts w:hint="eastAsia" w:ascii="仿宋_GB2312" w:eastAsia="仿宋_GB2312"/>
          <w:b w:val="0"/>
          <w:bCs/>
          <w:color w:val="auto"/>
          <w:sz w:val="32"/>
          <w:szCs w:val="32"/>
          <w:lang w:eastAsia="zh-CN"/>
        </w:rPr>
      </w:pPr>
      <w:r>
        <w:rPr>
          <w:rFonts w:hint="eastAsia" w:ascii="仿宋_GB2312" w:eastAsia="仿宋_GB2312"/>
          <w:b w:val="0"/>
          <w:bCs/>
          <w:color w:val="auto"/>
          <w:sz w:val="32"/>
          <w:szCs w:val="32"/>
        </w:rPr>
        <w:t>项目支出：</w:t>
      </w:r>
      <w:r>
        <w:rPr>
          <w:rFonts w:hint="eastAsia" w:ascii="仿宋_GB2312" w:eastAsia="仿宋_GB2312"/>
          <w:b w:val="0"/>
          <w:bCs/>
          <w:color w:val="auto"/>
          <w:sz w:val="32"/>
          <w:szCs w:val="32"/>
          <w:highlight w:val="none"/>
        </w:rPr>
        <w:t>指在基本支出之外为完成特定行政任务和事业发展目标所发生的支出。</w:t>
      </w:r>
    </w:p>
    <w:p>
      <w:pPr>
        <w:pStyle w:val="27"/>
        <w:keepNext w:val="0"/>
        <w:keepLines w:val="0"/>
        <w:pageBreakBefore w:val="0"/>
        <w:widowControl w:val="0"/>
        <w:numPr>
          <w:ilvl w:val="0"/>
          <w:numId w:val="5"/>
        </w:numPr>
        <w:kinsoku/>
        <w:wordWrap/>
        <w:overflowPunct/>
        <w:topLinePunct w:val="0"/>
        <w:bidi w:val="0"/>
        <w:snapToGrid/>
        <w:spacing w:line="576" w:lineRule="exact"/>
        <w:ind w:left="0" w:leftChars="0" w:firstLine="640" w:firstLineChars="200"/>
        <w:jc w:val="both"/>
        <w:textAlignment w:val="auto"/>
        <w:rPr>
          <w:rFonts w:ascii="仿宋_GB2312" w:eastAsia="仿宋_GB2312"/>
          <w:b w:val="0"/>
          <w:bCs/>
          <w:color w:val="auto"/>
          <w:sz w:val="32"/>
          <w:szCs w:val="32"/>
        </w:rPr>
      </w:pPr>
      <w:r>
        <w:rPr>
          <w:rFonts w:hint="eastAsia" w:ascii="仿宋_GB2312" w:eastAsia="仿宋_GB2312"/>
          <w:b w:val="0"/>
          <w:bCs/>
          <w:color w:val="auto"/>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7"/>
        <w:keepNext w:val="0"/>
        <w:keepLines w:val="0"/>
        <w:pageBreakBefore w:val="0"/>
        <w:widowControl w:val="0"/>
        <w:numPr>
          <w:ilvl w:val="0"/>
          <w:numId w:val="5"/>
        </w:numPr>
        <w:kinsoku/>
        <w:wordWrap/>
        <w:overflowPunct/>
        <w:topLinePunct w:val="0"/>
        <w:bidi w:val="0"/>
        <w:snapToGrid/>
        <w:spacing w:line="576" w:lineRule="exact"/>
        <w:ind w:left="0" w:leftChars="0" w:firstLine="640" w:firstLineChars="200"/>
        <w:jc w:val="both"/>
        <w:textAlignment w:val="auto"/>
        <w:rPr>
          <w:rFonts w:ascii="仿宋_GB2312" w:eastAsia="仿宋_GB2312"/>
          <w:b w:val="0"/>
          <w:bCs/>
          <w:color w:val="auto"/>
          <w:sz w:val="32"/>
          <w:szCs w:val="32"/>
        </w:rPr>
      </w:pPr>
      <w:r>
        <w:rPr>
          <w:rFonts w:hint="eastAsia" w:ascii="仿宋_GB2312" w:eastAsia="仿宋_GB2312"/>
          <w:b w:val="0"/>
          <w:bCs/>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9"/>
        <w:rPr>
          <w:rFonts w:ascii="宋体"/>
          <w:b/>
          <w:color w:val="auto"/>
          <w:sz w:val="44"/>
          <w:szCs w:val="44"/>
          <w:highlight w:val="none"/>
        </w:rPr>
      </w:pPr>
      <w:r>
        <w:rPr>
          <w:rFonts w:ascii="宋体"/>
          <w:b/>
          <w:color w:val="auto"/>
          <w:sz w:val="44"/>
          <w:szCs w:val="44"/>
          <w:highlight w:val="none"/>
        </w:rPr>
        <w:br w:type="page"/>
      </w:r>
      <w:bookmarkStart w:id="73" w:name="_Toc15396614"/>
    </w:p>
    <w:p>
      <w:pPr>
        <w:spacing w:line="600" w:lineRule="exact"/>
        <w:jc w:val="center"/>
        <w:outlineLvl w:val="0"/>
        <w:rPr>
          <w:rFonts w:hint="eastAsia" w:ascii="黑体" w:hAnsi="黑体" w:eastAsia="黑体"/>
          <w:color w:val="auto"/>
          <w:sz w:val="44"/>
          <w:szCs w:val="44"/>
          <w:highlight w:val="none"/>
          <w:lang w:eastAsia="zh-CN"/>
        </w:rPr>
      </w:pPr>
    </w:p>
    <w:p>
      <w:pPr>
        <w:spacing w:line="600" w:lineRule="exact"/>
        <w:jc w:val="center"/>
        <w:outlineLvl w:val="0"/>
        <w:rPr>
          <w:rFonts w:ascii="宋体"/>
          <w:b/>
          <w:color w:val="auto"/>
          <w:sz w:val="44"/>
          <w:szCs w:val="44"/>
          <w:highlight w:val="none"/>
        </w:rPr>
      </w:pPr>
      <w:r>
        <w:rPr>
          <w:rFonts w:hint="eastAsia" w:ascii="黑体" w:hAnsi="黑体" w:eastAsia="黑体"/>
          <w:color w:val="auto"/>
          <w:sz w:val="44"/>
          <w:szCs w:val="44"/>
          <w:highlight w:val="none"/>
        </w:rPr>
        <w:t>第</w:t>
      </w:r>
      <w:r>
        <w:rPr>
          <w:rStyle w:val="18"/>
          <w:rFonts w:hint="eastAsia" w:ascii="黑体" w:hAnsi="黑体" w:eastAsia="黑体"/>
          <w:b w:val="0"/>
          <w:color w:val="auto"/>
          <w:highlight w:val="none"/>
        </w:rPr>
        <w:t>四部分 附件</w:t>
      </w:r>
    </w:p>
    <w:p>
      <w:pPr>
        <w:spacing w:line="600" w:lineRule="exact"/>
        <w:jc w:val="center"/>
        <w:outlineLvl w:val="0"/>
        <w:rPr>
          <w:rFonts w:hint="eastAsia" w:ascii="黑体" w:hAnsi="黑体" w:eastAsia="黑体"/>
          <w:color w:val="auto"/>
          <w:sz w:val="44"/>
          <w:szCs w:val="44"/>
          <w:highlight w:val="none"/>
        </w:rPr>
      </w:pPr>
      <w:bookmarkStart w:id="74" w:name="_Toc9382"/>
    </w:p>
    <w:tbl>
      <w:tblPr>
        <w:tblStyle w:val="14"/>
        <w:tblW w:w="975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54"/>
        <w:gridCol w:w="1549"/>
        <w:gridCol w:w="1209"/>
        <w:gridCol w:w="1571"/>
        <w:gridCol w:w="515"/>
        <w:gridCol w:w="616"/>
        <w:gridCol w:w="476"/>
        <w:gridCol w:w="866"/>
        <w:gridCol w:w="536"/>
        <w:gridCol w:w="536"/>
        <w:gridCol w:w="13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75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项目名称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主管部门</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中国共产党广元市委员会办公室部门</w:t>
            </w:r>
          </w:p>
        </w:tc>
        <w:tc>
          <w:tcPr>
            <w:tcW w:w="86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实施单位 （盖章）</w:t>
            </w:r>
          </w:p>
        </w:tc>
        <w:tc>
          <w:tcPr>
            <w:tcW w:w="23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项目基本情况</w:t>
            </w: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1.项目年度目标完成情况</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项目年度目标</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严格执行相关政策，保障工资及时发放、足额发放，预算编制科学合理，减少结余资金。</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2.项目实施内容及过程概述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严格执行相关政策，在一体化系统里面及时足额发放工资。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预算执行情况（10分）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年度预算数（万元）</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年初预算</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调整后预算数</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预算执行数</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预算执行率</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总额</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944.54</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1,349.43</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1,303.95</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96.63%</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2"/>
                <w:szCs w:val="12"/>
                <w:u w:val="none"/>
              </w:rPr>
            </w:pPr>
            <w:r>
              <w:rPr>
                <w:rFonts w:hint="eastAsia" w:ascii="黑体" w:hAnsi="黑体" w:eastAsia="黑体" w:cs="黑体"/>
                <w:i w:val="0"/>
                <w:iCs w:val="0"/>
                <w:color w:val="000000"/>
                <w:kern w:val="0"/>
                <w:sz w:val="12"/>
                <w:szCs w:val="12"/>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其中：财政资金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944.54</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1,349.43</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1,303.95</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96.63%</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财政专户管理资金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单位资金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其他资金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绩效指标（90分）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一级指标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二级指标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三级指标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指标性质</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指标值</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度量单位</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完成值</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产出指标</w:t>
            </w:r>
          </w:p>
        </w:tc>
        <w:tc>
          <w:tcPr>
            <w:tcW w:w="12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数量指标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足额保障率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科目调整次数</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次</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时效指标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按时发放率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效益指标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经济效益指标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结余率（计算方法为：结余数/预算数）</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3.37</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35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合计</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评价结论</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财政资金使用符合要求，工资及时足额发放到位，财政支出绩效评价较好，绩效自评得分100分。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存在问题</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改进措施</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39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项目负责人：</w:t>
            </w:r>
          </w:p>
        </w:tc>
        <w:tc>
          <w:tcPr>
            <w:tcW w:w="43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20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7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61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4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86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32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75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项目名称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51000021R000000019956-离退休费支出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主管部门</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中国共产党广元市委员会办公室部门</w:t>
            </w:r>
          </w:p>
        </w:tc>
        <w:tc>
          <w:tcPr>
            <w:tcW w:w="86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实施单位 （盖章）</w:t>
            </w:r>
          </w:p>
        </w:tc>
        <w:tc>
          <w:tcPr>
            <w:tcW w:w="23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项目基本情况</w:t>
            </w: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1.项目年度目标完成情况</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项目年度目标</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严格执行相关政策，保障工资及时发放、足额发放，预算编制科学合理，减少结余资金。</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2.项目实施内容及过程概述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严格执行相关政策，在一体化系统里面及时发放离退休费用。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预算执行情况（10分）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年度预算数（万元）</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年初预算</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调整后预算数</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预算执行数</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预算执行率</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总额</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50.40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50.40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50.40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2"/>
                <w:szCs w:val="12"/>
                <w:u w:val="none"/>
              </w:rPr>
            </w:pPr>
            <w:r>
              <w:rPr>
                <w:rFonts w:hint="eastAsia" w:ascii="黑体" w:hAnsi="黑体" w:eastAsia="黑体" w:cs="黑体"/>
                <w:i w:val="0"/>
                <w:iCs w:val="0"/>
                <w:color w:val="000000"/>
                <w:kern w:val="0"/>
                <w:sz w:val="12"/>
                <w:szCs w:val="12"/>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其中：财政资金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50.40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50.40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50.40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财政专户管理资金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单位资金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其他资金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绩效指标（90分）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一级指标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二级指标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三级指标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指标性质</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指标值</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度量单位</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完成值</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产出指标</w:t>
            </w:r>
          </w:p>
        </w:tc>
        <w:tc>
          <w:tcPr>
            <w:tcW w:w="12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数量指标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足额保障率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科目调整次数</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次</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时效指标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按时发放率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效益指标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经济效益指标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结余率（计算方法为：结余数/预算数）</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35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合计</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评价结论</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财政资金使用符合要求，离退休费及时足额发放到位，财政支出绩效评价较好，绩效自评得分100分。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存在问题</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改进措施</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39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项目负责人：</w:t>
            </w:r>
          </w:p>
        </w:tc>
        <w:tc>
          <w:tcPr>
            <w:tcW w:w="43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20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7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61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4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86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32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75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项目名称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51000021R000000019958-其他支出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主管部门</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中国共产党广元市委员会办公室部门</w:t>
            </w:r>
          </w:p>
        </w:tc>
        <w:tc>
          <w:tcPr>
            <w:tcW w:w="86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实施单位 （盖章）</w:t>
            </w:r>
          </w:p>
        </w:tc>
        <w:tc>
          <w:tcPr>
            <w:tcW w:w="23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项目基本情况</w:t>
            </w: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1.项目年度目标完成情况</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项目年度目标</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严格执行相关政策，保障工资及时发放、足额发放，预算编制科学合理，减少结余资金。</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2.项目实施内容及过程概述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按时支付遗属生活补助。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预算执行情况（10分）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年度预算数（万元）</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年初预算</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调整后预算数</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预算执行数</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预算执行率</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总额</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0.84</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0.84</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0.84</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2"/>
                <w:szCs w:val="12"/>
                <w:u w:val="none"/>
              </w:rPr>
            </w:pPr>
            <w:r>
              <w:rPr>
                <w:rFonts w:hint="eastAsia" w:ascii="黑体" w:hAnsi="黑体" w:eastAsia="黑体" w:cs="黑体"/>
                <w:i w:val="0"/>
                <w:iCs w:val="0"/>
                <w:color w:val="000000"/>
                <w:kern w:val="0"/>
                <w:sz w:val="12"/>
                <w:szCs w:val="12"/>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其中：财政资金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0.84</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0.84</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0.84</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财政专户管理资金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单位资金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其他资金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绩效指标（90分）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一级指标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二级指标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三级指标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指标性质</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指标值</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度量单位</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完成值</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产出指标</w:t>
            </w:r>
          </w:p>
        </w:tc>
        <w:tc>
          <w:tcPr>
            <w:tcW w:w="12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数量指标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足额保障率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科目调整次数</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次</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时效指标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按时发放率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效益指标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经济效益指标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结余率（计算方法为：结余数/预算数）</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35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合计</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评价结论</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财政资金使用符合要求，遗属生活补助及时足额发放到位，财政支出绩效评价较好，绩效自评得分100分。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存在问题</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改进措施</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39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项目负责人：</w:t>
            </w:r>
          </w:p>
        </w:tc>
        <w:tc>
          <w:tcPr>
            <w:tcW w:w="43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20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7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61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4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86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32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75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项目名称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51000021Y000000011490-定额公用经费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主管部门</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中国共产党广元市委员会办公室部门</w:t>
            </w:r>
          </w:p>
        </w:tc>
        <w:tc>
          <w:tcPr>
            <w:tcW w:w="86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实施单位 （盖章）</w:t>
            </w:r>
          </w:p>
        </w:tc>
        <w:tc>
          <w:tcPr>
            <w:tcW w:w="23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项目基本情况</w:t>
            </w: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1.项目年度目标完成情况</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项目年度目标</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保障单位日常运转，提高预算编制质量，严格执行预算。</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2.项目实施内容及过程概述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严格执行相关政策，加强公用经费管理，按要求使用公用经费。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预算执行情况（10分）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年度预算数（万元）</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年初预算</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调整后预算数</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预算执行数</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预算执行率</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总额</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155.78</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153.18</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146.41</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95.58%</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2"/>
                <w:szCs w:val="12"/>
                <w:u w:val="none"/>
              </w:rPr>
            </w:pPr>
            <w:r>
              <w:rPr>
                <w:rFonts w:hint="eastAsia" w:ascii="黑体" w:hAnsi="黑体" w:eastAsia="黑体" w:cs="黑体"/>
                <w:i w:val="0"/>
                <w:iCs w:val="0"/>
                <w:color w:val="000000"/>
                <w:kern w:val="0"/>
                <w:sz w:val="12"/>
                <w:szCs w:val="12"/>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其中：财政资金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155.78</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153.18</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146.41</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95.58%</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财政专户管理资金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单位资金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其他资金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绩效指标（90分）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一级指标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二级指标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三级指标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指标性质</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指标值</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度量单位</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完成值</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产出指标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数量指标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科目调整次数</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次</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质量指标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预算编制准确率（计算方法为：∣（执行数-预算数）/预算数∣）</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4.42</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效益指标</w:t>
            </w:r>
          </w:p>
        </w:tc>
        <w:tc>
          <w:tcPr>
            <w:tcW w:w="12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经济效益指标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“三公经费”控制率[计算方法为：（三公经费实际支出数/预算安排数]×100%）</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93.71</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运转保障率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35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合计</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评价结论</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财政资金使用符合要求，严格按照要求使用公用经费，财政支出绩效评价较好，绩效自评得分100分。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存在问题</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改进措施</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39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项目负责人：</w:t>
            </w:r>
          </w:p>
        </w:tc>
        <w:tc>
          <w:tcPr>
            <w:tcW w:w="43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20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7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61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4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86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32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75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项目名称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51080021T000000054928-市委、市委办会议补助经费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主管部门</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中国共产党广元市委员会办公室部门</w:t>
            </w:r>
          </w:p>
        </w:tc>
        <w:tc>
          <w:tcPr>
            <w:tcW w:w="86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实施单位 （盖章）</w:t>
            </w:r>
          </w:p>
        </w:tc>
        <w:tc>
          <w:tcPr>
            <w:tcW w:w="23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项目基本情况</w:t>
            </w: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1.项目年度目标完成情况</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项目年度目标</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完成2022年市委、市委办各类会议，传达中央、省、市的有关精神，安排部署2022年各项工作。</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完成2022年市委、市委办各类会议，传达中央、省、市的有关精神，安排部署2022年各项工作。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2.项目实施内容及过程概述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传达中央、省委及市委的有关精神，完成2022年各项工作的部署。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预算执行情况（10分）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年度预算数（万元）</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年初预算</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调整后预算数</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预算执行数</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预算执行率</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总额</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2"/>
                <w:szCs w:val="12"/>
                <w:u w:val="none"/>
              </w:rPr>
            </w:pPr>
            <w:r>
              <w:rPr>
                <w:rFonts w:hint="eastAsia" w:ascii="黑体" w:hAnsi="黑体" w:eastAsia="黑体" w:cs="黑体"/>
                <w:i w:val="0"/>
                <w:iCs w:val="0"/>
                <w:color w:val="000000"/>
                <w:kern w:val="0"/>
                <w:sz w:val="12"/>
                <w:szCs w:val="12"/>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其中：财政资金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财政专户管理资金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单位资金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其他资金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绩效指标（90分）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一级指标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二级指标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三级指标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指标性质</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指标值</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度量单位</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完成值</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产出指标</w:t>
            </w:r>
          </w:p>
        </w:tc>
        <w:tc>
          <w:tcPr>
            <w:tcW w:w="12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数量指标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参会人数</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15000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人</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15800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秘书一科承办全市办公室主任会等会议</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场次</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承办市委全委会、市委常委扩大会等会议</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70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场次</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79</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质量指标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办会质量</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98</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时效指标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项目完成率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98</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成本指标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会议经费及会议室补助经费</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万元</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效益指标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可持续影响指标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推动中央、省市精神落地落实</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定性</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级</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优</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满意度指标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服务对象满意度指标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办会满意度</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35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合计</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评价结论</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市委、市委办会议补助经费项目绩效编制合理，财务管理规范化，内控制度健全，财政资金使用符合要求，预算执行收支平衡，财政支出绩效评价较好。市委、市委办会议补助经费项目支出绩效自评得分100分。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存在问题</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改进措施</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39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项目负责人：</w:t>
            </w:r>
          </w:p>
        </w:tc>
        <w:tc>
          <w:tcPr>
            <w:tcW w:w="43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20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7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61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4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86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32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75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项目名称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51080021T000000054971-公文处理及日常文印等补助经费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主管部门</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中国共产党广元市委员会办公室部门</w:t>
            </w:r>
          </w:p>
        </w:tc>
        <w:tc>
          <w:tcPr>
            <w:tcW w:w="86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实施单位 （盖章）</w:t>
            </w:r>
          </w:p>
        </w:tc>
        <w:tc>
          <w:tcPr>
            <w:tcW w:w="23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项目基本情况</w:t>
            </w: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1.项目年度目标完成情况</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项目年度目标</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完成2022年市委日常公文的承办、完成市委、市委办公室文件和文稿的起草、修改、审核工作，完成中央、省委、市委文件的印制、分发管理工作。</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完成2022年市委日常公文的承办、完成市委、市委办公室文件和文稿的起草、修改、审核工作，完成中央、省委、市委文件的印制、分发管理工作。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2.项目实施内容及过程概述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做好2022年省市文件分发和印制工作，负责市委文印室工作。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预算执行情况（10分）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年度预算数（万元）</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年初预算</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调整后预算数</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预算执行数</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预算执行率</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总额</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40.00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40.00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35.46</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88.65%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提高资源利用率，节约使用经费，降低能耗，办公耗材及文印费用减少。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其中：财政资金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40.00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40.00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35.46</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88.65%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财政专户管理资金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单位资金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其他资金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绩效指标（90分）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一级指标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二级指标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三级指标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指标性质</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指标值</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度量单位</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完成值</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产出指标</w:t>
            </w:r>
          </w:p>
        </w:tc>
        <w:tc>
          <w:tcPr>
            <w:tcW w:w="12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数量指标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收文发文办理文件数量</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1900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件</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印制文件数量</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万份</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质量指标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文件办结率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时效指标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完成项目及时率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成本指标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文印室及各科室文印耗材</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40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万元</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35.46</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19</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提高资源利用率，节约使用经费，降低能耗，办公耗材及文印费用减少。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效益指标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社会效益指标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推动上级重大决策部署落地落实、推动广元经济社会高质量发展</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定性</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级</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优</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满意度指标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服务对象满意度指标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办文满意度</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98</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35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合计</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99</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评价结论</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公文处理及日常文印等补助经费项目绩效编制合理，财务管理规范化，内控制度健全，财政资金使用符合要求，预算执行收支平衡，财政支出绩效评价较好。公文处理及日常文印等补助经费项目支出绩效自评得分99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存在问题</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办公耗材成本使用越来越高。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改进措施</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一是解决市本级预算体系性，加大日常公用经费的核算。二是加大预算执行力度，发挥绩效评价结果的作用，提高资金使用效率。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39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项目负责人：</w:t>
            </w:r>
          </w:p>
        </w:tc>
        <w:tc>
          <w:tcPr>
            <w:tcW w:w="43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20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7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61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4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86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32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75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项目名称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51080021T000000054985-党内规范性文件备案审查及文件汇编经费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主管部门</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中国共产党广元市委员会办公室部门</w:t>
            </w:r>
          </w:p>
        </w:tc>
        <w:tc>
          <w:tcPr>
            <w:tcW w:w="86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实施单位 （盖章）</w:t>
            </w:r>
          </w:p>
        </w:tc>
        <w:tc>
          <w:tcPr>
            <w:tcW w:w="23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项目基本情况</w:t>
            </w: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1.项目年度目标完成情况</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项目年度目标</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审核市委规范性文件以及各县区党委、市级部门规范性文件的备案审查工作；汇编市委规范性文件并印制及分发工作。　</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审核市委规范性文件以及各县区党委、市级部门规范性文件的备案审查工作；汇编市委规范性文件并印制及分发工作。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2.项目实施内容及过程概述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负责市委规范性文件的审核，报送省委备案解释、评估、清理等工作，清理并编印2021年市委党内规范性文件汇编。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预算执行情况（10分）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年度预算数（万元）</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年初预算</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调整后预算数</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预算执行数</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预算执行率</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总额</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2"/>
                <w:szCs w:val="12"/>
                <w:u w:val="none"/>
              </w:rPr>
            </w:pPr>
            <w:r>
              <w:rPr>
                <w:rFonts w:hint="eastAsia" w:ascii="黑体" w:hAnsi="黑体" w:eastAsia="黑体" w:cs="黑体"/>
                <w:i w:val="0"/>
                <w:iCs w:val="0"/>
                <w:color w:val="000000"/>
                <w:kern w:val="0"/>
                <w:sz w:val="12"/>
                <w:szCs w:val="12"/>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其中：财政资金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财政专户管理资金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单位资金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其他资金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绩效指标（90分）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一级指标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二级指标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三级指标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指标性质</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指标值</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度量单位</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完成值</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产出指标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数量指标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印制2021年党内规范性文件数量</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本</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质量指标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按质按量完成2022年省下目标任务</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定性</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级</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优</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时效指标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项目完成率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成本指标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印刷费及清理费</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万元</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效益指标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社会效益指标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推动上报备案文件标准更高质量更优</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定性</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级</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优</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可持续影响指标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对标上级重大决策部署、不折不扣抓好落实</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定性</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级</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优</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满意度指标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服务对象满意度指标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市县对法规科工作人员的满意度</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98</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35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合计</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评价结论</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党内规范性文件备案审查及文件汇编经费项目绩效编制合理，财务管理规范化，内控制度健全，财政资金使用符合要求，预算执行收支平衡，财政支出绩效评价较好。党内规范性文件备案审查及文件汇编经费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存在问题</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改进措施</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39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项目负责人：</w:t>
            </w:r>
          </w:p>
        </w:tc>
        <w:tc>
          <w:tcPr>
            <w:tcW w:w="43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20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7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61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4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86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32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75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项目名称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51080021T000000055013-市委办综合性工作经费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主管部门</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中国共产党广元市委员会办公室部门</w:t>
            </w:r>
          </w:p>
        </w:tc>
        <w:tc>
          <w:tcPr>
            <w:tcW w:w="86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实施单位 （盖章）</w:t>
            </w:r>
          </w:p>
        </w:tc>
        <w:tc>
          <w:tcPr>
            <w:tcW w:w="23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项目基本情况</w:t>
            </w: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1.项目年度目标完成情况</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项目年度目标</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保障市委机关和市委领导的后勤服务工作。</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保障市委机关和市委领导的后勤服务工作。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2.项目实施内容及过程概述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保障市委机关和市委领导的后勤服务工作。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预算执行情况（10分）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年度预算数（万元）</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年初预算</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调整后预算数</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预算执行数</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预算执行率</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总额</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279.2</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279.2</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178.96</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64.1%</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信息调研、各类信息编报费用减少，综合性日常工作经费支出减少。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其中：财政资金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279.2</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279.2</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178.96</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64.1%</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财政专户管理资金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单位资金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其他资金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绩效指标（90分）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一级指标</w:t>
            </w:r>
          </w:p>
        </w:tc>
        <w:tc>
          <w:tcPr>
            <w:tcW w:w="120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二级指标</w:t>
            </w:r>
          </w:p>
        </w:tc>
        <w:tc>
          <w:tcPr>
            <w:tcW w:w="157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三级指标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指标性质</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指标值</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度量单位</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完成值</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产出指标</w:t>
            </w:r>
          </w:p>
        </w:tc>
        <w:tc>
          <w:tcPr>
            <w:tcW w:w="12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办公电梯数量</w:t>
            </w:r>
          </w:p>
        </w:tc>
        <w:tc>
          <w:tcPr>
            <w:tcW w:w="51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部</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2部</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食堂每餐就餐人数</w:t>
            </w:r>
          </w:p>
        </w:tc>
        <w:tc>
          <w:tcPr>
            <w:tcW w:w="51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＞200人</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质量指标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办公设备采购率</w:t>
            </w:r>
          </w:p>
        </w:tc>
        <w:tc>
          <w:tcPr>
            <w:tcW w:w="51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时效指标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项目完成率</w:t>
            </w:r>
          </w:p>
        </w:tc>
        <w:tc>
          <w:tcPr>
            <w:tcW w:w="51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64.1</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14</w:t>
            </w:r>
          </w:p>
        </w:tc>
        <w:tc>
          <w:tcPr>
            <w:tcW w:w="13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信息调研、各类信息编报费用减少，综合性日常工作经费支出减少。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成本指标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经济成本指标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市委办综合性工作经费</w:t>
            </w:r>
          </w:p>
        </w:tc>
        <w:tc>
          <w:tcPr>
            <w:tcW w:w="51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279.2</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万元</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178.96</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14</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效益指标</w:t>
            </w:r>
          </w:p>
        </w:tc>
        <w:tc>
          <w:tcPr>
            <w:tcW w:w="120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社会效益指标</w:t>
            </w:r>
          </w:p>
        </w:tc>
        <w:tc>
          <w:tcPr>
            <w:tcW w:w="1571"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保障市委、市委办高效运转</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定性</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级</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可持续影响指标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促进市委办三服务工作更好更优的发展”</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定性</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级</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满意度指标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服务对象满意度指标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市委领导、干部职工对后勤保障的满意度</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98</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35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合计</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98</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评价结论</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市委办综合性工作经费项目绩效编制合理，财务管理规范化，内控制度健全，财政资金使用符合要求，预算执行收支平衡，财政支出绩效评价较好。市委办综合性工作经费项目支出绩效自评得分98分。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存在问题</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日常公用经费标准低，不能保障单位正常运转。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改进措施</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加大日常公用经费的核算。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39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项目负责人：</w:t>
            </w:r>
          </w:p>
        </w:tc>
        <w:tc>
          <w:tcPr>
            <w:tcW w:w="43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20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7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61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4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86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32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75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项目名称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51080021T000000055024-张国平同志职业健康监护费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主管部门</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中国共产党广元市委员会办公室部门</w:t>
            </w:r>
          </w:p>
        </w:tc>
        <w:tc>
          <w:tcPr>
            <w:tcW w:w="86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实施单位 （盖章）</w:t>
            </w:r>
          </w:p>
        </w:tc>
        <w:tc>
          <w:tcPr>
            <w:tcW w:w="23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项目基本情况</w:t>
            </w: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1.项目年度目标完成情况</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项目年度目标</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完成张国平同志职业健康监护费的使用。</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完成张国平同志职业健康监护费的使用。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2.项目实施内容及过程概述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张国平按相关制度规定，前往苏州大学附属第二医院定期康复治疗和日常护理；不定期在华西医大及重医大复查、诊断。根据实际发生票据，按报销流程进行报账。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预算执行情况（10分）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年度预算数（万元）</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年初预算</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调整后预算数</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预算执行数</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预算执行率</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总额</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1.72</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34.</w:t>
            </w:r>
            <w:r>
              <w:rPr>
                <w:rFonts w:hint="eastAsia" w:ascii="宋体" w:hAnsi="宋体" w:cs="宋体"/>
                <w:i w:val="0"/>
                <w:iCs w:val="0"/>
                <w:color w:val="000000"/>
                <w:kern w:val="0"/>
                <w:sz w:val="16"/>
                <w:szCs w:val="16"/>
                <w:u w:val="none"/>
                <w:lang w:val="en-US" w:eastAsia="zh-CN" w:bidi="ar"/>
              </w:rPr>
              <w:t>4</w:t>
            </w: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由于疫情原因，张国平同志外出就医次数减少，康复治疗费用减少。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其中：财政资金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1.72</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34.</w:t>
            </w:r>
            <w:r>
              <w:rPr>
                <w:rFonts w:hint="eastAsia" w:ascii="宋体" w:hAnsi="宋体" w:cs="宋体"/>
                <w:i w:val="0"/>
                <w:iCs w:val="0"/>
                <w:color w:val="000000"/>
                <w:kern w:val="0"/>
                <w:sz w:val="16"/>
                <w:szCs w:val="16"/>
                <w:u w:val="none"/>
                <w:lang w:val="en-US" w:eastAsia="zh-CN" w:bidi="ar"/>
              </w:rPr>
              <w:t>4</w:t>
            </w: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财政专户管理资金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单位资金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其他资金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绩效指标（90分）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一级指标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二级指标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三级指标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指标性质</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指标值</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度量单位</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完成值</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产出指标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数量指标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需要健康监护人数</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人</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6"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质量指标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保障定期治疗和日常护理完成率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cs="宋体"/>
                <w:i w:val="0"/>
                <w:iCs w:val="0"/>
                <w:color w:val="000000"/>
                <w:kern w:val="0"/>
                <w:sz w:val="16"/>
                <w:szCs w:val="16"/>
                <w:u w:val="none"/>
                <w:lang w:val="en-US" w:eastAsia="zh-CN" w:bidi="ar"/>
              </w:rPr>
              <w:t>90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时效指标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完成时间2022年12月31日</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成本指标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健康监护费用</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万元</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1.72</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由于疫情原因，张国平同志外出就医次数减少，康复治疗费用减少。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效果指标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保证职业病治疗</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定性</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级</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优</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效益指标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社会效益指标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研究职业病得到更好的推广</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定性</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级</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优</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满意度指标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服务对象满意度指标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本人对监护费的满意度</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35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合计</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评价结论</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张国平同志职业健康监护费项目绩效编制合理，财务管理规范化，内控制度健全，财政资金使用符合要求，预算执行收支平衡，财政支出绩效评价较好。张国平同志职业健康监护费项目支出绩效自评得分100分。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存在问题</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改进措施</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39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项目负责人：</w:t>
            </w:r>
          </w:p>
        </w:tc>
        <w:tc>
          <w:tcPr>
            <w:tcW w:w="43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20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7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61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4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86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32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75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项目名称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51080021T000000055140-市委办临聘人员补助经费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主管部门</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中国共产党广元市委员会办公室部门</w:t>
            </w:r>
          </w:p>
        </w:tc>
        <w:tc>
          <w:tcPr>
            <w:tcW w:w="86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实施单位 （盖章）</w:t>
            </w:r>
          </w:p>
        </w:tc>
        <w:tc>
          <w:tcPr>
            <w:tcW w:w="23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项目基本情况</w:t>
            </w: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1.项目年度目标完成情况</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项目年度目标</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保证市委办临聘人员工资、福利及五险一金的发放及缴纳工作。</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保证市委办临聘人员工资、福利及五险一金的发放及缴纳工作。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2.项目实施内容及过程概述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1.保证市委办临聘人员工资、福利及五险一金的发放及缴纳工作。2.劳务派遣人员费用的支付。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预算执行情况（10分）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年度预算数（万元）</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年初预算</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调整后预算数</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预算执行数</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预算执行率</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总额</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114</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114</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94</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82.46%</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中途有临聘人员辞职，因此项目预算执行数未全部使用完。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其中：财政资金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114</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114</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94</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82.46%</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财政专户管理资金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单位资金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其他资金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绩效指标（90分）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一级指标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二级指标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三级指标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指标性质</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指标值</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度量单位</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完成值</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产出指标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数量指标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临聘人员及劳务派遣人数</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人</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质量指标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保障临聘人员各项工作的推进</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定性</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级</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优</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时效指标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完成及时率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82.46</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19</w:t>
            </w:r>
          </w:p>
        </w:tc>
        <w:tc>
          <w:tcPr>
            <w:tcW w:w="13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中途有临聘人员辞职，因此项目预算执行数未全部使用完。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成本指标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市委办临聘人员补助经费</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114</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万元</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94</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19</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效益指标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社会效益指标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保证市委办正常运转，保障临聘人员安定</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定性</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级</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优</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满意度指标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服务对象满意度指标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市委办对临聘人员工作质量满意度</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eastAsia="zh-CN"/>
              </w:rPr>
            </w:pPr>
            <w:r>
              <w:rPr>
                <w:rFonts w:hint="eastAsia" w:ascii="宋体" w:hAnsi="宋体" w:cs="宋体"/>
                <w:i w:val="0"/>
                <w:iCs w:val="0"/>
                <w:color w:val="000000"/>
                <w:sz w:val="16"/>
                <w:szCs w:val="16"/>
                <w:u w:val="none"/>
                <w:lang w:val="en-US" w:eastAsia="zh-CN"/>
              </w:rPr>
              <w:t>95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35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合计</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98</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评价结论</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市委办临聘人员补助经费项目绩效编制合理，财务管理规范化，内控制度健全，财政资金使用符合要求，预算执行收支平衡，财政支出绩效评价较好。市委办临聘人员补助经费项目支出绩效自评得分98分。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存在问题</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管理部门应加强临聘人员考核制度，建立相应的目标绩效管理制度。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改进措施</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加大预算执行力度，发挥绩效评价结果的作用，提高资金使用效。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39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项目负责人：</w:t>
            </w:r>
          </w:p>
        </w:tc>
        <w:tc>
          <w:tcPr>
            <w:tcW w:w="43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20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7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61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4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86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32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75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项目名称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51080021T000000055175-市委国家安全委员会办公室工作经费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主管部门</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中国共产党广元市委员会办公室部门</w:t>
            </w:r>
          </w:p>
        </w:tc>
        <w:tc>
          <w:tcPr>
            <w:tcW w:w="86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实施单位 （盖章）</w:t>
            </w:r>
          </w:p>
        </w:tc>
        <w:tc>
          <w:tcPr>
            <w:tcW w:w="23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项目基本情况</w:t>
            </w: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1.项目年度目标完成情况</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项目年度目标</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完成栖凤廊桥国家安全图片宣传、“4.15”全民国家安全教育日暨国家安全教育月活；分类组织、参加国家安全培训，提升履职能力；负责市委国家安全委员会办公室日常工作。</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完成栖凤廊桥国家安全图片宣传、“4.15”全民国家安全教育日暨国家安全教育月活；分类组织、参加国家安全培训，提升履职能力；负责市委国家安全委员会办公室日常工作。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2.项目实施内容及过程概述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完成国家安全宣传，“4.15”全民国家安全教育日暨国家安全教育月活动，分类组织、参加国家安全培训，提升履职能力；负责市委国家安全委员会办公室日常工作。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预算执行情况（10分）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年度预算数（万元）</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年初预算</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调整后预算数</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预算执行数</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预算执行率</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总额</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2"/>
                <w:szCs w:val="12"/>
                <w:u w:val="none"/>
              </w:rPr>
            </w:pPr>
            <w:r>
              <w:rPr>
                <w:rFonts w:hint="eastAsia" w:ascii="黑体" w:hAnsi="黑体" w:eastAsia="黑体" w:cs="黑体"/>
                <w:i w:val="0"/>
                <w:iCs w:val="0"/>
                <w:color w:val="000000"/>
                <w:kern w:val="0"/>
                <w:sz w:val="12"/>
                <w:szCs w:val="12"/>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其中：财政资金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财政专户管理资金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单位资金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其他资金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绩效指标（90分）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一级指标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二级指标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三级指标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指标性质</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指标值</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度量单位</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完成值</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产出指标</w:t>
            </w:r>
          </w:p>
        </w:tc>
        <w:tc>
          <w:tcPr>
            <w:tcW w:w="12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数量指标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印制宣传单、资料</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份</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国家安全宣传次数</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4</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次</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质量指标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营造浓厚的氛围，增强群众国家安全责任感</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定性</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级</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优</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时效指标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项目完成及时率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成本指标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组织及参加国家安全培训</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万元</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日常工作经费</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万元</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集中宣传、印制资料</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万元</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效益指标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社会效益指标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国家安全氛围基本形成</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定性</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级</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优</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可持续影响指标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推动国家安全工作高质量发展</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定性</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级</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优</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满意度指标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服务对象满意度指标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全市人民对国家安全宣传满意度</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98</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35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合计</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评价结论</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市委国家安全委员会办公室2022年工作经费项目绩效编制合理，财务管理规范化，内控制度健全，财政资金使用符合要求，预算执行收支平衡，财政支出绩效评价较好。市委国家安全委员会办公室工作经费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存在问题</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改进措施</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39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项目负责人：</w:t>
            </w:r>
          </w:p>
        </w:tc>
        <w:tc>
          <w:tcPr>
            <w:tcW w:w="43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75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项目名称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主管部门</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中国共产党广元市委员会办公室部门</w:t>
            </w:r>
          </w:p>
        </w:tc>
        <w:tc>
          <w:tcPr>
            <w:tcW w:w="86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实施单位 （盖章）</w:t>
            </w:r>
          </w:p>
        </w:tc>
        <w:tc>
          <w:tcPr>
            <w:tcW w:w="23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项目基本情况</w:t>
            </w: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1.项目年度目标完成情况</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项目年度目标</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保障单位日常运转，提高预算编制质量，严格执行预算。</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2.项目实施内容及过程概述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严格按照要求支付福利、工会、公车补贴、党建、退休活动等费用。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预算执行情况（10分）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年度预算数（万元）</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年初预算</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调整后预算数</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预算执行数</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预算执行率</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总额</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99.90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99.90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99.90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2"/>
                <w:szCs w:val="12"/>
                <w:u w:val="none"/>
              </w:rPr>
            </w:pPr>
            <w:r>
              <w:rPr>
                <w:rFonts w:hint="eastAsia" w:ascii="黑体" w:hAnsi="黑体" w:eastAsia="黑体" w:cs="黑体"/>
                <w:i w:val="0"/>
                <w:iCs w:val="0"/>
                <w:color w:val="000000"/>
                <w:kern w:val="0"/>
                <w:sz w:val="12"/>
                <w:szCs w:val="12"/>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其中：财政资金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99.90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99.90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99.90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财政专户管理资金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单位资金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其他资金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绩效指标（90分）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一级指标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二级指标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三级指标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指标性质</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指标值</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度量单位</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完成值</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产出指标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数量指标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科目调整次数</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次</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质量指标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预算编制准确率（计算方法为：∣（执行数-预算数）/预算数∣）</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效益指标</w:t>
            </w:r>
          </w:p>
        </w:tc>
        <w:tc>
          <w:tcPr>
            <w:tcW w:w="12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经济效益指标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运转保障率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“三公经费”控制率[计算方法为：（三公经费实际支出数/预算安排数]×100%）</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35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合计</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评价结论</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财政资金使用符合要求，财政支出绩效评价较好，绩效自评得分100分。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存在问题</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改进措施</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39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项目负责人：</w:t>
            </w:r>
          </w:p>
        </w:tc>
        <w:tc>
          <w:tcPr>
            <w:tcW w:w="43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20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7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61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4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86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32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75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项目名称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51080022R000000267546-工资性支出（事业）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主管部门</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中国共产党广元市委员会办公室部门</w:t>
            </w:r>
          </w:p>
        </w:tc>
        <w:tc>
          <w:tcPr>
            <w:tcW w:w="86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实施单位 （盖章）</w:t>
            </w:r>
          </w:p>
        </w:tc>
        <w:tc>
          <w:tcPr>
            <w:tcW w:w="23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项目基本情况</w:t>
            </w: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1.项目年度目标完成情况</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项目年度目标</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严格执行相关政策，保障工资及时发放、足额发放，预算编制科学合理，减少结余资金</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2.项目实施内容及过程概述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预算执行情况（10分）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年度预算数（万元）</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年初预算</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调整后预算数</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预算执行数</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预算执行率</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总额</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49.77</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49.77</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49.77</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2"/>
                <w:szCs w:val="12"/>
                <w:u w:val="none"/>
              </w:rPr>
            </w:pPr>
            <w:r>
              <w:rPr>
                <w:rFonts w:hint="eastAsia" w:ascii="黑体" w:hAnsi="黑体" w:eastAsia="黑体" w:cs="黑体"/>
                <w:i w:val="0"/>
                <w:iCs w:val="0"/>
                <w:color w:val="000000"/>
                <w:kern w:val="0"/>
                <w:sz w:val="12"/>
                <w:szCs w:val="12"/>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其中：财政资金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49.77</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49.77</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49.77</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财政专户管理资金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单位资金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其他资金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绩效指标（90分）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一级指标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二级指标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三级指标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指标性质</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指标值</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度量单位</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完成值</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产出指标</w:t>
            </w:r>
          </w:p>
        </w:tc>
        <w:tc>
          <w:tcPr>
            <w:tcW w:w="12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数量指标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科目调整次数</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次</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足额保障率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时效指标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按时发放率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效益指标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经济效益指标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结余率（计算方法为：结余数/预算数）</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35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合计</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评价结论</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财政资金使用符合要求，财政支出绩效评价较好，绩效自评得分100分。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存在问题</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改进措施</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39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项目负责人：</w:t>
            </w:r>
          </w:p>
        </w:tc>
        <w:tc>
          <w:tcPr>
            <w:tcW w:w="43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20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7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61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4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86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32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75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项目名称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51080022T000004926694-市委办乡村振兴工作经费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主管部门</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中国共产党广元市委员会办公室部门</w:t>
            </w:r>
          </w:p>
        </w:tc>
        <w:tc>
          <w:tcPr>
            <w:tcW w:w="86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实施单位 （盖章）</w:t>
            </w:r>
          </w:p>
        </w:tc>
        <w:tc>
          <w:tcPr>
            <w:tcW w:w="23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项目基本情况</w:t>
            </w: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1.项目年度目标完成情况</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项目年度目标</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完成2022年乡村振兴目标任务。</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完成2022年乡村振兴目标任务。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2.项目实施内容及过程概述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严格落实党的政策宣传，大力实施乡村振兴战略，建强基层组织，为民办事服务，提升治理水平。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预算执行情况（10分）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年度预算数（万元）</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年初预算</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调整后预算数</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预算执行数</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预算执行率</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总额</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5.46</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5.46</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5.46</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2"/>
                <w:szCs w:val="12"/>
                <w:u w:val="none"/>
              </w:rPr>
            </w:pPr>
            <w:r>
              <w:rPr>
                <w:rFonts w:hint="eastAsia" w:ascii="黑体" w:hAnsi="黑体" w:eastAsia="黑体" w:cs="黑体"/>
                <w:i w:val="0"/>
                <w:iCs w:val="0"/>
                <w:color w:val="000000"/>
                <w:kern w:val="0"/>
                <w:sz w:val="12"/>
                <w:szCs w:val="12"/>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其中：财政资金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5.46</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5.46</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5.46</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财政专户管理资金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单位资金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其他资金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绩效指标（90分）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一级指标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二级指标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三级指标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指标性质</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指标值</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度量单位</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完成值</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产出指标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数量指标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驻村队员人数</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人</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质量指标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通过驻村帮扶要求达到乡村振兴要求</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定性</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级</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优</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时效指标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完成2022年乡村振兴任务</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级</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优</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成本指标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18200元/人/年</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5.46</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万元</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5.46</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效益指标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社会效益指标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圆满完成乡村振兴各项目标任务</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定性</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级</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优</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可持续影响指标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影响驻村工作队开展工作质量</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满意度指标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帮扶对象满意度指标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帮扶乡镇、贫困户满意度</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35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合计</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评价结论</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市委办乡村振兴工作经费项目绩效编制合理，财务管理规范化，内控制度健全，财政资金使用符合要求，预算执行收支平衡，财政支出绩效评价较好。市委办乡村振兴工作经费项目支出绩效自评得分100分。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存在问题</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改进措施</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39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项目负责人：</w:t>
            </w:r>
          </w:p>
        </w:tc>
        <w:tc>
          <w:tcPr>
            <w:tcW w:w="43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20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7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61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4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86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32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75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项目名称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51080022T000004928527-驻市委办纪检检查组工作经费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主管部门</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中国共产党广元市委员会办公室部门</w:t>
            </w:r>
          </w:p>
        </w:tc>
        <w:tc>
          <w:tcPr>
            <w:tcW w:w="86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实施单位 （盖章）</w:t>
            </w:r>
          </w:p>
        </w:tc>
        <w:tc>
          <w:tcPr>
            <w:tcW w:w="23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项目基本情况</w:t>
            </w: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1.项目年度目标完成情况</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项目年度目标</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开展宣传教育预防工作，对涉嫌违纪违法事实开展审查调查工作。</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开展宣传教育预防工作，对涉嫌违纪违法事实开展审查调查工作。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2.项目实施内容及过程概述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履行监督、执纪、问责职责；检查处理违纪案件。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预算执行情况（10分）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年度预算数（万元）</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年初预算</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调整后预算数</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预算执行数</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预算执行率</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总额</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10.09</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50.46%</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因疫情原因，外出减少，支出费用减少。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其中：财政资金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10.09</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50.46%</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财政专户管理资金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单位资金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其他资金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绩效指标（90分）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一级指标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二级指标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三级指标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指标性质</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指标值</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度量单位</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完成值</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质量指标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优秀案卷数量增加</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定性</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级</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时效指标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2022年1</w:t>
            </w:r>
            <w:r>
              <w:rPr>
                <w:rFonts w:hint="eastAsia" w:ascii="宋体" w:hAnsi="宋体" w:cs="宋体"/>
                <w:i w:val="0"/>
                <w:iCs w:val="0"/>
                <w:color w:val="000000"/>
                <w:kern w:val="0"/>
                <w:sz w:val="16"/>
                <w:szCs w:val="16"/>
                <w:u w:val="none"/>
                <w:lang w:val="en-US" w:eastAsia="zh-CN" w:bidi="ar"/>
              </w:rPr>
              <w:t>2</w:t>
            </w:r>
            <w:r>
              <w:rPr>
                <w:rFonts w:ascii="宋体" w:hAnsi="宋体" w:eastAsia="宋体" w:cs="宋体"/>
                <w:i w:val="0"/>
                <w:iCs w:val="0"/>
                <w:color w:val="000000"/>
                <w:kern w:val="0"/>
                <w:sz w:val="16"/>
                <w:szCs w:val="16"/>
                <w:u w:val="none"/>
                <w:lang w:val="en-US" w:eastAsia="zh-CN" w:bidi="ar"/>
              </w:rPr>
              <w:t>月底完成当年指标率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50.46</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14</w:t>
            </w:r>
          </w:p>
        </w:tc>
        <w:tc>
          <w:tcPr>
            <w:tcW w:w="13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因疫情原因，外出减少，支出费用减少。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成本指标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工作经费</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万元</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10.09</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15</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效益指标</w:t>
            </w:r>
          </w:p>
        </w:tc>
        <w:tc>
          <w:tcPr>
            <w:tcW w:w="12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社会效益指标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净化综合监督单位政治生态</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定性</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级</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营造敬畏法纪的氛围</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定性</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级</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可持续影响指标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风气清正的政治环境继续巩固</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定性</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级</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满意度指标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服务对象满意度指标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市纪委监委及干部职工满意度</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35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合计</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99</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评价结论</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驻市委办纪检监察组2022年工作经费项目绩效编制合理，财务管理规范化，内控制度健全，财政资金使用符合要求，预算执行收支平衡，财政支出绩效评价较好。驻市委办纪检监察组工作经费项目支出绩效自评得分99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存在问题</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改进措施</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39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项目负责人：</w:t>
            </w:r>
          </w:p>
        </w:tc>
        <w:tc>
          <w:tcPr>
            <w:tcW w:w="43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20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7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61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4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86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32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75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项目名称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51080022T000004934521-全市党办系统以文辅政大比武工作经费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主管部门</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中国共产党广元市委员会办公室部门</w:t>
            </w:r>
          </w:p>
        </w:tc>
        <w:tc>
          <w:tcPr>
            <w:tcW w:w="86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实施单位 （盖章）</w:t>
            </w:r>
          </w:p>
        </w:tc>
        <w:tc>
          <w:tcPr>
            <w:tcW w:w="23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项目基本情况</w:t>
            </w: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1.项目年度目标完成情况</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项目年度目标</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0"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为深入学习贯彻习近平总书记关于党办工作的重要论述，持续提升全市党办系统以文辅政质效，努力建设让党放心、让人民满意的模范机关。开展“好文稿”、“好公文”、“好信息”、“好调研”大比武。</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为深入学习贯彻习近平总书记关于党办工作的重要论述，持续提升全市党办系统以文辅政质效，努力建设让党放心、让人民满意的模范机关。开展“好文稿”、“好公文”、“好信息”、“好调研”大比武。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2.项目实施内容及过程概述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负责开展全市“以文辅政”大比武工作，进一步提升全市好公文、好文稿、好信息、好调研水平。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预算执行情况（10分）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年度预算数（万元）</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年初预算</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调整后预算数</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预算执行数</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预算执行率</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总额</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3.13</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31</w:t>
            </w:r>
            <w:r>
              <w:rPr>
                <w:rFonts w:hint="eastAsia" w:ascii="宋体" w:hAnsi="宋体" w:cs="宋体"/>
                <w:i w:val="0"/>
                <w:iCs w:val="0"/>
                <w:color w:val="000000"/>
                <w:kern w:val="0"/>
                <w:sz w:val="16"/>
                <w:szCs w:val="16"/>
                <w:u w:val="none"/>
                <w:lang w:val="en-US" w:eastAsia="zh-CN" w:bidi="ar"/>
              </w:rPr>
              <w:t>.3</w:t>
            </w: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本着厉行节约的原则举办活动。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其中：财政资金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3.13</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31.</w:t>
            </w:r>
            <w:r>
              <w:rPr>
                <w:rFonts w:hint="eastAsia" w:ascii="宋体" w:hAnsi="宋体" w:cs="宋体"/>
                <w:i w:val="0"/>
                <w:iCs w:val="0"/>
                <w:color w:val="000000"/>
                <w:kern w:val="0"/>
                <w:sz w:val="16"/>
                <w:szCs w:val="16"/>
                <w:u w:val="none"/>
                <w:lang w:val="en-US" w:eastAsia="zh-CN" w:bidi="ar"/>
              </w:rPr>
              <w:t>3</w:t>
            </w: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财政专户管理资金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单位资金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其他资金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绩效指标（90分）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一级指标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二级指标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三级指标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指标性质</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指标值</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度量单位</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完成值</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产出指标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数量指标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参加比赛的人数</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人</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质量指标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提升全市全市党办系统以文辅政质效</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定性</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级</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优</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时效指标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项目完成率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98</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ascii="宋体" w:hAnsi="宋体" w:eastAsia="宋体" w:cs="宋体"/>
                <w:i w:val="0"/>
                <w:iCs w:val="0"/>
                <w:color w:val="000000"/>
                <w:kern w:val="0"/>
                <w:sz w:val="16"/>
                <w:szCs w:val="16"/>
                <w:u w:val="none"/>
                <w:lang w:val="en-US" w:eastAsia="zh-CN" w:bidi="ar"/>
              </w:rPr>
              <w:t>31.</w:t>
            </w:r>
            <w:r>
              <w:rPr>
                <w:rFonts w:hint="eastAsia" w:ascii="宋体" w:hAnsi="宋体" w:cs="宋体"/>
                <w:i w:val="0"/>
                <w:iCs w:val="0"/>
                <w:color w:val="000000"/>
                <w:kern w:val="0"/>
                <w:sz w:val="16"/>
                <w:szCs w:val="16"/>
                <w:u w:val="none"/>
                <w:lang w:val="en-US" w:eastAsia="zh-CN" w:bidi="ar"/>
              </w:rPr>
              <w:t>3</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w:t>
            </w:r>
          </w:p>
        </w:tc>
        <w:tc>
          <w:tcPr>
            <w:tcW w:w="13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本着厉行节约的原则举办活动。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成本指标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先进奖金、试卷出题费、印刷费及评审人员工作人员劳务费</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万元</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3.13</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效益指标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社会效益指标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进一步提升全市好文稿、好信息、好公文、好调研</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定性</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级</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优</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可持续影响指标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通过大比武、切实发挥资政辅政作用</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定性</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级</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优</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满意度指标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服务对象满意度指标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党委系统对大比武满意度</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35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合计</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99</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评价结论</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全市党办系统以文辅政大比武工作经费项目绩效编制合理，财务管理规范化，内控制度健全，财政资金使用符合要求，预算执行收支平衡，财政支出绩效评价较好。全市党办系统以文辅政大比武工作经费项目支出绩效自评得分99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存在问题</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改进措施</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39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项目负责人：</w:t>
            </w:r>
          </w:p>
        </w:tc>
        <w:tc>
          <w:tcPr>
            <w:tcW w:w="43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20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7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61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4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86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32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75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项目名称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51080022T000004943862-市公务服务中心工作经费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主管部门</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中国共产党广元市委员会办公室部门</w:t>
            </w:r>
          </w:p>
        </w:tc>
        <w:tc>
          <w:tcPr>
            <w:tcW w:w="86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实施单位 （盖章）</w:t>
            </w:r>
          </w:p>
        </w:tc>
        <w:tc>
          <w:tcPr>
            <w:tcW w:w="23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项目基本情况</w:t>
            </w: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1.项目年度目标完成情况</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项目年度目标</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0"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完成符合公务接待范围的公务接待，完成国家、省委、省政府派出的巡视、检查、督查、考察、调研、考核、审计等工作组的服务保障，完成市委、市政府交办的大型会议活动的服务保障工作。</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完成符合公务接待范围的公务接待，完成国家、省委、省政府派出的巡视、检查、督查、考察、调研、考核、审计等工作组的服务保障，完成市委、市政府交办的大型会议活动的服务保障工作。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2.项目实施内容及过程概述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完成符合公务接待范围的公务接待，完成国家、省委、省政府派出的巡视、检查、督查、考察、调研、考核、审计等工作组的服务保障，完成市委、市政府交办的大型会议活动的服务保障工作。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预算执行情况（10分）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年度预算数（万元）</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年初预算</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调整后预算数</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预算执行数</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预算执行率</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总额</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190.00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190.00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104.71</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55.11%</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因疫情原因公务接待减少，工作经费支出减少。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其中：财政资金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190.00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190.00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104.71</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55.11%</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财政专户管理资金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单位资金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其他资金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绩效指标（90分）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一级指标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二级指标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三级指标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指标性质</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指标值</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度量单位</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完成值</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产出指标</w:t>
            </w:r>
          </w:p>
        </w:tc>
        <w:tc>
          <w:tcPr>
            <w:tcW w:w="12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数量指标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临聘人员数量</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7</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人</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7</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用车数量</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次</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1500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调研接待及工作用车数量</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7</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辆</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7</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时效指标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项目完成率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55.11</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13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因疫情原因公务接待减少，工作经费支出减少。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成本指标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市公务服务中心工作经费</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190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万元</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104.71</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效益指标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社会效益指标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为全市公务活动协调联络和服务保障工作更好更优</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定性</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级</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优</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可持续影响指标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提升全市公务接待水平</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定性</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级</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优</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满意度指标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服务对象满意度指标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受接待单位及个人满意度达到</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35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合计</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eastAsia="zh-CN"/>
              </w:rPr>
            </w:pPr>
            <w:r>
              <w:rPr>
                <w:rFonts w:hint="eastAsia" w:ascii="宋体" w:hAnsi="宋体" w:cs="宋体"/>
                <w:i w:val="0"/>
                <w:iCs w:val="0"/>
                <w:color w:val="000000"/>
                <w:sz w:val="16"/>
                <w:szCs w:val="16"/>
                <w:u w:val="none"/>
                <w:lang w:val="en-US" w:eastAsia="zh-CN"/>
              </w:rPr>
              <w:t>99</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评价结论</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市公务服务中心工作经费项目绩效编制合理，财务管理规范化，内控制度健全，财政资金使用符合要求，预算执行收支平衡，财政支出绩效评价较好。市公务服务中心工作经费项目支出绩效自评得分99分。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存在问题</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改进措施</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39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项目负责人：</w:t>
            </w:r>
          </w:p>
        </w:tc>
        <w:tc>
          <w:tcPr>
            <w:tcW w:w="43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20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7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61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4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86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32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75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项目名称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51080022T000006747935-2022年一季度公务接待经费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主管部门</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中国共产党广元市委员会办公室部门</w:t>
            </w:r>
          </w:p>
        </w:tc>
        <w:tc>
          <w:tcPr>
            <w:tcW w:w="86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实施单位 （盖章）</w:t>
            </w:r>
          </w:p>
        </w:tc>
        <w:tc>
          <w:tcPr>
            <w:tcW w:w="23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项目基本情况</w:t>
            </w: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1.项目年度目标完成情况</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项目年度目标</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完成符合公务接待范围的公务接待，完成国家、省委、省政府派出的巡视、检查、督查、考察、调研、考核、审计等工作组的服务保障，完成市委、市政府交办的大型会议活动的服务保障工作。</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完成符合公务接待范围的公务接待，完成国家、省委、省政府派出的巡视、检查、督查、考察、调研、考核、审计等工作组的服务保障，完成市委、市政府交办的大型会议活动的服务保障工作。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2.项目实施内容及过程概述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完成符合公务接待范围的公务接待，完成国家、省委、省政府派出的巡视、检查、督查、考察、调研、考核、审计等工作组的服务保障，完成市委、市政府交办的大型会议活动的服务保障工作。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预算执行情况（10分）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年度预算数（万元）</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年初预算</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调整后预算数</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预算执行数</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预算执行率</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总额</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5.71</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5.71</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2"/>
                <w:szCs w:val="12"/>
                <w:u w:val="none"/>
              </w:rPr>
            </w:pPr>
            <w:r>
              <w:rPr>
                <w:rFonts w:hint="eastAsia" w:ascii="黑体" w:hAnsi="黑体" w:eastAsia="黑体" w:cs="黑体"/>
                <w:i w:val="0"/>
                <w:iCs w:val="0"/>
                <w:color w:val="000000"/>
                <w:kern w:val="0"/>
                <w:sz w:val="12"/>
                <w:szCs w:val="12"/>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其中：财政资金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5.71</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5.71</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财政专户管理资金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单位资金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其他资金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绩效指标（90分）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一级指标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二级指标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三级指标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指标性质</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指标值</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度量单位</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完成值</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产出指标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时效指标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项目完成率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成本指标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市公务服务中心工作经费</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5.71</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万元</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5.71</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效益指标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社会效益指标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为全市公务活动协调联络和服务保障工作更好更优</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级</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可持续影响指标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提升全市公务接待水平</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级</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服务对象满意度指标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受接待单位及个人满意度</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35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合计</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评价结论</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市公务服务中心2022年一季度专项公务接待费项目绩效编制合理，财务管理规范化，内控制度健全，财政资金使用符合要求，预算执行收支平衡，财政支出绩效评价较好。市公务服务中心2022年一季度专项公务接待费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存在问题</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改进措施</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39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项目负责人：</w:t>
            </w:r>
          </w:p>
        </w:tc>
        <w:tc>
          <w:tcPr>
            <w:tcW w:w="43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20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7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61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4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86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32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75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项目名称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51080022T000007073289-急需紧缺专业选调生安家补助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主管部门</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中国共产党广元市委员会办公室部门</w:t>
            </w:r>
          </w:p>
        </w:tc>
        <w:tc>
          <w:tcPr>
            <w:tcW w:w="86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实施单位 （盖章）</w:t>
            </w:r>
          </w:p>
        </w:tc>
        <w:tc>
          <w:tcPr>
            <w:tcW w:w="23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项目基本情况</w:t>
            </w: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1.项目年度目标完成情况</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项目年度目标</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完成2022年急需紧缺专业选调生安家补助费。</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完成2022年急需紧缺专业选调生安家补助费。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2.项目实施内容及过程概述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完成2022年急需紧缺专业选调生安家补助费。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预算执行情况（10分）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年度预算数（万元）</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年初预算</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调整后预算数</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预算执行数</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预算执行率</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总额</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8.00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8.00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2"/>
                <w:szCs w:val="12"/>
                <w:u w:val="none"/>
              </w:rPr>
            </w:pPr>
            <w:r>
              <w:rPr>
                <w:rFonts w:hint="eastAsia" w:ascii="黑体" w:hAnsi="黑体" w:eastAsia="黑体" w:cs="黑体"/>
                <w:i w:val="0"/>
                <w:iCs w:val="0"/>
                <w:color w:val="000000"/>
                <w:kern w:val="0"/>
                <w:sz w:val="12"/>
                <w:szCs w:val="12"/>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其中：财政资金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8.00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8.00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财政专户管理资金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单位资金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其他资金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绩效指标（90分）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一级指标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二级指标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三级指标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指标性质</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指标值</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度量单位</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完成值</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产出指标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人员数量</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2人</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时效指标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项目完成率</w:t>
            </w:r>
          </w:p>
        </w:tc>
        <w:tc>
          <w:tcPr>
            <w:tcW w:w="5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成本指标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追加指标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万元</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8万元</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服务对象满意度指标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选调生满意度</w:t>
            </w:r>
          </w:p>
        </w:tc>
        <w:tc>
          <w:tcPr>
            <w:tcW w:w="5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35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合计</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评价结论</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急需紧缺专业选调生安家补助费项目绩效编制合理，财务管理规范化，内控制度健全，财政资金使用符合要求，预算执行收支平衡，财政支出绩效评价较好。急需紧缺专业选调生安家补助费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存在问题</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改进措施</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39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项目负责人：</w:t>
            </w:r>
          </w:p>
        </w:tc>
        <w:tc>
          <w:tcPr>
            <w:tcW w:w="43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20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7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61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4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86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32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75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项目名称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主管部门</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中国共产党广元市委员会办公室部门</w:t>
            </w:r>
          </w:p>
        </w:tc>
        <w:tc>
          <w:tcPr>
            <w:tcW w:w="86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实施单位 （盖章）</w:t>
            </w:r>
          </w:p>
        </w:tc>
        <w:tc>
          <w:tcPr>
            <w:tcW w:w="23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项目基本情况</w:t>
            </w: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1.项目年度目标完成情况</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项目年度目标</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保障单位日常运转，提高预算编制质量，严格执行预算。</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2.项目实施内容及过程概述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预算执行情况（10分）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年度预算数（万元）</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年初预算</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调整后预算数</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预算执行数</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预算执行率</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总额</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42.75</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41.95</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41.95</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2"/>
                <w:szCs w:val="12"/>
                <w:u w:val="none"/>
              </w:rPr>
            </w:pPr>
            <w:r>
              <w:rPr>
                <w:rFonts w:hint="eastAsia" w:ascii="黑体" w:hAnsi="黑体" w:eastAsia="黑体" w:cs="黑体"/>
                <w:i w:val="0"/>
                <w:iCs w:val="0"/>
                <w:color w:val="000000"/>
                <w:kern w:val="0"/>
                <w:sz w:val="12"/>
                <w:szCs w:val="12"/>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其中：财政资金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42.75</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41.95</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41.95</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财政专户管理资金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单位资金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其他资金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绩效指标（90分）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一级指标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二级指标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三级指标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指标性质</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指标值</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度量单位</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完成值</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产出指标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数量指标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科目调整次数</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次</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质量指标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预算编制准确率（计算方法为：∣（执行数-预算数）/预算数∣）</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效益指标</w:t>
            </w:r>
          </w:p>
        </w:tc>
        <w:tc>
          <w:tcPr>
            <w:tcW w:w="12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经济效益指标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“三公经费”控制率[计算方法为：（三公经费实际支出数/预算安排数]×100%）</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运转保障率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22.5</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35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合计</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评价结论</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财政资金使用符合要求，财政支出绩效评价较好，绩效自评得分100分。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存在问题</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改进措施</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39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项目负责人：</w:t>
            </w:r>
          </w:p>
        </w:tc>
        <w:tc>
          <w:tcPr>
            <w:tcW w:w="43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20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7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61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4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86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32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75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项目名称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51080023T000007941350-2022年二季度公务接待经费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主管部门</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中国共产党广元市委员会办公室部门</w:t>
            </w:r>
          </w:p>
        </w:tc>
        <w:tc>
          <w:tcPr>
            <w:tcW w:w="86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实施单位 （盖章）</w:t>
            </w:r>
          </w:p>
        </w:tc>
        <w:tc>
          <w:tcPr>
            <w:tcW w:w="23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项目基本情况</w:t>
            </w: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1.项目年度目标完成情况</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项目年度目标</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完成符合公务接待范围的公务接待，完成国家、省委、省政府派出的巡视、检查、督查、考察、调研、考核、审计等工作组的服务保障，完成市委、市政府交办的大型会议活动的服务保障工作。</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完成符合公务接待范围的公务接待，完成国家、省委、省政府派出的巡视、检查、督查、考察、调研、考核、审计等工作组的服务保障，完成市委、市政府交办的大型会议活动的服务保障工作。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2.项目实施内容及过程概述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完成符合公务接待范围的公务接待，完成国家、省委、省政府派出的巡视、检查、督查、考察、调研、考核、审计等工作组的服务保障，完成市委、市政府交办的大型会议活动的服务保障工作。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预算执行情况（10分）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年度预算数（万元）</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年初预算</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调整后预算数</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预算执行数</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预算执行率</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总额</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8.21</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8.03</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97.81%</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2"/>
                <w:szCs w:val="12"/>
                <w:u w:val="none"/>
              </w:rPr>
            </w:pPr>
            <w:r>
              <w:rPr>
                <w:rFonts w:hint="eastAsia" w:ascii="黑体" w:hAnsi="黑体" w:eastAsia="黑体" w:cs="黑体"/>
                <w:i w:val="0"/>
                <w:iCs w:val="0"/>
                <w:color w:val="000000"/>
                <w:kern w:val="0"/>
                <w:sz w:val="12"/>
                <w:szCs w:val="12"/>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其中：财政资金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8.21</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8.03</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97.81%</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财政专户管理资金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单位资金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其他资金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绩效指标（90分）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一级指标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二级指标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三级指标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指标性质</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指标值</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度量单位</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完成值</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产出指标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时效指标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项目完成率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97.81%</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成本指标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市公务服务中心工作经费</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8.21</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万元</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8.03</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效益指标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社会效益指标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为全市公务活动协调联络和服务保障工作更好更优</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级</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可持续影响指标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提升全市公务接待水平</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级</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服务对象满意度指标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受接待单位及个人满意度</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35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合计</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评价结论</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市公务服务中心2022年二季度专项公务接待费项目绩效编制合理，财务管理规范化，内控制度健全，财政资金使用符合要求，预算执行收支平衡，财政支出绩效评价较好。市公务服务中心2022年二季度专项公务接待费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存在问题</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改进措施</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39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项目负责人：</w:t>
            </w:r>
          </w:p>
        </w:tc>
        <w:tc>
          <w:tcPr>
            <w:tcW w:w="43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20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57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61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4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86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53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c>
          <w:tcPr>
            <w:tcW w:w="132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75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项目名称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51080023T000008671118-2022年三季度公务接待经费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主管部门</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中国共产党广元市委员会办公室部门</w:t>
            </w:r>
          </w:p>
        </w:tc>
        <w:tc>
          <w:tcPr>
            <w:tcW w:w="86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实施单位 （盖章）</w:t>
            </w:r>
          </w:p>
        </w:tc>
        <w:tc>
          <w:tcPr>
            <w:tcW w:w="23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中国共产党广元市委员会办公室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项目基本情况</w:t>
            </w: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1.项目年度目标完成情况</w:t>
            </w: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项目年度目标</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4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完成符合公务接待范围的公务接待，完成国家、省委、省政府派出的巡视、检查、督查、考察、调研、考核、审计等工作组的服务保障，完成市委、市政府交办的大型会议活动的服务保障工作。</w:t>
            </w:r>
          </w:p>
        </w:tc>
        <w:tc>
          <w:tcPr>
            <w:tcW w:w="3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完成符合公务接待范围的公务接待，完成国家、省委、省政府派出的巡视、检查、督查、考察、调研、考核、审计等工作组的服务保障，完成市委、市政府交办的大型会议活动的服务保障工作。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2.项目实施内容及过程概述</w:t>
            </w:r>
          </w:p>
        </w:tc>
        <w:tc>
          <w:tcPr>
            <w:tcW w:w="76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完成符合公务接待范围的公务接待，完成国家、省委、省政府派出的巡视、检查、督查、考察、调研、考核、审计等工作组的服务保障，完成市委、市政府交办的大型会议活动的服务保障工作。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预算执行情况（10分）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年度预算数（万元）</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年初预算</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调整后预算数</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预算执行数</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预算执行率</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总额</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8.51</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8.51</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2"/>
                <w:szCs w:val="12"/>
                <w:u w:val="none"/>
              </w:rPr>
            </w:pPr>
            <w:r>
              <w:rPr>
                <w:rFonts w:hint="eastAsia" w:ascii="黑体" w:hAnsi="黑体" w:eastAsia="黑体" w:cs="黑体"/>
                <w:i w:val="0"/>
                <w:iCs w:val="0"/>
                <w:color w:val="000000"/>
                <w:kern w:val="0"/>
                <w:sz w:val="12"/>
                <w:szCs w:val="12"/>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其中：财政资金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8.51</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8.51</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财政专户管理资金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单位资金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其他资金</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6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绩效指标（90分）</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一级指标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二级指标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三级指标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指标性质</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指标值</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度量单位</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完成值</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产出指标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时效指标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项目完成率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成本指标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市公务服务中心工作经费</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8.51</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万元</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8.51</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效益指标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社会效益指标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为全市公务活动协调联络和服务保障工作更好更优</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级</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可持续影响指标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提升全市公务接待水平</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级</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优</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服务对象满意度指标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受接待单位及个人满意度</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35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合计</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6"/>
                <w:szCs w:val="16"/>
                <w:u w:val="none"/>
                <w:lang w:val="en-US" w:eastAsia="zh-CN"/>
              </w:rPr>
            </w:pPr>
            <w:r>
              <w:rPr>
                <w:rFonts w:hint="eastAsia" w:ascii="宋体" w:hAnsi="宋体" w:cs="宋体"/>
                <w:i w:val="0"/>
                <w:iCs w:val="0"/>
                <w:color w:val="000000"/>
                <w:sz w:val="16"/>
                <w:szCs w:val="16"/>
                <w:u w:val="none"/>
                <w:lang w:val="en-US" w:eastAsia="zh-CN"/>
              </w:rPr>
              <w:t>100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评价结论</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市公务服务中心2022年三季度专项公务接待费项目绩效编制合理，财务管理规范化，内控制度健全，财政资金使用符合要求，预算执行收支平衡，财政支出绩效评价较好。市公务服务中心2022年三季度专项公务接待费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存在问题</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改进措施</w:t>
            </w:r>
          </w:p>
        </w:tc>
        <w:tc>
          <w:tcPr>
            <w:tcW w:w="91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39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项目负责人：</w:t>
            </w:r>
          </w:p>
        </w:tc>
        <w:tc>
          <w:tcPr>
            <w:tcW w:w="43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财务负责人：</w:t>
            </w:r>
          </w:p>
        </w:tc>
      </w:tr>
    </w:tbl>
    <w:p>
      <w:pPr>
        <w:pStyle w:val="2"/>
        <w:rPr>
          <w:rFonts w:hint="eastAsia" w:ascii="黑体" w:hAnsi="黑体" w:eastAsia="黑体"/>
          <w:color w:val="auto"/>
          <w:sz w:val="44"/>
          <w:szCs w:val="44"/>
          <w:highlight w:val="none"/>
        </w:rPr>
      </w:pPr>
    </w:p>
    <w:p>
      <w:pPr>
        <w:pStyle w:val="2"/>
        <w:rPr>
          <w:rFonts w:hint="eastAsia" w:ascii="黑体" w:hAnsi="黑体" w:eastAsia="黑体"/>
          <w:color w:val="auto"/>
          <w:sz w:val="44"/>
          <w:szCs w:val="44"/>
          <w:highlight w:val="none"/>
        </w:rPr>
      </w:pPr>
    </w:p>
    <w:p>
      <w:pPr>
        <w:pStyle w:val="2"/>
        <w:rPr>
          <w:rFonts w:hint="eastAsia" w:ascii="黑体" w:hAnsi="黑体" w:eastAsia="黑体"/>
          <w:color w:val="auto"/>
          <w:sz w:val="44"/>
          <w:szCs w:val="44"/>
          <w:highlight w:val="none"/>
        </w:rPr>
      </w:pPr>
    </w:p>
    <w:p>
      <w:pPr>
        <w:pStyle w:val="2"/>
        <w:rPr>
          <w:rFonts w:hint="eastAsia" w:ascii="黑体" w:hAnsi="黑体" w:eastAsia="黑体"/>
          <w:color w:val="auto"/>
          <w:sz w:val="44"/>
          <w:szCs w:val="44"/>
          <w:highlight w:val="none"/>
        </w:rPr>
      </w:pPr>
    </w:p>
    <w:p>
      <w:pPr>
        <w:pStyle w:val="2"/>
        <w:rPr>
          <w:rFonts w:hint="eastAsia" w:ascii="黑体" w:hAnsi="黑体" w:eastAsia="黑体"/>
          <w:color w:val="auto"/>
          <w:sz w:val="44"/>
          <w:szCs w:val="44"/>
          <w:highlight w:val="none"/>
        </w:rPr>
      </w:pPr>
    </w:p>
    <w:bookmarkEnd w:id="73"/>
    <w:bookmarkEnd w:id="74"/>
    <w:p>
      <w:pPr>
        <w:pStyle w:val="7"/>
        <w:rPr>
          <w:rFonts w:hint="eastAsia" w:ascii="仿宋_GB2312" w:hAnsi="Calibri" w:eastAsia="仿宋_GB2312" w:cs="仿宋"/>
          <w:color w:val="auto"/>
          <w:kern w:val="0"/>
          <w:sz w:val="32"/>
          <w:szCs w:val="32"/>
          <w:highlight w:val="none"/>
          <w:lang w:val="en-US" w:eastAsia="zh-CN" w:bidi="ar-SA"/>
        </w:rPr>
      </w:pPr>
      <w:bookmarkStart w:id="75" w:name="_Toc15396618"/>
    </w:p>
    <w:p>
      <w:pPr>
        <w:pStyle w:val="7"/>
        <w:rPr>
          <w:rFonts w:hint="eastAsia" w:ascii="仿宋_GB2312" w:hAnsi="Calibri" w:eastAsia="仿宋_GB2312" w:cs="仿宋"/>
          <w:color w:val="auto"/>
          <w:kern w:val="0"/>
          <w:sz w:val="32"/>
          <w:szCs w:val="32"/>
          <w:highlight w:val="none"/>
          <w:lang w:val="en-US" w:eastAsia="zh-CN" w:bidi="ar-SA"/>
        </w:rPr>
      </w:pPr>
    </w:p>
    <w:p>
      <w:pPr>
        <w:spacing w:line="600" w:lineRule="exact"/>
        <w:jc w:val="center"/>
        <w:outlineLvl w:val="0"/>
        <w:rPr>
          <w:rFonts w:hint="eastAsia" w:ascii="仿宋" w:hAnsi="仿宋" w:eastAsia="仿宋"/>
          <w:b w:val="0"/>
          <w:color w:val="auto"/>
          <w:highlight w:val="none"/>
        </w:rPr>
      </w:pPr>
      <w:bookmarkStart w:id="76" w:name="_Toc23934"/>
      <w:r>
        <w:rPr>
          <w:rFonts w:hint="eastAsia" w:ascii="黑体" w:hAnsi="黑体" w:eastAsia="黑体"/>
          <w:color w:val="auto"/>
          <w:sz w:val="44"/>
          <w:szCs w:val="44"/>
          <w:highlight w:val="none"/>
        </w:rPr>
        <w:t>第</w:t>
      </w:r>
      <w:r>
        <w:rPr>
          <w:rStyle w:val="18"/>
          <w:rFonts w:hint="eastAsia" w:ascii="黑体" w:hAnsi="黑体" w:eastAsia="黑体"/>
          <w:b w:val="0"/>
          <w:color w:val="auto"/>
          <w:highlight w:val="none"/>
        </w:rPr>
        <w:t>五部分 附表</w:t>
      </w:r>
      <w:bookmarkEnd w:id="72"/>
      <w:bookmarkEnd w:id="75"/>
      <w:bookmarkEnd w:id="76"/>
      <w:bookmarkStart w:id="77" w:name="_Toc15396619"/>
    </w:p>
    <w:p>
      <w:pPr>
        <w:pStyle w:val="4"/>
        <w:rPr>
          <w:rFonts w:ascii="仿宋" w:hAnsi="仿宋" w:eastAsia="仿宋"/>
          <w:color w:val="auto"/>
          <w:highlight w:val="none"/>
        </w:rPr>
      </w:pPr>
      <w:bookmarkStart w:id="78" w:name="_Toc6174"/>
      <w:r>
        <w:rPr>
          <w:rFonts w:hint="eastAsia" w:ascii="仿宋" w:hAnsi="仿宋" w:eastAsia="仿宋"/>
          <w:b w:val="0"/>
          <w:color w:val="auto"/>
          <w:highlight w:val="none"/>
        </w:rPr>
        <w:t>一、收</w:t>
      </w:r>
      <w:r>
        <w:rPr>
          <w:rStyle w:val="19"/>
          <w:rFonts w:hint="eastAsia" w:ascii="仿宋" w:hAnsi="仿宋" w:eastAsia="仿宋"/>
          <w:b w:val="0"/>
          <w:bCs w:val="0"/>
          <w:color w:val="auto"/>
          <w:highlight w:val="none"/>
        </w:rPr>
        <w:t>入支出决算总表</w:t>
      </w:r>
      <w:bookmarkEnd w:id="77"/>
      <w:bookmarkEnd w:id="78"/>
    </w:p>
    <w:p>
      <w:pPr>
        <w:pStyle w:val="4"/>
        <w:rPr>
          <w:rFonts w:ascii="仿宋" w:hAnsi="仿宋" w:eastAsia="仿宋"/>
          <w:color w:val="auto"/>
          <w:highlight w:val="none"/>
        </w:rPr>
      </w:pPr>
      <w:bookmarkStart w:id="79" w:name="_Toc21367"/>
      <w:bookmarkStart w:id="80" w:name="_Toc15396620"/>
      <w:r>
        <w:rPr>
          <w:rFonts w:hint="eastAsia" w:ascii="仿宋" w:hAnsi="仿宋" w:eastAsia="仿宋"/>
          <w:b w:val="0"/>
          <w:color w:val="auto"/>
          <w:highlight w:val="none"/>
        </w:rPr>
        <w:t>二、收</w:t>
      </w:r>
      <w:r>
        <w:rPr>
          <w:rStyle w:val="19"/>
          <w:rFonts w:hint="eastAsia" w:ascii="仿宋" w:hAnsi="仿宋" w:eastAsia="仿宋"/>
          <w:b w:val="0"/>
          <w:bCs w:val="0"/>
          <w:color w:val="auto"/>
          <w:highlight w:val="none"/>
        </w:rPr>
        <w:t>入决算表</w:t>
      </w:r>
      <w:bookmarkEnd w:id="79"/>
      <w:bookmarkEnd w:id="80"/>
    </w:p>
    <w:p>
      <w:pPr>
        <w:pStyle w:val="4"/>
        <w:rPr>
          <w:rFonts w:ascii="仿宋" w:hAnsi="仿宋" w:eastAsia="仿宋"/>
          <w:color w:val="auto"/>
          <w:highlight w:val="none"/>
        </w:rPr>
      </w:pPr>
      <w:bookmarkStart w:id="81" w:name="_Toc20395"/>
      <w:bookmarkStart w:id="82" w:name="_Toc15396621"/>
      <w:r>
        <w:rPr>
          <w:rStyle w:val="19"/>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9"/>
          <w:rFonts w:hint="eastAsia" w:ascii="仿宋" w:hAnsi="仿宋" w:eastAsia="仿宋"/>
          <w:b w:val="0"/>
          <w:bCs w:val="0"/>
          <w:color w:val="auto"/>
          <w:highlight w:val="none"/>
        </w:rPr>
        <w:t>出决算表</w:t>
      </w:r>
      <w:bookmarkEnd w:id="81"/>
      <w:bookmarkEnd w:id="82"/>
    </w:p>
    <w:p>
      <w:pPr>
        <w:pStyle w:val="4"/>
        <w:rPr>
          <w:rFonts w:ascii="仿宋" w:hAnsi="仿宋" w:eastAsia="仿宋"/>
          <w:b w:val="0"/>
          <w:color w:val="auto"/>
          <w:highlight w:val="none"/>
        </w:rPr>
      </w:pPr>
      <w:bookmarkStart w:id="83" w:name="_Toc16518"/>
      <w:bookmarkStart w:id="84" w:name="_Toc15396622"/>
      <w:r>
        <w:rPr>
          <w:rStyle w:val="19"/>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9"/>
          <w:rFonts w:hint="eastAsia" w:ascii="仿宋" w:hAnsi="仿宋" w:eastAsia="仿宋"/>
          <w:b w:val="0"/>
          <w:bCs w:val="0"/>
          <w:color w:val="auto"/>
          <w:highlight w:val="none"/>
        </w:rPr>
        <w:t>政拨款收入支出决算总表</w:t>
      </w:r>
      <w:bookmarkEnd w:id="83"/>
      <w:bookmarkEnd w:id="84"/>
    </w:p>
    <w:p>
      <w:pPr>
        <w:pStyle w:val="4"/>
        <w:rPr>
          <w:rStyle w:val="19"/>
          <w:rFonts w:ascii="仿宋" w:hAnsi="仿宋" w:eastAsia="仿宋"/>
          <w:b w:val="0"/>
          <w:bCs w:val="0"/>
          <w:color w:val="auto"/>
          <w:highlight w:val="none"/>
        </w:rPr>
      </w:pPr>
      <w:bookmarkStart w:id="85" w:name="_Toc11525"/>
      <w:bookmarkStart w:id="86" w:name="_Toc15396623"/>
      <w:r>
        <w:rPr>
          <w:rStyle w:val="19"/>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9"/>
          <w:rFonts w:hint="eastAsia" w:ascii="仿宋" w:hAnsi="仿宋" w:eastAsia="仿宋"/>
          <w:b w:val="0"/>
          <w:bCs w:val="0"/>
          <w:color w:val="auto"/>
          <w:highlight w:val="none"/>
        </w:rPr>
        <w:t>政拨款支出决算明细表</w:t>
      </w:r>
      <w:bookmarkEnd w:id="85"/>
      <w:bookmarkEnd w:id="86"/>
      <w:bookmarkStart w:id="87" w:name="_Toc15396624"/>
    </w:p>
    <w:p>
      <w:pPr>
        <w:pStyle w:val="4"/>
        <w:rPr>
          <w:rFonts w:ascii="仿宋" w:hAnsi="仿宋" w:eastAsia="仿宋"/>
          <w:color w:val="auto"/>
          <w:highlight w:val="none"/>
        </w:rPr>
      </w:pPr>
      <w:bookmarkStart w:id="88" w:name="_Toc7175"/>
      <w:r>
        <w:rPr>
          <w:rStyle w:val="19"/>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9"/>
          <w:rFonts w:hint="eastAsia" w:ascii="仿宋" w:hAnsi="仿宋" w:eastAsia="仿宋"/>
          <w:b w:val="0"/>
          <w:bCs w:val="0"/>
          <w:color w:val="auto"/>
          <w:highlight w:val="none"/>
        </w:rPr>
        <w:t>般公共预算财政拨款支出决算表</w:t>
      </w:r>
      <w:bookmarkEnd w:id="87"/>
      <w:bookmarkEnd w:id="88"/>
    </w:p>
    <w:p>
      <w:pPr>
        <w:pStyle w:val="4"/>
        <w:rPr>
          <w:rFonts w:ascii="仿宋" w:hAnsi="仿宋" w:eastAsia="仿宋"/>
          <w:color w:val="auto"/>
          <w:highlight w:val="none"/>
        </w:rPr>
      </w:pPr>
      <w:bookmarkStart w:id="89" w:name="_Toc7287"/>
      <w:bookmarkStart w:id="90" w:name="_Toc15396625"/>
      <w:r>
        <w:rPr>
          <w:rStyle w:val="19"/>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9"/>
          <w:rFonts w:hint="eastAsia" w:ascii="仿宋" w:hAnsi="仿宋" w:eastAsia="仿宋"/>
          <w:b w:val="0"/>
          <w:bCs w:val="0"/>
          <w:color w:val="auto"/>
          <w:highlight w:val="none"/>
        </w:rPr>
        <w:t>般公共预算财政拨款支出决算明细表</w:t>
      </w:r>
      <w:bookmarkEnd w:id="89"/>
      <w:bookmarkEnd w:id="90"/>
    </w:p>
    <w:p>
      <w:pPr>
        <w:pStyle w:val="4"/>
        <w:rPr>
          <w:rFonts w:ascii="仿宋" w:hAnsi="仿宋" w:eastAsia="仿宋"/>
          <w:color w:val="auto"/>
          <w:highlight w:val="none"/>
        </w:rPr>
      </w:pPr>
      <w:bookmarkStart w:id="91" w:name="_Toc12788"/>
      <w:bookmarkStart w:id="92" w:name="_Toc15396626"/>
      <w:r>
        <w:rPr>
          <w:rStyle w:val="19"/>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9"/>
          <w:rFonts w:hint="eastAsia" w:ascii="仿宋" w:hAnsi="仿宋" w:eastAsia="仿宋"/>
          <w:b w:val="0"/>
          <w:bCs w:val="0"/>
          <w:color w:val="auto"/>
          <w:highlight w:val="none"/>
        </w:rPr>
        <w:t>般公共预算财政拨款基本支出决算表</w:t>
      </w:r>
      <w:bookmarkEnd w:id="91"/>
      <w:bookmarkEnd w:id="92"/>
    </w:p>
    <w:p>
      <w:pPr>
        <w:pStyle w:val="4"/>
        <w:rPr>
          <w:rFonts w:ascii="仿宋" w:hAnsi="仿宋" w:eastAsia="仿宋"/>
          <w:color w:val="auto"/>
          <w:highlight w:val="none"/>
        </w:rPr>
      </w:pPr>
      <w:bookmarkStart w:id="93" w:name="_Toc15396627"/>
      <w:bookmarkStart w:id="94" w:name="_Toc28547"/>
      <w:r>
        <w:rPr>
          <w:rStyle w:val="19"/>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9"/>
          <w:rFonts w:hint="eastAsia" w:ascii="仿宋" w:hAnsi="仿宋" w:eastAsia="仿宋"/>
          <w:b w:val="0"/>
          <w:bCs w:val="0"/>
          <w:color w:val="auto"/>
          <w:highlight w:val="none"/>
        </w:rPr>
        <w:t>般公共预算财政拨款项目支出决算表</w:t>
      </w:r>
      <w:bookmarkEnd w:id="93"/>
      <w:bookmarkEnd w:id="94"/>
    </w:p>
    <w:p>
      <w:pPr>
        <w:pStyle w:val="4"/>
        <w:rPr>
          <w:rFonts w:ascii="仿宋" w:hAnsi="仿宋" w:eastAsia="仿宋"/>
          <w:color w:val="auto"/>
          <w:highlight w:val="none"/>
        </w:rPr>
      </w:pPr>
      <w:bookmarkStart w:id="95" w:name="_Toc15396628"/>
      <w:bookmarkStart w:id="96" w:name="_Toc13682"/>
      <w:r>
        <w:rPr>
          <w:rStyle w:val="19"/>
          <w:rFonts w:hint="eastAsia" w:ascii="仿宋" w:hAnsi="仿宋" w:eastAsia="仿宋"/>
          <w:b w:val="0"/>
          <w:bCs w:val="0"/>
          <w:color w:val="auto"/>
          <w:highlight w:val="none"/>
        </w:rPr>
        <w:t>十、</w:t>
      </w:r>
      <w:bookmarkEnd w:id="95"/>
      <w:r>
        <w:rPr>
          <w:rFonts w:hint="eastAsia" w:ascii="仿宋" w:hAnsi="仿宋" w:eastAsia="仿宋"/>
          <w:b w:val="0"/>
          <w:color w:val="auto"/>
          <w:highlight w:val="none"/>
        </w:rPr>
        <w:t>政</w:t>
      </w:r>
      <w:r>
        <w:rPr>
          <w:rStyle w:val="19"/>
          <w:rFonts w:hint="eastAsia" w:ascii="仿宋" w:hAnsi="仿宋" w:eastAsia="仿宋"/>
          <w:b w:val="0"/>
          <w:bCs w:val="0"/>
          <w:color w:val="auto"/>
          <w:highlight w:val="none"/>
        </w:rPr>
        <w:t>府性基金预算财政拨款收入支出决算表</w:t>
      </w:r>
      <w:bookmarkEnd w:id="96"/>
    </w:p>
    <w:p>
      <w:pPr>
        <w:pStyle w:val="4"/>
        <w:rPr>
          <w:rFonts w:ascii="仿宋" w:hAnsi="仿宋" w:eastAsia="仿宋"/>
          <w:color w:val="auto"/>
          <w:highlight w:val="none"/>
        </w:rPr>
      </w:pPr>
      <w:bookmarkStart w:id="97" w:name="_Toc15396629"/>
      <w:bookmarkStart w:id="98" w:name="_Toc15806"/>
      <w:r>
        <w:rPr>
          <w:rStyle w:val="19"/>
          <w:rFonts w:hint="eastAsia" w:ascii="仿宋" w:hAnsi="仿宋" w:eastAsia="仿宋"/>
          <w:b w:val="0"/>
          <w:bCs w:val="0"/>
          <w:color w:val="auto"/>
          <w:highlight w:val="none"/>
        </w:rPr>
        <w:t>十一、</w:t>
      </w:r>
      <w:bookmarkEnd w:id="97"/>
      <w:r>
        <w:rPr>
          <w:rFonts w:hint="eastAsia" w:ascii="仿宋" w:hAnsi="仿宋" w:eastAsia="仿宋"/>
          <w:b w:val="0"/>
          <w:color w:val="auto"/>
          <w:highlight w:val="none"/>
        </w:rPr>
        <w:t>国</w:t>
      </w:r>
      <w:r>
        <w:rPr>
          <w:rStyle w:val="19"/>
          <w:rFonts w:hint="eastAsia" w:ascii="仿宋" w:hAnsi="仿宋" w:eastAsia="仿宋"/>
          <w:b w:val="0"/>
          <w:bCs w:val="0"/>
          <w:color w:val="auto"/>
          <w:highlight w:val="none"/>
        </w:rPr>
        <w:t>有资本经营预算</w:t>
      </w:r>
      <w:r>
        <w:rPr>
          <w:rStyle w:val="19"/>
          <w:rFonts w:hint="eastAsia" w:ascii="仿宋" w:hAnsi="仿宋" w:eastAsia="仿宋"/>
          <w:b w:val="0"/>
          <w:bCs w:val="0"/>
          <w:color w:val="auto"/>
          <w:highlight w:val="none"/>
          <w:lang w:eastAsia="zh-CN"/>
        </w:rPr>
        <w:t>财政拨款收入</w:t>
      </w:r>
      <w:r>
        <w:rPr>
          <w:rStyle w:val="19"/>
          <w:rFonts w:hint="eastAsia" w:ascii="仿宋" w:hAnsi="仿宋" w:eastAsia="仿宋"/>
          <w:b w:val="0"/>
          <w:bCs w:val="0"/>
          <w:color w:val="auto"/>
          <w:highlight w:val="none"/>
        </w:rPr>
        <w:t>支出决算表</w:t>
      </w:r>
      <w:bookmarkEnd w:id="98"/>
    </w:p>
    <w:p>
      <w:pPr>
        <w:pStyle w:val="4"/>
        <w:rPr>
          <w:rFonts w:ascii="仿宋" w:hAnsi="仿宋" w:eastAsia="仿宋"/>
          <w:color w:val="auto"/>
          <w:highlight w:val="none"/>
        </w:rPr>
      </w:pPr>
      <w:bookmarkStart w:id="99" w:name="_Toc15396630"/>
      <w:bookmarkStart w:id="100" w:name="_Toc21693"/>
      <w:r>
        <w:rPr>
          <w:rStyle w:val="19"/>
          <w:rFonts w:hint="eastAsia" w:ascii="仿宋" w:hAnsi="仿宋" w:eastAsia="仿宋"/>
          <w:b w:val="0"/>
          <w:bCs w:val="0"/>
          <w:color w:val="auto"/>
          <w:highlight w:val="none"/>
        </w:rPr>
        <w:t>十二、</w:t>
      </w:r>
      <w:bookmarkEnd w:id="99"/>
      <w:r>
        <w:rPr>
          <w:rStyle w:val="19"/>
          <w:rFonts w:hint="eastAsia" w:ascii="仿宋" w:hAnsi="仿宋" w:eastAsia="仿宋"/>
          <w:b w:val="0"/>
          <w:bCs w:val="0"/>
          <w:color w:val="auto"/>
          <w:highlight w:val="none"/>
          <w:lang w:eastAsia="zh-CN"/>
        </w:rPr>
        <w:t>国有资本经营预算财政拨款支出决算表</w:t>
      </w:r>
      <w:bookmarkEnd w:id="100"/>
    </w:p>
    <w:p>
      <w:pPr>
        <w:pStyle w:val="4"/>
        <w:rPr>
          <w:rFonts w:hint="eastAsia" w:eastAsia="仿宋"/>
          <w:color w:val="auto"/>
          <w:highlight w:val="none"/>
          <w:lang w:eastAsia="zh-CN"/>
        </w:rPr>
      </w:pPr>
      <w:bookmarkStart w:id="101" w:name="_Toc15396631"/>
      <w:bookmarkStart w:id="102" w:name="_Toc1417"/>
      <w:r>
        <w:rPr>
          <w:rStyle w:val="19"/>
          <w:rFonts w:hint="eastAsia" w:ascii="仿宋" w:hAnsi="仿宋" w:eastAsia="仿宋"/>
          <w:b w:val="0"/>
          <w:bCs w:val="0"/>
          <w:color w:val="auto"/>
          <w:highlight w:val="none"/>
        </w:rPr>
        <w:t>十三、</w:t>
      </w:r>
      <w:bookmarkEnd w:id="101"/>
      <w:r>
        <w:rPr>
          <w:rStyle w:val="19"/>
          <w:rFonts w:hint="eastAsia" w:ascii="仿宋" w:hAnsi="仿宋" w:eastAsia="仿宋"/>
          <w:b w:val="0"/>
          <w:bCs w:val="0"/>
          <w:color w:val="auto"/>
          <w:highlight w:val="none"/>
          <w:lang w:eastAsia="zh-CN"/>
        </w:rPr>
        <w:t>财政拨款“三公”经费支出决算表</w:t>
      </w:r>
      <w:bookmarkEnd w:id="102"/>
    </w:p>
    <w:sectPr>
      <w:footerReference r:id="rId5" w:type="first"/>
      <w:footerReference r:id="rId4"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EBE4B834"/>
    <w:multiLevelType w:val="singleLevel"/>
    <w:tmpl w:val="EBE4B834"/>
    <w:lvl w:ilvl="0" w:tentative="0">
      <w:start w:val="1"/>
      <w:numFmt w:val="decimal"/>
      <w:suff w:val="space"/>
      <w:lvlText w:val="%1."/>
      <w:lvlJc w:val="left"/>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47633EB9"/>
    <w:multiLevelType w:val="singleLevel"/>
    <w:tmpl w:val="47633EB9"/>
    <w:lvl w:ilvl="0" w:tentative="0">
      <w:start w:val="1"/>
      <w:numFmt w:val="decimal"/>
      <w:suff w:val="nothing"/>
      <w:lvlText w:val="%1．"/>
      <w:lvlJc w:val="left"/>
      <w:pPr>
        <w:ind w:left="0" w:firstLine="400"/>
      </w:pPr>
      <w:rPr>
        <w:rFonts w:hint="default"/>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1ZjQ0ODNlNmYwMDZjMzY0MjcxMmU2ZTAxZGY0NDM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973A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23D66CA"/>
    <w:rsid w:val="03B252AB"/>
    <w:rsid w:val="04DB1847"/>
    <w:rsid w:val="053A62B5"/>
    <w:rsid w:val="060862D6"/>
    <w:rsid w:val="06EA75D0"/>
    <w:rsid w:val="0744651C"/>
    <w:rsid w:val="0A2032A3"/>
    <w:rsid w:val="0B8A37D8"/>
    <w:rsid w:val="0D09234B"/>
    <w:rsid w:val="0D5A17DA"/>
    <w:rsid w:val="0E472B5A"/>
    <w:rsid w:val="0F4251D0"/>
    <w:rsid w:val="0FF22FB9"/>
    <w:rsid w:val="107A603F"/>
    <w:rsid w:val="10C055FF"/>
    <w:rsid w:val="10F62635"/>
    <w:rsid w:val="118107EC"/>
    <w:rsid w:val="11D861DF"/>
    <w:rsid w:val="11DD6519"/>
    <w:rsid w:val="1392234C"/>
    <w:rsid w:val="15C82631"/>
    <w:rsid w:val="16BB723D"/>
    <w:rsid w:val="18015F3F"/>
    <w:rsid w:val="18500EE4"/>
    <w:rsid w:val="19AD75BF"/>
    <w:rsid w:val="19EF3246"/>
    <w:rsid w:val="1BE8440E"/>
    <w:rsid w:val="1D155CEE"/>
    <w:rsid w:val="1F881762"/>
    <w:rsid w:val="1F9E7D36"/>
    <w:rsid w:val="207A2CBA"/>
    <w:rsid w:val="20F57F95"/>
    <w:rsid w:val="240371BF"/>
    <w:rsid w:val="25711CC6"/>
    <w:rsid w:val="25C741E6"/>
    <w:rsid w:val="2652435A"/>
    <w:rsid w:val="271A3C2E"/>
    <w:rsid w:val="27842671"/>
    <w:rsid w:val="280E1C87"/>
    <w:rsid w:val="29FD04D3"/>
    <w:rsid w:val="2ABE7A3E"/>
    <w:rsid w:val="2BF21A0C"/>
    <w:rsid w:val="2CA234A8"/>
    <w:rsid w:val="2CC93580"/>
    <w:rsid w:val="2EFA178C"/>
    <w:rsid w:val="2F0A5309"/>
    <w:rsid w:val="30B46D73"/>
    <w:rsid w:val="317A58EB"/>
    <w:rsid w:val="319F7F4E"/>
    <w:rsid w:val="32295E42"/>
    <w:rsid w:val="325F4FE5"/>
    <w:rsid w:val="326576BF"/>
    <w:rsid w:val="34B93E0D"/>
    <w:rsid w:val="35156C7E"/>
    <w:rsid w:val="35A3072E"/>
    <w:rsid w:val="383D272C"/>
    <w:rsid w:val="392B0D1B"/>
    <w:rsid w:val="39465499"/>
    <w:rsid w:val="39552014"/>
    <w:rsid w:val="39AE70AB"/>
    <w:rsid w:val="39FA5FEA"/>
    <w:rsid w:val="3C0C0783"/>
    <w:rsid w:val="3F9F3A96"/>
    <w:rsid w:val="40C015A7"/>
    <w:rsid w:val="41035C04"/>
    <w:rsid w:val="41085755"/>
    <w:rsid w:val="42074D46"/>
    <w:rsid w:val="43A658E6"/>
    <w:rsid w:val="46715381"/>
    <w:rsid w:val="46C92416"/>
    <w:rsid w:val="48BF60AB"/>
    <w:rsid w:val="493C27E9"/>
    <w:rsid w:val="496F39ED"/>
    <w:rsid w:val="49FF41D3"/>
    <w:rsid w:val="4B3B5911"/>
    <w:rsid w:val="4BC1398E"/>
    <w:rsid w:val="4BE068DB"/>
    <w:rsid w:val="4BF6002B"/>
    <w:rsid w:val="4D980F7C"/>
    <w:rsid w:val="4DBF4AAB"/>
    <w:rsid w:val="4E512A30"/>
    <w:rsid w:val="4ECE2238"/>
    <w:rsid w:val="51DB4B86"/>
    <w:rsid w:val="55333C3E"/>
    <w:rsid w:val="558A4236"/>
    <w:rsid w:val="560C1182"/>
    <w:rsid w:val="58672098"/>
    <w:rsid w:val="5A874E05"/>
    <w:rsid w:val="5C7B2FBB"/>
    <w:rsid w:val="5E1B3278"/>
    <w:rsid w:val="5E6B6607"/>
    <w:rsid w:val="5EF975EA"/>
    <w:rsid w:val="60F46CE6"/>
    <w:rsid w:val="625F4B8B"/>
    <w:rsid w:val="64051C00"/>
    <w:rsid w:val="64CA39A1"/>
    <w:rsid w:val="64EC4A56"/>
    <w:rsid w:val="67C20AB8"/>
    <w:rsid w:val="69630ADE"/>
    <w:rsid w:val="6A41489E"/>
    <w:rsid w:val="6A5A30EF"/>
    <w:rsid w:val="6BAE0CB8"/>
    <w:rsid w:val="6C4A05C8"/>
    <w:rsid w:val="6C4E4FCB"/>
    <w:rsid w:val="6D3B1A89"/>
    <w:rsid w:val="6DFEFEA1"/>
    <w:rsid w:val="6F67FF46"/>
    <w:rsid w:val="6FD05120"/>
    <w:rsid w:val="70605E82"/>
    <w:rsid w:val="70D14BD6"/>
    <w:rsid w:val="71BF4EC2"/>
    <w:rsid w:val="72734D90"/>
    <w:rsid w:val="7412278C"/>
    <w:rsid w:val="7419548D"/>
    <w:rsid w:val="757B7AF9"/>
    <w:rsid w:val="75ED5824"/>
    <w:rsid w:val="769431A0"/>
    <w:rsid w:val="77455AE4"/>
    <w:rsid w:val="77DF791B"/>
    <w:rsid w:val="77F5536A"/>
    <w:rsid w:val="78610198"/>
    <w:rsid w:val="7904082E"/>
    <w:rsid w:val="79E7B28D"/>
    <w:rsid w:val="7CD6585C"/>
    <w:rsid w:val="7DD754D6"/>
    <w:rsid w:val="7DE64694"/>
    <w:rsid w:val="7E82730C"/>
    <w:rsid w:val="7F9F20EE"/>
    <w:rsid w:val="7FFED61A"/>
    <w:rsid w:val="9E3A10E2"/>
    <w:rsid w:val="EBF7B3B0"/>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0"/>
    <w:unhideWhenUsed/>
    <w:qFormat/>
    <w:uiPriority w:val="9"/>
    <w:pPr>
      <w:keepNext/>
      <w:keepLines/>
      <w:spacing w:before="260" w:after="260" w:line="416" w:lineRule="auto"/>
      <w:outlineLvl w:val="2"/>
    </w:pPr>
    <w:rPr>
      <w:b/>
      <w:bCs/>
      <w:sz w:val="32"/>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customStyle="1" w:styleId="2">
    <w:name w:val="样式 行距: 固定值 28.9 磅"/>
    <w:basedOn w:val="1"/>
    <w:qFormat/>
    <w:uiPriority w:val="0"/>
    <w:pPr>
      <w:spacing w:line="578" w:lineRule="exact"/>
    </w:pPr>
    <w:rPr>
      <w:rFonts w:cs="宋体"/>
      <w:szCs w:val="20"/>
    </w:rPr>
  </w:style>
  <w:style w:type="paragraph" w:styleId="6">
    <w:name w:val="Salutation"/>
    <w:basedOn w:val="1"/>
    <w:next w:val="1"/>
    <w:unhideWhenUsed/>
    <w:qFormat/>
    <w:uiPriority w:val="99"/>
  </w:style>
  <w:style w:type="paragraph" w:styleId="7">
    <w:name w:val="Body Text"/>
    <w:basedOn w:val="1"/>
    <w:link w:val="26"/>
    <w:qFormat/>
    <w:uiPriority w:val="99"/>
    <w:pPr>
      <w:spacing w:beforeLines="30"/>
    </w:pPr>
    <w:rPr>
      <w:rFonts w:ascii="仿宋_GB2312" w:eastAsia="仿宋_GB2312"/>
      <w:kern w:val="0"/>
      <w:sz w:val="30"/>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0"/>
    <w:semiHidden/>
    <w:unhideWhenUsed/>
    <w:qFormat/>
    <w:uiPriority w:val="99"/>
    <w:rPr>
      <w:sz w:val="18"/>
      <w:szCs w:val="18"/>
    </w:rPr>
  </w:style>
  <w:style w:type="paragraph" w:styleId="10">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character" w:styleId="16">
    <w:name w:val="Strong"/>
    <w:basedOn w:val="15"/>
    <w:qFormat/>
    <w:uiPriority w:val="99"/>
    <w:rPr>
      <w:b/>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标题 1 Char"/>
    <w:basedOn w:val="15"/>
    <w:link w:val="3"/>
    <w:qFormat/>
    <w:uiPriority w:val="9"/>
    <w:rPr>
      <w:rFonts w:ascii="Times New Roman" w:hAnsi="Times New Roman"/>
      <w:b/>
      <w:bCs/>
      <w:kern w:val="44"/>
      <w:sz w:val="44"/>
      <w:szCs w:val="44"/>
    </w:rPr>
  </w:style>
  <w:style w:type="character" w:customStyle="1" w:styleId="19">
    <w:name w:val="标题 2 Char"/>
    <w:basedOn w:val="15"/>
    <w:link w:val="4"/>
    <w:qFormat/>
    <w:uiPriority w:val="9"/>
    <w:rPr>
      <w:rFonts w:asciiTheme="majorHAnsi" w:hAnsiTheme="majorHAnsi" w:eastAsiaTheme="majorEastAsia" w:cstheme="majorBidi"/>
      <w:b/>
      <w:bCs/>
      <w:kern w:val="2"/>
      <w:sz w:val="32"/>
      <w:szCs w:val="32"/>
    </w:rPr>
  </w:style>
  <w:style w:type="character" w:customStyle="1" w:styleId="20">
    <w:name w:val="标题 3 Char"/>
    <w:basedOn w:val="15"/>
    <w:link w:val="5"/>
    <w:qFormat/>
    <w:uiPriority w:val="9"/>
    <w:rPr>
      <w:rFonts w:ascii="Times New Roman" w:hAnsi="Times New Roman"/>
      <w:b/>
      <w:bCs/>
      <w:kern w:val="2"/>
      <w:sz w:val="32"/>
      <w:szCs w:val="32"/>
    </w:rPr>
  </w:style>
  <w:style w:type="character" w:customStyle="1" w:styleId="21">
    <w:name w:val="Header Char"/>
    <w:basedOn w:val="15"/>
    <w:semiHidden/>
    <w:qFormat/>
    <w:uiPriority w:val="99"/>
    <w:rPr>
      <w:rFonts w:ascii="Times New Roman" w:hAnsi="Times New Roman"/>
      <w:sz w:val="18"/>
      <w:szCs w:val="18"/>
    </w:rPr>
  </w:style>
  <w:style w:type="character" w:customStyle="1" w:styleId="22">
    <w:name w:val="页眉 Char"/>
    <w:link w:val="11"/>
    <w:semiHidden/>
    <w:qFormat/>
    <w:locked/>
    <w:uiPriority w:val="99"/>
    <w:rPr>
      <w:sz w:val="18"/>
    </w:rPr>
  </w:style>
  <w:style w:type="character" w:customStyle="1" w:styleId="23">
    <w:name w:val="Footer Char"/>
    <w:basedOn w:val="15"/>
    <w:semiHidden/>
    <w:qFormat/>
    <w:uiPriority w:val="99"/>
    <w:rPr>
      <w:rFonts w:ascii="Times New Roman" w:hAnsi="Times New Roman"/>
      <w:sz w:val="18"/>
      <w:szCs w:val="18"/>
    </w:rPr>
  </w:style>
  <w:style w:type="character" w:customStyle="1" w:styleId="24">
    <w:name w:val="页脚 Char"/>
    <w:link w:val="10"/>
    <w:qFormat/>
    <w:locked/>
    <w:uiPriority w:val="99"/>
    <w:rPr>
      <w:sz w:val="18"/>
    </w:rPr>
  </w:style>
  <w:style w:type="character" w:customStyle="1" w:styleId="25">
    <w:name w:val="Body Text Char"/>
    <w:basedOn w:val="15"/>
    <w:semiHidden/>
    <w:qFormat/>
    <w:uiPriority w:val="99"/>
    <w:rPr>
      <w:rFonts w:ascii="Times New Roman" w:hAnsi="Times New Roman"/>
      <w:szCs w:val="24"/>
    </w:rPr>
  </w:style>
  <w:style w:type="character" w:customStyle="1" w:styleId="26">
    <w:name w:val="正文文本 Char"/>
    <w:link w:val="7"/>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paragraph" w:customStyle="1" w:styleId="29">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0">
    <w:name w:val="批注框文本 Char"/>
    <w:basedOn w:val="15"/>
    <w:link w:val="9"/>
    <w:semiHidden/>
    <w:qFormat/>
    <w:uiPriority w:val="99"/>
    <w:rPr>
      <w:rFonts w:ascii="Times New Roman" w:hAnsi="Times New Roman"/>
      <w:kern w:val="2"/>
      <w:sz w:val="18"/>
      <w:szCs w:val="18"/>
    </w:rPr>
  </w:style>
  <w:style w:type="paragraph" w:customStyle="1" w:styleId="31">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2">
    <w:name w:val="WPSOffice手动目录 1"/>
    <w:qFormat/>
    <w:uiPriority w:val="0"/>
    <w:pPr>
      <w:ind w:leftChars="0"/>
    </w:pPr>
    <w:rPr>
      <w:rFonts w:asciiTheme="minorHAnsi" w:hAnsiTheme="minorHAnsi" w:eastAsiaTheme="minorEastAsia" w:cstheme="minorBidi"/>
      <w:sz w:val="20"/>
      <w:szCs w:val="20"/>
    </w:rPr>
  </w:style>
  <w:style w:type="paragraph" w:customStyle="1" w:styleId="33">
    <w:name w:val="WPSOffice手动目录 2"/>
    <w:qFormat/>
    <w:uiPriority w:val="0"/>
    <w:pPr>
      <w:ind w:leftChars="2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chart" Target="charts/chart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22270;&#34920;%20&#22312;%202022&#24180;&#24230;&#21333;&#20301;&#20915;&#31639;&#20844;&#24320;&#32534;&#21046;&#35828;&#26126;(&#24066;&#22996;&#21150;&#65289;1007.doc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rPr b="1"/>
              <a:t>收入决算结构图</a:t>
            </a:r>
            <a:endParaRPr sz="1400" b="1" i="0" u="none" strike="noStrike" baseline="0">
              <a:solidFill>
                <a:srgbClr val="595959">
                  <a:alpha val="100000"/>
                </a:srgbClr>
              </a:solidFill>
              <a:latin typeface="宋体" panose="02010600030101010101" charset="-122"/>
              <a:ea typeface="宋体" panose="02010600030101010101" charset="-122"/>
              <a:cs typeface="宋体" panose="02010600030101010101" charset="-122"/>
            </a:endParaRPr>
          </a:p>
        </c:rich>
      </c:tx>
      <c:layout/>
      <c:overlay val="false"/>
    </c:title>
    <c:autoTitleDeleted val="false"/>
    <c:plotArea>
      <c:layout/>
      <c:pieChart>
        <c:varyColors val="true"/>
        <c:ser>
          <c:idx val="0"/>
          <c:order val="0"/>
          <c:tx>
            <c:strRef>
              <c:f>'[图表 在 2022年度单位决算公开编制说明(市委办）1007.docx]Sheet1'!$B$3</c:f>
              <c:strCache>
                <c:ptCount val="1"/>
                <c:pt idx="0">
                  <c:v>亚洲区</c:v>
                </c:pt>
              </c:strCache>
            </c:strRef>
          </c:tx>
          <c:spPr>
            <a:solidFill>
              <a:srgbClr val="5B9BD5">
                <a:alpha val="100000"/>
              </a:srgbClr>
            </a:solidFill>
            <a:ln w="3175">
              <a:noFill/>
            </a:ln>
          </c:spPr>
          <c:explosion val="0"/>
          <c:dPt>
            <c:idx val="0"/>
            <c:bubble3D val="false"/>
            <c:explosion val="0"/>
            <c:spPr>
              <a:solidFill>
                <a:srgbClr val="5B9BD5">
                  <a:alpha val="100000"/>
                </a:srgbClr>
              </a:solidFill>
              <a:ln w="3175">
                <a:noFill/>
              </a:ln>
            </c:spPr>
          </c:dPt>
          <c:dLbls>
            <c:dLbl>
              <c:idx val="0"/>
              <c:layout>
                <c:manualLayout>
                  <c:x val="-0.00367647058823529"/>
                  <c:y val="-0.266370699223085"/>
                </c:manualLayout>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solidFill>
                        <a:latin typeface="+mn-lt"/>
                        <a:ea typeface="+mn-ea"/>
                        <a:cs typeface="+mn-cs"/>
                      </a:defRPr>
                    </a:pPr>
                    <a:r>
                      <a:t> 100%</a:t>
                    </a:r>
                    <a:endParaRPr sz="1000" b="0" i="0" u="none" strike="noStrike" baseline="0">
                      <a:solidFill>
                        <a:srgbClr val="000000">
                          <a:alpha val="100000"/>
                        </a:srgbClr>
                      </a:solidFill>
                      <a:latin typeface="宋体" panose="02010600030101010101" charset="-122"/>
                      <a:ea typeface="宋体" panose="02010600030101010101" charset="-122"/>
                      <a:cs typeface="宋体" panose="02010600030101010101" charset="-122"/>
                    </a:endParaRPr>
                  </a:p>
                </c:rich>
              </c:tx>
              <c:numFmt formatCode="General" sourceLinked="tru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true"/>
              <c:showCatName val="false"/>
              <c:showSerName val="false"/>
              <c:showPercent val="true"/>
              <c:showBubbleSize val="false"/>
              <c:extLst>
                <c:ext xmlns:c15="http://schemas.microsoft.com/office/drawing/2012/chart" uri="{CE6537A1-D6FC-4f65-9D91-7224C49458BB}">
                  <c15:layout/>
                </c:ext>
              </c:extLst>
            </c:dLbl>
            <c:numFmt formatCode="General" sourceLinked="tru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tru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rgbClr val="000000">
                          <a:alpha val="100000"/>
                        </a:srgbClr>
                      </a:solidFill>
                      <a:prstDash val="solid"/>
                      <a:round/>
                    </a:ln>
                  </c:spPr>
                </c15:leaderLines>
              </c:ext>
            </c:extLst>
          </c:dLbls>
          <c:cat>
            <c:strRef>
              <c:f>[015fe1211]Sheet1!$C$2</c:f>
              <c:strCache>
                <c:ptCount val="1"/>
                <c:pt idx="0">
                  <c:v>一般公共预算财政拨款收入</c:v>
                </c:pt>
              </c:strCache>
            </c:strRef>
          </c:cat>
          <c:val>
            <c:numRef>
              <c:f>[015fe1211]Sheet1!$C$3</c:f>
              <c:numCache>
                <c:formatCode>General</c:formatCode>
                <c:ptCount val="1"/>
                <c:pt idx="0">
                  <c:v>48.5</c:v>
                </c:pt>
              </c:numCache>
            </c:numRef>
          </c:val>
        </c:ser>
        <c:ser>
          <c:idx val="1"/>
          <c:order val="1"/>
          <c:tx>
            <c:strRef>
              <c:f>'[图表 在 2022年度单位决算公开编制说明(市委办）1007.docx]Sheet1'!$B$4</c:f>
              <c:strCache>
                <c:ptCount val="1"/>
                <c:pt idx="0">
                  <c:v>欧洲区</c:v>
                </c:pt>
              </c:strCache>
            </c:strRef>
          </c:tx>
          <c:spPr>
            <a:solidFill>
              <a:srgbClr val="ED7D31">
                <a:alpha val="100000"/>
              </a:srgbClr>
            </a:solidFill>
            <a:ln w="3175">
              <a:noFill/>
            </a:ln>
          </c:spPr>
          <c:explosion val="0"/>
          <c:dPt>
            <c:idx val="0"/>
            <c:bubble3D val="false"/>
            <c:explosion val="0"/>
            <c:spPr>
              <a:solidFill>
                <a:srgbClr val="ED7D31">
                  <a:alpha val="100000"/>
                </a:srgbClr>
              </a:solidFill>
              <a:ln w="3175">
                <a:noFill/>
              </a:ln>
            </c:spPr>
          </c:dPt>
          <c:dLbls>
            <c:numFmt formatCode="General" sourceLinked="tru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rgbClr val="000000">
                          <a:alpha val="100000"/>
                        </a:srgbClr>
                      </a:solidFill>
                      <a:prstDash val="solid"/>
                      <a:round/>
                    </a:ln>
                  </c:spPr>
                </c15:leaderLines>
              </c:ext>
            </c:extLst>
          </c:dLbls>
          <c:cat>
            <c:strRef>
              <c:f>[015fe1211]Sheet1!$C$2</c:f>
              <c:strCache>
                <c:ptCount val="1"/>
                <c:pt idx="0">
                  <c:v>一般公共预算财政拨款收入</c:v>
                </c:pt>
              </c:strCache>
            </c:strRef>
          </c:cat>
          <c:val>
            <c:numRef>
              <c:f>[015fe1211]Sheet1!$C$4</c:f>
              <c:numCache>
                <c:formatCode>General</c:formatCode>
                <c:ptCount val="1"/>
                <c:pt idx="0">
                  <c:v>56.8</c:v>
                </c:pt>
              </c:numCache>
            </c:numRef>
          </c:val>
        </c:ser>
        <c:ser>
          <c:idx val="2"/>
          <c:order val="2"/>
          <c:tx>
            <c:strRef>
              <c:f>'[图表 在 2022年度单位决算公开编制说明(市委办）1007.docx]Sheet1'!$B$5</c:f>
              <c:strCache>
                <c:ptCount val="1"/>
                <c:pt idx="0">
                  <c:v>北美区</c:v>
                </c:pt>
              </c:strCache>
            </c:strRef>
          </c:tx>
          <c:spPr>
            <a:solidFill>
              <a:srgbClr val="A5A5A5">
                <a:alpha val="100000"/>
              </a:srgbClr>
            </a:solidFill>
            <a:ln w="3175">
              <a:noFill/>
            </a:ln>
          </c:spPr>
          <c:explosion val="0"/>
          <c:dPt>
            <c:idx val="0"/>
            <c:bubble3D val="false"/>
            <c:explosion val="0"/>
            <c:spPr>
              <a:solidFill>
                <a:srgbClr val="A5A5A5">
                  <a:alpha val="100000"/>
                </a:srgbClr>
              </a:solidFill>
              <a:ln w="3175">
                <a:noFill/>
              </a:ln>
            </c:spPr>
          </c:dPt>
          <c:dLbls>
            <c:numFmt formatCode="General" sourceLinked="tru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rgbClr val="000000">
                          <a:alpha val="100000"/>
                        </a:srgbClr>
                      </a:solidFill>
                      <a:prstDash val="solid"/>
                      <a:round/>
                    </a:ln>
                  </c:spPr>
                </c15:leaderLines>
              </c:ext>
            </c:extLst>
          </c:dLbls>
          <c:cat>
            <c:strRef>
              <c:f>[015fe1211]Sheet1!$C$2</c:f>
              <c:strCache>
                <c:ptCount val="1"/>
                <c:pt idx="0">
                  <c:v>一般公共预算财政拨款收入</c:v>
                </c:pt>
              </c:strCache>
            </c:strRef>
          </c:cat>
          <c:val>
            <c:numRef>
              <c:f>[015fe1211]Sheet1!$C$5</c:f>
              <c:numCache>
                <c:formatCode>General</c:formatCode>
                <c:ptCount val="1"/>
                <c:pt idx="0">
                  <c:v>91.2</c:v>
                </c:pt>
              </c:numCache>
            </c:numRef>
          </c:val>
        </c:ser>
        <c:dLbls>
          <c:showLegendKey val="false"/>
          <c:showVal val="false"/>
          <c:showCatName val="false"/>
          <c:showSerName val="false"/>
          <c:showPercent val="false"/>
          <c:showBubbleSize val="false"/>
          <c:showLeaderLines val="true"/>
        </c:dLbls>
        <c:firstSliceAng val="0"/>
      </c:pieChart>
      <c:spPr>
        <a:noFill/>
        <a:ln w="3175">
          <a:noFill/>
        </a:ln>
      </c:spPr>
    </c:plotArea>
    <c:legend>
      <c:legendPos val="b"/>
      <c:layout>
        <c:manualLayout>
          <c:xMode val="edge"/>
          <c:yMode val="edge"/>
          <c:x val="0.143939393939394"/>
          <c:y val="0.878472222222222"/>
          <c:w val="0.666666666666667"/>
          <c:h val="0.09375"/>
        </c:manualLayout>
      </c:layout>
      <c:overlay val="false"/>
      <c:spPr>
        <a:noFill/>
        <a:ln w="3175">
          <a:noFill/>
        </a:ln>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false"/>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41</Pages>
  <Words>21698</Words>
  <Characters>25180</Characters>
  <Lines>61</Lines>
  <Paragraphs>17</Paragraphs>
  <TotalTime>1</TotalTime>
  <ScaleCrop>false</ScaleCrop>
  <LinksUpToDate>false</LinksUpToDate>
  <CharactersWithSpaces>25322</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2020-08-06T01:49:00Z</dcterms:created>
  <dc:creator>曹颖</dc:creator>
  <cp:lastModifiedBy> </cp:lastModifiedBy>
  <cp:lastPrinted>2023-10-17T19:13:00Z</cp:lastPrinted>
  <dcterms:modified xsi:type="dcterms:W3CDTF">2023-10-24T18:49:27Z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C0A033A962A64BBAAFB02D205CDA83AD</vt:lpwstr>
  </property>
</Properties>
</file>