
<file path=[Content_Types].xml><?xml version="1.0" encoding="utf-8"?>
<Types xmlns="http://schemas.openxmlformats.org/package/2006/content-types">
  <Default Extension="xml" ContentType="application/xml"/>
  <Default Extension="xlsx" ContentType="application/vnd.openxmlformats-officedocument.spreadsheetml.sheet"/>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colors3.xml" ContentType="application/vnd.ms-office.chartcolorstyle+xml"/>
  <Override PartName="/word/charts/style1.xml" ContentType="application/vnd.ms-office.chartstyle+xml"/>
  <Override PartName="/word/charts/style2.xml" ContentType="application/vnd.ms-office.chartstyle+xml"/>
  <Override PartName="/word/charts/style3.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left"/>
        <w:outlineLvl w:val="9"/>
        <w:rPr>
          <w:rFonts w:ascii="方正小标宋简体" w:hAnsi="宋体" w:eastAsia="方正小标宋简体"/>
          <w:color w:val="auto"/>
          <w:sz w:val="21"/>
          <w:szCs w:val="21"/>
          <w:highlight w:val="none"/>
        </w:rPr>
      </w:pPr>
      <w:bookmarkStart w:id="0" w:name="_Toc15306267"/>
    </w:p>
    <w:p>
      <w:pPr>
        <w:spacing w:line="600" w:lineRule="exact"/>
        <w:jc w:val="center"/>
        <w:outlineLvl w:val="9"/>
        <w:rPr>
          <w:rFonts w:ascii="方正小标宋简体" w:hAnsi="宋体" w:eastAsia="方正小标宋简体"/>
          <w:color w:val="auto"/>
          <w:sz w:val="72"/>
          <w:szCs w:val="72"/>
          <w:highlight w:val="none"/>
        </w:rPr>
      </w:pPr>
    </w:p>
    <w:p>
      <w:pPr>
        <w:spacing w:line="600" w:lineRule="exact"/>
        <w:jc w:val="center"/>
        <w:outlineLvl w:val="9"/>
        <w:rPr>
          <w:rFonts w:ascii="方正小标宋简体" w:hAnsi="宋体" w:eastAsia="方正小标宋简体"/>
          <w:color w:val="auto"/>
          <w:sz w:val="72"/>
          <w:szCs w:val="72"/>
          <w:highlight w:val="none"/>
        </w:rPr>
      </w:pPr>
    </w:p>
    <w:p>
      <w:pPr>
        <w:adjustRightInd w:val="0"/>
        <w:snapToGrid w:val="0"/>
        <w:spacing w:line="360" w:lineRule="auto"/>
        <w:jc w:val="center"/>
        <w:outlineLvl w:val="0"/>
        <w:rPr>
          <w:rFonts w:hint="eastAsia" w:ascii="方正小标宋简体" w:hAnsi="方正小标宋简体" w:eastAsia="方正小标宋简体" w:cs="方正小标宋简体"/>
          <w:color w:val="auto"/>
          <w:sz w:val="72"/>
          <w:szCs w:val="72"/>
          <w:highlight w:val="none"/>
        </w:rPr>
      </w:pPr>
      <w:bookmarkStart w:id="1" w:name="_Toc15377425"/>
      <w:bookmarkStart w:id="2" w:name="_Toc15396597"/>
      <w:bookmarkStart w:id="3" w:name="_Toc15377193"/>
      <w:bookmarkStart w:id="4" w:name="_Toc15378441"/>
      <w:bookmarkStart w:id="5" w:name="_Toc15396475"/>
      <w:bookmarkStart w:id="6" w:name="_Toc31471"/>
      <w:r>
        <w:rPr>
          <w:rFonts w:hint="eastAsia" w:ascii="方正小标宋简体" w:hAnsi="方正小标宋简体" w:eastAsia="方正小标宋简体" w:cs="方正小标宋简体"/>
          <w:color w:val="auto"/>
          <w:sz w:val="72"/>
          <w:szCs w:val="72"/>
          <w:highlight w:val="none"/>
        </w:rPr>
        <w:t>20</w:t>
      </w:r>
      <w:r>
        <w:rPr>
          <w:rFonts w:hint="eastAsia" w:ascii="方正小标宋简体" w:hAnsi="方正小标宋简体" w:eastAsia="方正小标宋简体" w:cs="方正小标宋简体"/>
          <w:color w:val="auto"/>
          <w:sz w:val="72"/>
          <w:szCs w:val="72"/>
          <w:highlight w:val="none"/>
          <w:lang w:val="en-US" w:eastAsia="zh-CN"/>
        </w:rPr>
        <w:t>22</w:t>
      </w:r>
      <w:r>
        <w:rPr>
          <w:rFonts w:hint="eastAsia" w:ascii="方正小标宋简体" w:hAnsi="方正小标宋简体" w:eastAsia="方正小标宋简体" w:cs="方正小标宋简体"/>
          <w:color w:val="auto"/>
          <w:sz w:val="72"/>
          <w:szCs w:val="72"/>
          <w:highlight w:val="none"/>
        </w:rPr>
        <w:t>年度</w:t>
      </w:r>
      <w:bookmarkEnd w:id="1"/>
      <w:bookmarkEnd w:id="2"/>
      <w:bookmarkEnd w:id="3"/>
      <w:bookmarkEnd w:id="4"/>
      <w:bookmarkEnd w:id="5"/>
      <w:bookmarkEnd w:id="6"/>
    </w:p>
    <w:p>
      <w:pPr>
        <w:adjustRightInd w:val="0"/>
        <w:snapToGrid w:val="0"/>
        <w:spacing w:line="360" w:lineRule="auto"/>
        <w:jc w:val="center"/>
        <w:outlineLvl w:val="0"/>
        <w:rPr>
          <w:rFonts w:hint="eastAsia" w:ascii="方正小标宋简体" w:hAnsi="方正小标宋简体" w:eastAsia="方正小标宋简体" w:cs="方正小标宋简体"/>
          <w:color w:val="auto"/>
          <w:sz w:val="72"/>
          <w:szCs w:val="72"/>
          <w:highlight w:val="none"/>
          <w:lang w:eastAsia="zh-CN"/>
        </w:rPr>
      </w:pPr>
      <w:bookmarkStart w:id="7" w:name="_Toc21324"/>
      <w:bookmarkStart w:id="8" w:name="_Toc15396598"/>
      <w:bookmarkStart w:id="9" w:name="_Toc15377194"/>
      <w:bookmarkStart w:id="10" w:name="_Toc15377426"/>
      <w:bookmarkStart w:id="11" w:name="_Toc15396476"/>
      <w:bookmarkStart w:id="12" w:name="_Toc15378442"/>
      <w:r>
        <w:rPr>
          <w:rFonts w:hint="eastAsia" w:ascii="方正小标宋简体" w:hAnsi="方正小标宋简体" w:eastAsia="方正小标宋简体" w:cs="方正小标宋简体"/>
          <w:color w:val="auto"/>
          <w:sz w:val="72"/>
          <w:szCs w:val="72"/>
          <w:highlight w:val="none"/>
          <w:lang w:eastAsia="zh-CN"/>
        </w:rPr>
        <w:t>广元市</w:t>
      </w:r>
      <w:bookmarkEnd w:id="0"/>
      <w:bookmarkStart w:id="13" w:name="_Toc15306268"/>
      <w:r>
        <w:rPr>
          <w:rFonts w:hint="eastAsia" w:ascii="方正小标宋简体" w:hAnsi="方正小标宋简体" w:eastAsia="方正小标宋简体" w:cs="方正小标宋简体"/>
          <w:color w:val="auto"/>
          <w:sz w:val="72"/>
          <w:szCs w:val="72"/>
          <w:highlight w:val="none"/>
          <w:lang w:eastAsia="zh-CN"/>
        </w:rPr>
        <w:t>零八一中学</w:t>
      </w:r>
      <w:bookmarkEnd w:id="7"/>
    </w:p>
    <w:p>
      <w:pPr>
        <w:adjustRightInd w:val="0"/>
        <w:snapToGrid w:val="0"/>
        <w:spacing w:line="360" w:lineRule="auto"/>
        <w:jc w:val="center"/>
        <w:outlineLvl w:val="0"/>
        <w:rPr>
          <w:rFonts w:hint="eastAsia" w:ascii="方正小标宋简体" w:hAnsi="方正小标宋简体" w:eastAsia="方正小标宋简体" w:cs="方正小标宋简体"/>
          <w:color w:val="auto"/>
          <w:sz w:val="72"/>
          <w:szCs w:val="72"/>
          <w:highlight w:val="none"/>
        </w:rPr>
      </w:pPr>
      <w:bookmarkStart w:id="14" w:name="_Toc8471"/>
      <w:r>
        <w:rPr>
          <w:rFonts w:hint="eastAsia" w:ascii="方正小标宋简体" w:hAnsi="方正小标宋简体" w:eastAsia="方正小标宋简体" w:cs="方正小标宋简体"/>
          <w:color w:val="auto"/>
          <w:sz w:val="72"/>
          <w:szCs w:val="72"/>
          <w:highlight w:val="none"/>
          <w:lang w:val="en-US" w:eastAsia="zh-CN"/>
        </w:rPr>
        <w:t>单位</w:t>
      </w:r>
      <w:r>
        <w:rPr>
          <w:rFonts w:hint="eastAsia" w:ascii="方正小标宋简体" w:hAnsi="方正小标宋简体" w:eastAsia="方正小标宋简体" w:cs="方正小标宋简体"/>
          <w:color w:val="auto"/>
          <w:sz w:val="72"/>
          <w:szCs w:val="72"/>
          <w:highlight w:val="none"/>
        </w:rPr>
        <w:t>决算</w:t>
      </w:r>
      <w:bookmarkEnd w:id="8"/>
      <w:bookmarkEnd w:id="9"/>
      <w:bookmarkEnd w:id="10"/>
      <w:bookmarkEnd w:id="11"/>
      <w:bookmarkEnd w:id="12"/>
      <w:bookmarkEnd w:id="13"/>
      <w:bookmarkEnd w:id="14"/>
    </w:p>
    <w:p>
      <w:pPr>
        <w:widowControl/>
        <w:jc w:val="center"/>
        <w:rPr>
          <w:rFonts w:hint="eastAsia" w:ascii="黑体" w:hAnsi="黑体" w:eastAsia="黑体"/>
          <w:color w:val="auto"/>
          <w:sz w:val="48"/>
          <w:szCs w:val="48"/>
          <w:highlight w:val="none"/>
        </w:rPr>
      </w:pPr>
      <w:r>
        <w:rPr>
          <w:rFonts w:ascii="方正小标宋简体" w:hAnsi="宋体" w:eastAsia="方正小标宋简体"/>
          <w:color w:val="auto"/>
          <w:sz w:val="36"/>
          <w:szCs w:val="36"/>
          <w:highlight w:val="none"/>
        </w:rPr>
        <w:br w:type="page"/>
      </w:r>
      <w:r>
        <w:rPr>
          <w:rFonts w:hint="eastAsia" w:ascii="黑体" w:hAnsi="黑体" w:eastAsia="黑体"/>
          <w:color w:val="auto"/>
          <w:sz w:val="48"/>
          <w:szCs w:val="48"/>
          <w:highlight w:val="none"/>
        </w:rPr>
        <w:t>目录</w:t>
      </w:r>
    </w:p>
    <w:p>
      <w:pPr>
        <w:pStyle w:val="2"/>
        <w:jc w:val="center"/>
        <w:rPr>
          <w:rFonts w:hint="eastAsia"/>
          <w:sz w:val="21"/>
          <w:szCs w:val="21"/>
        </w:rPr>
      </w:pPr>
      <w:r>
        <w:rPr>
          <w:rFonts w:hint="eastAsia"/>
          <w:sz w:val="21"/>
          <w:szCs w:val="21"/>
        </w:rPr>
        <w:t>目录公开时间：2023年10月日</w:t>
      </w:r>
    </w:p>
    <w:sdt>
      <w:sdtPr>
        <w:rPr>
          <w:rFonts w:ascii="宋体" w:hAnsi="宋体" w:eastAsia="宋体" w:cs="Times New Roman"/>
          <w:kern w:val="2"/>
          <w:sz w:val="21"/>
          <w:szCs w:val="24"/>
          <w:lang w:val="en-US" w:eastAsia="zh-CN" w:bidi="ar-SA"/>
        </w:rPr>
        <w:id w:val="147471544"/>
        <w15:color w:val="DBDBDB"/>
        <w:docPartObj>
          <w:docPartGallery w:val="Table of Contents"/>
          <w:docPartUnique/>
        </w:docPartObj>
      </w:sdtPr>
      <w:sdtEndPr>
        <w:rPr>
          <w:b/>
        </w:rPr>
      </w:sdtEndPr>
      <w:sdtContent>
        <w:p>
          <w:pPr>
            <w:spacing w:before="0" w:beforeLines="0" w:after="0" w:afterLines="0" w:line="240" w:lineRule="auto"/>
            <w:ind w:left="0" w:leftChars="0" w:right="0" w:rightChars="0" w:firstLine="0" w:firstLineChars="0"/>
            <w:jc w:val="center"/>
            <w:rPr>
              <w:b/>
            </w:rPr>
          </w:pPr>
          <w:bookmarkStart w:id="15" w:name="_Toc15396599"/>
          <w:bookmarkStart w:id="16" w:name="_Toc15377196"/>
          <w:bookmarkStart w:id="17" w:name="_Toc13295_WPSOffice_Level1"/>
          <w:bookmarkStart w:id="135" w:name="_GoBack"/>
          <w:bookmarkEnd w:id="135"/>
          <w:r>
            <w:fldChar w:fldCharType="begin"/>
          </w:r>
          <w:r>
            <w:instrText xml:space="preserve">TOC \o "1-2" \h \u </w:instrText>
          </w:r>
          <w:r>
            <w:fldChar w:fldCharType="separate"/>
          </w:r>
        </w:p>
        <w:p>
          <w:pPr>
            <w:pStyle w:val="31"/>
            <w:tabs>
              <w:tab w:val="right" w:leader="dot" w:pos="8306"/>
            </w:tabs>
            <w:rPr>
              <w:b/>
            </w:rPr>
          </w:pPr>
          <w:r>
            <w:rPr>
              <w:b/>
            </w:rPr>
            <w:fldChar w:fldCharType="begin"/>
          </w:r>
          <w:r>
            <w:rPr>
              <w:b/>
            </w:rPr>
            <w:instrText xml:space="preserve"> HYPERLINK \l _Toc31811 </w:instrText>
          </w:r>
          <w:r>
            <w:rPr>
              <w:b/>
            </w:rPr>
            <w:fldChar w:fldCharType="separate"/>
          </w:r>
          <w:r>
            <w:rPr>
              <w:rFonts w:hint="eastAsia" w:ascii="黑体" w:hAnsi="黑体" w:eastAsia="黑体"/>
              <w:b/>
              <w:highlight w:val="none"/>
            </w:rPr>
            <w:t>第一部分</w:t>
          </w:r>
          <w:r>
            <w:rPr>
              <w:rFonts w:hint="eastAsia" w:ascii="黑体" w:hAnsi="黑体" w:eastAsia="黑体"/>
              <w:b/>
              <w:highlight w:val="none"/>
              <w:lang w:eastAsia="zh-CN"/>
            </w:rPr>
            <w:t>单位</w:t>
          </w:r>
          <w:r>
            <w:rPr>
              <w:rFonts w:hint="eastAsia" w:ascii="黑体" w:hAnsi="黑体" w:eastAsia="黑体"/>
              <w:b/>
              <w:bCs w:val="0"/>
              <w:highlight w:val="none"/>
            </w:rPr>
            <w:t>概况</w:t>
          </w:r>
          <w:r>
            <w:rPr>
              <w:b/>
            </w:rPr>
            <w:tab/>
          </w:r>
          <w:r>
            <w:rPr>
              <w:b/>
            </w:rPr>
            <w:fldChar w:fldCharType="begin"/>
          </w:r>
          <w:r>
            <w:rPr>
              <w:b/>
            </w:rPr>
            <w:instrText xml:space="preserve"> PAGEREF _Toc31811 \h </w:instrText>
          </w:r>
          <w:r>
            <w:rPr>
              <w:b/>
            </w:rPr>
            <w:fldChar w:fldCharType="separate"/>
          </w:r>
          <w:r>
            <w:rPr>
              <w:b/>
            </w:rPr>
            <w:t>1</w:t>
          </w:r>
          <w:r>
            <w:rPr>
              <w:b/>
            </w:rPr>
            <w:fldChar w:fldCharType="end"/>
          </w:r>
          <w:r>
            <w:rPr>
              <w:b/>
            </w:rPr>
            <w:fldChar w:fldCharType="end"/>
          </w:r>
        </w:p>
        <w:p>
          <w:pPr>
            <w:pStyle w:val="32"/>
            <w:tabs>
              <w:tab w:val="right" w:leader="dot" w:pos="8306"/>
            </w:tabs>
          </w:pPr>
          <w:r>
            <w:fldChar w:fldCharType="begin"/>
          </w:r>
          <w:r>
            <w:instrText xml:space="preserve"> HYPERLINK \l _Toc390 </w:instrText>
          </w:r>
          <w:r>
            <w:fldChar w:fldCharType="separate"/>
          </w:r>
          <w:r>
            <w:rPr>
              <w:rFonts w:hint="eastAsia" w:ascii="黑体" w:hAnsi="黑体" w:eastAsia="黑体"/>
              <w:bCs w:val="0"/>
              <w:lang w:eastAsia="zh-CN"/>
            </w:rPr>
            <w:t>一、</w:t>
          </w:r>
          <w:r>
            <w:rPr>
              <w:rFonts w:hint="eastAsia" w:ascii="黑体" w:hAnsi="黑体" w:eastAsia="黑体"/>
              <w:bCs w:val="0"/>
              <w:highlight w:val="none"/>
              <w:lang w:eastAsia="zh-CN"/>
            </w:rPr>
            <w:t>主要职责</w:t>
          </w:r>
          <w:r>
            <w:tab/>
          </w:r>
          <w:r>
            <w:fldChar w:fldCharType="begin"/>
          </w:r>
          <w:r>
            <w:instrText xml:space="preserve"> PAGEREF _Toc390 \h </w:instrText>
          </w:r>
          <w:r>
            <w:fldChar w:fldCharType="separate"/>
          </w:r>
          <w:r>
            <w:t>1</w:t>
          </w:r>
          <w:r>
            <w:fldChar w:fldCharType="end"/>
          </w:r>
          <w:r>
            <w:fldChar w:fldCharType="end"/>
          </w:r>
        </w:p>
        <w:p>
          <w:pPr>
            <w:pStyle w:val="32"/>
            <w:tabs>
              <w:tab w:val="right" w:leader="dot" w:pos="8306"/>
            </w:tabs>
          </w:pPr>
          <w:r>
            <w:fldChar w:fldCharType="begin"/>
          </w:r>
          <w:r>
            <w:instrText xml:space="preserve"> HYPERLINK \l _Toc16413 </w:instrText>
          </w:r>
          <w:r>
            <w:fldChar w:fldCharType="separate"/>
          </w:r>
          <w:r>
            <w:rPr>
              <w:rFonts w:hint="eastAsia" w:ascii="黑体" w:hAnsi="黑体" w:eastAsia="黑体"/>
              <w:highlight w:val="none"/>
              <w:lang w:val="en-US" w:eastAsia="zh-CN"/>
            </w:rPr>
            <w:t>二、机构设置</w:t>
          </w:r>
          <w:r>
            <w:tab/>
          </w:r>
          <w:r>
            <w:fldChar w:fldCharType="begin"/>
          </w:r>
          <w:r>
            <w:instrText xml:space="preserve"> PAGEREF _Toc16413 \h </w:instrText>
          </w:r>
          <w:r>
            <w:fldChar w:fldCharType="separate"/>
          </w:r>
          <w:r>
            <w:t>1</w:t>
          </w:r>
          <w:r>
            <w:fldChar w:fldCharType="end"/>
          </w:r>
          <w:r>
            <w:fldChar w:fldCharType="end"/>
          </w:r>
        </w:p>
        <w:p>
          <w:pPr>
            <w:pStyle w:val="31"/>
            <w:tabs>
              <w:tab w:val="right" w:leader="dot" w:pos="8306"/>
            </w:tabs>
            <w:rPr>
              <w:b/>
            </w:rPr>
          </w:pPr>
          <w:r>
            <w:rPr>
              <w:b/>
            </w:rPr>
            <w:fldChar w:fldCharType="begin"/>
          </w:r>
          <w:r>
            <w:rPr>
              <w:b/>
            </w:rPr>
            <w:instrText xml:space="preserve"> HYPERLINK \l _Toc8484 </w:instrText>
          </w:r>
          <w:r>
            <w:rPr>
              <w:b/>
            </w:rPr>
            <w:fldChar w:fldCharType="separate"/>
          </w:r>
          <w:r>
            <w:rPr>
              <w:rFonts w:hint="eastAsia" w:ascii="黑体" w:hAnsi="黑体" w:eastAsia="黑体"/>
              <w:b/>
              <w:bCs/>
              <w:highlight w:val="none"/>
            </w:rPr>
            <w:t>第二部分</w:t>
          </w:r>
          <w:r>
            <w:rPr>
              <w:rFonts w:hint="eastAsia" w:ascii="黑体" w:hAnsi="黑体" w:eastAsia="黑体"/>
              <w:b/>
              <w:bCs/>
              <w:highlight w:val="none"/>
              <w:lang w:val="en-US" w:eastAsia="zh-CN"/>
            </w:rPr>
            <w:t>2022年度</w:t>
          </w:r>
          <w:r>
            <w:rPr>
              <w:rFonts w:hint="eastAsia" w:ascii="黑体" w:hAnsi="黑体" w:eastAsia="黑体"/>
              <w:b/>
              <w:bCs/>
              <w:highlight w:val="none"/>
              <w:lang w:eastAsia="zh-CN"/>
            </w:rPr>
            <w:t>单位</w:t>
          </w:r>
          <w:r>
            <w:rPr>
              <w:rFonts w:hint="eastAsia" w:ascii="黑体" w:hAnsi="黑体" w:eastAsia="黑体"/>
              <w:b/>
              <w:bCs/>
              <w:highlight w:val="none"/>
            </w:rPr>
            <w:t>决算情况说明</w:t>
          </w:r>
          <w:r>
            <w:rPr>
              <w:b/>
            </w:rPr>
            <w:tab/>
          </w:r>
          <w:r>
            <w:rPr>
              <w:b/>
            </w:rPr>
            <w:fldChar w:fldCharType="begin"/>
          </w:r>
          <w:r>
            <w:rPr>
              <w:b/>
            </w:rPr>
            <w:instrText xml:space="preserve"> PAGEREF _Toc8484 \h </w:instrText>
          </w:r>
          <w:r>
            <w:rPr>
              <w:b/>
            </w:rPr>
            <w:fldChar w:fldCharType="separate"/>
          </w:r>
          <w:r>
            <w:rPr>
              <w:b/>
            </w:rPr>
            <w:t>2</w:t>
          </w:r>
          <w:r>
            <w:rPr>
              <w:b/>
            </w:rPr>
            <w:fldChar w:fldCharType="end"/>
          </w:r>
          <w:r>
            <w:rPr>
              <w:b/>
            </w:rPr>
            <w:fldChar w:fldCharType="end"/>
          </w:r>
        </w:p>
        <w:p>
          <w:pPr>
            <w:pStyle w:val="32"/>
            <w:tabs>
              <w:tab w:val="right" w:leader="dot" w:pos="8306"/>
            </w:tabs>
          </w:pPr>
          <w:r>
            <w:fldChar w:fldCharType="begin"/>
          </w:r>
          <w:r>
            <w:instrText xml:space="preserve"> HYPERLINK \l _Toc20444 </w:instrText>
          </w:r>
          <w:r>
            <w:fldChar w:fldCharType="separate"/>
          </w:r>
          <w:r>
            <w:rPr>
              <w:rFonts w:hint="default" w:ascii="黑体" w:hAnsi="黑体" w:eastAsia="黑体"/>
            </w:rPr>
            <w:t>一、</w:t>
          </w:r>
          <w:r>
            <w:rPr>
              <w:rFonts w:hint="eastAsia" w:ascii="黑体" w:hAnsi="黑体" w:eastAsia="黑体"/>
              <w:szCs w:val="32"/>
              <w:highlight w:val="none"/>
            </w:rPr>
            <w:t>收</w:t>
          </w:r>
          <w:r>
            <w:rPr>
              <w:rFonts w:hint="eastAsia" w:ascii="黑体" w:hAnsi="黑体" w:eastAsia="黑体"/>
              <w:highlight w:val="none"/>
            </w:rPr>
            <w:t>入支出决算总体情况说明</w:t>
          </w:r>
          <w:r>
            <w:tab/>
          </w:r>
          <w:r>
            <w:fldChar w:fldCharType="begin"/>
          </w:r>
          <w:r>
            <w:instrText xml:space="preserve"> PAGEREF _Toc20444 \h </w:instrText>
          </w:r>
          <w:r>
            <w:fldChar w:fldCharType="separate"/>
          </w:r>
          <w:r>
            <w:t>2</w:t>
          </w:r>
          <w:r>
            <w:fldChar w:fldCharType="end"/>
          </w:r>
          <w:r>
            <w:fldChar w:fldCharType="end"/>
          </w:r>
        </w:p>
        <w:p>
          <w:pPr>
            <w:pStyle w:val="32"/>
            <w:tabs>
              <w:tab w:val="right" w:leader="dot" w:pos="8306"/>
            </w:tabs>
          </w:pPr>
          <w:r>
            <w:fldChar w:fldCharType="begin"/>
          </w:r>
          <w:r>
            <w:instrText xml:space="preserve"> HYPERLINK \l _Toc5570 </w:instrText>
          </w:r>
          <w:r>
            <w:fldChar w:fldCharType="separate"/>
          </w:r>
          <w:r>
            <w:rPr>
              <w:rFonts w:hint="default" w:ascii="黑体" w:hAnsi="黑体" w:eastAsia="黑体"/>
            </w:rPr>
            <w:t>二、</w:t>
          </w:r>
          <w:r>
            <w:rPr>
              <w:rFonts w:hint="eastAsia" w:ascii="黑体" w:hAnsi="黑体" w:eastAsia="黑体"/>
              <w:szCs w:val="32"/>
              <w:highlight w:val="none"/>
            </w:rPr>
            <w:t>收</w:t>
          </w:r>
          <w:r>
            <w:rPr>
              <w:rFonts w:hint="eastAsia" w:ascii="黑体" w:hAnsi="黑体" w:eastAsia="黑体"/>
              <w:highlight w:val="none"/>
            </w:rPr>
            <w:t>入决算情况说明</w:t>
          </w:r>
          <w:r>
            <w:tab/>
          </w:r>
          <w:r>
            <w:fldChar w:fldCharType="begin"/>
          </w:r>
          <w:r>
            <w:instrText xml:space="preserve"> PAGEREF _Toc5570 \h </w:instrText>
          </w:r>
          <w:r>
            <w:fldChar w:fldCharType="separate"/>
          </w:r>
          <w:r>
            <w:t>2</w:t>
          </w:r>
          <w:r>
            <w:fldChar w:fldCharType="end"/>
          </w:r>
          <w:r>
            <w:fldChar w:fldCharType="end"/>
          </w:r>
        </w:p>
        <w:p>
          <w:pPr>
            <w:pStyle w:val="32"/>
            <w:tabs>
              <w:tab w:val="right" w:leader="dot" w:pos="8306"/>
            </w:tabs>
          </w:pPr>
          <w:r>
            <w:fldChar w:fldCharType="begin"/>
          </w:r>
          <w:r>
            <w:instrText xml:space="preserve"> HYPERLINK \l _Toc31367 </w:instrText>
          </w:r>
          <w:r>
            <w:fldChar w:fldCharType="separate"/>
          </w:r>
          <w:r>
            <w:rPr>
              <w:rFonts w:hint="default" w:ascii="黑体" w:hAnsi="黑体" w:eastAsia="黑体"/>
            </w:rPr>
            <w:t>三、</w:t>
          </w:r>
          <w:r>
            <w:rPr>
              <w:rFonts w:hint="eastAsia" w:ascii="黑体" w:hAnsi="黑体" w:eastAsia="黑体"/>
              <w:szCs w:val="32"/>
              <w:highlight w:val="none"/>
            </w:rPr>
            <w:t>支</w:t>
          </w:r>
          <w:r>
            <w:rPr>
              <w:rFonts w:hint="eastAsia" w:ascii="黑体" w:hAnsi="黑体" w:eastAsia="黑体"/>
              <w:highlight w:val="none"/>
            </w:rPr>
            <w:t>出决算情况说明</w:t>
          </w:r>
          <w:r>
            <w:tab/>
          </w:r>
          <w:r>
            <w:fldChar w:fldCharType="begin"/>
          </w:r>
          <w:r>
            <w:instrText xml:space="preserve"> PAGEREF _Toc31367 \h </w:instrText>
          </w:r>
          <w:r>
            <w:fldChar w:fldCharType="separate"/>
          </w:r>
          <w:r>
            <w:t>3</w:t>
          </w:r>
          <w:r>
            <w:fldChar w:fldCharType="end"/>
          </w:r>
          <w:r>
            <w:fldChar w:fldCharType="end"/>
          </w:r>
        </w:p>
        <w:p>
          <w:pPr>
            <w:pStyle w:val="32"/>
            <w:tabs>
              <w:tab w:val="right" w:leader="dot" w:pos="8306"/>
            </w:tabs>
          </w:pPr>
          <w:r>
            <w:fldChar w:fldCharType="begin"/>
          </w:r>
          <w:r>
            <w:instrText xml:space="preserve"> HYPERLINK \l _Toc28831 </w:instrText>
          </w:r>
          <w:r>
            <w:fldChar w:fldCharType="separate"/>
          </w:r>
          <w:r>
            <w:rPr>
              <w:rFonts w:hint="eastAsia" w:ascii="黑体" w:hAnsi="黑体" w:eastAsia="黑体"/>
              <w:szCs w:val="32"/>
              <w:highlight w:val="none"/>
            </w:rPr>
            <w:t>四、财</w:t>
          </w:r>
          <w:r>
            <w:rPr>
              <w:rFonts w:hint="eastAsia" w:ascii="黑体" w:hAnsi="黑体" w:eastAsia="黑体"/>
              <w:highlight w:val="none"/>
            </w:rPr>
            <w:t>政拨款收入支出决算总体情况说明</w:t>
          </w:r>
          <w:r>
            <w:tab/>
          </w:r>
          <w:r>
            <w:fldChar w:fldCharType="begin"/>
          </w:r>
          <w:r>
            <w:instrText xml:space="preserve"> PAGEREF _Toc28831 \h </w:instrText>
          </w:r>
          <w:r>
            <w:fldChar w:fldCharType="separate"/>
          </w:r>
          <w:r>
            <w:t>3</w:t>
          </w:r>
          <w:r>
            <w:fldChar w:fldCharType="end"/>
          </w:r>
          <w:r>
            <w:fldChar w:fldCharType="end"/>
          </w:r>
        </w:p>
        <w:p>
          <w:pPr>
            <w:pStyle w:val="32"/>
            <w:tabs>
              <w:tab w:val="right" w:leader="dot" w:pos="8306"/>
            </w:tabs>
          </w:pPr>
          <w:r>
            <w:fldChar w:fldCharType="begin"/>
          </w:r>
          <w:r>
            <w:instrText xml:space="preserve"> HYPERLINK \l _Toc15691 </w:instrText>
          </w:r>
          <w:r>
            <w:fldChar w:fldCharType="separate"/>
          </w:r>
          <w:r>
            <w:rPr>
              <w:rFonts w:hint="eastAsia" w:ascii="黑体" w:hAnsi="黑体" w:eastAsia="黑体"/>
              <w:szCs w:val="32"/>
              <w:highlight w:val="none"/>
            </w:rPr>
            <w:t>五、一</w:t>
          </w:r>
          <w:r>
            <w:rPr>
              <w:rFonts w:hint="eastAsia" w:ascii="黑体" w:hAnsi="黑体" w:eastAsia="黑体"/>
              <w:highlight w:val="none"/>
            </w:rPr>
            <w:t>般公共预算财政拨款支出决算情况说明</w:t>
          </w:r>
          <w:r>
            <w:tab/>
          </w:r>
          <w:r>
            <w:fldChar w:fldCharType="begin"/>
          </w:r>
          <w:r>
            <w:instrText xml:space="preserve"> PAGEREF _Toc15691 \h </w:instrText>
          </w:r>
          <w:r>
            <w:fldChar w:fldCharType="separate"/>
          </w:r>
          <w:r>
            <w:t>4</w:t>
          </w:r>
          <w:r>
            <w:fldChar w:fldCharType="end"/>
          </w:r>
          <w:r>
            <w:fldChar w:fldCharType="end"/>
          </w:r>
        </w:p>
        <w:p>
          <w:pPr>
            <w:pStyle w:val="32"/>
            <w:tabs>
              <w:tab w:val="right" w:leader="dot" w:pos="8306"/>
            </w:tabs>
          </w:pPr>
          <w:r>
            <w:fldChar w:fldCharType="begin"/>
          </w:r>
          <w:r>
            <w:instrText xml:space="preserve"> HYPERLINK \l _Toc638 </w:instrText>
          </w:r>
          <w:r>
            <w:fldChar w:fldCharType="separate"/>
          </w:r>
          <w:r>
            <w:rPr>
              <w:rFonts w:hint="eastAsia" w:ascii="黑体" w:eastAsia="黑体"/>
              <w:szCs w:val="32"/>
              <w:highlight w:val="none"/>
            </w:rPr>
            <w:t>六、</w:t>
          </w:r>
          <w:r>
            <w:rPr>
              <w:rFonts w:hint="eastAsia" w:ascii="黑体" w:hAnsi="黑体" w:eastAsia="黑体"/>
              <w:szCs w:val="32"/>
              <w:highlight w:val="none"/>
            </w:rPr>
            <w:t>一</w:t>
          </w:r>
          <w:r>
            <w:rPr>
              <w:rFonts w:hint="eastAsia" w:ascii="黑体" w:hAnsi="黑体" w:eastAsia="黑体"/>
              <w:highlight w:val="none"/>
            </w:rPr>
            <w:t>般公共预算财政拨款基本支出决算情况说明</w:t>
          </w:r>
          <w:r>
            <w:tab/>
          </w:r>
          <w:r>
            <w:fldChar w:fldCharType="begin"/>
          </w:r>
          <w:r>
            <w:instrText xml:space="preserve"> PAGEREF _Toc638 \h </w:instrText>
          </w:r>
          <w:r>
            <w:fldChar w:fldCharType="separate"/>
          </w:r>
          <w:r>
            <w:t>6</w:t>
          </w:r>
          <w:r>
            <w:fldChar w:fldCharType="end"/>
          </w:r>
          <w:r>
            <w:fldChar w:fldCharType="end"/>
          </w:r>
        </w:p>
        <w:p>
          <w:pPr>
            <w:pStyle w:val="32"/>
            <w:tabs>
              <w:tab w:val="right" w:leader="dot" w:pos="8306"/>
            </w:tabs>
          </w:pPr>
          <w:r>
            <w:fldChar w:fldCharType="begin"/>
          </w:r>
          <w:r>
            <w:instrText xml:space="preserve"> HYPERLINK \l _Toc29845 </w:instrText>
          </w:r>
          <w:r>
            <w:fldChar w:fldCharType="separate"/>
          </w:r>
          <w:r>
            <w:rPr>
              <w:rFonts w:hint="eastAsia" w:ascii="黑体" w:eastAsia="黑体"/>
              <w:szCs w:val="32"/>
              <w:highlight w:val="none"/>
            </w:rPr>
            <w:t>七、</w:t>
          </w:r>
          <w:r>
            <w:rPr>
              <w:rFonts w:hint="eastAsia" w:ascii="黑体" w:hAnsi="黑体" w:eastAsia="黑体"/>
              <w:highlight w:val="none"/>
            </w:rPr>
            <w:t>财政拨款“三公”经费支出决算情况说明</w:t>
          </w:r>
          <w:r>
            <w:tab/>
          </w:r>
          <w:r>
            <w:fldChar w:fldCharType="begin"/>
          </w:r>
          <w:r>
            <w:instrText xml:space="preserve"> PAGEREF _Toc29845 \h </w:instrText>
          </w:r>
          <w:r>
            <w:fldChar w:fldCharType="separate"/>
          </w:r>
          <w:r>
            <w:t>6</w:t>
          </w:r>
          <w:r>
            <w:fldChar w:fldCharType="end"/>
          </w:r>
          <w:r>
            <w:fldChar w:fldCharType="end"/>
          </w:r>
        </w:p>
        <w:p>
          <w:pPr>
            <w:pStyle w:val="32"/>
            <w:tabs>
              <w:tab w:val="right" w:leader="dot" w:pos="8306"/>
            </w:tabs>
          </w:pPr>
          <w:r>
            <w:fldChar w:fldCharType="begin"/>
          </w:r>
          <w:r>
            <w:instrText xml:space="preserve"> HYPERLINK \l _Toc25964 </w:instrText>
          </w:r>
          <w:r>
            <w:fldChar w:fldCharType="separate"/>
          </w:r>
          <w:r>
            <w:rPr>
              <w:rFonts w:hint="eastAsia" w:ascii="黑体" w:eastAsia="黑体"/>
              <w:szCs w:val="32"/>
              <w:highlight w:val="none"/>
            </w:rPr>
            <w:t>八、</w:t>
          </w:r>
          <w:r>
            <w:rPr>
              <w:rFonts w:hint="eastAsia" w:ascii="黑体" w:hAnsi="黑体" w:eastAsia="黑体"/>
              <w:highlight w:val="none"/>
            </w:rPr>
            <w:t>政府性基金预算支出决算情况说明</w:t>
          </w:r>
          <w:r>
            <w:tab/>
          </w:r>
          <w:r>
            <w:fldChar w:fldCharType="begin"/>
          </w:r>
          <w:r>
            <w:instrText xml:space="preserve"> PAGEREF _Toc25964 \h </w:instrText>
          </w:r>
          <w:r>
            <w:fldChar w:fldCharType="separate"/>
          </w:r>
          <w:r>
            <w:t>7</w:t>
          </w:r>
          <w:r>
            <w:fldChar w:fldCharType="end"/>
          </w:r>
          <w:r>
            <w:fldChar w:fldCharType="end"/>
          </w:r>
        </w:p>
        <w:p>
          <w:pPr>
            <w:pStyle w:val="32"/>
            <w:tabs>
              <w:tab w:val="right" w:leader="dot" w:pos="8306"/>
            </w:tabs>
          </w:pPr>
          <w:r>
            <w:fldChar w:fldCharType="begin"/>
          </w:r>
          <w:r>
            <w:instrText xml:space="preserve"> HYPERLINK \l _Toc1665 </w:instrText>
          </w:r>
          <w:r>
            <w:fldChar w:fldCharType="separate"/>
          </w:r>
          <w:r>
            <w:rPr>
              <w:rFonts w:hint="eastAsia" w:ascii="黑体" w:hAnsi="黑体" w:eastAsia="黑体"/>
            </w:rPr>
            <w:t>九、</w:t>
          </w:r>
          <w:r>
            <w:rPr>
              <w:rFonts w:hint="eastAsia" w:ascii="黑体" w:hAnsi="黑体" w:eastAsia="黑体"/>
              <w:highlight w:val="none"/>
            </w:rPr>
            <w:t>国有资本经营预算支出决算情况说明</w:t>
          </w:r>
          <w:r>
            <w:tab/>
          </w:r>
          <w:r>
            <w:fldChar w:fldCharType="begin"/>
          </w:r>
          <w:r>
            <w:instrText xml:space="preserve"> PAGEREF _Toc1665 \h </w:instrText>
          </w:r>
          <w:r>
            <w:fldChar w:fldCharType="separate"/>
          </w:r>
          <w:r>
            <w:t>7</w:t>
          </w:r>
          <w:r>
            <w:fldChar w:fldCharType="end"/>
          </w:r>
          <w:r>
            <w:fldChar w:fldCharType="end"/>
          </w:r>
        </w:p>
        <w:p>
          <w:pPr>
            <w:pStyle w:val="32"/>
            <w:tabs>
              <w:tab w:val="right" w:leader="dot" w:pos="8306"/>
            </w:tabs>
          </w:pPr>
          <w:r>
            <w:fldChar w:fldCharType="begin"/>
          </w:r>
          <w:r>
            <w:instrText xml:space="preserve"> HYPERLINK \l _Toc11690 </w:instrText>
          </w:r>
          <w:r>
            <w:fldChar w:fldCharType="separate"/>
          </w:r>
          <w:r>
            <w:rPr>
              <w:rFonts w:hint="eastAsia" w:ascii="黑体" w:hAnsi="黑体" w:eastAsia="黑体"/>
            </w:rPr>
            <w:t>十、</w:t>
          </w:r>
          <w:r>
            <w:rPr>
              <w:rFonts w:hint="eastAsia" w:ascii="黑体" w:hAnsi="黑体" w:eastAsia="黑体"/>
              <w:highlight w:val="none"/>
            </w:rPr>
            <w:t>其他重要事项的情况说明</w:t>
          </w:r>
          <w:r>
            <w:tab/>
          </w:r>
          <w:r>
            <w:fldChar w:fldCharType="begin"/>
          </w:r>
          <w:r>
            <w:instrText xml:space="preserve"> PAGEREF _Toc11690 \h </w:instrText>
          </w:r>
          <w:r>
            <w:fldChar w:fldCharType="separate"/>
          </w:r>
          <w:r>
            <w:t>8</w:t>
          </w:r>
          <w:r>
            <w:fldChar w:fldCharType="end"/>
          </w:r>
          <w:r>
            <w:fldChar w:fldCharType="end"/>
          </w:r>
        </w:p>
        <w:p>
          <w:pPr>
            <w:pStyle w:val="31"/>
            <w:tabs>
              <w:tab w:val="right" w:leader="dot" w:pos="8306"/>
            </w:tabs>
            <w:rPr>
              <w:b/>
            </w:rPr>
          </w:pPr>
          <w:r>
            <w:rPr>
              <w:b/>
            </w:rPr>
            <w:fldChar w:fldCharType="begin"/>
          </w:r>
          <w:r>
            <w:rPr>
              <w:b/>
            </w:rPr>
            <w:instrText xml:space="preserve"> HYPERLINK \l _Toc10595 </w:instrText>
          </w:r>
          <w:r>
            <w:rPr>
              <w:b/>
            </w:rPr>
            <w:fldChar w:fldCharType="separate"/>
          </w:r>
          <w:r>
            <w:rPr>
              <w:rFonts w:hint="eastAsia" w:ascii="黑体" w:hAnsi="黑体" w:eastAsia="黑体" w:cs="黑体"/>
              <w:b/>
              <w:szCs w:val="44"/>
            </w:rPr>
            <w:t>第三部分</w:t>
          </w:r>
          <w:r>
            <w:rPr>
              <w:rFonts w:hint="eastAsia" w:ascii="黑体" w:hAnsi="黑体" w:eastAsia="黑体"/>
              <w:b/>
              <w:szCs w:val="44"/>
              <w:highlight w:val="none"/>
            </w:rPr>
            <w:t>名</w:t>
          </w:r>
          <w:r>
            <w:rPr>
              <w:rFonts w:hint="eastAsia" w:ascii="黑体" w:hAnsi="黑体" w:eastAsia="黑体"/>
              <w:b/>
              <w:highlight w:val="none"/>
            </w:rPr>
            <w:t>词解释</w:t>
          </w:r>
          <w:r>
            <w:rPr>
              <w:b/>
            </w:rPr>
            <w:tab/>
          </w:r>
          <w:r>
            <w:rPr>
              <w:b/>
            </w:rPr>
            <w:fldChar w:fldCharType="begin"/>
          </w:r>
          <w:r>
            <w:rPr>
              <w:b/>
            </w:rPr>
            <w:instrText xml:space="preserve"> PAGEREF _Toc10595 \h </w:instrText>
          </w:r>
          <w:r>
            <w:rPr>
              <w:b/>
            </w:rPr>
            <w:fldChar w:fldCharType="separate"/>
          </w:r>
          <w:r>
            <w:rPr>
              <w:b/>
            </w:rPr>
            <w:t>9</w:t>
          </w:r>
          <w:r>
            <w:rPr>
              <w:b/>
            </w:rPr>
            <w:fldChar w:fldCharType="end"/>
          </w:r>
          <w:r>
            <w:rPr>
              <w:b/>
            </w:rPr>
            <w:fldChar w:fldCharType="end"/>
          </w:r>
        </w:p>
        <w:p>
          <w:pPr>
            <w:pStyle w:val="31"/>
            <w:tabs>
              <w:tab w:val="right" w:leader="dot" w:pos="8306"/>
            </w:tabs>
            <w:rPr>
              <w:b/>
            </w:rPr>
          </w:pPr>
          <w:r>
            <w:rPr>
              <w:b/>
            </w:rPr>
            <w:fldChar w:fldCharType="begin"/>
          </w:r>
          <w:r>
            <w:rPr>
              <w:b/>
            </w:rPr>
            <w:instrText xml:space="preserve"> HYPERLINK \l _Toc29004 </w:instrText>
          </w:r>
          <w:r>
            <w:rPr>
              <w:b/>
            </w:rPr>
            <w:fldChar w:fldCharType="separate"/>
          </w:r>
          <w:r>
            <w:rPr>
              <w:rFonts w:hint="eastAsia" w:ascii="黑体" w:hAnsi="黑体" w:eastAsia="黑体"/>
              <w:b/>
              <w:szCs w:val="44"/>
              <w:highlight w:val="none"/>
            </w:rPr>
            <w:t>第</w:t>
          </w:r>
          <w:r>
            <w:rPr>
              <w:rFonts w:hint="eastAsia" w:ascii="黑体" w:hAnsi="黑体" w:eastAsia="黑体"/>
              <w:b/>
              <w:highlight w:val="none"/>
            </w:rPr>
            <w:t>四部分附件</w:t>
          </w:r>
          <w:r>
            <w:rPr>
              <w:b/>
            </w:rPr>
            <w:tab/>
          </w:r>
          <w:r>
            <w:rPr>
              <w:b/>
            </w:rPr>
            <w:fldChar w:fldCharType="begin"/>
          </w:r>
          <w:r>
            <w:rPr>
              <w:b/>
            </w:rPr>
            <w:instrText xml:space="preserve"> PAGEREF _Toc29004 \h </w:instrText>
          </w:r>
          <w:r>
            <w:rPr>
              <w:b/>
            </w:rPr>
            <w:fldChar w:fldCharType="separate"/>
          </w:r>
          <w:r>
            <w:rPr>
              <w:b/>
            </w:rPr>
            <w:t>11</w:t>
          </w:r>
          <w:r>
            <w:rPr>
              <w:b/>
            </w:rPr>
            <w:fldChar w:fldCharType="end"/>
          </w:r>
          <w:r>
            <w:rPr>
              <w:b/>
            </w:rPr>
            <w:fldChar w:fldCharType="end"/>
          </w:r>
        </w:p>
        <w:p>
          <w:pPr>
            <w:pStyle w:val="31"/>
            <w:tabs>
              <w:tab w:val="right" w:leader="dot" w:pos="8306"/>
            </w:tabs>
            <w:rPr>
              <w:b/>
            </w:rPr>
          </w:pPr>
          <w:r>
            <w:rPr>
              <w:b/>
            </w:rPr>
            <w:fldChar w:fldCharType="begin"/>
          </w:r>
          <w:r>
            <w:rPr>
              <w:b/>
            </w:rPr>
            <w:instrText xml:space="preserve"> HYPERLINK \l _Toc9483 </w:instrText>
          </w:r>
          <w:r>
            <w:rPr>
              <w:b/>
            </w:rPr>
            <w:fldChar w:fldCharType="separate"/>
          </w:r>
          <w:r>
            <w:rPr>
              <w:rFonts w:hint="eastAsia" w:ascii="黑体" w:hAnsi="黑体" w:eastAsia="黑体"/>
              <w:b/>
              <w:szCs w:val="44"/>
              <w:highlight w:val="none"/>
            </w:rPr>
            <w:t>第</w:t>
          </w:r>
          <w:r>
            <w:rPr>
              <w:rFonts w:hint="eastAsia" w:ascii="黑体" w:hAnsi="黑体" w:eastAsia="黑体"/>
              <w:b/>
              <w:highlight w:val="none"/>
            </w:rPr>
            <w:t>五部分附表</w:t>
          </w:r>
          <w:r>
            <w:rPr>
              <w:b/>
            </w:rPr>
            <w:tab/>
          </w:r>
          <w:r>
            <w:rPr>
              <w:b/>
            </w:rPr>
            <w:fldChar w:fldCharType="begin"/>
          </w:r>
          <w:r>
            <w:rPr>
              <w:b/>
            </w:rPr>
            <w:instrText xml:space="preserve"> PAGEREF _Toc9483 \h </w:instrText>
          </w:r>
          <w:r>
            <w:rPr>
              <w:b/>
            </w:rPr>
            <w:fldChar w:fldCharType="separate"/>
          </w:r>
          <w:r>
            <w:rPr>
              <w:b/>
            </w:rPr>
            <w:t>12</w:t>
          </w:r>
          <w:r>
            <w:rPr>
              <w:b/>
            </w:rPr>
            <w:fldChar w:fldCharType="end"/>
          </w:r>
          <w:r>
            <w:rPr>
              <w:b/>
            </w:rPr>
            <w:fldChar w:fldCharType="end"/>
          </w:r>
        </w:p>
        <w:p>
          <w:pPr>
            <w:pStyle w:val="32"/>
            <w:tabs>
              <w:tab w:val="right" w:leader="dot" w:pos="8306"/>
            </w:tabs>
          </w:pPr>
          <w:r>
            <w:fldChar w:fldCharType="begin"/>
          </w:r>
          <w:r>
            <w:instrText xml:space="preserve"> HYPERLINK \l _Toc9330 </w:instrText>
          </w:r>
          <w:r>
            <w:fldChar w:fldCharType="separate"/>
          </w:r>
          <w:r>
            <w:rPr>
              <w:rFonts w:hint="eastAsia" w:ascii="仿宋" w:hAnsi="仿宋" w:eastAsia="仿宋"/>
              <w:highlight w:val="none"/>
            </w:rPr>
            <w:t>一、收</w:t>
          </w:r>
          <w:r>
            <w:rPr>
              <w:rFonts w:hint="eastAsia" w:ascii="仿宋" w:hAnsi="仿宋" w:eastAsia="仿宋"/>
              <w:bCs w:val="0"/>
              <w:highlight w:val="none"/>
            </w:rPr>
            <w:t>入支出决算总表</w:t>
          </w:r>
          <w:r>
            <w:tab/>
          </w:r>
          <w:r>
            <w:fldChar w:fldCharType="begin"/>
          </w:r>
          <w:r>
            <w:instrText xml:space="preserve"> PAGEREF _Toc9330 \h </w:instrText>
          </w:r>
          <w:r>
            <w:fldChar w:fldCharType="separate"/>
          </w:r>
          <w:r>
            <w:t>12</w:t>
          </w:r>
          <w:r>
            <w:fldChar w:fldCharType="end"/>
          </w:r>
          <w:r>
            <w:fldChar w:fldCharType="end"/>
          </w:r>
        </w:p>
        <w:p>
          <w:pPr>
            <w:pStyle w:val="32"/>
            <w:tabs>
              <w:tab w:val="right" w:leader="dot" w:pos="8306"/>
            </w:tabs>
          </w:pPr>
          <w:r>
            <w:fldChar w:fldCharType="begin"/>
          </w:r>
          <w:r>
            <w:instrText xml:space="preserve"> HYPERLINK \l _Toc7353 </w:instrText>
          </w:r>
          <w:r>
            <w:fldChar w:fldCharType="separate"/>
          </w:r>
          <w:r>
            <w:rPr>
              <w:rFonts w:hint="eastAsia" w:ascii="仿宋" w:hAnsi="仿宋" w:eastAsia="仿宋"/>
              <w:highlight w:val="none"/>
            </w:rPr>
            <w:t>二、收</w:t>
          </w:r>
          <w:r>
            <w:rPr>
              <w:rFonts w:hint="eastAsia" w:ascii="仿宋" w:hAnsi="仿宋" w:eastAsia="仿宋"/>
              <w:bCs w:val="0"/>
              <w:highlight w:val="none"/>
            </w:rPr>
            <w:t>入决算表</w:t>
          </w:r>
          <w:r>
            <w:tab/>
          </w:r>
          <w:r>
            <w:fldChar w:fldCharType="begin"/>
          </w:r>
          <w:r>
            <w:instrText xml:space="preserve"> PAGEREF _Toc7353 \h </w:instrText>
          </w:r>
          <w:r>
            <w:fldChar w:fldCharType="separate"/>
          </w:r>
          <w:r>
            <w:t>12</w:t>
          </w:r>
          <w:r>
            <w:fldChar w:fldCharType="end"/>
          </w:r>
          <w:r>
            <w:fldChar w:fldCharType="end"/>
          </w:r>
        </w:p>
        <w:p>
          <w:pPr>
            <w:pStyle w:val="32"/>
            <w:tabs>
              <w:tab w:val="right" w:leader="dot" w:pos="8306"/>
            </w:tabs>
          </w:pPr>
          <w:r>
            <w:fldChar w:fldCharType="begin"/>
          </w:r>
          <w:r>
            <w:instrText xml:space="preserve"> HYPERLINK \l _Toc9121 </w:instrText>
          </w:r>
          <w:r>
            <w:fldChar w:fldCharType="separate"/>
          </w:r>
          <w:r>
            <w:rPr>
              <w:rFonts w:hint="eastAsia" w:ascii="仿宋" w:hAnsi="仿宋" w:eastAsia="仿宋"/>
              <w:bCs w:val="0"/>
              <w:highlight w:val="none"/>
            </w:rPr>
            <w:t>三、</w:t>
          </w:r>
          <w:r>
            <w:rPr>
              <w:rFonts w:hint="eastAsia" w:ascii="仿宋" w:hAnsi="仿宋" w:eastAsia="仿宋"/>
              <w:highlight w:val="none"/>
            </w:rPr>
            <w:t>支</w:t>
          </w:r>
          <w:r>
            <w:rPr>
              <w:rFonts w:hint="eastAsia" w:ascii="仿宋" w:hAnsi="仿宋" w:eastAsia="仿宋"/>
              <w:bCs w:val="0"/>
              <w:highlight w:val="none"/>
            </w:rPr>
            <w:t>出决算表</w:t>
          </w:r>
          <w:r>
            <w:tab/>
          </w:r>
          <w:r>
            <w:fldChar w:fldCharType="begin"/>
          </w:r>
          <w:r>
            <w:instrText xml:space="preserve"> PAGEREF _Toc9121 \h </w:instrText>
          </w:r>
          <w:r>
            <w:fldChar w:fldCharType="separate"/>
          </w:r>
          <w:r>
            <w:t>12</w:t>
          </w:r>
          <w:r>
            <w:fldChar w:fldCharType="end"/>
          </w:r>
          <w:r>
            <w:fldChar w:fldCharType="end"/>
          </w:r>
        </w:p>
        <w:p>
          <w:pPr>
            <w:pStyle w:val="32"/>
            <w:tabs>
              <w:tab w:val="right" w:leader="dot" w:pos="8306"/>
            </w:tabs>
          </w:pPr>
          <w:r>
            <w:fldChar w:fldCharType="begin"/>
          </w:r>
          <w:r>
            <w:instrText xml:space="preserve"> HYPERLINK \l _Toc1566 </w:instrText>
          </w:r>
          <w:r>
            <w:fldChar w:fldCharType="separate"/>
          </w:r>
          <w:r>
            <w:rPr>
              <w:rFonts w:hint="eastAsia" w:ascii="仿宋" w:hAnsi="仿宋" w:eastAsia="仿宋"/>
              <w:bCs w:val="0"/>
              <w:highlight w:val="none"/>
            </w:rPr>
            <w:t>四、</w:t>
          </w:r>
          <w:r>
            <w:rPr>
              <w:rFonts w:hint="eastAsia" w:ascii="仿宋" w:hAnsi="仿宋" w:eastAsia="仿宋"/>
              <w:highlight w:val="none"/>
            </w:rPr>
            <w:t>财</w:t>
          </w:r>
          <w:r>
            <w:rPr>
              <w:rFonts w:hint="eastAsia" w:ascii="仿宋" w:hAnsi="仿宋" w:eastAsia="仿宋"/>
              <w:bCs w:val="0"/>
              <w:highlight w:val="none"/>
            </w:rPr>
            <w:t>政拨款收入支出决算总表</w:t>
          </w:r>
          <w:r>
            <w:tab/>
          </w:r>
          <w:r>
            <w:fldChar w:fldCharType="begin"/>
          </w:r>
          <w:r>
            <w:instrText xml:space="preserve"> PAGEREF _Toc1566 \h </w:instrText>
          </w:r>
          <w:r>
            <w:fldChar w:fldCharType="separate"/>
          </w:r>
          <w:r>
            <w:t>12</w:t>
          </w:r>
          <w:r>
            <w:fldChar w:fldCharType="end"/>
          </w:r>
          <w:r>
            <w:fldChar w:fldCharType="end"/>
          </w:r>
        </w:p>
        <w:p>
          <w:pPr>
            <w:pStyle w:val="32"/>
            <w:tabs>
              <w:tab w:val="right" w:leader="dot" w:pos="8306"/>
            </w:tabs>
          </w:pPr>
          <w:r>
            <w:fldChar w:fldCharType="begin"/>
          </w:r>
          <w:r>
            <w:instrText xml:space="preserve"> HYPERLINK \l _Toc26045 </w:instrText>
          </w:r>
          <w:r>
            <w:fldChar w:fldCharType="separate"/>
          </w:r>
          <w:r>
            <w:rPr>
              <w:rFonts w:hint="eastAsia" w:ascii="仿宋" w:hAnsi="仿宋" w:eastAsia="仿宋"/>
              <w:bCs w:val="0"/>
              <w:highlight w:val="none"/>
            </w:rPr>
            <w:t>五、</w:t>
          </w:r>
          <w:r>
            <w:rPr>
              <w:rFonts w:hint="eastAsia" w:ascii="仿宋" w:hAnsi="仿宋" w:eastAsia="仿宋"/>
              <w:highlight w:val="none"/>
            </w:rPr>
            <w:t>财</w:t>
          </w:r>
          <w:r>
            <w:rPr>
              <w:rFonts w:hint="eastAsia" w:ascii="仿宋" w:hAnsi="仿宋" w:eastAsia="仿宋"/>
              <w:bCs w:val="0"/>
              <w:highlight w:val="none"/>
            </w:rPr>
            <w:t>政拨款支出决算明细表</w:t>
          </w:r>
          <w:r>
            <w:tab/>
          </w:r>
          <w:r>
            <w:fldChar w:fldCharType="begin"/>
          </w:r>
          <w:r>
            <w:instrText xml:space="preserve"> PAGEREF _Toc26045 \h </w:instrText>
          </w:r>
          <w:r>
            <w:fldChar w:fldCharType="separate"/>
          </w:r>
          <w:r>
            <w:t>12</w:t>
          </w:r>
          <w:r>
            <w:fldChar w:fldCharType="end"/>
          </w:r>
          <w:r>
            <w:fldChar w:fldCharType="end"/>
          </w:r>
        </w:p>
        <w:p>
          <w:pPr>
            <w:pStyle w:val="32"/>
            <w:tabs>
              <w:tab w:val="right" w:leader="dot" w:pos="8306"/>
            </w:tabs>
          </w:pPr>
          <w:r>
            <w:fldChar w:fldCharType="begin"/>
          </w:r>
          <w:r>
            <w:instrText xml:space="preserve"> HYPERLINK \l _Toc11151 </w:instrText>
          </w:r>
          <w:r>
            <w:fldChar w:fldCharType="separate"/>
          </w:r>
          <w:r>
            <w:rPr>
              <w:rFonts w:hint="eastAsia" w:ascii="仿宋" w:hAnsi="仿宋" w:eastAsia="仿宋"/>
              <w:bCs w:val="0"/>
              <w:highlight w:val="none"/>
            </w:rPr>
            <w:t>六、</w:t>
          </w:r>
          <w:r>
            <w:rPr>
              <w:rFonts w:hint="eastAsia" w:ascii="仿宋" w:hAnsi="仿宋" w:eastAsia="仿宋"/>
              <w:highlight w:val="none"/>
            </w:rPr>
            <w:t>一</w:t>
          </w:r>
          <w:r>
            <w:rPr>
              <w:rFonts w:hint="eastAsia" w:ascii="仿宋" w:hAnsi="仿宋" w:eastAsia="仿宋"/>
              <w:bCs w:val="0"/>
              <w:highlight w:val="none"/>
            </w:rPr>
            <w:t>般公共预算财政拨款支出决算表</w:t>
          </w:r>
          <w:r>
            <w:tab/>
          </w:r>
          <w:r>
            <w:fldChar w:fldCharType="begin"/>
          </w:r>
          <w:r>
            <w:instrText xml:space="preserve"> PAGEREF _Toc11151 \h </w:instrText>
          </w:r>
          <w:r>
            <w:fldChar w:fldCharType="separate"/>
          </w:r>
          <w:r>
            <w:t>12</w:t>
          </w:r>
          <w:r>
            <w:fldChar w:fldCharType="end"/>
          </w:r>
          <w:r>
            <w:fldChar w:fldCharType="end"/>
          </w:r>
        </w:p>
        <w:p>
          <w:pPr>
            <w:pStyle w:val="32"/>
            <w:tabs>
              <w:tab w:val="right" w:leader="dot" w:pos="8306"/>
            </w:tabs>
          </w:pPr>
          <w:r>
            <w:fldChar w:fldCharType="begin"/>
          </w:r>
          <w:r>
            <w:instrText xml:space="preserve"> HYPERLINK \l _Toc32316 </w:instrText>
          </w:r>
          <w:r>
            <w:fldChar w:fldCharType="separate"/>
          </w:r>
          <w:r>
            <w:rPr>
              <w:rFonts w:hint="eastAsia" w:ascii="仿宋" w:hAnsi="仿宋" w:eastAsia="仿宋"/>
              <w:bCs w:val="0"/>
              <w:highlight w:val="none"/>
            </w:rPr>
            <w:t>七、</w:t>
          </w:r>
          <w:r>
            <w:rPr>
              <w:rFonts w:hint="eastAsia" w:ascii="仿宋" w:hAnsi="仿宋" w:eastAsia="仿宋"/>
              <w:highlight w:val="none"/>
            </w:rPr>
            <w:t>一</w:t>
          </w:r>
          <w:r>
            <w:rPr>
              <w:rFonts w:hint="eastAsia" w:ascii="仿宋" w:hAnsi="仿宋" w:eastAsia="仿宋"/>
              <w:bCs w:val="0"/>
              <w:highlight w:val="none"/>
            </w:rPr>
            <w:t>般公共预算财政拨款支出决算明细表</w:t>
          </w:r>
          <w:r>
            <w:tab/>
          </w:r>
          <w:r>
            <w:fldChar w:fldCharType="begin"/>
          </w:r>
          <w:r>
            <w:instrText xml:space="preserve"> PAGEREF _Toc32316 \h </w:instrText>
          </w:r>
          <w:r>
            <w:fldChar w:fldCharType="separate"/>
          </w:r>
          <w:r>
            <w:t>12</w:t>
          </w:r>
          <w:r>
            <w:fldChar w:fldCharType="end"/>
          </w:r>
          <w:r>
            <w:fldChar w:fldCharType="end"/>
          </w:r>
        </w:p>
        <w:p>
          <w:pPr>
            <w:pStyle w:val="32"/>
            <w:tabs>
              <w:tab w:val="right" w:leader="dot" w:pos="8306"/>
            </w:tabs>
          </w:pPr>
          <w:r>
            <w:fldChar w:fldCharType="begin"/>
          </w:r>
          <w:r>
            <w:instrText xml:space="preserve"> HYPERLINK \l _Toc25401 </w:instrText>
          </w:r>
          <w:r>
            <w:fldChar w:fldCharType="separate"/>
          </w:r>
          <w:r>
            <w:rPr>
              <w:rFonts w:hint="eastAsia" w:ascii="仿宋" w:hAnsi="仿宋" w:eastAsia="仿宋"/>
              <w:bCs w:val="0"/>
              <w:highlight w:val="none"/>
            </w:rPr>
            <w:t>八、</w:t>
          </w:r>
          <w:r>
            <w:rPr>
              <w:rFonts w:hint="eastAsia" w:ascii="仿宋" w:hAnsi="仿宋" w:eastAsia="仿宋"/>
              <w:highlight w:val="none"/>
            </w:rPr>
            <w:t>一</w:t>
          </w:r>
          <w:r>
            <w:rPr>
              <w:rFonts w:hint="eastAsia" w:ascii="仿宋" w:hAnsi="仿宋" w:eastAsia="仿宋"/>
              <w:bCs w:val="0"/>
              <w:highlight w:val="none"/>
            </w:rPr>
            <w:t>般公共预算财政拨款基本支出决算表</w:t>
          </w:r>
          <w:r>
            <w:tab/>
          </w:r>
          <w:r>
            <w:fldChar w:fldCharType="begin"/>
          </w:r>
          <w:r>
            <w:instrText xml:space="preserve"> PAGEREF _Toc25401 \h </w:instrText>
          </w:r>
          <w:r>
            <w:fldChar w:fldCharType="separate"/>
          </w:r>
          <w:r>
            <w:t>12</w:t>
          </w:r>
          <w:r>
            <w:fldChar w:fldCharType="end"/>
          </w:r>
          <w:r>
            <w:fldChar w:fldCharType="end"/>
          </w:r>
        </w:p>
        <w:p>
          <w:pPr>
            <w:pStyle w:val="32"/>
            <w:tabs>
              <w:tab w:val="right" w:leader="dot" w:pos="8306"/>
            </w:tabs>
          </w:pPr>
          <w:r>
            <w:fldChar w:fldCharType="begin"/>
          </w:r>
          <w:r>
            <w:instrText xml:space="preserve"> HYPERLINK \l _Toc226 </w:instrText>
          </w:r>
          <w:r>
            <w:fldChar w:fldCharType="separate"/>
          </w:r>
          <w:r>
            <w:rPr>
              <w:rFonts w:hint="eastAsia" w:ascii="仿宋" w:hAnsi="仿宋" w:eastAsia="仿宋"/>
              <w:bCs w:val="0"/>
              <w:highlight w:val="none"/>
            </w:rPr>
            <w:t>九、</w:t>
          </w:r>
          <w:r>
            <w:rPr>
              <w:rFonts w:hint="eastAsia" w:ascii="仿宋" w:hAnsi="仿宋" w:eastAsia="仿宋"/>
              <w:highlight w:val="none"/>
            </w:rPr>
            <w:t>一</w:t>
          </w:r>
          <w:r>
            <w:rPr>
              <w:rFonts w:hint="eastAsia" w:ascii="仿宋" w:hAnsi="仿宋" w:eastAsia="仿宋"/>
              <w:bCs w:val="0"/>
              <w:highlight w:val="none"/>
            </w:rPr>
            <w:t>般公共预算财政拨款项目支出决算表</w:t>
          </w:r>
          <w:r>
            <w:tab/>
          </w:r>
          <w:r>
            <w:fldChar w:fldCharType="begin"/>
          </w:r>
          <w:r>
            <w:instrText xml:space="preserve"> PAGEREF _Toc226 \h </w:instrText>
          </w:r>
          <w:r>
            <w:fldChar w:fldCharType="separate"/>
          </w:r>
          <w:r>
            <w:t>12</w:t>
          </w:r>
          <w:r>
            <w:fldChar w:fldCharType="end"/>
          </w:r>
          <w:r>
            <w:fldChar w:fldCharType="end"/>
          </w:r>
        </w:p>
        <w:p>
          <w:pPr>
            <w:pStyle w:val="32"/>
            <w:tabs>
              <w:tab w:val="right" w:leader="dot" w:pos="8306"/>
            </w:tabs>
          </w:pPr>
          <w:r>
            <w:fldChar w:fldCharType="begin"/>
          </w:r>
          <w:r>
            <w:instrText xml:space="preserve"> HYPERLINK \l _Toc22263 </w:instrText>
          </w:r>
          <w:r>
            <w:fldChar w:fldCharType="separate"/>
          </w:r>
          <w:r>
            <w:rPr>
              <w:rFonts w:hint="eastAsia" w:ascii="仿宋" w:hAnsi="仿宋" w:eastAsia="仿宋"/>
              <w:bCs w:val="0"/>
              <w:highlight w:val="none"/>
            </w:rPr>
            <w:t>十、</w:t>
          </w:r>
          <w:r>
            <w:rPr>
              <w:rFonts w:hint="eastAsia" w:ascii="仿宋" w:hAnsi="仿宋" w:eastAsia="仿宋"/>
              <w:highlight w:val="none"/>
            </w:rPr>
            <w:t>政</w:t>
          </w:r>
          <w:r>
            <w:rPr>
              <w:rFonts w:hint="eastAsia" w:ascii="仿宋" w:hAnsi="仿宋" w:eastAsia="仿宋"/>
              <w:bCs w:val="0"/>
              <w:highlight w:val="none"/>
            </w:rPr>
            <w:t>府性基金预算财政拨款收入支出决算表</w:t>
          </w:r>
          <w:r>
            <w:tab/>
          </w:r>
          <w:r>
            <w:fldChar w:fldCharType="begin"/>
          </w:r>
          <w:r>
            <w:instrText xml:space="preserve"> PAGEREF _Toc22263 \h </w:instrText>
          </w:r>
          <w:r>
            <w:fldChar w:fldCharType="separate"/>
          </w:r>
          <w:r>
            <w:t>12</w:t>
          </w:r>
          <w:r>
            <w:fldChar w:fldCharType="end"/>
          </w:r>
          <w:r>
            <w:fldChar w:fldCharType="end"/>
          </w:r>
        </w:p>
        <w:p>
          <w:pPr>
            <w:pStyle w:val="32"/>
            <w:tabs>
              <w:tab w:val="right" w:leader="dot" w:pos="8306"/>
            </w:tabs>
          </w:pPr>
          <w:r>
            <w:fldChar w:fldCharType="begin"/>
          </w:r>
          <w:r>
            <w:instrText xml:space="preserve"> HYPERLINK \l _Toc18620 </w:instrText>
          </w:r>
          <w:r>
            <w:fldChar w:fldCharType="separate"/>
          </w:r>
          <w:r>
            <w:rPr>
              <w:rFonts w:hint="eastAsia" w:ascii="仿宋" w:hAnsi="仿宋" w:eastAsia="仿宋"/>
              <w:bCs w:val="0"/>
              <w:highlight w:val="none"/>
            </w:rPr>
            <w:t>十一、</w:t>
          </w:r>
          <w:r>
            <w:rPr>
              <w:rFonts w:hint="eastAsia" w:ascii="仿宋" w:hAnsi="仿宋" w:eastAsia="仿宋"/>
              <w:highlight w:val="none"/>
            </w:rPr>
            <w:t>国</w:t>
          </w:r>
          <w:r>
            <w:rPr>
              <w:rFonts w:hint="eastAsia" w:ascii="仿宋" w:hAnsi="仿宋" w:eastAsia="仿宋"/>
              <w:bCs w:val="0"/>
              <w:highlight w:val="none"/>
            </w:rPr>
            <w:t>有资本经营预算</w:t>
          </w:r>
          <w:r>
            <w:rPr>
              <w:rFonts w:hint="eastAsia" w:ascii="仿宋" w:hAnsi="仿宋" w:eastAsia="仿宋"/>
              <w:bCs w:val="0"/>
              <w:highlight w:val="none"/>
              <w:lang w:eastAsia="zh-CN"/>
            </w:rPr>
            <w:t>财政拨款收入</w:t>
          </w:r>
          <w:r>
            <w:rPr>
              <w:rFonts w:hint="eastAsia" w:ascii="仿宋" w:hAnsi="仿宋" w:eastAsia="仿宋"/>
              <w:bCs w:val="0"/>
              <w:highlight w:val="none"/>
            </w:rPr>
            <w:t>支出决算表</w:t>
          </w:r>
          <w:r>
            <w:tab/>
          </w:r>
          <w:r>
            <w:fldChar w:fldCharType="begin"/>
          </w:r>
          <w:r>
            <w:instrText xml:space="preserve"> PAGEREF _Toc18620 \h </w:instrText>
          </w:r>
          <w:r>
            <w:fldChar w:fldCharType="separate"/>
          </w:r>
          <w:r>
            <w:t>12</w:t>
          </w:r>
          <w:r>
            <w:fldChar w:fldCharType="end"/>
          </w:r>
          <w:r>
            <w:fldChar w:fldCharType="end"/>
          </w:r>
        </w:p>
        <w:p>
          <w:pPr>
            <w:pStyle w:val="32"/>
            <w:tabs>
              <w:tab w:val="right" w:leader="dot" w:pos="8306"/>
            </w:tabs>
          </w:pPr>
          <w:r>
            <w:fldChar w:fldCharType="begin"/>
          </w:r>
          <w:r>
            <w:instrText xml:space="preserve"> HYPERLINK \l _Toc21456 </w:instrText>
          </w:r>
          <w:r>
            <w:fldChar w:fldCharType="separate"/>
          </w:r>
          <w:r>
            <w:rPr>
              <w:rFonts w:hint="eastAsia" w:ascii="仿宋" w:hAnsi="仿宋" w:eastAsia="仿宋"/>
              <w:bCs w:val="0"/>
              <w:highlight w:val="none"/>
            </w:rPr>
            <w:t>十二、</w:t>
          </w:r>
          <w:r>
            <w:rPr>
              <w:rFonts w:hint="eastAsia" w:ascii="仿宋" w:hAnsi="仿宋" w:eastAsia="仿宋"/>
              <w:bCs w:val="0"/>
              <w:highlight w:val="none"/>
              <w:lang w:eastAsia="zh-CN"/>
            </w:rPr>
            <w:t>国有资本经营预算财政拨款支出决算表</w:t>
          </w:r>
          <w:r>
            <w:tab/>
          </w:r>
          <w:r>
            <w:fldChar w:fldCharType="begin"/>
          </w:r>
          <w:r>
            <w:instrText xml:space="preserve"> PAGEREF _Toc21456 \h </w:instrText>
          </w:r>
          <w:r>
            <w:fldChar w:fldCharType="separate"/>
          </w:r>
          <w:r>
            <w:t>12</w:t>
          </w:r>
          <w:r>
            <w:fldChar w:fldCharType="end"/>
          </w:r>
          <w:r>
            <w:fldChar w:fldCharType="end"/>
          </w:r>
        </w:p>
        <w:p>
          <w:pPr>
            <w:pStyle w:val="32"/>
            <w:tabs>
              <w:tab w:val="right" w:leader="dot" w:pos="8306"/>
            </w:tabs>
          </w:pPr>
          <w:r>
            <w:fldChar w:fldCharType="begin"/>
          </w:r>
          <w:r>
            <w:instrText xml:space="preserve"> HYPERLINK \l _Toc7196 </w:instrText>
          </w:r>
          <w:r>
            <w:fldChar w:fldCharType="separate"/>
          </w:r>
          <w:r>
            <w:rPr>
              <w:rFonts w:hint="eastAsia" w:ascii="仿宋" w:hAnsi="仿宋" w:eastAsia="仿宋"/>
              <w:bCs w:val="0"/>
              <w:highlight w:val="none"/>
            </w:rPr>
            <w:t>十三、</w:t>
          </w:r>
          <w:r>
            <w:rPr>
              <w:rFonts w:hint="eastAsia" w:ascii="仿宋" w:hAnsi="仿宋" w:eastAsia="仿宋"/>
              <w:bCs w:val="0"/>
              <w:highlight w:val="none"/>
              <w:lang w:eastAsia="zh-CN"/>
            </w:rPr>
            <w:t>财政拨款“三公”经费支出决算表</w:t>
          </w:r>
          <w:r>
            <w:tab/>
          </w:r>
          <w:r>
            <w:fldChar w:fldCharType="begin"/>
          </w:r>
          <w:r>
            <w:instrText xml:space="preserve"> PAGEREF _Toc7196 \h </w:instrText>
          </w:r>
          <w:r>
            <w:fldChar w:fldCharType="separate"/>
          </w:r>
          <w:r>
            <w:t>12</w:t>
          </w:r>
          <w:r>
            <w:fldChar w:fldCharType="end"/>
          </w:r>
          <w:r>
            <w:fldChar w:fldCharType="end"/>
          </w:r>
        </w:p>
        <w:p>
          <w:r>
            <w:rPr>
              <w:b/>
            </w:rPr>
            <w:fldChar w:fldCharType="end"/>
          </w:r>
        </w:p>
      </w:sdtContent>
    </w:sdt>
    <w:p>
      <w:pPr>
        <w:pStyle w:val="3"/>
        <w:jc w:val="center"/>
        <w:rPr>
          <w:rFonts w:hint="eastAsia" w:ascii="黑体" w:hAnsi="黑体" w:eastAsia="黑体"/>
          <w:b w:val="0"/>
          <w:color w:val="auto"/>
          <w:highlight w:val="none"/>
        </w:rPr>
        <w:sectPr>
          <w:headerReference r:id="rId3" w:type="default"/>
          <w:pgSz w:w="11906" w:h="16838"/>
          <w:pgMar w:top="1440" w:right="1800" w:bottom="1440" w:left="1800" w:header="851" w:footer="992" w:gutter="0"/>
          <w:pgNumType w:start="1"/>
          <w:cols w:space="425" w:num="1"/>
          <w:titlePg/>
          <w:docGrid w:type="lines" w:linePitch="312" w:charSpace="0"/>
        </w:sectPr>
      </w:pPr>
      <w:bookmarkStart w:id="18" w:name="_Toc31811"/>
    </w:p>
    <w:p>
      <w:pPr>
        <w:pStyle w:val="3"/>
        <w:jc w:val="center"/>
        <w:rPr>
          <w:rStyle w:val="17"/>
          <w:rFonts w:ascii="黑体" w:hAnsi="黑体" w:eastAsia="黑体"/>
          <w:b/>
          <w:bCs w:val="0"/>
          <w:color w:val="auto"/>
          <w:highlight w:val="none"/>
        </w:rPr>
      </w:pPr>
      <w:r>
        <w:rPr>
          <w:rFonts w:hint="eastAsia" w:ascii="黑体" w:hAnsi="黑体" w:eastAsia="黑体"/>
          <w:b w:val="0"/>
          <w:color w:val="auto"/>
          <w:highlight w:val="none"/>
        </w:rPr>
        <w:t>第一部分</w:t>
      </w:r>
      <w:r>
        <w:rPr>
          <w:rFonts w:hint="eastAsia" w:ascii="黑体" w:hAnsi="黑体" w:eastAsia="黑体"/>
          <w:b w:val="0"/>
          <w:color w:val="auto"/>
          <w:highlight w:val="none"/>
          <w:lang w:eastAsia="zh-CN"/>
        </w:rPr>
        <w:t>单位</w:t>
      </w:r>
      <w:r>
        <w:rPr>
          <w:rStyle w:val="17"/>
          <w:rFonts w:hint="eastAsia" w:ascii="黑体" w:hAnsi="黑体" w:eastAsia="黑体"/>
          <w:b w:val="0"/>
          <w:bCs w:val="0"/>
          <w:color w:val="auto"/>
          <w:highlight w:val="none"/>
        </w:rPr>
        <w:t>概况</w:t>
      </w:r>
      <w:bookmarkEnd w:id="15"/>
      <w:bookmarkEnd w:id="16"/>
      <w:bookmarkEnd w:id="17"/>
      <w:bookmarkEnd w:id="18"/>
    </w:p>
    <w:p>
      <w:pPr>
        <w:widowControl/>
        <w:jc w:val="left"/>
        <w:rPr>
          <w:rFonts w:ascii="黑体" w:eastAsia="黑体"/>
          <w:color w:val="auto"/>
          <w:sz w:val="32"/>
          <w:szCs w:val="32"/>
          <w:highlight w:val="none"/>
        </w:rPr>
      </w:pPr>
    </w:p>
    <w:p>
      <w:pPr>
        <w:pStyle w:val="4"/>
        <w:numPr>
          <w:ilvl w:val="0"/>
          <w:numId w:val="1"/>
        </w:numPr>
        <w:rPr>
          <w:rStyle w:val="18"/>
          <w:rFonts w:hint="eastAsia" w:ascii="黑体" w:hAnsi="黑体" w:eastAsia="黑体"/>
          <w:b w:val="0"/>
          <w:bCs w:val="0"/>
          <w:color w:val="auto"/>
          <w:highlight w:val="none"/>
          <w:lang w:eastAsia="zh-CN"/>
        </w:rPr>
      </w:pPr>
      <w:bookmarkStart w:id="19" w:name="_Toc15936_WPSOffice_Level2"/>
      <w:bookmarkStart w:id="20" w:name="_Toc390"/>
      <w:bookmarkStart w:id="21" w:name="_Toc15396600"/>
      <w:bookmarkStart w:id="22" w:name="_Toc15377197"/>
      <w:r>
        <w:rPr>
          <w:rStyle w:val="18"/>
          <w:rFonts w:hint="eastAsia" w:ascii="黑体" w:hAnsi="黑体" w:eastAsia="黑体"/>
          <w:b w:val="0"/>
          <w:bCs w:val="0"/>
          <w:color w:val="auto"/>
          <w:highlight w:val="none"/>
          <w:lang w:eastAsia="zh-CN"/>
        </w:rPr>
        <w:t>主要职责</w:t>
      </w:r>
      <w:bookmarkEnd w:id="19"/>
      <w:bookmarkEnd w:id="20"/>
    </w:p>
    <w:p>
      <w:pPr>
        <w:ind w:firstLine="640" w:firstLineChars="200"/>
        <w:rPr>
          <w:rFonts w:hint="eastAsia" w:ascii="仿宋" w:hAnsi="仿宋" w:eastAsia="仿宋"/>
          <w:sz w:val="32"/>
          <w:szCs w:val="32"/>
          <w:lang w:eastAsia="zh-CN"/>
        </w:rPr>
      </w:pPr>
      <w:r>
        <w:rPr>
          <w:rFonts w:hint="eastAsia" w:ascii="仿宋_GB2312" w:eastAsia="仿宋_GB2312" w:cs="仿宋_GB2312"/>
          <w:color w:val="333333"/>
          <w:kern w:val="0"/>
          <w:sz w:val="32"/>
          <w:szCs w:val="32"/>
          <w:shd w:val="clear" w:color="auto" w:fill="FFFFFF"/>
          <w:lang w:bidi="ar"/>
        </w:rPr>
        <w:t>广元市零八一中学隶属广元市教育局直属义务教育学校，负责实施九年制义务教育，促进基础教育发展。</w:t>
      </w:r>
      <w:r>
        <w:rPr>
          <w:rFonts w:hint="eastAsia" w:ascii="仿宋" w:hAnsi="仿宋" w:eastAsia="仿宋"/>
          <w:sz w:val="32"/>
          <w:szCs w:val="32"/>
        </w:rPr>
        <w:t>着力加强党务工作,充分发挥战斗堡垒作用</w:t>
      </w:r>
      <w:r>
        <w:rPr>
          <w:rFonts w:hint="eastAsia" w:ascii="仿宋" w:hAnsi="仿宋" w:eastAsia="仿宋"/>
          <w:sz w:val="32"/>
          <w:szCs w:val="32"/>
          <w:lang w:eastAsia="zh-CN"/>
        </w:rPr>
        <w:t>；</w:t>
      </w:r>
      <w:r>
        <w:rPr>
          <w:rFonts w:hint="eastAsia" w:ascii="仿宋" w:hAnsi="仿宋" w:eastAsia="仿宋" w:cs="宋体"/>
          <w:kern w:val="0"/>
          <w:sz w:val="32"/>
          <w:szCs w:val="32"/>
        </w:rPr>
        <w:t>稳步提升</w:t>
      </w:r>
      <w:r>
        <w:rPr>
          <w:rFonts w:hint="eastAsia" w:ascii="仿宋" w:hAnsi="仿宋" w:eastAsia="仿宋"/>
          <w:sz w:val="32"/>
          <w:szCs w:val="32"/>
          <w:lang w:eastAsia="zh-CN"/>
        </w:rPr>
        <w:t>教育</w:t>
      </w:r>
      <w:r>
        <w:rPr>
          <w:rFonts w:hint="eastAsia" w:ascii="仿宋" w:hAnsi="仿宋" w:eastAsia="仿宋" w:cs="宋体"/>
          <w:kern w:val="0"/>
          <w:sz w:val="32"/>
          <w:szCs w:val="32"/>
          <w:lang w:eastAsia="zh-CN"/>
        </w:rPr>
        <w:t>教学质量</w:t>
      </w:r>
      <w:r>
        <w:rPr>
          <w:rFonts w:hint="eastAsia" w:ascii="仿宋" w:hAnsi="仿宋" w:eastAsia="仿宋" w:cs="宋体"/>
          <w:kern w:val="0"/>
          <w:sz w:val="32"/>
          <w:szCs w:val="32"/>
        </w:rPr>
        <w:t>，稳控优质生源</w:t>
      </w:r>
      <w:r>
        <w:rPr>
          <w:rFonts w:hint="eastAsia" w:ascii="仿宋" w:hAnsi="仿宋" w:eastAsia="仿宋" w:cs="宋体"/>
          <w:kern w:val="0"/>
          <w:sz w:val="32"/>
          <w:szCs w:val="32"/>
          <w:lang w:eastAsia="zh-CN"/>
        </w:rPr>
        <w:t>；</w:t>
      </w:r>
      <w:r>
        <w:rPr>
          <w:rFonts w:hint="eastAsia" w:ascii="仿宋" w:hAnsi="仿宋" w:eastAsia="仿宋"/>
          <w:sz w:val="32"/>
          <w:szCs w:val="32"/>
        </w:rPr>
        <w:t>五育并举全面提高育人实效</w:t>
      </w:r>
      <w:r>
        <w:rPr>
          <w:rFonts w:hint="eastAsia" w:ascii="仿宋" w:hAnsi="仿宋" w:eastAsia="仿宋"/>
          <w:sz w:val="32"/>
          <w:szCs w:val="32"/>
          <w:lang w:eastAsia="zh-CN"/>
        </w:rPr>
        <w:t>；</w:t>
      </w:r>
      <w:r>
        <w:rPr>
          <w:rFonts w:hint="eastAsia" w:ascii="仿宋" w:hAnsi="仿宋" w:eastAsia="仿宋"/>
          <w:sz w:val="32"/>
          <w:szCs w:val="32"/>
        </w:rPr>
        <w:t>认真开展学校安全防范工作</w:t>
      </w:r>
      <w:r>
        <w:rPr>
          <w:rFonts w:hint="eastAsia" w:ascii="仿宋" w:hAnsi="仿宋" w:eastAsia="仿宋"/>
          <w:sz w:val="32"/>
          <w:szCs w:val="32"/>
          <w:lang w:eastAsia="zh-CN"/>
        </w:rPr>
        <w:t>；</w:t>
      </w:r>
      <w:r>
        <w:rPr>
          <w:rFonts w:hint="eastAsia" w:ascii="仿宋" w:hAnsi="仿宋" w:eastAsia="仿宋"/>
          <w:sz w:val="32"/>
          <w:szCs w:val="32"/>
        </w:rPr>
        <w:t>立足发展，夯实过程，加强</w:t>
      </w:r>
      <w:r>
        <w:rPr>
          <w:rFonts w:hint="eastAsia" w:ascii="仿宋" w:hAnsi="仿宋" w:eastAsia="仿宋"/>
          <w:sz w:val="32"/>
          <w:szCs w:val="32"/>
          <w:lang w:eastAsia="zh-CN"/>
        </w:rPr>
        <w:t>教育</w:t>
      </w:r>
      <w:r>
        <w:rPr>
          <w:rFonts w:hint="eastAsia" w:ascii="仿宋" w:hAnsi="仿宋" w:eastAsia="仿宋"/>
          <w:sz w:val="32"/>
          <w:szCs w:val="32"/>
        </w:rPr>
        <w:t>教学常规管理</w:t>
      </w:r>
      <w:r>
        <w:rPr>
          <w:rFonts w:hint="eastAsia" w:ascii="仿宋" w:hAnsi="仿宋" w:eastAsia="仿宋"/>
          <w:sz w:val="32"/>
          <w:szCs w:val="32"/>
          <w:lang w:eastAsia="zh-CN"/>
        </w:rPr>
        <w:t>；</w:t>
      </w:r>
      <w:r>
        <w:rPr>
          <w:rFonts w:hint="eastAsia" w:ascii="仿宋" w:hAnsi="仿宋" w:eastAsia="仿宋"/>
          <w:sz w:val="32"/>
          <w:szCs w:val="32"/>
        </w:rPr>
        <w:t>科研兴校，全面提升</w:t>
      </w:r>
      <w:r>
        <w:rPr>
          <w:rFonts w:hint="eastAsia" w:ascii="仿宋" w:hAnsi="仿宋" w:eastAsia="仿宋"/>
          <w:sz w:val="32"/>
          <w:szCs w:val="32"/>
          <w:lang w:eastAsia="zh-CN"/>
        </w:rPr>
        <w:t>教育</w:t>
      </w:r>
      <w:r>
        <w:rPr>
          <w:rFonts w:hint="eastAsia" w:ascii="仿宋" w:hAnsi="仿宋" w:eastAsia="仿宋"/>
          <w:sz w:val="32"/>
          <w:szCs w:val="32"/>
        </w:rPr>
        <w:t>科研质量</w:t>
      </w:r>
      <w:r>
        <w:rPr>
          <w:rFonts w:hint="eastAsia" w:ascii="仿宋" w:hAnsi="仿宋" w:eastAsia="仿宋"/>
          <w:sz w:val="32"/>
          <w:szCs w:val="32"/>
          <w:lang w:eastAsia="zh-CN"/>
        </w:rPr>
        <w:t>；</w:t>
      </w:r>
      <w:r>
        <w:rPr>
          <w:rFonts w:hint="eastAsia" w:ascii="仿宋" w:hAnsi="仿宋" w:eastAsia="仿宋"/>
          <w:sz w:val="32"/>
          <w:szCs w:val="32"/>
        </w:rPr>
        <w:t>营造和谐氛围，关注教师幸福健康</w:t>
      </w:r>
      <w:r>
        <w:rPr>
          <w:rFonts w:hint="eastAsia" w:ascii="仿宋" w:hAnsi="仿宋" w:eastAsia="仿宋"/>
          <w:sz w:val="32"/>
          <w:szCs w:val="32"/>
          <w:lang w:eastAsia="zh-CN"/>
        </w:rPr>
        <w:t>；</w:t>
      </w:r>
      <w:r>
        <w:rPr>
          <w:rFonts w:hint="eastAsia" w:ascii="仿宋" w:hAnsi="仿宋" w:eastAsia="仿宋"/>
          <w:sz w:val="32"/>
          <w:szCs w:val="32"/>
        </w:rPr>
        <w:t>强</w:t>
      </w:r>
      <w:r>
        <w:rPr>
          <w:rFonts w:hint="eastAsia" w:ascii="仿宋" w:hAnsi="仿宋" w:eastAsia="仿宋"/>
          <w:sz w:val="32"/>
          <w:szCs w:val="32"/>
          <w:lang w:eastAsia="zh-CN"/>
        </w:rPr>
        <w:t>化</w:t>
      </w:r>
      <w:r>
        <w:rPr>
          <w:rFonts w:hint="eastAsia" w:ascii="仿宋" w:hAnsi="仿宋" w:eastAsia="仿宋"/>
          <w:sz w:val="32"/>
          <w:szCs w:val="32"/>
        </w:rPr>
        <w:t>后勤</w:t>
      </w:r>
      <w:r>
        <w:rPr>
          <w:rFonts w:hint="eastAsia" w:ascii="仿宋" w:hAnsi="仿宋" w:eastAsia="仿宋"/>
          <w:sz w:val="32"/>
          <w:szCs w:val="32"/>
          <w:lang w:eastAsia="zh-CN"/>
        </w:rPr>
        <w:t>保障</w:t>
      </w:r>
      <w:r>
        <w:rPr>
          <w:rFonts w:hint="eastAsia" w:ascii="仿宋" w:hAnsi="仿宋" w:eastAsia="仿宋"/>
          <w:sz w:val="32"/>
          <w:szCs w:val="32"/>
        </w:rPr>
        <w:t>服务</w:t>
      </w:r>
      <w:r>
        <w:rPr>
          <w:rFonts w:hint="eastAsia" w:ascii="仿宋" w:hAnsi="仿宋" w:eastAsia="仿宋"/>
          <w:sz w:val="32"/>
          <w:szCs w:val="32"/>
          <w:lang w:eastAsia="zh-CN"/>
        </w:rPr>
        <w:t>育人功能。</w:t>
      </w:r>
    </w:p>
    <w:p>
      <w:pPr>
        <w:rPr>
          <w:rFonts w:hint="eastAsia"/>
          <w:lang w:eastAsia="zh-CN"/>
        </w:rPr>
      </w:pPr>
    </w:p>
    <w:p>
      <w:pPr>
        <w:pStyle w:val="4"/>
        <w:numPr>
          <w:ilvl w:val="0"/>
          <w:numId w:val="0"/>
        </w:numPr>
        <w:rPr>
          <w:rFonts w:hint="eastAsia" w:ascii="黑体" w:hAnsi="黑体" w:eastAsia="黑体"/>
          <w:b w:val="0"/>
          <w:color w:val="auto"/>
          <w:highlight w:val="none"/>
          <w:lang w:val="en-US" w:eastAsia="zh-CN"/>
        </w:rPr>
      </w:pPr>
      <w:bookmarkStart w:id="23" w:name="_Toc27512_WPSOffice_Level2"/>
      <w:bookmarkStart w:id="24" w:name="_Toc16413"/>
      <w:r>
        <w:rPr>
          <w:rFonts w:hint="eastAsia" w:ascii="黑体" w:hAnsi="黑体" w:eastAsia="黑体"/>
          <w:b w:val="0"/>
          <w:color w:val="auto"/>
          <w:highlight w:val="none"/>
          <w:lang w:val="en-US" w:eastAsia="zh-CN"/>
        </w:rPr>
        <w:t>二、机构设置</w:t>
      </w:r>
      <w:bookmarkEnd w:id="23"/>
      <w:bookmarkEnd w:id="24"/>
    </w:p>
    <w:bookmarkEnd w:id="21"/>
    <w:bookmarkEnd w:id="22"/>
    <w:p>
      <w:pPr>
        <w:widowControl/>
        <w:ind w:firstLine="640" w:firstLineChars="200"/>
        <w:jc w:val="left"/>
        <w:rPr>
          <w:rFonts w:hint="eastAsia" w:ascii="仿宋" w:hAnsi="仿宋" w:eastAsia="仿宋"/>
          <w:color w:val="auto"/>
          <w:sz w:val="32"/>
          <w:szCs w:val="32"/>
          <w:highlight w:val="none"/>
          <w:lang w:val="en-US" w:eastAsia="zh-CN"/>
        </w:rPr>
      </w:pPr>
      <w:r>
        <w:rPr>
          <w:rFonts w:hint="eastAsia" w:ascii="仿宋" w:hAnsi="仿宋" w:eastAsia="仿宋"/>
          <w:color w:val="auto"/>
          <w:sz w:val="32"/>
          <w:szCs w:val="32"/>
          <w:highlight w:val="none"/>
          <w:lang w:val="en-US" w:eastAsia="zh-CN"/>
        </w:rPr>
        <w:t>广元市零八一中学属于广元市教育局下属的二级预算单位，下设独立编制机构0个，其中行政机构0个，参照公务员法管理的事业机构0个，其他事业机构0个。</w:t>
      </w:r>
    </w:p>
    <w:p>
      <w:pPr>
        <w:widowControl/>
        <w:ind w:firstLine="640" w:firstLineChars="200"/>
        <w:jc w:val="left"/>
        <w:rPr>
          <w:rFonts w:ascii="仿宋" w:hAnsi="仿宋" w:eastAsia="仿宋"/>
          <w:color w:val="auto"/>
          <w:kern w:val="0"/>
          <w:sz w:val="32"/>
          <w:szCs w:val="32"/>
          <w:highlight w:val="none"/>
        </w:rPr>
      </w:pPr>
      <w:r>
        <w:rPr>
          <w:rFonts w:hint="eastAsia" w:ascii="仿宋" w:hAnsi="仿宋" w:eastAsia="仿宋"/>
          <w:color w:val="auto"/>
          <w:sz w:val="32"/>
          <w:szCs w:val="32"/>
          <w:highlight w:val="none"/>
          <w:lang w:val="en-US" w:eastAsia="zh-CN"/>
        </w:rPr>
        <w:t>设置领导干部6个：分别是党总支书记1个，校长1个，副校长4个。设置处室6各：分别是行政办公室、党建办公室、教科室、教务科、政教科、总务科。</w:t>
      </w:r>
      <w:r>
        <w:rPr>
          <w:rFonts w:ascii="仿宋" w:hAnsi="仿宋" w:eastAsia="仿宋"/>
          <w:color w:val="auto"/>
          <w:sz w:val="32"/>
          <w:szCs w:val="32"/>
          <w:highlight w:val="none"/>
        </w:rPr>
        <w:br w:type="page"/>
      </w:r>
    </w:p>
    <w:p>
      <w:pPr>
        <w:pStyle w:val="3"/>
        <w:ind w:right="440"/>
        <w:jc w:val="center"/>
        <w:rPr>
          <w:rStyle w:val="17"/>
          <w:rFonts w:ascii="黑体" w:hAnsi="黑体" w:eastAsia="黑体"/>
          <w:b w:val="0"/>
          <w:bCs/>
          <w:color w:val="auto"/>
          <w:highlight w:val="none"/>
        </w:rPr>
      </w:pPr>
      <w:bookmarkStart w:id="25" w:name="_Toc15377204"/>
      <w:bookmarkStart w:id="26" w:name="_Toc15936_WPSOffice_Level1"/>
      <w:bookmarkStart w:id="27" w:name="_Toc15396602"/>
      <w:bookmarkStart w:id="28" w:name="_Toc8484"/>
      <w:r>
        <w:rPr>
          <w:rFonts w:hint="eastAsia" w:ascii="黑体" w:hAnsi="黑体" w:eastAsia="黑体"/>
          <w:b w:val="0"/>
          <w:bCs/>
          <w:color w:val="auto"/>
          <w:highlight w:val="none"/>
        </w:rPr>
        <w:t>第二部分</w:t>
      </w:r>
      <w:r>
        <w:rPr>
          <w:rFonts w:hint="eastAsia" w:ascii="黑体" w:hAnsi="黑体" w:eastAsia="黑体"/>
          <w:b w:val="0"/>
          <w:bCs/>
          <w:color w:val="auto"/>
          <w:highlight w:val="none"/>
          <w:lang w:val="en-US" w:eastAsia="zh-CN"/>
        </w:rPr>
        <w:t>2022年度</w:t>
      </w:r>
      <w:r>
        <w:rPr>
          <w:rStyle w:val="17"/>
          <w:rFonts w:hint="eastAsia" w:ascii="黑体" w:hAnsi="黑体" w:eastAsia="黑体"/>
          <w:b w:val="0"/>
          <w:bCs/>
          <w:color w:val="auto"/>
          <w:highlight w:val="none"/>
          <w:lang w:eastAsia="zh-CN"/>
        </w:rPr>
        <w:t>单位</w:t>
      </w:r>
      <w:r>
        <w:rPr>
          <w:rStyle w:val="17"/>
          <w:rFonts w:hint="eastAsia" w:ascii="黑体" w:hAnsi="黑体" w:eastAsia="黑体"/>
          <w:b w:val="0"/>
          <w:bCs/>
          <w:color w:val="auto"/>
          <w:highlight w:val="none"/>
        </w:rPr>
        <w:t>决算情况说明</w:t>
      </w:r>
      <w:bookmarkEnd w:id="25"/>
      <w:bookmarkEnd w:id="26"/>
      <w:bookmarkEnd w:id="27"/>
      <w:bookmarkEnd w:id="28"/>
    </w:p>
    <w:p>
      <w:pPr>
        <w:rPr>
          <w:color w:val="auto"/>
          <w:highlight w:val="none"/>
        </w:rPr>
      </w:pPr>
    </w:p>
    <w:p>
      <w:pPr>
        <w:pStyle w:val="27"/>
        <w:numPr>
          <w:ilvl w:val="0"/>
          <w:numId w:val="2"/>
        </w:numPr>
        <w:spacing w:line="600" w:lineRule="exact"/>
        <w:ind w:firstLineChars="0"/>
        <w:outlineLvl w:val="1"/>
        <w:rPr>
          <w:rStyle w:val="18"/>
          <w:rFonts w:ascii="黑体" w:hAnsi="黑体" w:eastAsia="黑体"/>
          <w:b w:val="0"/>
          <w:color w:val="auto"/>
          <w:highlight w:val="none"/>
        </w:rPr>
      </w:pPr>
      <w:bookmarkStart w:id="29" w:name="_Toc15396603"/>
      <w:bookmarkStart w:id="30" w:name="_Toc15377205"/>
      <w:bookmarkStart w:id="31" w:name="_Toc11468_WPSOffice_Level2"/>
      <w:bookmarkStart w:id="32" w:name="_Toc20444"/>
      <w:r>
        <w:rPr>
          <w:rFonts w:hint="eastAsia" w:ascii="黑体" w:hAnsi="黑体" w:eastAsia="黑体"/>
          <w:color w:val="auto"/>
          <w:sz w:val="32"/>
          <w:szCs w:val="32"/>
          <w:highlight w:val="none"/>
        </w:rPr>
        <w:t>收</w:t>
      </w:r>
      <w:r>
        <w:rPr>
          <w:rStyle w:val="18"/>
          <w:rFonts w:hint="eastAsia" w:ascii="黑体" w:hAnsi="黑体" w:eastAsia="黑体"/>
          <w:b w:val="0"/>
          <w:color w:val="auto"/>
          <w:highlight w:val="none"/>
        </w:rPr>
        <w:t>入支出决算总体情况说明</w:t>
      </w:r>
      <w:bookmarkEnd w:id="29"/>
      <w:bookmarkEnd w:id="30"/>
      <w:bookmarkEnd w:id="31"/>
      <w:bookmarkEnd w:id="32"/>
    </w:p>
    <w:p>
      <w:pPr>
        <w:spacing w:line="600" w:lineRule="exact"/>
        <w:ind w:firstLine="640" w:firstLineChars="200"/>
        <w:rPr>
          <w:rFonts w:hint="eastAsia" w:ascii="仿宋" w:hAnsi="仿宋" w:eastAsia="仿宋"/>
          <w:color w:val="auto"/>
          <w:sz w:val="32"/>
          <w:szCs w:val="32"/>
          <w:highlight w:val="none"/>
          <w:lang w:eastAsia="zh-CN"/>
        </w:rPr>
      </w:pPr>
      <w:r>
        <w:rPr>
          <w:rFonts w:hint="eastAsia"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年度收、支总计</w:t>
      </w:r>
      <w:r>
        <w:rPr>
          <w:rFonts w:hint="eastAsia" w:ascii="仿宋" w:hAnsi="仿宋" w:eastAsia="仿宋"/>
          <w:color w:val="auto"/>
          <w:sz w:val="32"/>
          <w:szCs w:val="32"/>
          <w:highlight w:val="none"/>
          <w:lang w:val="en-US" w:eastAsia="zh-CN"/>
        </w:rPr>
        <w:t>4114.86</w:t>
      </w:r>
      <w:r>
        <w:rPr>
          <w:rFonts w:hint="eastAsia" w:ascii="仿宋" w:hAnsi="仿宋" w:eastAsia="仿宋"/>
          <w:color w:val="auto"/>
          <w:sz w:val="32"/>
          <w:szCs w:val="32"/>
          <w:highlight w:val="none"/>
        </w:rPr>
        <w:t>万元。与20</w:t>
      </w:r>
      <w:r>
        <w:rPr>
          <w:rFonts w:hint="eastAsia" w:ascii="仿宋" w:hAnsi="仿宋" w:eastAsia="仿宋"/>
          <w:color w:val="auto"/>
          <w:sz w:val="32"/>
          <w:szCs w:val="32"/>
          <w:highlight w:val="none"/>
          <w:lang w:val="en-US" w:eastAsia="zh-CN"/>
        </w:rPr>
        <w:t>21</w:t>
      </w:r>
      <w:r>
        <w:rPr>
          <w:rFonts w:hint="eastAsia" w:ascii="仿宋" w:hAnsi="仿宋" w:eastAsia="仿宋"/>
          <w:color w:val="auto"/>
          <w:sz w:val="32"/>
          <w:szCs w:val="32"/>
          <w:highlight w:val="none"/>
        </w:rPr>
        <w:t>年</w:t>
      </w:r>
      <w:r>
        <w:rPr>
          <w:rFonts w:hint="eastAsia" w:ascii="仿宋" w:hAnsi="仿宋" w:eastAsia="仿宋"/>
          <w:sz w:val="32"/>
          <w:szCs w:val="32"/>
        </w:rPr>
        <w:t>3913.03</w:t>
      </w:r>
      <w:r>
        <w:rPr>
          <w:rFonts w:hint="eastAsia" w:ascii="仿宋" w:hAnsi="仿宋" w:eastAsia="仿宋"/>
          <w:sz w:val="32"/>
          <w:szCs w:val="32"/>
          <w:lang w:eastAsia="zh-CN"/>
        </w:rPr>
        <w:t>万元</w:t>
      </w:r>
      <w:r>
        <w:rPr>
          <w:rFonts w:hint="eastAsia" w:ascii="仿宋" w:hAnsi="仿宋" w:eastAsia="仿宋"/>
          <w:color w:val="auto"/>
          <w:sz w:val="32"/>
          <w:szCs w:val="32"/>
          <w:highlight w:val="none"/>
        </w:rPr>
        <w:t>相比，收、支总计各增加</w:t>
      </w:r>
      <w:r>
        <w:rPr>
          <w:rFonts w:hint="eastAsia" w:ascii="仿宋" w:hAnsi="仿宋" w:eastAsia="仿宋"/>
          <w:color w:val="auto"/>
          <w:sz w:val="32"/>
          <w:szCs w:val="32"/>
          <w:highlight w:val="none"/>
          <w:lang w:val="en-US" w:eastAsia="zh-CN"/>
        </w:rPr>
        <w:t>201.83</w:t>
      </w:r>
      <w:r>
        <w:rPr>
          <w:rFonts w:hint="eastAsia" w:ascii="仿宋" w:hAnsi="仿宋" w:eastAsia="仿宋"/>
          <w:color w:val="auto"/>
          <w:sz w:val="32"/>
          <w:szCs w:val="32"/>
          <w:highlight w:val="none"/>
        </w:rPr>
        <w:t>万元，增长</w:t>
      </w:r>
      <w:r>
        <w:rPr>
          <w:rFonts w:hint="eastAsia" w:ascii="仿宋" w:hAnsi="仿宋" w:eastAsia="仿宋"/>
          <w:color w:val="auto"/>
          <w:sz w:val="32"/>
          <w:szCs w:val="32"/>
          <w:highlight w:val="none"/>
          <w:lang w:val="en-US" w:eastAsia="zh-CN"/>
        </w:rPr>
        <w:t>5.16</w:t>
      </w:r>
      <w:r>
        <w:rPr>
          <w:rFonts w:ascii="仿宋" w:hAnsi="仿宋" w:eastAsia="仿宋"/>
          <w:color w:val="auto"/>
          <w:sz w:val="32"/>
          <w:szCs w:val="32"/>
          <w:highlight w:val="none"/>
        </w:rPr>
        <w:t>%</w:t>
      </w:r>
      <w:r>
        <w:rPr>
          <w:rFonts w:hint="eastAsia" w:ascii="仿宋" w:hAnsi="仿宋" w:eastAsia="仿宋"/>
          <w:color w:val="auto"/>
          <w:sz w:val="32"/>
          <w:szCs w:val="32"/>
          <w:highlight w:val="none"/>
        </w:rPr>
        <w:t>。主要变动原因是</w:t>
      </w:r>
      <w:r>
        <w:rPr>
          <w:rFonts w:hint="eastAsia" w:ascii="仿宋" w:hAnsi="仿宋" w:eastAsia="仿宋"/>
          <w:color w:val="auto"/>
          <w:sz w:val="32"/>
          <w:szCs w:val="32"/>
          <w:highlight w:val="none"/>
          <w:lang w:eastAsia="zh-CN"/>
        </w:rPr>
        <w:t>小学部异地扩建项目建设资金。</w:t>
      </w:r>
    </w:p>
    <w:p>
      <w:pPr>
        <w:pStyle w:val="6"/>
        <w:ind w:left="0" w:leftChars="0" w:firstLine="1059" w:firstLineChars="353"/>
        <w:rPr>
          <w:rFonts w:hint="eastAsia" w:ascii="仿宋" w:hAnsi="仿宋" w:eastAsia="仿宋"/>
          <w:color w:val="auto"/>
          <w:sz w:val="32"/>
          <w:szCs w:val="32"/>
          <w:highlight w:val="none"/>
        </w:rPr>
      </w:pPr>
      <w:r>
        <w:rPr>
          <w:rFonts w:hint="eastAsia" w:eastAsiaTheme="minorEastAsia"/>
        </w:rPr>
        <w:drawing>
          <wp:inline distT="0" distB="0" distL="114300" distR="114300">
            <wp:extent cx="3380740" cy="1916430"/>
            <wp:effectExtent l="4445" t="4445" r="5715" b="22225"/>
            <wp:docPr id="2" name="3913.03"/>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pPr>
        <w:spacing w:line="600" w:lineRule="exact"/>
        <w:ind w:firstLine="1280" w:firstLineChars="400"/>
        <w:rPr>
          <w:rFonts w:hint="eastAsia" w:ascii="仿宋" w:hAnsi="仿宋" w:eastAsia="仿宋"/>
          <w:sz w:val="32"/>
          <w:szCs w:val="32"/>
          <w:highlight w:val="yellow"/>
        </w:rPr>
      </w:pPr>
      <w:r>
        <w:rPr>
          <w:rFonts w:hint="eastAsia" w:ascii="仿宋" w:hAnsi="仿宋" w:eastAsia="仿宋"/>
          <w:color w:val="auto"/>
          <w:sz w:val="32"/>
          <w:szCs w:val="32"/>
          <w:highlight w:val="none"/>
        </w:rPr>
        <w:t>（图1：收、支决算总计变动情况图）</w:t>
      </w:r>
    </w:p>
    <w:p>
      <w:pPr>
        <w:pStyle w:val="27"/>
        <w:numPr>
          <w:ilvl w:val="0"/>
          <w:numId w:val="2"/>
        </w:numPr>
        <w:spacing w:line="600" w:lineRule="exact"/>
        <w:ind w:firstLineChars="0"/>
        <w:outlineLvl w:val="1"/>
        <w:rPr>
          <w:rStyle w:val="18"/>
          <w:rFonts w:ascii="黑体" w:hAnsi="黑体" w:eastAsia="黑体"/>
          <w:b w:val="0"/>
          <w:color w:val="auto"/>
          <w:highlight w:val="none"/>
        </w:rPr>
      </w:pPr>
      <w:bookmarkStart w:id="33" w:name="_Toc15396604"/>
      <w:bookmarkStart w:id="34" w:name="_Toc11471_WPSOffice_Level2"/>
      <w:bookmarkStart w:id="35" w:name="_Toc15377206"/>
      <w:bookmarkStart w:id="36" w:name="_Toc5570"/>
      <w:r>
        <w:rPr>
          <w:rFonts w:hint="eastAsia" w:ascii="黑体" w:hAnsi="黑体" w:eastAsia="黑体"/>
          <w:color w:val="auto"/>
          <w:sz w:val="32"/>
          <w:szCs w:val="32"/>
          <w:highlight w:val="none"/>
        </w:rPr>
        <w:t>收</w:t>
      </w:r>
      <w:r>
        <w:rPr>
          <w:rStyle w:val="18"/>
          <w:rFonts w:hint="eastAsia" w:ascii="黑体" w:hAnsi="黑体" w:eastAsia="黑体"/>
          <w:b w:val="0"/>
          <w:color w:val="auto"/>
          <w:highlight w:val="none"/>
        </w:rPr>
        <w:t>入决算情况说明</w:t>
      </w:r>
      <w:bookmarkEnd w:id="33"/>
      <w:bookmarkEnd w:id="34"/>
      <w:bookmarkEnd w:id="35"/>
      <w:bookmarkEnd w:id="36"/>
    </w:p>
    <w:p>
      <w:pPr>
        <w:spacing w:line="600" w:lineRule="exact"/>
        <w:ind w:firstLine="640" w:firstLineChars="200"/>
        <w:outlineLvl w:val="1"/>
        <w:rPr>
          <w:rFonts w:ascii="仿宋" w:hAnsi="仿宋" w:eastAsia="仿宋"/>
          <w:color w:val="auto"/>
          <w:sz w:val="32"/>
          <w:szCs w:val="32"/>
          <w:highlight w:val="none"/>
        </w:rPr>
      </w:pPr>
      <w:bookmarkStart w:id="37" w:name="_Toc14226"/>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年本年收入合计</w:t>
      </w:r>
      <w:r>
        <w:rPr>
          <w:rFonts w:hint="eastAsia" w:ascii="仿宋" w:hAnsi="仿宋" w:eastAsia="仿宋"/>
          <w:color w:val="auto"/>
          <w:sz w:val="32"/>
          <w:szCs w:val="32"/>
          <w:highlight w:val="none"/>
          <w:lang w:val="en-US" w:eastAsia="zh-CN"/>
        </w:rPr>
        <w:t>3215.87</w:t>
      </w:r>
      <w:r>
        <w:rPr>
          <w:rFonts w:hint="eastAsia" w:ascii="仿宋" w:hAnsi="仿宋" w:eastAsia="仿宋"/>
          <w:color w:val="auto"/>
          <w:sz w:val="32"/>
          <w:szCs w:val="32"/>
          <w:highlight w:val="none"/>
        </w:rPr>
        <w:t>万元，其中：一般公共预算财政拨款收入</w:t>
      </w:r>
      <w:r>
        <w:rPr>
          <w:rFonts w:hint="eastAsia" w:ascii="仿宋" w:hAnsi="仿宋" w:eastAsia="仿宋"/>
          <w:color w:val="auto"/>
          <w:sz w:val="32"/>
          <w:szCs w:val="32"/>
          <w:highlight w:val="none"/>
          <w:lang w:val="en-US" w:eastAsia="zh-CN"/>
        </w:rPr>
        <w:t>3110.87</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96.73</w:t>
      </w:r>
      <w:r>
        <w:rPr>
          <w:rFonts w:ascii="仿宋" w:hAnsi="仿宋" w:eastAsia="仿宋"/>
          <w:color w:val="auto"/>
          <w:sz w:val="32"/>
          <w:szCs w:val="32"/>
          <w:highlight w:val="none"/>
        </w:rPr>
        <w:t>%</w:t>
      </w:r>
      <w:r>
        <w:rPr>
          <w:rFonts w:hint="eastAsia" w:ascii="仿宋" w:hAnsi="仿宋" w:eastAsia="仿宋"/>
          <w:color w:val="auto"/>
          <w:sz w:val="32"/>
          <w:szCs w:val="32"/>
          <w:highlight w:val="none"/>
        </w:rPr>
        <w:t>；事业收入</w:t>
      </w:r>
      <w:r>
        <w:rPr>
          <w:rFonts w:hint="eastAsia" w:ascii="仿宋" w:hAnsi="仿宋" w:eastAsia="仿宋"/>
          <w:color w:val="auto"/>
          <w:sz w:val="32"/>
          <w:szCs w:val="32"/>
          <w:highlight w:val="none"/>
          <w:lang w:val="en-US" w:eastAsia="zh-CN"/>
        </w:rPr>
        <w:t>105</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3.27</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bookmarkEnd w:id="37"/>
    </w:p>
    <w:p>
      <w:pPr>
        <w:pStyle w:val="2"/>
        <w:ind w:left="0" w:leftChars="0" w:firstLine="1059" w:firstLineChars="331"/>
      </w:pPr>
      <w:r>
        <w:rPr>
          <w:rFonts w:hint="eastAsia" w:eastAsiaTheme="minorEastAsia"/>
        </w:rPr>
        <w:drawing>
          <wp:inline distT="0" distB="0" distL="114300" distR="114300">
            <wp:extent cx="3358515" cy="1851025"/>
            <wp:effectExtent l="5080" t="4445" r="8255" b="11430"/>
            <wp:docPr id="4"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pPr>
        <w:spacing w:line="600" w:lineRule="exact"/>
        <w:ind w:firstLine="1920" w:firstLineChars="600"/>
        <w:rPr>
          <w:rFonts w:ascii="仿宋_GB2312" w:eastAsia="仿宋_GB2312"/>
          <w:color w:val="auto"/>
          <w:sz w:val="32"/>
          <w:szCs w:val="32"/>
          <w:highlight w:val="none"/>
        </w:rPr>
      </w:pPr>
      <w:r>
        <w:rPr>
          <w:rFonts w:hint="eastAsia" w:ascii="仿宋" w:hAnsi="仿宋" w:eastAsia="仿宋"/>
          <w:color w:val="auto"/>
          <w:sz w:val="32"/>
          <w:szCs w:val="32"/>
          <w:highlight w:val="none"/>
        </w:rPr>
        <w:t>（图2：收入决算结构图）</w:t>
      </w:r>
    </w:p>
    <w:p>
      <w:pPr>
        <w:pStyle w:val="27"/>
        <w:numPr>
          <w:ilvl w:val="0"/>
          <w:numId w:val="2"/>
        </w:numPr>
        <w:spacing w:line="600" w:lineRule="exact"/>
        <w:ind w:firstLineChars="0"/>
        <w:outlineLvl w:val="1"/>
        <w:rPr>
          <w:rStyle w:val="18"/>
          <w:rFonts w:ascii="黑体" w:hAnsi="黑体" w:eastAsia="黑体"/>
          <w:b w:val="0"/>
          <w:color w:val="auto"/>
          <w:highlight w:val="none"/>
        </w:rPr>
      </w:pPr>
      <w:bookmarkStart w:id="38" w:name="_Toc17400_WPSOffice_Level2"/>
      <w:bookmarkStart w:id="39" w:name="_Toc15396605"/>
      <w:bookmarkStart w:id="40" w:name="_Toc15377207"/>
      <w:bookmarkStart w:id="41" w:name="_Toc31367"/>
      <w:r>
        <w:rPr>
          <w:rFonts w:hint="eastAsia" w:ascii="黑体" w:hAnsi="黑体" w:eastAsia="黑体"/>
          <w:color w:val="auto"/>
          <w:sz w:val="32"/>
          <w:szCs w:val="32"/>
          <w:highlight w:val="none"/>
        </w:rPr>
        <w:t>支</w:t>
      </w:r>
      <w:r>
        <w:rPr>
          <w:rStyle w:val="18"/>
          <w:rFonts w:hint="eastAsia" w:ascii="黑体" w:hAnsi="黑体" w:eastAsia="黑体"/>
          <w:b w:val="0"/>
          <w:color w:val="auto"/>
          <w:highlight w:val="none"/>
        </w:rPr>
        <w:t>出决算情况说明</w:t>
      </w:r>
      <w:bookmarkEnd w:id="38"/>
      <w:bookmarkEnd w:id="39"/>
      <w:bookmarkEnd w:id="40"/>
      <w:bookmarkEnd w:id="41"/>
    </w:p>
    <w:p>
      <w:pPr>
        <w:spacing w:line="600" w:lineRule="exact"/>
        <w:ind w:firstLine="640" w:firstLineChars="200"/>
        <w:outlineLvl w:val="1"/>
        <w:rPr>
          <w:rFonts w:hint="eastAsia" w:ascii="仿宋" w:hAnsi="仿宋" w:eastAsia="仿宋"/>
          <w:color w:val="auto"/>
          <w:sz w:val="32"/>
          <w:szCs w:val="32"/>
          <w:highlight w:val="none"/>
          <w:lang w:val="en-US" w:eastAsia="zh-CN"/>
        </w:rPr>
      </w:pPr>
      <w:bookmarkStart w:id="42" w:name="_Toc28589"/>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年本年支出合计</w:t>
      </w:r>
      <w:r>
        <w:rPr>
          <w:rFonts w:hint="eastAsia" w:ascii="仿宋" w:hAnsi="仿宋" w:eastAsia="仿宋"/>
          <w:color w:val="auto"/>
          <w:sz w:val="32"/>
          <w:szCs w:val="32"/>
          <w:highlight w:val="none"/>
          <w:lang w:val="en-US" w:eastAsia="zh-CN"/>
        </w:rPr>
        <w:t>4114.86</w:t>
      </w:r>
      <w:r>
        <w:rPr>
          <w:rFonts w:hint="eastAsia" w:ascii="仿宋" w:hAnsi="仿宋" w:eastAsia="仿宋"/>
          <w:color w:val="auto"/>
          <w:sz w:val="32"/>
          <w:szCs w:val="32"/>
          <w:highlight w:val="none"/>
        </w:rPr>
        <w:t>万元，其中：基本支出</w:t>
      </w:r>
      <w:r>
        <w:rPr>
          <w:rFonts w:hint="eastAsia" w:ascii="仿宋" w:hAnsi="仿宋" w:eastAsia="仿宋"/>
          <w:color w:val="auto"/>
          <w:sz w:val="32"/>
          <w:szCs w:val="32"/>
          <w:highlight w:val="none"/>
          <w:lang w:val="en-US" w:eastAsia="zh-CN"/>
        </w:rPr>
        <w:t>2668.80</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64.86</w:t>
      </w:r>
      <w:r>
        <w:rPr>
          <w:rFonts w:ascii="仿宋" w:hAnsi="仿宋" w:eastAsia="仿宋"/>
          <w:color w:val="auto"/>
          <w:sz w:val="32"/>
          <w:szCs w:val="32"/>
          <w:highlight w:val="none"/>
        </w:rPr>
        <w:t>%</w:t>
      </w:r>
      <w:r>
        <w:rPr>
          <w:rFonts w:hint="eastAsia" w:ascii="仿宋" w:hAnsi="仿宋" w:eastAsia="仿宋"/>
          <w:color w:val="auto"/>
          <w:sz w:val="32"/>
          <w:szCs w:val="32"/>
          <w:highlight w:val="none"/>
        </w:rPr>
        <w:t>；项目支出</w:t>
      </w:r>
      <w:r>
        <w:rPr>
          <w:rFonts w:hint="eastAsia" w:ascii="仿宋" w:hAnsi="仿宋" w:eastAsia="仿宋"/>
          <w:color w:val="auto"/>
          <w:sz w:val="32"/>
          <w:szCs w:val="32"/>
          <w:highlight w:val="none"/>
          <w:lang w:val="en-US" w:eastAsia="zh-CN"/>
        </w:rPr>
        <w:t>1446.07</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35.14</w:t>
      </w:r>
      <w:r>
        <w:rPr>
          <w:rFonts w:ascii="仿宋" w:hAnsi="仿宋" w:eastAsia="仿宋"/>
          <w:color w:val="auto"/>
          <w:sz w:val="32"/>
          <w:szCs w:val="32"/>
          <w:highlight w:val="none"/>
        </w:rPr>
        <w:t>%</w:t>
      </w:r>
      <w:r>
        <w:rPr>
          <w:rFonts w:hint="eastAsia" w:ascii="仿宋" w:hAnsi="仿宋" w:eastAsia="仿宋"/>
          <w:color w:val="auto"/>
          <w:sz w:val="32"/>
          <w:szCs w:val="32"/>
          <w:highlight w:val="none"/>
          <w:lang w:val="en-US" w:eastAsia="zh-CN"/>
        </w:rPr>
        <w:t>.</w:t>
      </w:r>
      <w:bookmarkEnd w:id="42"/>
    </w:p>
    <w:p>
      <w:pPr>
        <w:spacing w:line="600" w:lineRule="exact"/>
        <w:ind w:firstLine="1894" w:firstLineChars="902"/>
        <w:rPr>
          <w:rFonts w:ascii="仿宋_GB2312" w:eastAsia="仿宋_GB2312"/>
          <w:color w:val="auto"/>
          <w:sz w:val="32"/>
          <w:szCs w:val="32"/>
          <w:highlight w:val="none"/>
        </w:rPr>
      </w:pPr>
      <w:r>
        <w:rPr>
          <w:rFonts w:hint="eastAsia" w:eastAsiaTheme="minorEastAsia"/>
          <w:lang w:eastAsia="zh-CN"/>
        </w:rPr>
        <w:drawing>
          <wp:anchor distT="0" distB="0" distL="114300" distR="114300" simplePos="0" relativeHeight="251660288" behindDoc="0" locked="0" layoutInCell="1" allowOverlap="1">
            <wp:simplePos x="0" y="0"/>
            <wp:positionH relativeFrom="column">
              <wp:posOffset>641350</wp:posOffset>
            </wp:positionH>
            <wp:positionV relativeFrom="paragraph">
              <wp:posOffset>145415</wp:posOffset>
            </wp:positionV>
            <wp:extent cx="3834765" cy="2508250"/>
            <wp:effectExtent l="4445" t="4445" r="8890" b="20955"/>
            <wp:wrapTopAndBottom/>
            <wp:docPr id="7" name="图表 7"/>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anchor>
        </w:drawing>
      </w:r>
      <w:r>
        <w:rPr>
          <w:rFonts w:hint="eastAsia" w:ascii="仿宋" w:hAnsi="仿宋" w:eastAsia="仿宋"/>
          <w:color w:val="auto"/>
          <w:sz w:val="32"/>
          <w:szCs w:val="32"/>
          <w:highlight w:val="none"/>
        </w:rPr>
        <w:t>（图3：支出决算结构图）</w:t>
      </w:r>
    </w:p>
    <w:p>
      <w:pPr>
        <w:spacing w:line="600" w:lineRule="exact"/>
        <w:ind w:firstLine="640" w:firstLineChars="200"/>
        <w:outlineLvl w:val="1"/>
        <w:rPr>
          <w:rStyle w:val="18"/>
          <w:rFonts w:ascii="黑体" w:hAnsi="黑体" w:eastAsia="黑体"/>
          <w:b w:val="0"/>
          <w:color w:val="auto"/>
          <w:highlight w:val="none"/>
        </w:rPr>
      </w:pPr>
      <w:bookmarkStart w:id="43" w:name="_Toc15396606"/>
      <w:bookmarkStart w:id="44" w:name="_Toc20307_WPSOffice_Level2"/>
      <w:bookmarkStart w:id="45" w:name="_Toc15377208"/>
      <w:bookmarkStart w:id="46" w:name="_Toc28831"/>
      <w:r>
        <w:rPr>
          <w:rFonts w:hint="eastAsia" w:ascii="黑体" w:hAnsi="黑体" w:eastAsia="黑体"/>
          <w:color w:val="auto"/>
          <w:sz w:val="32"/>
          <w:szCs w:val="32"/>
          <w:highlight w:val="none"/>
        </w:rPr>
        <w:t>四、财</w:t>
      </w:r>
      <w:r>
        <w:rPr>
          <w:rStyle w:val="18"/>
          <w:rFonts w:hint="eastAsia" w:ascii="黑体" w:hAnsi="黑体" w:eastAsia="黑体"/>
          <w:b w:val="0"/>
          <w:color w:val="auto"/>
          <w:highlight w:val="none"/>
        </w:rPr>
        <w:t>政拨款收入支出决算总体情况说明</w:t>
      </w:r>
      <w:bookmarkEnd w:id="43"/>
      <w:bookmarkEnd w:id="44"/>
      <w:bookmarkEnd w:id="45"/>
      <w:bookmarkEnd w:id="46"/>
    </w:p>
    <w:p>
      <w:pPr>
        <w:spacing w:line="600" w:lineRule="exact"/>
        <w:ind w:firstLine="640"/>
        <w:rPr>
          <w:rFonts w:ascii="仿宋" w:hAnsi="仿宋" w:eastAsia="仿宋"/>
          <w:b/>
          <w:color w:val="auto"/>
          <w:sz w:val="32"/>
          <w:szCs w:val="32"/>
          <w:highlight w:val="none"/>
        </w:rPr>
      </w:pP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年财政拨款收、支总计</w:t>
      </w:r>
      <w:r>
        <w:rPr>
          <w:rFonts w:hint="eastAsia" w:ascii="仿宋" w:hAnsi="仿宋" w:eastAsia="仿宋"/>
          <w:color w:val="auto"/>
          <w:sz w:val="32"/>
          <w:szCs w:val="32"/>
          <w:highlight w:val="none"/>
          <w:lang w:val="en-US" w:eastAsia="zh-CN"/>
        </w:rPr>
        <w:t>4009.86</w:t>
      </w:r>
      <w:r>
        <w:rPr>
          <w:rFonts w:hint="eastAsia" w:ascii="仿宋" w:hAnsi="仿宋" w:eastAsia="仿宋"/>
          <w:color w:val="auto"/>
          <w:sz w:val="32"/>
          <w:szCs w:val="32"/>
          <w:highlight w:val="none"/>
        </w:rPr>
        <w:t>万元。与</w:t>
      </w: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21</w:t>
      </w:r>
      <w:r>
        <w:rPr>
          <w:rFonts w:hint="eastAsia" w:ascii="仿宋" w:hAnsi="仿宋" w:eastAsia="仿宋"/>
          <w:color w:val="auto"/>
          <w:sz w:val="32"/>
          <w:szCs w:val="32"/>
          <w:highlight w:val="none"/>
        </w:rPr>
        <w:t>年</w:t>
      </w:r>
      <w:r>
        <w:rPr>
          <w:rFonts w:hint="eastAsia" w:ascii="仿宋" w:hAnsi="仿宋" w:eastAsia="仿宋"/>
          <w:sz w:val="32"/>
          <w:szCs w:val="32"/>
          <w:lang w:val="en-US" w:eastAsia="zh-CN"/>
        </w:rPr>
        <w:t>3818.03</w:t>
      </w:r>
      <w:r>
        <w:rPr>
          <w:rFonts w:hint="eastAsia" w:ascii="仿宋" w:hAnsi="仿宋" w:eastAsia="仿宋"/>
          <w:sz w:val="32"/>
          <w:szCs w:val="32"/>
        </w:rPr>
        <w:t>万元</w:t>
      </w:r>
      <w:r>
        <w:rPr>
          <w:rFonts w:hint="eastAsia" w:ascii="仿宋" w:hAnsi="仿宋" w:eastAsia="仿宋"/>
          <w:color w:val="auto"/>
          <w:sz w:val="32"/>
          <w:szCs w:val="32"/>
          <w:highlight w:val="none"/>
        </w:rPr>
        <w:t>相比，财政拨款收、支总计各增加</w:t>
      </w:r>
      <w:r>
        <w:rPr>
          <w:rFonts w:hint="eastAsia" w:ascii="仿宋" w:hAnsi="仿宋" w:eastAsia="仿宋"/>
          <w:color w:val="auto"/>
          <w:sz w:val="32"/>
          <w:szCs w:val="32"/>
          <w:highlight w:val="none"/>
          <w:lang w:val="en-US" w:eastAsia="zh-CN"/>
        </w:rPr>
        <w:t>191.83</w:t>
      </w:r>
      <w:r>
        <w:rPr>
          <w:rFonts w:hint="eastAsia" w:ascii="仿宋" w:hAnsi="仿宋" w:eastAsia="仿宋"/>
          <w:color w:val="auto"/>
          <w:sz w:val="32"/>
          <w:szCs w:val="32"/>
          <w:highlight w:val="none"/>
        </w:rPr>
        <w:t>万元，增长</w:t>
      </w:r>
      <w:r>
        <w:rPr>
          <w:rFonts w:hint="eastAsia" w:ascii="仿宋" w:hAnsi="仿宋" w:eastAsia="仿宋"/>
          <w:color w:val="auto"/>
          <w:sz w:val="32"/>
          <w:szCs w:val="32"/>
          <w:highlight w:val="none"/>
          <w:lang w:val="en-US" w:eastAsia="zh-CN"/>
        </w:rPr>
        <w:t>5.02</w:t>
      </w:r>
      <w:r>
        <w:rPr>
          <w:rFonts w:ascii="仿宋" w:hAnsi="仿宋" w:eastAsia="仿宋"/>
          <w:color w:val="auto"/>
          <w:sz w:val="32"/>
          <w:szCs w:val="32"/>
          <w:highlight w:val="none"/>
        </w:rPr>
        <w:t>%</w:t>
      </w:r>
      <w:r>
        <w:rPr>
          <w:rFonts w:hint="eastAsia" w:ascii="仿宋" w:hAnsi="仿宋" w:eastAsia="仿宋"/>
          <w:color w:val="auto"/>
          <w:sz w:val="32"/>
          <w:szCs w:val="32"/>
          <w:highlight w:val="none"/>
        </w:rPr>
        <w:t>。主要变动原因是</w:t>
      </w:r>
      <w:r>
        <w:rPr>
          <w:rFonts w:hint="eastAsia" w:ascii="仿宋" w:hAnsi="仿宋" w:eastAsia="仿宋"/>
          <w:color w:val="auto"/>
          <w:sz w:val="32"/>
          <w:szCs w:val="32"/>
          <w:highlight w:val="none"/>
          <w:lang w:eastAsia="zh-CN"/>
        </w:rPr>
        <w:t>小学部异地扩建项目建设资金。</w:t>
      </w:r>
    </w:p>
    <w:p>
      <w:pPr>
        <w:spacing w:line="600" w:lineRule="exact"/>
        <w:ind w:firstLine="1376" w:firstLineChars="430"/>
        <w:rPr>
          <w:rFonts w:ascii="仿宋" w:hAnsi="仿宋" w:eastAsia="仿宋"/>
          <w:color w:val="auto"/>
          <w:sz w:val="32"/>
          <w:szCs w:val="32"/>
          <w:highlight w:val="none"/>
        </w:rPr>
      </w:pPr>
      <w:r>
        <w:rPr>
          <w:rFonts w:hint="eastAsia" w:ascii="仿宋" w:hAnsi="仿宋" w:eastAsia="仿宋"/>
          <w:color w:val="auto"/>
          <w:sz w:val="32"/>
          <w:szCs w:val="32"/>
          <w:highlight w:val="none"/>
          <w:lang w:eastAsia="zh-CN"/>
        </w:rPr>
        <w:drawing>
          <wp:anchor distT="0" distB="0" distL="114300" distR="114300" simplePos="0" relativeHeight="251661312" behindDoc="0" locked="0" layoutInCell="1" allowOverlap="1">
            <wp:simplePos x="0" y="0"/>
            <wp:positionH relativeFrom="column">
              <wp:posOffset>696595</wp:posOffset>
            </wp:positionH>
            <wp:positionV relativeFrom="paragraph">
              <wp:posOffset>125730</wp:posOffset>
            </wp:positionV>
            <wp:extent cx="3597275" cy="2185035"/>
            <wp:effectExtent l="4445" t="5080" r="17780" b="19685"/>
            <wp:wrapTopAndBottom/>
            <wp:docPr id="8" name="图表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anchor>
        </w:drawing>
      </w:r>
      <w:r>
        <w:rPr>
          <w:rFonts w:hint="eastAsia" w:ascii="仿宋" w:hAnsi="仿宋" w:eastAsia="仿宋"/>
          <w:color w:val="auto"/>
          <w:sz w:val="32"/>
          <w:szCs w:val="32"/>
          <w:highlight w:val="none"/>
        </w:rPr>
        <w:t>（图4：财政拨款收、支决算总计变动情况）</w:t>
      </w:r>
    </w:p>
    <w:p>
      <w:pPr>
        <w:spacing w:line="600" w:lineRule="exact"/>
        <w:ind w:firstLine="640"/>
        <w:rPr>
          <w:rFonts w:ascii="仿宋" w:hAnsi="仿宋" w:eastAsia="仿宋"/>
          <w:b/>
          <w:color w:val="auto"/>
          <w:sz w:val="32"/>
          <w:szCs w:val="32"/>
          <w:highlight w:val="none"/>
        </w:rPr>
      </w:pPr>
    </w:p>
    <w:p>
      <w:pPr>
        <w:spacing w:line="600" w:lineRule="exact"/>
        <w:ind w:firstLine="640" w:firstLineChars="200"/>
        <w:outlineLvl w:val="1"/>
        <w:rPr>
          <w:rStyle w:val="18"/>
          <w:rFonts w:ascii="黑体" w:hAnsi="黑体" w:eastAsia="黑体"/>
          <w:b w:val="0"/>
          <w:color w:val="auto"/>
          <w:highlight w:val="none"/>
        </w:rPr>
      </w:pPr>
      <w:bookmarkStart w:id="47" w:name="_Toc15377209"/>
      <w:bookmarkStart w:id="48" w:name="_Toc15396607"/>
      <w:bookmarkStart w:id="49" w:name="_Toc14189_WPSOffice_Level2"/>
      <w:bookmarkStart w:id="50" w:name="_Toc15691"/>
      <w:r>
        <w:rPr>
          <w:rFonts w:hint="eastAsia" w:ascii="黑体" w:hAnsi="黑体" w:eastAsia="黑体"/>
          <w:color w:val="auto"/>
          <w:sz w:val="32"/>
          <w:szCs w:val="32"/>
          <w:highlight w:val="none"/>
        </w:rPr>
        <w:t>五、</w:t>
      </w:r>
      <w:r>
        <w:rPr>
          <w:rFonts w:hint="eastAsia" w:ascii="黑体" w:hAnsi="黑体" w:eastAsia="黑体"/>
          <w:b/>
          <w:color w:val="auto"/>
          <w:sz w:val="32"/>
          <w:szCs w:val="32"/>
          <w:highlight w:val="none"/>
        </w:rPr>
        <w:t>一</w:t>
      </w:r>
      <w:r>
        <w:rPr>
          <w:rStyle w:val="18"/>
          <w:rFonts w:hint="eastAsia" w:ascii="黑体" w:hAnsi="黑体" w:eastAsia="黑体"/>
          <w:b w:val="0"/>
          <w:color w:val="auto"/>
          <w:highlight w:val="none"/>
        </w:rPr>
        <w:t>般公共预算财政拨款支出决算情况说明</w:t>
      </w:r>
      <w:bookmarkEnd w:id="47"/>
      <w:bookmarkEnd w:id="48"/>
      <w:bookmarkEnd w:id="49"/>
      <w:bookmarkEnd w:id="50"/>
    </w:p>
    <w:p>
      <w:pPr>
        <w:spacing w:line="600" w:lineRule="exact"/>
        <w:ind w:firstLine="643" w:firstLineChars="200"/>
        <w:outlineLvl w:val="2"/>
        <w:rPr>
          <w:rFonts w:ascii="仿宋" w:hAnsi="仿宋" w:eastAsia="仿宋"/>
          <w:b/>
          <w:color w:val="auto"/>
          <w:sz w:val="32"/>
          <w:szCs w:val="32"/>
          <w:highlight w:val="none"/>
        </w:rPr>
      </w:pPr>
      <w:bookmarkStart w:id="51" w:name="_Toc15377210"/>
      <w:r>
        <w:rPr>
          <w:rFonts w:hint="eastAsia" w:ascii="仿宋" w:hAnsi="仿宋" w:eastAsia="仿宋"/>
          <w:b/>
          <w:color w:val="auto"/>
          <w:sz w:val="32"/>
          <w:szCs w:val="32"/>
          <w:highlight w:val="none"/>
        </w:rPr>
        <w:t>（一）一般公共预算财政拨款支出决算总体情况</w:t>
      </w:r>
      <w:bookmarkEnd w:id="51"/>
    </w:p>
    <w:p>
      <w:pPr>
        <w:spacing w:line="600" w:lineRule="exact"/>
        <w:ind w:firstLine="640" w:firstLineChars="200"/>
        <w:rPr>
          <w:rFonts w:ascii="仿宋" w:hAnsi="仿宋" w:eastAsia="仿宋"/>
          <w:sz w:val="32"/>
          <w:szCs w:val="32"/>
        </w:rPr>
      </w:pP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年一般公共预算财政拨款支出</w:t>
      </w:r>
      <w:r>
        <w:rPr>
          <w:rFonts w:hint="eastAsia" w:ascii="仿宋" w:hAnsi="仿宋" w:eastAsia="仿宋"/>
          <w:color w:val="auto"/>
          <w:sz w:val="32"/>
          <w:szCs w:val="32"/>
          <w:highlight w:val="none"/>
          <w:lang w:val="en-US" w:eastAsia="zh-CN"/>
        </w:rPr>
        <w:t>4009.86</w:t>
      </w:r>
      <w:r>
        <w:rPr>
          <w:rFonts w:hint="eastAsia" w:ascii="仿宋" w:hAnsi="仿宋" w:eastAsia="仿宋"/>
          <w:color w:val="auto"/>
          <w:sz w:val="32"/>
          <w:szCs w:val="32"/>
          <w:highlight w:val="none"/>
        </w:rPr>
        <w:t>万元，占本年支出合计的</w:t>
      </w:r>
      <w:r>
        <w:rPr>
          <w:rFonts w:hint="eastAsia" w:ascii="仿宋" w:hAnsi="仿宋" w:eastAsia="仿宋"/>
          <w:color w:val="auto"/>
          <w:sz w:val="32"/>
          <w:szCs w:val="32"/>
          <w:highlight w:val="none"/>
          <w:lang w:val="en-US" w:eastAsia="zh-CN"/>
        </w:rPr>
        <w:t>97.45</w:t>
      </w:r>
      <w:r>
        <w:rPr>
          <w:rFonts w:ascii="仿宋" w:hAnsi="仿宋" w:eastAsia="仿宋"/>
          <w:color w:val="auto"/>
          <w:sz w:val="32"/>
          <w:szCs w:val="32"/>
          <w:highlight w:val="none"/>
        </w:rPr>
        <w:t>%</w:t>
      </w:r>
      <w:r>
        <w:rPr>
          <w:rFonts w:hint="eastAsia" w:ascii="仿宋" w:hAnsi="仿宋" w:eastAsia="仿宋"/>
          <w:color w:val="auto"/>
          <w:sz w:val="32"/>
          <w:szCs w:val="32"/>
          <w:highlight w:val="none"/>
        </w:rPr>
        <w:t>。与</w:t>
      </w: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21</w:t>
      </w:r>
      <w:r>
        <w:rPr>
          <w:rFonts w:hint="eastAsia" w:ascii="仿宋" w:hAnsi="仿宋" w:eastAsia="仿宋"/>
          <w:color w:val="auto"/>
          <w:sz w:val="32"/>
          <w:szCs w:val="32"/>
          <w:highlight w:val="none"/>
        </w:rPr>
        <w:t>年</w:t>
      </w:r>
      <w:r>
        <w:rPr>
          <w:rFonts w:hint="eastAsia" w:ascii="仿宋" w:hAnsi="仿宋" w:eastAsia="仿宋"/>
          <w:sz w:val="32"/>
          <w:szCs w:val="32"/>
        </w:rPr>
        <w:t>2355.22万元</w:t>
      </w:r>
      <w:r>
        <w:rPr>
          <w:rFonts w:hint="eastAsia" w:ascii="仿宋" w:hAnsi="仿宋" w:eastAsia="仿宋"/>
          <w:color w:val="auto"/>
          <w:sz w:val="32"/>
          <w:szCs w:val="32"/>
          <w:highlight w:val="none"/>
        </w:rPr>
        <w:t>相比，一般公共预算财政拨款</w:t>
      </w:r>
      <w:r>
        <w:rPr>
          <w:rFonts w:hint="eastAsia" w:ascii="仿宋" w:hAnsi="仿宋" w:eastAsia="仿宋"/>
          <w:color w:val="auto"/>
          <w:sz w:val="32"/>
          <w:szCs w:val="32"/>
          <w:highlight w:val="none"/>
          <w:lang w:eastAsia="zh-CN"/>
        </w:rPr>
        <w:t>支出</w:t>
      </w:r>
      <w:r>
        <w:rPr>
          <w:rFonts w:hint="eastAsia" w:ascii="仿宋" w:hAnsi="仿宋" w:eastAsia="仿宋"/>
          <w:color w:val="auto"/>
          <w:sz w:val="32"/>
          <w:szCs w:val="32"/>
          <w:highlight w:val="none"/>
        </w:rPr>
        <w:t>增加</w:t>
      </w:r>
      <w:r>
        <w:rPr>
          <w:rFonts w:hint="eastAsia" w:ascii="仿宋" w:hAnsi="仿宋" w:eastAsia="仿宋"/>
          <w:color w:val="auto"/>
          <w:sz w:val="32"/>
          <w:szCs w:val="32"/>
          <w:highlight w:val="none"/>
          <w:lang w:val="en-US" w:eastAsia="zh-CN"/>
        </w:rPr>
        <w:t>1654.64</w:t>
      </w:r>
      <w:r>
        <w:rPr>
          <w:rFonts w:hint="eastAsia" w:ascii="仿宋" w:hAnsi="仿宋" w:eastAsia="仿宋"/>
          <w:color w:val="auto"/>
          <w:sz w:val="32"/>
          <w:szCs w:val="32"/>
          <w:highlight w:val="none"/>
        </w:rPr>
        <w:t>万元，增长</w:t>
      </w:r>
      <w:r>
        <w:rPr>
          <w:rFonts w:hint="eastAsia" w:ascii="仿宋" w:hAnsi="仿宋" w:eastAsia="仿宋"/>
          <w:color w:val="auto"/>
          <w:sz w:val="32"/>
          <w:szCs w:val="32"/>
          <w:highlight w:val="none"/>
          <w:lang w:val="en-US" w:eastAsia="zh-CN"/>
        </w:rPr>
        <w:t>70.25</w:t>
      </w:r>
      <w:r>
        <w:rPr>
          <w:rFonts w:ascii="仿宋" w:hAnsi="仿宋" w:eastAsia="仿宋"/>
          <w:color w:val="auto"/>
          <w:sz w:val="32"/>
          <w:szCs w:val="32"/>
          <w:highlight w:val="none"/>
        </w:rPr>
        <w:t>%</w:t>
      </w:r>
      <w:r>
        <w:rPr>
          <w:rFonts w:hint="eastAsia" w:ascii="仿宋" w:hAnsi="仿宋" w:eastAsia="仿宋"/>
          <w:color w:val="auto"/>
          <w:sz w:val="32"/>
          <w:szCs w:val="32"/>
          <w:highlight w:val="none"/>
        </w:rPr>
        <w:t>。主要变动原因</w:t>
      </w:r>
      <w:r>
        <w:rPr>
          <w:rFonts w:hint="eastAsia" w:ascii="仿宋" w:hAnsi="仿宋" w:eastAsia="仿宋"/>
          <w:sz w:val="32"/>
          <w:szCs w:val="32"/>
        </w:rPr>
        <w:t>一是人员增加，二是小学部异地扩建项目（一期）建设资金</w:t>
      </w:r>
      <w:r>
        <w:rPr>
          <w:rFonts w:hint="eastAsia" w:ascii="仿宋" w:hAnsi="仿宋" w:eastAsia="仿宋"/>
          <w:sz w:val="32"/>
          <w:szCs w:val="32"/>
          <w:lang w:eastAsia="zh-CN"/>
        </w:rPr>
        <w:t>，三</w:t>
      </w:r>
      <w:r>
        <w:rPr>
          <w:rFonts w:hint="eastAsia" w:ascii="仿宋" w:hAnsi="仿宋" w:eastAsia="仿宋"/>
          <w:sz w:val="32"/>
          <w:szCs w:val="32"/>
        </w:rPr>
        <w:t>是小学食堂及教辅用房建设支出</w:t>
      </w:r>
      <w:r>
        <w:rPr>
          <w:rFonts w:hint="eastAsia" w:ascii="仿宋" w:hAnsi="仿宋" w:eastAsia="仿宋"/>
          <w:sz w:val="32"/>
          <w:szCs w:val="32"/>
          <w:lang w:eastAsia="zh-CN"/>
        </w:rPr>
        <w:t>，四是新建小学部设施设备购置</w:t>
      </w:r>
      <w:r>
        <w:rPr>
          <w:rFonts w:hint="eastAsia" w:ascii="仿宋" w:hAnsi="仿宋" w:eastAsia="仿宋"/>
          <w:sz w:val="32"/>
          <w:szCs w:val="32"/>
        </w:rPr>
        <w:t>。</w:t>
      </w:r>
    </w:p>
    <w:p>
      <w:pPr>
        <w:pStyle w:val="2"/>
        <w:ind w:left="1060" w:hanging="640"/>
        <w:rPr>
          <w:rFonts w:ascii="仿宋" w:hAnsi="仿宋" w:eastAsia="仿宋"/>
          <w:szCs w:val="32"/>
        </w:rPr>
      </w:pPr>
      <w:r>
        <w:rPr>
          <w:rFonts w:hint="eastAsia" w:eastAsiaTheme="minorEastAsia"/>
        </w:rPr>
        <w:drawing>
          <wp:inline distT="0" distB="0" distL="114300" distR="114300">
            <wp:extent cx="3781425" cy="2434590"/>
            <wp:effectExtent l="4445" t="4445" r="5080" b="18415"/>
            <wp:docPr id="6" name="图表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pPr>
        <w:spacing w:line="600" w:lineRule="exact"/>
        <w:ind w:firstLine="640" w:firstLineChars="200"/>
        <w:rPr>
          <w:rFonts w:hint="eastAsia" w:ascii="仿宋" w:hAnsi="仿宋" w:eastAsia="仿宋"/>
          <w:color w:val="auto"/>
          <w:sz w:val="32"/>
          <w:szCs w:val="32"/>
          <w:highlight w:val="none"/>
        </w:rPr>
      </w:pPr>
    </w:p>
    <w:p>
      <w:pPr>
        <w:spacing w:line="600" w:lineRule="exact"/>
        <w:ind w:firstLine="640" w:firstLineChars="200"/>
        <w:rPr>
          <w:rFonts w:ascii="仿宋" w:hAnsi="仿宋" w:eastAsia="仿宋"/>
          <w:color w:val="auto"/>
          <w:sz w:val="32"/>
          <w:szCs w:val="32"/>
          <w:highlight w:val="yellow"/>
        </w:rPr>
      </w:pPr>
      <w:r>
        <w:rPr>
          <w:rFonts w:hint="eastAsia" w:ascii="仿宋" w:hAnsi="仿宋" w:eastAsia="仿宋"/>
          <w:color w:val="auto"/>
          <w:sz w:val="32"/>
          <w:szCs w:val="32"/>
          <w:highlight w:val="none"/>
        </w:rPr>
        <w:t>（图5：一般公共预算财政拨款支出决算变动情况）</w:t>
      </w:r>
    </w:p>
    <w:p>
      <w:pPr>
        <w:spacing w:line="600" w:lineRule="exact"/>
        <w:outlineLvl w:val="9"/>
        <w:rPr>
          <w:rFonts w:hint="eastAsia" w:ascii="仿宋" w:hAnsi="仿宋" w:eastAsia="仿宋"/>
          <w:b/>
          <w:color w:val="auto"/>
          <w:sz w:val="32"/>
          <w:szCs w:val="32"/>
          <w:highlight w:val="none"/>
        </w:rPr>
      </w:pPr>
      <w:bookmarkStart w:id="52" w:name="_Toc15377211"/>
    </w:p>
    <w:p>
      <w:pPr>
        <w:spacing w:line="600" w:lineRule="exact"/>
        <w:ind w:firstLine="643" w:firstLineChars="200"/>
        <w:outlineLvl w:val="2"/>
        <w:rPr>
          <w:rFonts w:ascii="仿宋" w:hAnsi="仿宋" w:eastAsia="仿宋"/>
          <w:b/>
          <w:color w:val="auto"/>
          <w:sz w:val="32"/>
          <w:szCs w:val="32"/>
          <w:highlight w:val="none"/>
        </w:rPr>
      </w:pPr>
      <w:r>
        <w:rPr>
          <w:rFonts w:hint="eastAsia" w:ascii="仿宋" w:hAnsi="仿宋" w:eastAsia="仿宋"/>
          <w:b/>
          <w:color w:val="auto"/>
          <w:sz w:val="32"/>
          <w:szCs w:val="32"/>
          <w:highlight w:val="none"/>
        </w:rPr>
        <w:t>（二）一般公共预算财政拨款支出决算结构情况</w:t>
      </w:r>
      <w:bookmarkEnd w:id="52"/>
    </w:p>
    <w:p>
      <w:pPr>
        <w:spacing w:line="600" w:lineRule="exact"/>
        <w:ind w:firstLine="640"/>
        <w:rPr>
          <w:rFonts w:hint="eastAsia" w:ascii="仿宋" w:hAnsi="仿宋" w:eastAsia="仿宋"/>
          <w:b/>
          <w:color w:val="auto"/>
          <w:sz w:val="32"/>
          <w:szCs w:val="32"/>
          <w:highlight w:val="none"/>
        </w:rPr>
      </w:pP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年一般公共预算财政拨款支出</w:t>
      </w:r>
      <w:r>
        <w:rPr>
          <w:rFonts w:hint="eastAsia" w:ascii="仿宋" w:hAnsi="仿宋" w:eastAsia="仿宋"/>
          <w:color w:val="auto"/>
          <w:sz w:val="32"/>
          <w:szCs w:val="32"/>
          <w:highlight w:val="none"/>
          <w:lang w:val="en-US" w:eastAsia="zh-CN"/>
        </w:rPr>
        <w:t>4009.86</w:t>
      </w:r>
      <w:r>
        <w:rPr>
          <w:rFonts w:hint="eastAsia" w:ascii="仿宋" w:hAnsi="仿宋" w:eastAsia="仿宋"/>
          <w:color w:val="auto"/>
          <w:sz w:val="32"/>
          <w:szCs w:val="32"/>
          <w:highlight w:val="none"/>
        </w:rPr>
        <w:t>万元，主要用于以下方面</w:t>
      </w:r>
      <w:r>
        <w:rPr>
          <w:rFonts w:ascii="仿宋" w:hAnsi="仿宋" w:eastAsia="仿宋"/>
          <w:color w:val="auto"/>
          <w:sz w:val="32"/>
          <w:szCs w:val="32"/>
          <w:highlight w:val="none"/>
        </w:rPr>
        <w:t>:</w:t>
      </w:r>
      <w:r>
        <w:rPr>
          <w:rFonts w:hint="eastAsia" w:ascii="仿宋" w:hAnsi="仿宋" w:eastAsia="仿宋"/>
          <w:b/>
          <w:color w:val="auto"/>
          <w:sz w:val="32"/>
          <w:szCs w:val="32"/>
          <w:highlight w:val="none"/>
        </w:rPr>
        <w:t>教育支出</w:t>
      </w:r>
      <w:r>
        <w:rPr>
          <w:rFonts w:hint="eastAsia" w:ascii="仿宋" w:hAnsi="仿宋" w:eastAsia="仿宋"/>
          <w:color w:val="auto"/>
          <w:sz w:val="32"/>
          <w:szCs w:val="32"/>
          <w:highlight w:val="none"/>
          <w:lang w:val="en-US" w:eastAsia="zh-CN"/>
        </w:rPr>
        <w:t>3509.32</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87.52</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r>
        <w:rPr>
          <w:rFonts w:hint="eastAsia" w:ascii="仿宋" w:hAnsi="仿宋" w:eastAsia="仿宋"/>
          <w:b/>
          <w:color w:val="auto"/>
          <w:sz w:val="32"/>
          <w:szCs w:val="32"/>
          <w:highlight w:val="none"/>
        </w:rPr>
        <w:t>社会保障和就业</w:t>
      </w:r>
      <w:r>
        <w:rPr>
          <w:rFonts w:hint="eastAsia" w:ascii="仿宋" w:hAnsi="仿宋" w:eastAsia="仿宋"/>
          <w:b/>
          <w:bCs/>
          <w:color w:val="auto"/>
          <w:sz w:val="32"/>
          <w:szCs w:val="32"/>
          <w:highlight w:val="none"/>
        </w:rPr>
        <w:t>支出</w:t>
      </w:r>
      <w:r>
        <w:rPr>
          <w:rFonts w:hint="eastAsia" w:ascii="仿宋" w:hAnsi="仿宋" w:eastAsia="仿宋"/>
          <w:color w:val="auto"/>
          <w:sz w:val="32"/>
          <w:szCs w:val="32"/>
          <w:highlight w:val="none"/>
          <w:lang w:val="en-US" w:eastAsia="zh-CN"/>
        </w:rPr>
        <w:t>234.92</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5.86</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r>
        <w:rPr>
          <w:rFonts w:hint="eastAsia" w:ascii="仿宋" w:hAnsi="仿宋" w:eastAsia="仿宋"/>
          <w:b/>
          <w:bCs/>
          <w:color w:val="auto"/>
          <w:sz w:val="32"/>
          <w:szCs w:val="32"/>
          <w:highlight w:val="none"/>
        </w:rPr>
        <w:t>卫生健康支出</w:t>
      </w:r>
      <w:r>
        <w:rPr>
          <w:rFonts w:hint="eastAsia" w:ascii="仿宋" w:hAnsi="仿宋" w:eastAsia="仿宋"/>
          <w:color w:val="auto"/>
          <w:sz w:val="32"/>
          <w:szCs w:val="32"/>
          <w:highlight w:val="none"/>
          <w:lang w:val="en-US" w:eastAsia="zh-CN"/>
        </w:rPr>
        <w:t>89.72</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2.24</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r>
        <w:rPr>
          <w:rFonts w:hint="eastAsia" w:ascii="仿宋" w:hAnsi="仿宋" w:eastAsia="仿宋"/>
          <w:b/>
          <w:bCs/>
          <w:color w:val="auto"/>
          <w:sz w:val="32"/>
          <w:szCs w:val="32"/>
          <w:highlight w:val="none"/>
        </w:rPr>
        <w:t>住房保障支出</w:t>
      </w:r>
      <w:r>
        <w:rPr>
          <w:rFonts w:hint="eastAsia" w:ascii="仿宋" w:hAnsi="仿宋" w:eastAsia="仿宋"/>
          <w:color w:val="auto"/>
          <w:sz w:val="32"/>
          <w:szCs w:val="32"/>
          <w:highlight w:val="none"/>
          <w:lang w:val="en-US" w:eastAsia="zh-CN"/>
        </w:rPr>
        <w:t>175.90</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4.38</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p>
    <w:p>
      <w:pPr>
        <w:pStyle w:val="2"/>
        <w:rPr>
          <w:rFonts w:hint="eastAsia"/>
          <w:lang w:val="en-US" w:eastAsia="zh-CN"/>
        </w:rPr>
      </w:pPr>
      <w:r>
        <w:rPr>
          <w:rFonts w:hint="eastAsia" w:ascii="仿宋" w:hAnsi="仿宋" w:eastAsia="仿宋"/>
          <w:color w:val="auto"/>
          <w:sz w:val="32"/>
          <w:szCs w:val="32"/>
          <w:highlight w:val="none"/>
          <w:lang w:val="en-US" w:eastAsia="zh-CN"/>
        </w:rPr>
        <w:drawing>
          <wp:inline distT="0" distB="0" distL="114300" distR="114300">
            <wp:extent cx="4350385" cy="2508250"/>
            <wp:effectExtent l="4445" t="4445" r="7620" b="20955"/>
            <wp:docPr id="3"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pPr>
        <w:spacing w:line="600" w:lineRule="exact"/>
        <w:ind w:firstLine="640" w:firstLineChars="200"/>
        <w:rPr>
          <w:rFonts w:ascii="仿宋" w:hAnsi="仿宋" w:eastAsia="仿宋"/>
          <w:color w:val="auto"/>
          <w:sz w:val="32"/>
          <w:szCs w:val="32"/>
          <w:highlight w:val="none"/>
        </w:rPr>
      </w:pPr>
      <w:r>
        <w:rPr>
          <w:rFonts w:hint="eastAsia" w:ascii="仿宋" w:hAnsi="仿宋" w:eastAsia="仿宋"/>
          <w:color w:val="auto"/>
          <w:sz w:val="32"/>
          <w:szCs w:val="32"/>
          <w:highlight w:val="none"/>
        </w:rPr>
        <w:t>（图6：一般公共预算财政拨款支出决算结构）</w:t>
      </w:r>
    </w:p>
    <w:p>
      <w:pPr>
        <w:spacing w:line="600" w:lineRule="exact"/>
        <w:ind w:firstLine="643" w:firstLineChars="200"/>
        <w:outlineLvl w:val="2"/>
        <w:rPr>
          <w:rFonts w:ascii="仿宋" w:hAnsi="仿宋" w:eastAsia="仿宋"/>
          <w:b/>
          <w:color w:val="auto"/>
          <w:sz w:val="32"/>
          <w:szCs w:val="32"/>
          <w:highlight w:val="none"/>
        </w:rPr>
      </w:pPr>
      <w:bookmarkStart w:id="53" w:name="_Toc15377212"/>
      <w:r>
        <w:rPr>
          <w:rFonts w:hint="eastAsia" w:ascii="仿宋" w:hAnsi="仿宋" w:eastAsia="仿宋"/>
          <w:b/>
          <w:color w:val="auto"/>
          <w:sz w:val="32"/>
          <w:szCs w:val="32"/>
          <w:highlight w:val="none"/>
        </w:rPr>
        <w:t>（三）一般公共预算财政拨款支出决算具体情况</w:t>
      </w:r>
      <w:bookmarkEnd w:id="53"/>
    </w:p>
    <w:p>
      <w:pPr>
        <w:spacing w:line="600" w:lineRule="exact"/>
        <w:ind w:firstLine="643" w:firstLineChars="200"/>
        <w:outlineLvl w:val="1"/>
        <w:rPr>
          <w:rFonts w:ascii="仿宋" w:hAnsi="仿宋" w:eastAsia="仿宋"/>
          <w:color w:val="auto"/>
          <w:sz w:val="32"/>
          <w:szCs w:val="32"/>
          <w:highlight w:val="none"/>
        </w:rPr>
      </w:pPr>
      <w:bookmarkStart w:id="54" w:name="_Toc15377213"/>
      <w:bookmarkStart w:id="55" w:name="_Toc15377444"/>
      <w:bookmarkStart w:id="56" w:name="_Toc15378460"/>
      <w:bookmarkStart w:id="57" w:name="_Toc22190"/>
      <w:r>
        <w:rPr>
          <w:rFonts w:hint="eastAsia" w:ascii="仿宋" w:hAnsi="仿宋" w:eastAsia="仿宋"/>
          <w:b/>
          <w:color w:val="auto"/>
          <w:sz w:val="32"/>
          <w:szCs w:val="32"/>
          <w:highlight w:val="none"/>
        </w:rPr>
        <w:t>20</w:t>
      </w:r>
      <w:r>
        <w:rPr>
          <w:rFonts w:hint="eastAsia" w:ascii="仿宋" w:hAnsi="仿宋" w:eastAsia="仿宋"/>
          <w:b/>
          <w:color w:val="auto"/>
          <w:sz w:val="32"/>
          <w:szCs w:val="32"/>
          <w:highlight w:val="none"/>
          <w:lang w:val="en-US" w:eastAsia="zh-CN"/>
        </w:rPr>
        <w:t>22</w:t>
      </w:r>
      <w:r>
        <w:rPr>
          <w:rFonts w:hint="eastAsia" w:ascii="仿宋" w:hAnsi="仿宋" w:eastAsia="仿宋"/>
          <w:b/>
          <w:color w:val="auto"/>
          <w:sz w:val="32"/>
          <w:szCs w:val="32"/>
          <w:highlight w:val="none"/>
        </w:rPr>
        <w:t>年</w:t>
      </w:r>
      <w:r>
        <w:rPr>
          <w:rFonts w:hint="eastAsia" w:ascii="仿宋" w:hAnsi="仿宋" w:eastAsia="仿宋"/>
          <w:b/>
          <w:color w:val="auto"/>
          <w:sz w:val="32"/>
          <w:szCs w:val="32"/>
          <w:highlight w:val="none"/>
          <w:lang w:eastAsia="zh-CN"/>
        </w:rPr>
        <w:t>一</w:t>
      </w:r>
      <w:r>
        <w:rPr>
          <w:rFonts w:hint="eastAsia" w:ascii="仿宋" w:hAnsi="仿宋" w:eastAsia="仿宋"/>
          <w:b/>
          <w:color w:val="auto"/>
          <w:sz w:val="32"/>
          <w:szCs w:val="32"/>
          <w:highlight w:val="none"/>
        </w:rPr>
        <w:t>般公共预算支出决算数为</w:t>
      </w:r>
      <w:r>
        <w:rPr>
          <w:rFonts w:hint="eastAsia" w:ascii="仿宋" w:hAnsi="仿宋" w:eastAsia="仿宋"/>
          <w:b/>
          <w:color w:val="auto"/>
          <w:sz w:val="32"/>
          <w:szCs w:val="32"/>
          <w:highlight w:val="none"/>
          <w:lang w:val="en-US" w:eastAsia="zh-CN"/>
        </w:rPr>
        <w:t>4009.86</w:t>
      </w:r>
      <w:r>
        <w:rPr>
          <w:rFonts w:hint="eastAsia" w:ascii="仿宋" w:hAnsi="仿宋" w:eastAsia="仿宋"/>
          <w:color w:val="auto"/>
          <w:sz w:val="32"/>
          <w:szCs w:val="32"/>
          <w:highlight w:val="none"/>
        </w:rPr>
        <w:t>，</w:t>
      </w:r>
      <w:r>
        <w:rPr>
          <w:rStyle w:val="15"/>
          <w:rFonts w:hint="eastAsia" w:ascii="仿宋" w:hAnsi="仿宋" w:eastAsia="仿宋"/>
          <w:bCs/>
          <w:color w:val="auto"/>
          <w:sz w:val="32"/>
          <w:szCs w:val="32"/>
          <w:highlight w:val="none"/>
        </w:rPr>
        <w:t>完成预算</w:t>
      </w:r>
      <w:r>
        <w:rPr>
          <w:rStyle w:val="15"/>
          <w:rFonts w:hint="eastAsia" w:ascii="仿宋" w:hAnsi="仿宋" w:eastAsia="仿宋"/>
          <w:bCs/>
          <w:color w:val="auto"/>
          <w:sz w:val="32"/>
          <w:szCs w:val="32"/>
          <w:highlight w:val="none"/>
          <w:lang w:val="en-US" w:eastAsia="zh-CN"/>
        </w:rPr>
        <w:t>100</w:t>
      </w:r>
      <w:r>
        <w:rPr>
          <w:rStyle w:val="15"/>
          <w:rFonts w:ascii="仿宋" w:hAnsi="仿宋" w:eastAsia="仿宋"/>
          <w:bCs/>
          <w:color w:val="auto"/>
          <w:sz w:val="32"/>
          <w:szCs w:val="32"/>
          <w:highlight w:val="none"/>
        </w:rPr>
        <w:t>%</w:t>
      </w:r>
      <w:r>
        <w:rPr>
          <w:rStyle w:val="15"/>
          <w:rFonts w:hint="eastAsia" w:ascii="仿宋" w:hAnsi="仿宋" w:eastAsia="仿宋"/>
          <w:bCs/>
          <w:color w:val="auto"/>
          <w:sz w:val="32"/>
          <w:szCs w:val="32"/>
          <w:highlight w:val="none"/>
        </w:rPr>
        <w:t>。其中：</w:t>
      </w:r>
      <w:bookmarkEnd w:id="54"/>
      <w:bookmarkEnd w:id="55"/>
      <w:bookmarkEnd w:id="56"/>
      <w:bookmarkEnd w:id="57"/>
    </w:p>
    <w:p>
      <w:pPr>
        <w:numPr>
          <w:ilvl w:val="0"/>
          <w:numId w:val="0"/>
        </w:numPr>
        <w:spacing w:line="600" w:lineRule="exact"/>
        <w:ind w:firstLine="643" w:firstLineChars="200"/>
        <w:rPr>
          <w:rStyle w:val="15"/>
          <w:rFonts w:hint="eastAsia" w:ascii="仿宋" w:hAnsi="仿宋" w:eastAsia="仿宋"/>
          <w:b w:val="0"/>
          <w:bCs/>
          <w:color w:val="auto"/>
          <w:sz w:val="32"/>
          <w:szCs w:val="32"/>
          <w:highlight w:val="none"/>
          <w:lang w:val="en-US" w:eastAsia="zh-CN"/>
        </w:rPr>
      </w:pPr>
      <w:r>
        <w:rPr>
          <w:rStyle w:val="15"/>
          <w:rFonts w:hint="eastAsia" w:ascii="仿宋" w:hAnsi="仿宋" w:eastAsia="仿宋"/>
          <w:bCs/>
          <w:color w:val="auto"/>
          <w:sz w:val="32"/>
          <w:szCs w:val="32"/>
          <w:highlight w:val="none"/>
          <w:lang w:val="en-US" w:eastAsia="zh-CN"/>
        </w:rPr>
        <w:t>1.</w:t>
      </w:r>
      <w:r>
        <w:rPr>
          <w:rStyle w:val="15"/>
          <w:rFonts w:hint="eastAsia" w:ascii="仿宋" w:hAnsi="仿宋" w:eastAsia="仿宋"/>
          <w:bCs/>
          <w:color w:val="auto"/>
          <w:sz w:val="32"/>
          <w:szCs w:val="32"/>
          <w:highlight w:val="none"/>
        </w:rPr>
        <w:t>教育（类）</w:t>
      </w:r>
      <w:r>
        <w:rPr>
          <w:rStyle w:val="15"/>
          <w:rFonts w:hint="eastAsia" w:ascii="仿宋" w:hAnsi="仿宋" w:eastAsia="仿宋"/>
          <w:bCs/>
          <w:color w:val="auto"/>
          <w:sz w:val="32"/>
          <w:szCs w:val="32"/>
          <w:highlight w:val="none"/>
          <w:lang w:eastAsia="zh-CN"/>
        </w:rPr>
        <w:t>普通教育</w:t>
      </w:r>
      <w:r>
        <w:rPr>
          <w:rStyle w:val="15"/>
          <w:rFonts w:hint="eastAsia" w:ascii="仿宋" w:hAnsi="仿宋" w:eastAsia="仿宋"/>
          <w:bCs/>
          <w:color w:val="auto"/>
          <w:sz w:val="32"/>
          <w:szCs w:val="32"/>
          <w:highlight w:val="none"/>
        </w:rPr>
        <w:t>（款）</w:t>
      </w:r>
      <w:r>
        <w:rPr>
          <w:rStyle w:val="15"/>
          <w:rFonts w:hint="eastAsia" w:ascii="仿宋" w:hAnsi="仿宋" w:eastAsia="仿宋"/>
          <w:bCs/>
          <w:color w:val="auto"/>
          <w:sz w:val="32"/>
          <w:szCs w:val="32"/>
          <w:highlight w:val="none"/>
          <w:lang w:eastAsia="zh-CN"/>
        </w:rPr>
        <w:t>小学教育</w:t>
      </w:r>
      <w:r>
        <w:rPr>
          <w:rStyle w:val="15"/>
          <w:rFonts w:hint="eastAsia" w:ascii="仿宋" w:hAnsi="仿宋" w:eastAsia="仿宋"/>
          <w:bCs/>
          <w:color w:val="auto"/>
          <w:sz w:val="32"/>
          <w:szCs w:val="32"/>
          <w:highlight w:val="none"/>
        </w:rPr>
        <w:t>（项）</w:t>
      </w:r>
      <w:r>
        <w:rPr>
          <w:rStyle w:val="15"/>
          <w:rFonts w:ascii="仿宋" w:hAnsi="仿宋" w:eastAsia="仿宋"/>
          <w:bCs/>
          <w:color w:val="auto"/>
          <w:sz w:val="32"/>
          <w:szCs w:val="32"/>
          <w:highlight w:val="none"/>
        </w:rPr>
        <w:t>:</w:t>
      </w:r>
      <w:r>
        <w:rPr>
          <w:rStyle w:val="15"/>
          <w:rFonts w:hint="eastAsia" w:ascii="仿宋" w:hAnsi="仿宋" w:eastAsia="仿宋"/>
          <w:b w:val="0"/>
          <w:bCs/>
          <w:color w:val="auto"/>
          <w:sz w:val="32"/>
          <w:szCs w:val="32"/>
          <w:highlight w:val="none"/>
        </w:rPr>
        <w:t>支出决算为</w:t>
      </w:r>
      <w:r>
        <w:rPr>
          <w:rStyle w:val="15"/>
          <w:rFonts w:hint="eastAsia" w:ascii="仿宋" w:hAnsi="仿宋" w:eastAsia="仿宋"/>
          <w:b w:val="0"/>
          <w:bCs/>
          <w:color w:val="auto"/>
          <w:sz w:val="32"/>
          <w:szCs w:val="32"/>
          <w:highlight w:val="none"/>
          <w:lang w:val="en-US" w:eastAsia="zh-CN"/>
        </w:rPr>
        <w:t>1298.99</w:t>
      </w:r>
      <w:r>
        <w:rPr>
          <w:rStyle w:val="15"/>
          <w:rFonts w:hint="eastAsia" w:ascii="仿宋" w:hAnsi="仿宋" w:eastAsia="仿宋"/>
          <w:b w:val="0"/>
          <w:bCs/>
          <w:color w:val="auto"/>
          <w:sz w:val="32"/>
          <w:szCs w:val="32"/>
          <w:highlight w:val="none"/>
        </w:rPr>
        <w:t>万元，完成预算</w:t>
      </w:r>
      <w:r>
        <w:rPr>
          <w:rStyle w:val="15"/>
          <w:rFonts w:hint="eastAsia" w:ascii="仿宋" w:hAnsi="仿宋" w:eastAsia="仿宋"/>
          <w:b w:val="0"/>
          <w:bCs/>
          <w:color w:val="auto"/>
          <w:sz w:val="32"/>
          <w:szCs w:val="32"/>
          <w:highlight w:val="none"/>
          <w:lang w:val="en-US" w:eastAsia="zh-CN"/>
        </w:rPr>
        <w:t>100</w:t>
      </w:r>
      <w:r>
        <w:rPr>
          <w:rStyle w:val="15"/>
          <w:rFonts w:ascii="仿宋" w:hAnsi="仿宋" w:eastAsia="仿宋"/>
          <w:b w:val="0"/>
          <w:bCs/>
          <w:color w:val="auto"/>
          <w:sz w:val="32"/>
          <w:szCs w:val="32"/>
          <w:highlight w:val="none"/>
        </w:rPr>
        <w:t>%</w:t>
      </w:r>
      <w:r>
        <w:rPr>
          <w:rStyle w:val="15"/>
          <w:rFonts w:hint="eastAsia" w:ascii="仿宋" w:hAnsi="仿宋" w:eastAsia="仿宋"/>
          <w:b w:val="0"/>
          <w:bCs/>
          <w:color w:val="auto"/>
          <w:sz w:val="32"/>
          <w:szCs w:val="32"/>
          <w:highlight w:val="none"/>
        </w:rPr>
        <w:t>，决算数等于预算数</w:t>
      </w:r>
      <w:r>
        <w:rPr>
          <w:rStyle w:val="15"/>
          <w:rFonts w:hint="eastAsia" w:ascii="仿宋" w:hAnsi="仿宋" w:eastAsia="仿宋"/>
          <w:b w:val="0"/>
          <w:bCs/>
          <w:color w:val="auto"/>
          <w:sz w:val="32"/>
          <w:szCs w:val="32"/>
          <w:highlight w:val="none"/>
          <w:lang w:val="en-US" w:eastAsia="zh-CN"/>
        </w:rPr>
        <w:t>。</w:t>
      </w:r>
    </w:p>
    <w:p>
      <w:pPr>
        <w:numPr>
          <w:ilvl w:val="0"/>
          <w:numId w:val="0"/>
        </w:numPr>
        <w:spacing w:line="600" w:lineRule="exact"/>
        <w:ind w:firstLine="640" w:firstLineChars="200"/>
        <w:rPr>
          <w:rStyle w:val="15"/>
          <w:rFonts w:hint="eastAsia" w:ascii="仿宋" w:hAnsi="仿宋" w:eastAsia="仿宋"/>
          <w:b w:val="0"/>
          <w:bCs/>
          <w:color w:val="auto"/>
          <w:sz w:val="32"/>
          <w:szCs w:val="32"/>
          <w:highlight w:val="none"/>
          <w:lang w:val="en-US" w:eastAsia="zh-CN"/>
        </w:rPr>
      </w:pPr>
      <w:r>
        <w:rPr>
          <w:rStyle w:val="15"/>
          <w:rFonts w:hint="eastAsia" w:ascii="仿宋" w:hAnsi="仿宋" w:eastAsia="仿宋"/>
          <w:b w:val="0"/>
          <w:bCs/>
          <w:color w:val="auto"/>
          <w:sz w:val="32"/>
          <w:szCs w:val="32"/>
          <w:highlight w:val="none"/>
          <w:lang w:val="en-US" w:eastAsia="zh-CN"/>
        </w:rPr>
        <w:t>2.</w:t>
      </w:r>
      <w:r>
        <w:rPr>
          <w:rStyle w:val="15"/>
          <w:rFonts w:hint="eastAsia" w:ascii="仿宋" w:hAnsi="仿宋" w:eastAsia="仿宋"/>
          <w:bCs/>
          <w:color w:val="auto"/>
          <w:sz w:val="32"/>
          <w:szCs w:val="32"/>
          <w:highlight w:val="none"/>
        </w:rPr>
        <w:t>教育（类）</w:t>
      </w:r>
      <w:r>
        <w:rPr>
          <w:rStyle w:val="15"/>
          <w:rFonts w:hint="eastAsia" w:ascii="仿宋" w:hAnsi="仿宋" w:eastAsia="仿宋"/>
          <w:bCs/>
          <w:color w:val="auto"/>
          <w:sz w:val="32"/>
          <w:szCs w:val="32"/>
          <w:highlight w:val="none"/>
          <w:lang w:eastAsia="zh-CN"/>
        </w:rPr>
        <w:t>普通教育</w:t>
      </w:r>
      <w:r>
        <w:rPr>
          <w:rStyle w:val="15"/>
          <w:rFonts w:hint="eastAsia" w:ascii="仿宋" w:hAnsi="仿宋" w:eastAsia="仿宋"/>
          <w:bCs/>
          <w:color w:val="auto"/>
          <w:sz w:val="32"/>
          <w:szCs w:val="32"/>
          <w:highlight w:val="none"/>
        </w:rPr>
        <w:t>（款）</w:t>
      </w:r>
      <w:r>
        <w:rPr>
          <w:rStyle w:val="15"/>
          <w:rFonts w:hint="eastAsia" w:ascii="仿宋" w:hAnsi="仿宋" w:eastAsia="仿宋"/>
          <w:bCs/>
          <w:color w:val="auto"/>
          <w:sz w:val="32"/>
          <w:szCs w:val="32"/>
          <w:highlight w:val="none"/>
          <w:lang w:eastAsia="zh-CN"/>
        </w:rPr>
        <w:t>初中教育</w:t>
      </w:r>
      <w:r>
        <w:rPr>
          <w:rStyle w:val="15"/>
          <w:rFonts w:hint="eastAsia" w:ascii="仿宋" w:hAnsi="仿宋" w:eastAsia="仿宋"/>
          <w:bCs/>
          <w:color w:val="auto"/>
          <w:sz w:val="32"/>
          <w:szCs w:val="32"/>
          <w:highlight w:val="none"/>
        </w:rPr>
        <w:t>（项）</w:t>
      </w:r>
      <w:r>
        <w:rPr>
          <w:rStyle w:val="15"/>
          <w:rFonts w:ascii="仿宋" w:hAnsi="仿宋" w:eastAsia="仿宋"/>
          <w:bCs/>
          <w:color w:val="auto"/>
          <w:sz w:val="32"/>
          <w:szCs w:val="32"/>
          <w:highlight w:val="none"/>
        </w:rPr>
        <w:t>:</w:t>
      </w:r>
      <w:r>
        <w:rPr>
          <w:rStyle w:val="15"/>
          <w:rFonts w:hint="eastAsia" w:ascii="仿宋" w:hAnsi="仿宋" w:eastAsia="仿宋"/>
          <w:b w:val="0"/>
          <w:bCs/>
          <w:color w:val="auto"/>
          <w:sz w:val="32"/>
          <w:szCs w:val="32"/>
          <w:highlight w:val="none"/>
        </w:rPr>
        <w:t>支出决算为</w:t>
      </w:r>
      <w:r>
        <w:rPr>
          <w:rStyle w:val="15"/>
          <w:rFonts w:hint="eastAsia" w:ascii="仿宋" w:hAnsi="仿宋" w:eastAsia="仿宋"/>
          <w:b w:val="0"/>
          <w:bCs/>
          <w:color w:val="auto"/>
          <w:sz w:val="32"/>
          <w:szCs w:val="32"/>
          <w:highlight w:val="none"/>
          <w:lang w:val="en-US" w:eastAsia="zh-CN"/>
        </w:rPr>
        <w:t>2102.93</w:t>
      </w:r>
      <w:r>
        <w:rPr>
          <w:rStyle w:val="15"/>
          <w:rFonts w:hint="eastAsia" w:ascii="仿宋" w:hAnsi="仿宋" w:eastAsia="仿宋"/>
          <w:b w:val="0"/>
          <w:bCs/>
          <w:color w:val="auto"/>
          <w:sz w:val="32"/>
          <w:szCs w:val="32"/>
          <w:highlight w:val="none"/>
        </w:rPr>
        <w:t>万元，完成预算</w:t>
      </w:r>
      <w:r>
        <w:rPr>
          <w:rStyle w:val="15"/>
          <w:rFonts w:hint="eastAsia" w:ascii="仿宋" w:hAnsi="仿宋" w:eastAsia="仿宋"/>
          <w:b w:val="0"/>
          <w:bCs/>
          <w:color w:val="auto"/>
          <w:sz w:val="32"/>
          <w:szCs w:val="32"/>
          <w:highlight w:val="none"/>
          <w:lang w:val="en-US" w:eastAsia="zh-CN"/>
        </w:rPr>
        <w:t>100</w:t>
      </w:r>
      <w:r>
        <w:rPr>
          <w:rStyle w:val="15"/>
          <w:rFonts w:ascii="仿宋" w:hAnsi="仿宋" w:eastAsia="仿宋"/>
          <w:b w:val="0"/>
          <w:bCs/>
          <w:color w:val="auto"/>
          <w:sz w:val="32"/>
          <w:szCs w:val="32"/>
          <w:highlight w:val="none"/>
        </w:rPr>
        <w:t>%</w:t>
      </w:r>
      <w:r>
        <w:rPr>
          <w:rStyle w:val="15"/>
          <w:rFonts w:hint="eastAsia" w:ascii="仿宋" w:hAnsi="仿宋" w:eastAsia="仿宋"/>
          <w:b w:val="0"/>
          <w:bCs/>
          <w:color w:val="auto"/>
          <w:sz w:val="32"/>
          <w:szCs w:val="32"/>
          <w:highlight w:val="none"/>
        </w:rPr>
        <w:t>，决算数等于预算数</w:t>
      </w:r>
      <w:r>
        <w:rPr>
          <w:rStyle w:val="15"/>
          <w:rFonts w:hint="eastAsia" w:ascii="仿宋" w:hAnsi="仿宋" w:eastAsia="仿宋"/>
          <w:b w:val="0"/>
          <w:bCs/>
          <w:color w:val="auto"/>
          <w:sz w:val="32"/>
          <w:szCs w:val="32"/>
          <w:highlight w:val="none"/>
          <w:lang w:val="en-US" w:eastAsia="zh-CN"/>
        </w:rPr>
        <w:t>。</w:t>
      </w:r>
    </w:p>
    <w:p>
      <w:pPr>
        <w:pStyle w:val="2"/>
        <w:ind w:left="0" w:leftChars="0" w:firstLine="643" w:firstLineChars="200"/>
        <w:rPr>
          <w:rStyle w:val="15"/>
          <w:rFonts w:hint="eastAsia" w:ascii="仿宋" w:hAnsi="仿宋" w:eastAsia="仿宋"/>
          <w:bCs/>
          <w:color w:val="auto"/>
          <w:sz w:val="32"/>
          <w:szCs w:val="32"/>
          <w:highlight w:val="none"/>
          <w:lang w:val="en-US" w:eastAsia="zh-CN"/>
        </w:rPr>
      </w:pPr>
      <w:r>
        <w:rPr>
          <w:rStyle w:val="15"/>
          <w:rFonts w:hint="eastAsia" w:ascii="仿宋" w:hAnsi="仿宋" w:eastAsia="仿宋"/>
          <w:bCs/>
          <w:color w:val="auto"/>
          <w:sz w:val="32"/>
          <w:szCs w:val="32"/>
          <w:highlight w:val="none"/>
          <w:lang w:val="en-US" w:eastAsia="zh-CN"/>
        </w:rPr>
        <w:t>3.</w:t>
      </w:r>
      <w:r>
        <w:rPr>
          <w:rStyle w:val="15"/>
          <w:rFonts w:hint="eastAsia" w:ascii="仿宋" w:hAnsi="仿宋" w:eastAsia="仿宋"/>
          <w:bCs/>
          <w:color w:val="auto"/>
          <w:sz w:val="32"/>
          <w:szCs w:val="32"/>
          <w:highlight w:val="none"/>
        </w:rPr>
        <w:t>教育（类）</w:t>
      </w:r>
      <w:r>
        <w:rPr>
          <w:rStyle w:val="15"/>
          <w:rFonts w:hint="eastAsia" w:ascii="仿宋" w:hAnsi="仿宋" w:eastAsia="仿宋"/>
          <w:bCs/>
          <w:color w:val="auto"/>
          <w:sz w:val="32"/>
          <w:szCs w:val="32"/>
          <w:highlight w:val="none"/>
          <w:lang w:eastAsia="zh-CN"/>
        </w:rPr>
        <w:t>普通教育</w:t>
      </w:r>
      <w:r>
        <w:rPr>
          <w:rStyle w:val="15"/>
          <w:rFonts w:hint="eastAsia" w:ascii="仿宋" w:hAnsi="仿宋" w:eastAsia="仿宋"/>
          <w:bCs/>
          <w:color w:val="auto"/>
          <w:sz w:val="32"/>
          <w:szCs w:val="32"/>
          <w:highlight w:val="none"/>
        </w:rPr>
        <w:t>（款）</w:t>
      </w:r>
      <w:r>
        <w:rPr>
          <w:rStyle w:val="15"/>
          <w:rFonts w:hint="eastAsia" w:ascii="仿宋" w:hAnsi="仿宋" w:eastAsia="仿宋"/>
          <w:bCs/>
          <w:color w:val="auto"/>
          <w:sz w:val="32"/>
          <w:szCs w:val="32"/>
          <w:highlight w:val="none"/>
          <w:lang w:eastAsia="zh-CN"/>
        </w:rPr>
        <w:t>其他普通教育</w:t>
      </w:r>
      <w:r>
        <w:rPr>
          <w:rStyle w:val="15"/>
          <w:rFonts w:hint="eastAsia" w:ascii="仿宋" w:hAnsi="仿宋" w:eastAsia="仿宋"/>
          <w:bCs/>
          <w:color w:val="auto"/>
          <w:sz w:val="32"/>
          <w:szCs w:val="32"/>
          <w:highlight w:val="none"/>
        </w:rPr>
        <w:t>（项）</w:t>
      </w:r>
      <w:r>
        <w:rPr>
          <w:rStyle w:val="15"/>
          <w:rFonts w:ascii="仿宋" w:hAnsi="仿宋" w:eastAsia="仿宋"/>
          <w:bCs/>
          <w:color w:val="auto"/>
          <w:sz w:val="32"/>
          <w:szCs w:val="32"/>
          <w:highlight w:val="none"/>
        </w:rPr>
        <w:t>:</w:t>
      </w:r>
      <w:r>
        <w:rPr>
          <w:rStyle w:val="15"/>
          <w:rFonts w:hint="eastAsia" w:ascii="仿宋" w:hAnsi="仿宋" w:eastAsia="仿宋"/>
          <w:b w:val="0"/>
          <w:bCs/>
          <w:color w:val="auto"/>
          <w:sz w:val="32"/>
          <w:szCs w:val="32"/>
          <w:highlight w:val="none"/>
        </w:rPr>
        <w:t>支出决算为</w:t>
      </w:r>
      <w:r>
        <w:rPr>
          <w:rStyle w:val="15"/>
          <w:rFonts w:hint="eastAsia" w:ascii="仿宋" w:hAnsi="仿宋" w:eastAsia="仿宋"/>
          <w:b w:val="0"/>
          <w:bCs/>
          <w:color w:val="auto"/>
          <w:sz w:val="32"/>
          <w:szCs w:val="32"/>
          <w:highlight w:val="none"/>
          <w:lang w:val="en-US" w:eastAsia="zh-CN"/>
        </w:rPr>
        <w:t>107.4</w:t>
      </w:r>
      <w:r>
        <w:rPr>
          <w:rStyle w:val="15"/>
          <w:rFonts w:hint="eastAsia" w:ascii="仿宋" w:hAnsi="仿宋" w:eastAsia="仿宋"/>
          <w:b w:val="0"/>
          <w:bCs/>
          <w:color w:val="auto"/>
          <w:sz w:val="32"/>
          <w:szCs w:val="32"/>
          <w:highlight w:val="none"/>
        </w:rPr>
        <w:t>万元，完成预算</w:t>
      </w:r>
      <w:r>
        <w:rPr>
          <w:rStyle w:val="15"/>
          <w:rFonts w:hint="eastAsia" w:ascii="仿宋" w:hAnsi="仿宋" w:eastAsia="仿宋"/>
          <w:b w:val="0"/>
          <w:bCs/>
          <w:color w:val="auto"/>
          <w:sz w:val="32"/>
          <w:szCs w:val="32"/>
          <w:highlight w:val="none"/>
          <w:lang w:val="en-US" w:eastAsia="zh-CN"/>
        </w:rPr>
        <w:t>100</w:t>
      </w:r>
      <w:r>
        <w:rPr>
          <w:rStyle w:val="15"/>
          <w:rFonts w:ascii="仿宋" w:hAnsi="仿宋" w:eastAsia="仿宋"/>
          <w:b w:val="0"/>
          <w:bCs/>
          <w:color w:val="auto"/>
          <w:sz w:val="32"/>
          <w:szCs w:val="32"/>
          <w:highlight w:val="none"/>
        </w:rPr>
        <w:t>%</w:t>
      </w:r>
      <w:r>
        <w:rPr>
          <w:rStyle w:val="15"/>
          <w:rFonts w:hint="eastAsia" w:ascii="仿宋" w:hAnsi="仿宋" w:eastAsia="仿宋"/>
          <w:b w:val="0"/>
          <w:bCs/>
          <w:color w:val="auto"/>
          <w:sz w:val="32"/>
          <w:szCs w:val="32"/>
          <w:highlight w:val="none"/>
        </w:rPr>
        <w:t>，决算数等于预算数</w:t>
      </w:r>
      <w:r>
        <w:rPr>
          <w:rStyle w:val="15"/>
          <w:rFonts w:hint="eastAsia" w:ascii="仿宋" w:hAnsi="仿宋" w:eastAsia="仿宋"/>
          <w:b w:val="0"/>
          <w:bCs/>
          <w:color w:val="auto"/>
          <w:sz w:val="32"/>
          <w:szCs w:val="32"/>
          <w:highlight w:val="none"/>
          <w:lang w:val="en-US" w:eastAsia="zh-CN"/>
        </w:rPr>
        <w:t>。</w:t>
      </w:r>
    </w:p>
    <w:p>
      <w:pPr>
        <w:spacing w:line="600" w:lineRule="exact"/>
        <w:ind w:firstLine="643" w:firstLineChars="200"/>
        <w:rPr>
          <w:rStyle w:val="15"/>
          <w:rFonts w:ascii="仿宋" w:hAnsi="仿宋" w:eastAsia="仿宋"/>
          <w:b w:val="0"/>
          <w:bCs/>
          <w:sz w:val="32"/>
          <w:szCs w:val="32"/>
        </w:rPr>
      </w:pPr>
      <w:r>
        <w:rPr>
          <w:rStyle w:val="15"/>
          <w:rFonts w:hint="eastAsia" w:ascii="仿宋" w:hAnsi="仿宋" w:eastAsia="仿宋"/>
          <w:bCs/>
          <w:color w:val="auto"/>
          <w:sz w:val="32"/>
          <w:szCs w:val="32"/>
          <w:highlight w:val="none"/>
          <w:lang w:val="en-US" w:eastAsia="zh-CN"/>
        </w:rPr>
        <w:t>4.</w:t>
      </w:r>
      <w:r>
        <w:rPr>
          <w:rStyle w:val="15"/>
          <w:rFonts w:hint="eastAsia" w:ascii="仿宋" w:hAnsi="仿宋" w:eastAsia="仿宋"/>
          <w:bCs/>
          <w:color w:val="auto"/>
          <w:sz w:val="32"/>
          <w:szCs w:val="32"/>
          <w:highlight w:val="none"/>
        </w:rPr>
        <w:t>社会保障和就业（类）</w:t>
      </w:r>
      <w:r>
        <w:rPr>
          <w:rStyle w:val="15"/>
          <w:rFonts w:hint="eastAsia" w:ascii="仿宋" w:hAnsi="仿宋" w:eastAsia="仿宋"/>
          <w:bCs/>
          <w:sz w:val="32"/>
          <w:szCs w:val="32"/>
        </w:rPr>
        <w:t>行政事业单位养老支出（款）机关事业单位基本养老保险缴费支出（项）</w:t>
      </w:r>
      <w:r>
        <w:rPr>
          <w:rStyle w:val="15"/>
          <w:rFonts w:ascii="仿宋" w:hAnsi="仿宋" w:eastAsia="仿宋"/>
          <w:bCs/>
          <w:sz w:val="32"/>
          <w:szCs w:val="32"/>
        </w:rPr>
        <w:t>:</w:t>
      </w:r>
      <w:r>
        <w:rPr>
          <w:rStyle w:val="15"/>
          <w:rFonts w:hint="eastAsia" w:ascii="仿宋" w:hAnsi="仿宋" w:eastAsia="仿宋"/>
          <w:b w:val="0"/>
          <w:bCs/>
          <w:sz w:val="32"/>
          <w:szCs w:val="32"/>
        </w:rPr>
        <w:t>支出决算为</w:t>
      </w:r>
      <w:r>
        <w:rPr>
          <w:rStyle w:val="15"/>
          <w:rFonts w:hint="eastAsia" w:ascii="仿宋" w:hAnsi="仿宋" w:eastAsia="仿宋"/>
          <w:b w:val="0"/>
          <w:bCs/>
          <w:sz w:val="32"/>
          <w:szCs w:val="32"/>
          <w:lang w:val="en-US" w:eastAsia="zh-CN"/>
        </w:rPr>
        <w:t>234.70</w:t>
      </w:r>
      <w:r>
        <w:rPr>
          <w:rStyle w:val="15"/>
          <w:rFonts w:hint="eastAsia" w:ascii="仿宋" w:hAnsi="仿宋" w:eastAsia="仿宋"/>
          <w:b w:val="0"/>
          <w:bCs/>
          <w:sz w:val="32"/>
          <w:szCs w:val="32"/>
        </w:rPr>
        <w:t>万元，完成预算100</w:t>
      </w:r>
      <w:r>
        <w:rPr>
          <w:rStyle w:val="15"/>
          <w:rFonts w:ascii="仿宋" w:hAnsi="仿宋" w:eastAsia="仿宋"/>
          <w:b w:val="0"/>
          <w:bCs/>
          <w:sz w:val="32"/>
          <w:szCs w:val="32"/>
        </w:rPr>
        <w:t>%</w:t>
      </w:r>
      <w:r>
        <w:rPr>
          <w:rStyle w:val="15"/>
          <w:rFonts w:hint="eastAsia" w:ascii="仿宋" w:hAnsi="仿宋" w:eastAsia="仿宋"/>
          <w:b w:val="0"/>
          <w:bCs/>
          <w:sz w:val="32"/>
          <w:szCs w:val="32"/>
        </w:rPr>
        <w:t>，决算数等于预算数。</w:t>
      </w:r>
    </w:p>
    <w:p>
      <w:pPr>
        <w:spacing w:line="600" w:lineRule="exact"/>
        <w:ind w:firstLine="643" w:firstLineChars="200"/>
        <w:rPr>
          <w:rStyle w:val="15"/>
          <w:rFonts w:ascii="仿宋" w:hAnsi="仿宋" w:eastAsia="仿宋"/>
          <w:b w:val="0"/>
          <w:bCs/>
          <w:sz w:val="32"/>
          <w:szCs w:val="32"/>
        </w:rPr>
      </w:pPr>
      <w:r>
        <w:rPr>
          <w:rStyle w:val="15"/>
          <w:rFonts w:hint="eastAsia" w:ascii="仿宋" w:hAnsi="仿宋" w:eastAsia="仿宋"/>
          <w:bCs/>
          <w:sz w:val="32"/>
          <w:szCs w:val="32"/>
          <w:lang w:val="en-US" w:eastAsia="zh-CN"/>
        </w:rPr>
        <w:t>5</w:t>
      </w:r>
      <w:r>
        <w:rPr>
          <w:rStyle w:val="15"/>
          <w:rFonts w:hint="eastAsia" w:ascii="仿宋" w:hAnsi="仿宋" w:eastAsia="仿宋"/>
          <w:bCs/>
          <w:sz w:val="32"/>
          <w:szCs w:val="32"/>
        </w:rPr>
        <w:t>.社会保障和就业（类）行政事业单位养老支出（款）机关事业单位职业年金缴费支出（项）</w:t>
      </w:r>
      <w:r>
        <w:rPr>
          <w:rStyle w:val="15"/>
          <w:rFonts w:ascii="仿宋" w:hAnsi="仿宋" w:eastAsia="仿宋"/>
          <w:bCs/>
          <w:sz w:val="32"/>
          <w:szCs w:val="32"/>
        </w:rPr>
        <w:t>:</w:t>
      </w:r>
      <w:r>
        <w:rPr>
          <w:rStyle w:val="15"/>
          <w:rFonts w:hint="eastAsia" w:ascii="仿宋" w:hAnsi="仿宋" w:eastAsia="仿宋"/>
          <w:b w:val="0"/>
          <w:bCs/>
          <w:sz w:val="32"/>
          <w:szCs w:val="32"/>
        </w:rPr>
        <w:t>支出决算为</w:t>
      </w:r>
      <w:r>
        <w:rPr>
          <w:rStyle w:val="15"/>
          <w:rFonts w:hint="eastAsia" w:ascii="仿宋" w:hAnsi="仿宋" w:eastAsia="仿宋"/>
          <w:b w:val="0"/>
          <w:bCs/>
          <w:sz w:val="32"/>
          <w:szCs w:val="32"/>
          <w:lang w:val="en-US" w:eastAsia="zh-CN"/>
        </w:rPr>
        <w:t>0.22</w:t>
      </w:r>
      <w:r>
        <w:rPr>
          <w:rStyle w:val="15"/>
          <w:rFonts w:hint="eastAsia" w:ascii="仿宋" w:hAnsi="仿宋" w:eastAsia="仿宋"/>
          <w:b w:val="0"/>
          <w:bCs/>
          <w:sz w:val="32"/>
          <w:szCs w:val="32"/>
        </w:rPr>
        <w:t>万元，完成预算100</w:t>
      </w:r>
      <w:r>
        <w:rPr>
          <w:rStyle w:val="15"/>
          <w:rFonts w:ascii="仿宋" w:hAnsi="仿宋" w:eastAsia="仿宋"/>
          <w:b w:val="0"/>
          <w:bCs/>
          <w:sz w:val="32"/>
          <w:szCs w:val="32"/>
        </w:rPr>
        <w:t>%</w:t>
      </w:r>
      <w:r>
        <w:rPr>
          <w:rStyle w:val="15"/>
          <w:rFonts w:hint="eastAsia" w:ascii="仿宋" w:hAnsi="仿宋" w:eastAsia="仿宋"/>
          <w:b w:val="0"/>
          <w:bCs/>
          <w:sz w:val="32"/>
          <w:szCs w:val="32"/>
        </w:rPr>
        <w:t>，决算数等于预算数.</w:t>
      </w:r>
    </w:p>
    <w:p>
      <w:pPr>
        <w:spacing w:line="600" w:lineRule="exact"/>
        <w:ind w:firstLine="643" w:firstLineChars="200"/>
        <w:rPr>
          <w:rFonts w:ascii="仿宋" w:hAnsi="仿宋" w:eastAsia="仿宋"/>
          <w:b/>
          <w:color w:val="auto"/>
          <w:sz w:val="32"/>
          <w:szCs w:val="32"/>
          <w:highlight w:val="none"/>
        </w:rPr>
      </w:pPr>
      <w:r>
        <w:rPr>
          <w:rStyle w:val="15"/>
          <w:rFonts w:ascii="仿宋" w:hAnsi="仿宋" w:eastAsia="仿宋"/>
          <w:bCs/>
          <w:color w:val="auto"/>
          <w:sz w:val="32"/>
          <w:szCs w:val="32"/>
          <w:highlight w:val="none"/>
        </w:rPr>
        <w:t>6.</w:t>
      </w:r>
      <w:r>
        <w:rPr>
          <w:rFonts w:hint="eastAsia" w:ascii="仿宋" w:hAnsi="仿宋" w:eastAsia="仿宋"/>
          <w:b/>
          <w:bCs/>
          <w:color w:val="auto"/>
          <w:sz w:val="32"/>
          <w:szCs w:val="32"/>
          <w:highlight w:val="none"/>
        </w:rPr>
        <w:t>卫生健康</w:t>
      </w:r>
      <w:r>
        <w:rPr>
          <w:rStyle w:val="15"/>
          <w:rFonts w:hint="eastAsia" w:ascii="仿宋" w:hAnsi="仿宋" w:eastAsia="仿宋"/>
          <w:bCs/>
          <w:color w:val="auto"/>
          <w:sz w:val="32"/>
          <w:szCs w:val="32"/>
          <w:highlight w:val="none"/>
        </w:rPr>
        <w:t>（类）</w:t>
      </w:r>
      <w:r>
        <w:rPr>
          <w:rStyle w:val="15"/>
          <w:rFonts w:hint="eastAsia" w:ascii="仿宋" w:hAnsi="仿宋" w:eastAsia="仿宋"/>
          <w:bCs/>
          <w:sz w:val="32"/>
          <w:szCs w:val="32"/>
        </w:rPr>
        <w:t>行政事业单位医疗（款）事业医疗（项）</w:t>
      </w:r>
      <w:r>
        <w:rPr>
          <w:rStyle w:val="15"/>
          <w:rFonts w:ascii="仿宋" w:hAnsi="仿宋" w:eastAsia="仿宋"/>
          <w:bCs/>
          <w:color w:val="auto"/>
          <w:sz w:val="32"/>
          <w:szCs w:val="32"/>
          <w:highlight w:val="none"/>
        </w:rPr>
        <w:t>:</w:t>
      </w:r>
      <w:r>
        <w:rPr>
          <w:rStyle w:val="15"/>
          <w:rFonts w:hint="eastAsia" w:ascii="仿宋" w:hAnsi="仿宋" w:eastAsia="仿宋"/>
          <w:b w:val="0"/>
          <w:bCs/>
          <w:color w:val="auto"/>
          <w:sz w:val="32"/>
          <w:szCs w:val="32"/>
          <w:highlight w:val="none"/>
        </w:rPr>
        <w:t>支出决算为</w:t>
      </w:r>
      <w:r>
        <w:rPr>
          <w:rStyle w:val="15"/>
          <w:rFonts w:hint="eastAsia" w:ascii="仿宋" w:hAnsi="仿宋" w:eastAsia="仿宋"/>
          <w:b w:val="0"/>
          <w:bCs/>
          <w:color w:val="auto"/>
          <w:sz w:val="32"/>
          <w:szCs w:val="32"/>
          <w:highlight w:val="none"/>
          <w:lang w:val="en-US" w:eastAsia="zh-CN"/>
        </w:rPr>
        <w:t>89.72</w:t>
      </w:r>
      <w:r>
        <w:rPr>
          <w:rStyle w:val="15"/>
          <w:rFonts w:hint="eastAsia" w:ascii="仿宋" w:hAnsi="仿宋" w:eastAsia="仿宋"/>
          <w:b w:val="0"/>
          <w:bCs/>
          <w:color w:val="auto"/>
          <w:sz w:val="32"/>
          <w:szCs w:val="32"/>
          <w:highlight w:val="none"/>
        </w:rPr>
        <w:t>万元，完成预算</w:t>
      </w:r>
      <w:r>
        <w:rPr>
          <w:rStyle w:val="15"/>
          <w:rFonts w:hint="eastAsia" w:ascii="仿宋" w:hAnsi="仿宋" w:eastAsia="仿宋"/>
          <w:b w:val="0"/>
          <w:bCs/>
          <w:color w:val="auto"/>
          <w:sz w:val="32"/>
          <w:szCs w:val="32"/>
          <w:highlight w:val="none"/>
          <w:lang w:val="en-US" w:eastAsia="zh-CN"/>
        </w:rPr>
        <w:t>100</w:t>
      </w:r>
      <w:r>
        <w:rPr>
          <w:rStyle w:val="15"/>
          <w:rFonts w:ascii="仿宋" w:hAnsi="仿宋" w:eastAsia="仿宋"/>
          <w:b w:val="0"/>
          <w:bCs/>
          <w:color w:val="auto"/>
          <w:sz w:val="32"/>
          <w:szCs w:val="32"/>
          <w:highlight w:val="none"/>
        </w:rPr>
        <w:t>%</w:t>
      </w:r>
      <w:r>
        <w:rPr>
          <w:rStyle w:val="15"/>
          <w:rFonts w:hint="eastAsia" w:ascii="仿宋" w:hAnsi="仿宋" w:eastAsia="仿宋"/>
          <w:b w:val="0"/>
          <w:bCs/>
          <w:color w:val="auto"/>
          <w:sz w:val="32"/>
          <w:szCs w:val="32"/>
          <w:highlight w:val="none"/>
        </w:rPr>
        <w:t>，决算数等于预算数。</w:t>
      </w:r>
    </w:p>
    <w:p>
      <w:pPr>
        <w:spacing w:line="600" w:lineRule="exact"/>
        <w:ind w:firstLine="643" w:firstLineChars="200"/>
        <w:rPr>
          <w:rFonts w:ascii="仿宋" w:hAnsi="仿宋" w:eastAsia="仿宋"/>
          <w:b/>
          <w:sz w:val="32"/>
          <w:szCs w:val="32"/>
        </w:rPr>
      </w:pPr>
      <w:r>
        <w:rPr>
          <w:rStyle w:val="15"/>
          <w:rFonts w:hint="eastAsia" w:ascii="仿宋" w:hAnsi="仿宋" w:eastAsia="仿宋"/>
          <w:bCs/>
          <w:sz w:val="32"/>
          <w:szCs w:val="32"/>
          <w:lang w:val="en-US" w:eastAsia="zh-CN"/>
        </w:rPr>
        <w:t>7.</w:t>
      </w:r>
      <w:r>
        <w:rPr>
          <w:rStyle w:val="15"/>
          <w:rFonts w:hint="eastAsia" w:ascii="仿宋" w:hAnsi="仿宋" w:eastAsia="仿宋"/>
          <w:bCs/>
          <w:sz w:val="32"/>
          <w:szCs w:val="32"/>
        </w:rPr>
        <w:t>住房保障支出（类）住房改革支出（款）住房公积金（项）</w:t>
      </w:r>
      <w:r>
        <w:rPr>
          <w:rStyle w:val="15"/>
          <w:rFonts w:ascii="仿宋" w:hAnsi="仿宋" w:eastAsia="仿宋"/>
          <w:bCs/>
          <w:sz w:val="32"/>
          <w:szCs w:val="32"/>
        </w:rPr>
        <w:t>:</w:t>
      </w:r>
      <w:r>
        <w:rPr>
          <w:rStyle w:val="15"/>
          <w:rFonts w:hint="eastAsia" w:ascii="仿宋" w:hAnsi="仿宋" w:eastAsia="仿宋"/>
          <w:b w:val="0"/>
          <w:bCs/>
          <w:sz w:val="32"/>
          <w:szCs w:val="32"/>
        </w:rPr>
        <w:t>支出决算为</w:t>
      </w:r>
      <w:r>
        <w:rPr>
          <w:rStyle w:val="15"/>
          <w:rFonts w:hint="eastAsia" w:ascii="仿宋" w:hAnsi="仿宋" w:eastAsia="仿宋"/>
          <w:b w:val="0"/>
          <w:bCs/>
          <w:sz w:val="32"/>
          <w:szCs w:val="32"/>
          <w:lang w:val="en-US" w:eastAsia="zh-CN"/>
        </w:rPr>
        <w:t>175.90</w:t>
      </w:r>
      <w:r>
        <w:rPr>
          <w:rStyle w:val="15"/>
          <w:rFonts w:hint="eastAsia" w:ascii="仿宋" w:hAnsi="仿宋" w:eastAsia="仿宋"/>
          <w:b w:val="0"/>
          <w:bCs/>
          <w:sz w:val="32"/>
          <w:szCs w:val="32"/>
        </w:rPr>
        <w:t>万元，完成预算100</w:t>
      </w:r>
      <w:r>
        <w:rPr>
          <w:rStyle w:val="15"/>
          <w:rFonts w:ascii="仿宋" w:hAnsi="仿宋" w:eastAsia="仿宋"/>
          <w:b w:val="0"/>
          <w:bCs/>
          <w:sz w:val="32"/>
          <w:szCs w:val="32"/>
        </w:rPr>
        <w:t>%</w:t>
      </w:r>
      <w:r>
        <w:rPr>
          <w:rStyle w:val="15"/>
          <w:rFonts w:hint="eastAsia" w:ascii="仿宋" w:hAnsi="仿宋" w:eastAsia="仿宋"/>
          <w:b w:val="0"/>
          <w:bCs/>
          <w:sz w:val="32"/>
          <w:szCs w:val="32"/>
        </w:rPr>
        <w:t>，决算数等于预算数。</w:t>
      </w:r>
    </w:p>
    <w:p>
      <w:pPr>
        <w:tabs>
          <w:tab w:val="right" w:pos="8306"/>
        </w:tabs>
        <w:spacing w:line="600" w:lineRule="exact"/>
        <w:ind w:firstLine="640"/>
        <w:outlineLvl w:val="1"/>
        <w:rPr>
          <w:rStyle w:val="18"/>
          <w:color w:val="auto"/>
          <w:highlight w:val="none"/>
        </w:rPr>
      </w:pPr>
      <w:bookmarkStart w:id="58" w:name="_Toc15396608"/>
      <w:bookmarkStart w:id="59" w:name="_Toc10898_WPSOffice_Level2"/>
      <w:bookmarkStart w:id="60" w:name="_Toc15377214"/>
      <w:bookmarkStart w:id="61" w:name="_Toc638"/>
      <w:r>
        <w:rPr>
          <w:rFonts w:hint="eastAsia" w:ascii="黑体" w:eastAsia="黑体"/>
          <w:color w:val="auto"/>
          <w:sz w:val="32"/>
          <w:szCs w:val="32"/>
          <w:highlight w:val="none"/>
        </w:rPr>
        <w:t>六</w:t>
      </w:r>
      <w:r>
        <w:rPr>
          <w:rFonts w:hint="eastAsia" w:ascii="黑体" w:eastAsia="黑体"/>
          <w:b/>
          <w:color w:val="auto"/>
          <w:sz w:val="32"/>
          <w:szCs w:val="32"/>
          <w:highlight w:val="none"/>
        </w:rPr>
        <w:t>、</w:t>
      </w:r>
      <w:r>
        <w:rPr>
          <w:rFonts w:hint="eastAsia" w:ascii="黑体" w:hAnsi="黑体" w:eastAsia="黑体"/>
          <w:b/>
          <w:color w:val="auto"/>
          <w:sz w:val="32"/>
          <w:szCs w:val="32"/>
          <w:highlight w:val="none"/>
        </w:rPr>
        <w:t>一</w:t>
      </w:r>
      <w:r>
        <w:rPr>
          <w:rStyle w:val="18"/>
          <w:rFonts w:hint="eastAsia" w:ascii="黑体" w:hAnsi="黑体" w:eastAsia="黑体"/>
          <w:b w:val="0"/>
          <w:color w:val="auto"/>
          <w:highlight w:val="none"/>
        </w:rPr>
        <w:t>般公共预算财政拨款基本支出决算情况说明</w:t>
      </w:r>
      <w:bookmarkEnd w:id="58"/>
      <w:bookmarkEnd w:id="59"/>
      <w:bookmarkEnd w:id="60"/>
      <w:bookmarkEnd w:id="61"/>
      <w:r>
        <w:rPr>
          <w:rStyle w:val="18"/>
          <w:rFonts w:ascii="黑体" w:hAnsi="黑体" w:eastAsia="黑体"/>
          <w:b w:val="0"/>
          <w:color w:val="auto"/>
          <w:highlight w:val="none"/>
        </w:rPr>
        <w:tab/>
      </w:r>
    </w:p>
    <w:p>
      <w:pPr>
        <w:spacing w:line="600" w:lineRule="exact"/>
        <w:ind w:firstLine="645"/>
        <w:rPr>
          <w:rFonts w:ascii="仿宋" w:hAnsi="仿宋" w:eastAsia="仿宋"/>
          <w:color w:val="auto"/>
          <w:sz w:val="32"/>
          <w:szCs w:val="32"/>
          <w:highlight w:val="none"/>
        </w:rPr>
      </w:pP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年一般公共预算财政拨款基本支出</w:t>
      </w:r>
      <w:r>
        <w:rPr>
          <w:rFonts w:hint="eastAsia" w:ascii="仿宋" w:hAnsi="仿宋" w:eastAsia="仿宋"/>
          <w:color w:val="auto"/>
          <w:sz w:val="32"/>
          <w:szCs w:val="32"/>
          <w:highlight w:val="none"/>
          <w:lang w:val="en-US" w:eastAsia="zh-CN"/>
        </w:rPr>
        <w:t>2563.80</w:t>
      </w:r>
      <w:r>
        <w:rPr>
          <w:rFonts w:hint="eastAsia" w:ascii="仿宋" w:hAnsi="仿宋" w:eastAsia="仿宋"/>
          <w:color w:val="auto"/>
          <w:sz w:val="32"/>
          <w:szCs w:val="32"/>
          <w:highlight w:val="none"/>
        </w:rPr>
        <w:t>万元，其中：</w:t>
      </w:r>
    </w:p>
    <w:p>
      <w:pPr>
        <w:spacing w:line="600" w:lineRule="exact"/>
        <w:ind w:firstLine="645"/>
        <w:rPr>
          <w:rFonts w:ascii="仿宋" w:hAnsi="仿宋" w:eastAsia="仿宋"/>
          <w:color w:val="auto"/>
          <w:sz w:val="32"/>
          <w:szCs w:val="32"/>
          <w:highlight w:val="none"/>
        </w:rPr>
      </w:pPr>
      <w:r>
        <w:rPr>
          <w:rFonts w:hint="eastAsia" w:ascii="仿宋" w:hAnsi="仿宋" w:eastAsia="仿宋"/>
          <w:color w:val="auto"/>
          <w:sz w:val="32"/>
          <w:szCs w:val="32"/>
          <w:highlight w:val="none"/>
        </w:rPr>
        <w:t>人员经费</w:t>
      </w:r>
      <w:r>
        <w:rPr>
          <w:rFonts w:hint="eastAsia" w:ascii="仿宋" w:hAnsi="仿宋" w:eastAsia="仿宋"/>
          <w:color w:val="auto"/>
          <w:sz w:val="32"/>
          <w:szCs w:val="32"/>
          <w:highlight w:val="none"/>
          <w:lang w:val="en-US" w:eastAsia="zh-CN"/>
        </w:rPr>
        <w:t>2277.08</w:t>
      </w:r>
      <w:r>
        <w:rPr>
          <w:rFonts w:hint="eastAsia" w:ascii="仿宋" w:hAnsi="仿宋" w:eastAsia="仿宋"/>
          <w:color w:val="auto"/>
          <w:sz w:val="32"/>
          <w:szCs w:val="32"/>
          <w:highlight w:val="none"/>
        </w:rPr>
        <w:t>万元，主要包括：基本工资、津贴补贴、奖金、绩效工资、机关事业单位基本养老保险缴费、职业年金缴费、</w:t>
      </w:r>
      <w:r>
        <w:rPr>
          <w:rFonts w:hint="eastAsia" w:ascii="仿宋" w:hAnsi="仿宋" w:eastAsia="仿宋"/>
          <w:color w:val="auto"/>
          <w:sz w:val="32"/>
          <w:szCs w:val="32"/>
          <w:highlight w:val="none"/>
          <w:lang w:eastAsia="zh-CN"/>
        </w:rPr>
        <w:t>职工基本医疗保险缴费、</w:t>
      </w:r>
      <w:r>
        <w:rPr>
          <w:rFonts w:hint="eastAsia" w:ascii="仿宋" w:hAnsi="仿宋" w:eastAsia="仿宋"/>
          <w:color w:val="auto"/>
          <w:sz w:val="32"/>
          <w:szCs w:val="32"/>
          <w:highlight w:val="none"/>
        </w:rPr>
        <w:t>其他社会保障缴费、</w:t>
      </w:r>
      <w:r>
        <w:rPr>
          <w:rFonts w:hint="eastAsia" w:ascii="仿宋" w:hAnsi="仿宋" w:eastAsia="仿宋"/>
          <w:color w:val="auto"/>
          <w:sz w:val="32"/>
          <w:szCs w:val="32"/>
          <w:highlight w:val="none"/>
          <w:lang w:eastAsia="zh-CN"/>
        </w:rPr>
        <w:t>住房公积金、</w:t>
      </w:r>
      <w:r>
        <w:rPr>
          <w:rFonts w:hint="eastAsia" w:ascii="仿宋" w:hAnsi="仿宋" w:eastAsia="仿宋"/>
          <w:color w:val="auto"/>
          <w:sz w:val="32"/>
          <w:szCs w:val="32"/>
          <w:highlight w:val="none"/>
        </w:rPr>
        <w:t>生活补助、</w:t>
      </w:r>
      <w:r>
        <w:rPr>
          <w:rFonts w:hint="eastAsia" w:ascii="仿宋" w:hAnsi="仿宋" w:eastAsia="仿宋"/>
          <w:color w:val="auto"/>
          <w:sz w:val="32"/>
          <w:szCs w:val="32"/>
          <w:highlight w:val="none"/>
          <w:lang w:eastAsia="zh-CN"/>
        </w:rPr>
        <w:t>助学金</w:t>
      </w:r>
      <w:r>
        <w:rPr>
          <w:rFonts w:hint="eastAsia" w:ascii="仿宋" w:hAnsi="仿宋" w:eastAsia="仿宋"/>
          <w:color w:val="auto"/>
          <w:sz w:val="32"/>
          <w:szCs w:val="32"/>
          <w:highlight w:val="none"/>
        </w:rPr>
        <w:t>、奖励金、其他对个人和家庭的补助支出等。</w:t>
      </w:r>
      <w:r>
        <w:rPr>
          <w:rFonts w:ascii="仿宋" w:hAnsi="仿宋" w:eastAsia="仿宋"/>
          <w:color w:val="auto"/>
          <w:sz w:val="32"/>
          <w:szCs w:val="32"/>
          <w:highlight w:val="none"/>
        </w:rPr>
        <w:br w:type="textWrapping"/>
      </w:r>
      <w:r>
        <w:rPr>
          <w:rFonts w:hint="eastAsia" w:ascii="仿宋" w:hAnsi="仿宋" w:eastAsia="仿宋"/>
          <w:color w:val="auto"/>
          <w:sz w:val="32"/>
          <w:szCs w:val="32"/>
          <w:highlight w:val="none"/>
        </w:rPr>
        <w:t>　　公用经费</w:t>
      </w:r>
      <w:r>
        <w:rPr>
          <w:rFonts w:hint="eastAsia" w:ascii="仿宋" w:hAnsi="仿宋" w:eastAsia="仿宋"/>
          <w:color w:val="auto"/>
          <w:sz w:val="32"/>
          <w:szCs w:val="32"/>
          <w:highlight w:val="none"/>
          <w:lang w:val="en-US" w:eastAsia="zh-CN"/>
        </w:rPr>
        <w:t>286.72</w:t>
      </w:r>
      <w:r>
        <w:rPr>
          <w:rFonts w:hint="eastAsia" w:ascii="仿宋" w:hAnsi="仿宋" w:eastAsia="仿宋"/>
          <w:color w:val="auto"/>
          <w:sz w:val="32"/>
          <w:szCs w:val="32"/>
          <w:highlight w:val="none"/>
        </w:rPr>
        <w:t>万元，主要包括：办公费、印刷费、咨询费、水费、电费、邮电费、物业管理费、差旅费、维修（护）费、培训费、</w:t>
      </w:r>
      <w:r>
        <w:rPr>
          <w:rFonts w:hint="eastAsia" w:ascii="仿宋" w:hAnsi="仿宋" w:eastAsia="仿宋"/>
          <w:color w:val="auto"/>
          <w:sz w:val="32"/>
          <w:szCs w:val="32"/>
          <w:highlight w:val="none"/>
          <w:lang w:eastAsia="zh-CN"/>
        </w:rPr>
        <w:t>专用材料费、</w:t>
      </w:r>
      <w:r>
        <w:rPr>
          <w:rFonts w:hint="eastAsia" w:ascii="仿宋" w:hAnsi="仿宋" w:eastAsia="仿宋"/>
          <w:color w:val="auto"/>
          <w:sz w:val="32"/>
          <w:szCs w:val="32"/>
          <w:highlight w:val="none"/>
        </w:rPr>
        <w:t>劳务费、委托业务费、工会经费、福利费、其他交通费</w:t>
      </w:r>
      <w:r>
        <w:rPr>
          <w:rFonts w:hint="eastAsia" w:ascii="仿宋" w:hAnsi="仿宋" w:eastAsia="仿宋"/>
          <w:color w:val="auto"/>
          <w:sz w:val="32"/>
          <w:szCs w:val="32"/>
          <w:highlight w:val="none"/>
          <w:lang w:val="en-US" w:eastAsia="zh-CN"/>
        </w:rPr>
        <w:t>用</w:t>
      </w:r>
      <w:r>
        <w:rPr>
          <w:rFonts w:hint="eastAsia" w:ascii="仿宋" w:hAnsi="仿宋" w:eastAsia="仿宋"/>
          <w:color w:val="auto"/>
          <w:sz w:val="32"/>
          <w:szCs w:val="32"/>
          <w:highlight w:val="none"/>
        </w:rPr>
        <w:t>、其他商品和服务支出、办公设备购置、专用设备购置、其他资本性支出。</w:t>
      </w:r>
    </w:p>
    <w:p>
      <w:pPr>
        <w:spacing w:line="600" w:lineRule="exact"/>
        <w:ind w:firstLine="640"/>
        <w:outlineLvl w:val="1"/>
        <w:rPr>
          <w:rStyle w:val="18"/>
          <w:rFonts w:ascii="黑体" w:hAnsi="黑体" w:eastAsia="黑体"/>
          <w:b w:val="0"/>
          <w:color w:val="auto"/>
          <w:highlight w:val="none"/>
        </w:rPr>
      </w:pPr>
      <w:bookmarkStart w:id="62" w:name="_Toc12537_WPSOffice_Level2"/>
      <w:bookmarkStart w:id="63" w:name="_Toc15396609"/>
      <w:bookmarkStart w:id="64" w:name="_Toc15377215"/>
      <w:bookmarkStart w:id="65" w:name="_Toc29845"/>
      <w:r>
        <w:rPr>
          <w:rFonts w:hint="eastAsia" w:ascii="黑体" w:eastAsia="黑体"/>
          <w:color w:val="auto"/>
          <w:sz w:val="32"/>
          <w:szCs w:val="32"/>
          <w:highlight w:val="none"/>
        </w:rPr>
        <w:t>七、</w:t>
      </w:r>
      <w:r>
        <w:rPr>
          <w:rStyle w:val="18"/>
          <w:rFonts w:hint="eastAsia" w:ascii="黑体" w:hAnsi="黑体" w:eastAsia="黑体"/>
          <w:b w:val="0"/>
          <w:color w:val="auto"/>
          <w:highlight w:val="none"/>
        </w:rPr>
        <w:t>财政拨款</w:t>
      </w:r>
      <w:r>
        <w:rPr>
          <w:rStyle w:val="18"/>
          <w:rFonts w:hint="eastAsia" w:ascii="黑体" w:hAnsi="黑体" w:eastAsia="黑体"/>
          <w:color w:val="auto"/>
          <w:highlight w:val="none"/>
        </w:rPr>
        <w:t>“</w:t>
      </w:r>
      <w:r>
        <w:rPr>
          <w:rStyle w:val="18"/>
          <w:rFonts w:hint="eastAsia" w:ascii="黑体" w:hAnsi="黑体" w:eastAsia="黑体"/>
          <w:b w:val="0"/>
          <w:color w:val="auto"/>
          <w:highlight w:val="none"/>
        </w:rPr>
        <w:t>三公”经费支出决算情况说明</w:t>
      </w:r>
      <w:bookmarkEnd w:id="62"/>
      <w:bookmarkEnd w:id="63"/>
      <w:bookmarkEnd w:id="64"/>
      <w:bookmarkEnd w:id="65"/>
    </w:p>
    <w:p>
      <w:pPr>
        <w:spacing w:line="600" w:lineRule="exact"/>
        <w:ind w:firstLine="640"/>
        <w:outlineLvl w:val="2"/>
        <w:rPr>
          <w:rFonts w:ascii="仿宋" w:hAnsi="仿宋" w:eastAsia="仿宋"/>
          <w:b/>
          <w:color w:val="auto"/>
          <w:sz w:val="32"/>
          <w:szCs w:val="32"/>
          <w:highlight w:val="none"/>
        </w:rPr>
      </w:pPr>
      <w:bookmarkStart w:id="66" w:name="_Toc15377216"/>
      <w:r>
        <w:rPr>
          <w:rFonts w:hint="eastAsia" w:ascii="仿宋" w:hAnsi="仿宋" w:eastAsia="仿宋"/>
          <w:b/>
          <w:color w:val="auto"/>
          <w:sz w:val="32"/>
          <w:szCs w:val="32"/>
          <w:highlight w:val="none"/>
        </w:rPr>
        <w:t>（一）“三公”经费财政拨款支出决算总体情况说明</w:t>
      </w:r>
      <w:bookmarkEnd w:id="66"/>
    </w:p>
    <w:p>
      <w:pPr>
        <w:spacing w:line="600" w:lineRule="exact"/>
        <w:ind w:firstLine="640"/>
        <w:rPr>
          <w:rFonts w:ascii="仿宋" w:hAnsi="仿宋" w:eastAsia="仿宋"/>
          <w:color w:val="auto"/>
          <w:sz w:val="32"/>
          <w:szCs w:val="32"/>
          <w:highlight w:val="none"/>
        </w:rPr>
      </w:pP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年“三公”经费财政拨款支出决算为</w:t>
      </w:r>
      <w:r>
        <w:rPr>
          <w:rFonts w:hint="eastAsia" w:ascii="仿宋" w:hAnsi="仿宋" w:eastAsia="仿宋"/>
          <w:color w:val="auto"/>
          <w:sz w:val="32"/>
          <w:szCs w:val="32"/>
          <w:highlight w:val="none"/>
          <w:lang w:val="en-US" w:eastAsia="zh-CN"/>
        </w:rPr>
        <w:t>0</w:t>
      </w:r>
      <w:r>
        <w:rPr>
          <w:rFonts w:hint="eastAsia" w:ascii="仿宋" w:hAnsi="仿宋" w:eastAsia="仿宋"/>
          <w:color w:val="auto"/>
          <w:sz w:val="32"/>
          <w:szCs w:val="32"/>
          <w:highlight w:val="none"/>
        </w:rPr>
        <w:t>万元，</w:t>
      </w:r>
      <w:r>
        <w:rPr>
          <w:rFonts w:hint="eastAsia" w:ascii="仿宋_GB2312" w:eastAsia="仿宋_GB2312"/>
          <w:color w:val="auto"/>
          <w:sz w:val="32"/>
          <w:szCs w:val="32"/>
          <w:highlight w:val="none"/>
          <w:lang w:val="en-US" w:eastAsia="zh-CN"/>
        </w:rPr>
        <w:t>年初未安排预算</w:t>
      </w:r>
      <w:r>
        <w:rPr>
          <w:rFonts w:hint="eastAsia" w:ascii="仿宋" w:hAnsi="仿宋" w:eastAsia="仿宋"/>
          <w:color w:val="auto"/>
          <w:sz w:val="32"/>
          <w:szCs w:val="32"/>
          <w:highlight w:val="none"/>
        </w:rPr>
        <w:t>，</w:t>
      </w:r>
      <w:r>
        <w:rPr>
          <w:rFonts w:hint="eastAsia" w:ascii="仿宋" w:hAnsi="仿宋" w:eastAsia="仿宋"/>
          <w:color w:val="auto"/>
          <w:sz w:val="32"/>
          <w:szCs w:val="32"/>
          <w:highlight w:val="none"/>
          <w:lang w:eastAsia="zh-CN"/>
        </w:rPr>
        <w:t>较上年</w:t>
      </w:r>
      <w:r>
        <w:rPr>
          <w:rFonts w:hint="eastAsia" w:ascii="仿宋" w:hAnsi="仿宋" w:eastAsia="仿宋"/>
          <w:color w:val="auto"/>
          <w:sz w:val="32"/>
          <w:szCs w:val="32"/>
          <w:highlight w:val="none"/>
          <w:lang w:val="en-US" w:eastAsia="zh-CN"/>
        </w:rPr>
        <w:t>减少</w:t>
      </w:r>
      <w:r>
        <w:rPr>
          <w:rFonts w:hint="eastAsia" w:ascii="仿宋" w:hAnsi="仿宋" w:eastAsia="仿宋"/>
          <w:sz w:val="32"/>
          <w:szCs w:val="32"/>
        </w:rPr>
        <w:t>0.33万元</w:t>
      </w:r>
      <w:r>
        <w:rPr>
          <w:rFonts w:hint="eastAsia" w:ascii="仿宋" w:hAnsi="仿宋" w:eastAsia="仿宋"/>
          <w:color w:val="auto"/>
          <w:sz w:val="32"/>
          <w:szCs w:val="32"/>
          <w:highlight w:val="none"/>
          <w:lang w:val="en-US" w:eastAsia="zh-CN"/>
        </w:rPr>
        <w:t>，下降100%。</w:t>
      </w:r>
      <w:r>
        <w:rPr>
          <w:rFonts w:hint="eastAsia" w:ascii="仿宋" w:hAnsi="仿宋" w:eastAsia="仿宋"/>
          <w:color w:val="auto"/>
          <w:sz w:val="32"/>
          <w:szCs w:val="32"/>
          <w:highlight w:val="none"/>
        </w:rPr>
        <w:t>决算数与预算数持平。</w:t>
      </w:r>
    </w:p>
    <w:p>
      <w:pPr>
        <w:spacing w:line="600" w:lineRule="exact"/>
        <w:ind w:firstLine="640"/>
        <w:outlineLvl w:val="2"/>
        <w:rPr>
          <w:rFonts w:ascii="仿宋" w:hAnsi="仿宋" w:eastAsia="仿宋"/>
          <w:b/>
          <w:color w:val="auto"/>
          <w:sz w:val="32"/>
          <w:szCs w:val="32"/>
          <w:highlight w:val="none"/>
        </w:rPr>
      </w:pPr>
      <w:bookmarkStart w:id="67" w:name="_Toc15377217"/>
      <w:r>
        <w:rPr>
          <w:rFonts w:hint="eastAsia" w:ascii="仿宋" w:hAnsi="仿宋" w:eastAsia="仿宋"/>
          <w:b/>
          <w:color w:val="auto"/>
          <w:sz w:val="32"/>
          <w:szCs w:val="32"/>
          <w:highlight w:val="none"/>
        </w:rPr>
        <w:t>（二）“三公”经费财政拨款支出决算具体情况说明</w:t>
      </w:r>
      <w:bookmarkEnd w:id="67"/>
    </w:p>
    <w:p>
      <w:pPr>
        <w:spacing w:line="600" w:lineRule="exact"/>
        <w:ind w:firstLine="640"/>
        <w:rPr>
          <w:rFonts w:ascii="仿宋" w:hAnsi="仿宋" w:eastAsia="仿宋"/>
          <w:color w:val="auto"/>
          <w:sz w:val="32"/>
          <w:szCs w:val="32"/>
          <w:highlight w:val="none"/>
        </w:rPr>
      </w:pP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年“三公”经费财政拨款支出决算中，因公出国（境）费支出决算</w:t>
      </w:r>
      <w:r>
        <w:rPr>
          <w:rFonts w:hint="eastAsia" w:ascii="仿宋" w:hAnsi="仿宋" w:eastAsia="仿宋"/>
          <w:color w:val="auto"/>
          <w:sz w:val="32"/>
          <w:szCs w:val="32"/>
          <w:highlight w:val="none"/>
          <w:lang w:val="en-US" w:eastAsia="zh-CN"/>
        </w:rPr>
        <w:t>0</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0</w:t>
      </w:r>
      <w:r>
        <w:rPr>
          <w:rFonts w:ascii="仿宋" w:hAnsi="仿宋" w:eastAsia="仿宋"/>
          <w:color w:val="auto"/>
          <w:sz w:val="32"/>
          <w:szCs w:val="32"/>
          <w:highlight w:val="none"/>
        </w:rPr>
        <w:t>%</w:t>
      </w:r>
      <w:r>
        <w:rPr>
          <w:rFonts w:hint="eastAsia" w:ascii="仿宋" w:hAnsi="仿宋" w:eastAsia="仿宋"/>
          <w:color w:val="auto"/>
          <w:sz w:val="32"/>
          <w:szCs w:val="32"/>
          <w:highlight w:val="none"/>
        </w:rPr>
        <w:t>；公务用车购置及运行维护费支出决算</w:t>
      </w:r>
      <w:r>
        <w:rPr>
          <w:rFonts w:hint="eastAsia" w:ascii="仿宋" w:hAnsi="仿宋" w:eastAsia="仿宋"/>
          <w:color w:val="auto"/>
          <w:sz w:val="32"/>
          <w:szCs w:val="32"/>
          <w:highlight w:val="none"/>
          <w:lang w:val="en-US" w:eastAsia="zh-CN"/>
        </w:rPr>
        <w:t>0</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0</w:t>
      </w:r>
      <w:r>
        <w:rPr>
          <w:rFonts w:ascii="仿宋" w:hAnsi="仿宋" w:eastAsia="仿宋"/>
          <w:color w:val="auto"/>
          <w:sz w:val="32"/>
          <w:szCs w:val="32"/>
          <w:highlight w:val="none"/>
        </w:rPr>
        <w:t>%</w:t>
      </w:r>
      <w:r>
        <w:rPr>
          <w:rFonts w:hint="eastAsia" w:ascii="仿宋" w:hAnsi="仿宋" w:eastAsia="仿宋"/>
          <w:color w:val="auto"/>
          <w:sz w:val="32"/>
          <w:szCs w:val="32"/>
          <w:highlight w:val="none"/>
        </w:rPr>
        <w:t>；公务接待费支出决算</w:t>
      </w:r>
      <w:r>
        <w:rPr>
          <w:rFonts w:hint="eastAsia" w:ascii="仿宋" w:hAnsi="仿宋" w:eastAsia="仿宋"/>
          <w:color w:val="auto"/>
          <w:sz w:val="32"/>
          <w:szCs w:val="32"/>
          <w:highlight w:val="none"/>
          <w:lang w:val="en-US" w:eastAsia="zh-CN"/>
        </w:rPr>
        <w:t>0</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0</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p>
    <w:p>
      <w:pPr>
        <w:numPr>
          <w:ilvl w:val="0"/>
          <w:numId w:val="3"/>
        </w:numPr>
        <w:spacing w:line="600" w:lineRule="exact"/>
        <w:ind w:firstLine="640"/>
        <w:rPr>
          <w:rFonts w:hint="eastAsia" w:ascii="仿宋_GB2312" w:eastAsia="仿宋_GB2312"/>
          <w:color w:val="auto"/>
          <w:sz w:val="32"/>
          <w:szCs w:val="32"/>
          <w:highlight w:val="none"/>
          <w:lang w:eastAsia="zh-CN"/>
        </w:rPr>
      </w:pPr>
      <w:r>
        <w:rPr>
          <w:rFonts w:hint="eastAsia" w:ascii="仿宋_GB2312" w:eastAsia="仿宋_GB2312"/>
          <w:b/>
          <w:color w:val="auto"/>
          <w:sz w:val="32"/>
          <w:szCs w:val="32"/>
          <w:highlight w:val="none"/>
        </w:rPr>
        <w:t>因公出国（境）经费支出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val="en-US" w:eastAsia="zh-CN"/>
        </w:rPr>
        <w:t>年初未安排预算</w:t>
      </w:r>
      <w:r>
        <w:rPr>
          <w:rFonts w:hint="eastAsia" w:ascii="仿宋_GB2312" w:eastAsia="仿宋_GB2312"/>
          <w:color w:val="auto"/>
          <w:sz w:val="32"/>
          <w:szCs w:val="32"/>
          <w:highlight w:val="none"/>
        </w:rPr>
        <w:t>。全年安排因公出国（境）团组</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次，出国（境）</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人。因公出国（境）支出决算</w:t>
      </w:r>
      <w:r>
        <w:rPr>
          <w:rFonts w:hint="eastAsia" w:ascii="仿宋_GB2312" w:eastAsia="仿宋_GB2312"/>
          <w:color w:val="auto"/>
          <w:sz w:val="32"/>
          <w:szCs w:val="32"/>
          <w:highlight w:val="none"/>
          <w:lang w:eastAsia="zh-CN"/>
        </w:rPr>
        <w:t>较</w:t>
      </w: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21</w:t>
      </w:r>
      <w:r>
        <w:rPr>
          <w:rFonts w:hint="eastAsia" w:ascii="仿宋_GB2312" w:eastAsia="仿宋_GB2312"/>
          <w:color w:val="auto"/>
          <w:sz w:val="32"/>
          <w:szCs w:val="32"/>
          <w:highlight w:val="none"/>
        </w:rPr>
        <w:t>年</w:t>
      </w:r>
      <w:r>
        <w:rPr>
          <w:rFonts w:hint="eastAsia" w:ascii="仿宋_GB2312" w:eastAsia="仿宋_GB2312"/>
          <w:color w:val="auto"/>
          <w:sz w:val="32"/>
          <w:szCs w:val="32"/>
          <w:highlight w:val="none"/>
          <w:lang w:eastAsia="zh-CN"/>
        </w:rPr>
        <w:t>无变化。</w:t>
      </w:r>
    </w:p>
    <w:p>
      <w:pPr>
        <w:spacing w:line="600" w:lineRule="exact"/>
        <w:ind w:firstLine="640"/>
        <w:rPr>
          <w:rFonts w:ascii="仿宋_GB2312" w:eastAsia="仿宋_GB2312"/>
          <w:b/>
          <w:color w:val="auto"/>
          <w:sz w:val="32"/>
          <w:szCs w:val="32"/>
          <w:highlight w:val="none"/>
        </w:rPr>
      </w:pPr>
      <w:r>
        <w:rPr>
          <w:rFonts w:ascii="仿宋_GB2312" w:eastAsia="仿宋_GB2312"/>
          <w:b/>
          <w:color w:val="auto"/>
          <w:sz w:val="32"/>
          <w:szCs w:val="32"/>
          <w:highlight w:val="none"/>
        </w:rPr>
        <w:t>2.</w:t>
      </w:r>
      <w:r>
        <w:rPr>
          <w:rFonts w:hint="eastAsia" w:ascii="仿宋_GB2312" w:eastAsia="仿宋_GB2312"/>
          <w:b/>
          <w:color w:val="auto"/>
          <w:sz w:val="32"/>
          <w:szCs w:val="32"/>
          <w:highlight w:val="none"/>
        </w:rPr>
        <w:t>公务用车购置及运行维护费支出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年初未安排预算</w:t>
      </w:r>
      <w:r>
        <w:rPr>
          <w:rStyle w:val="15"/>
          <w:rFonts w:hint="eastAsia" w:ascii="仿宋" w:hAnsi="仿宋" w:eastAsia="仿宋"/>
          <w:b w:val="0"/>
          <w:bCs/>
          <w:color w:val="auto"/>
          <w:sz w:val="32"/>
          <w:szCs w:val="32"/>
          <w:highlight w:val="none"/>
        </w:rPr>
        <w:t>。</w:t>
      </w:r>
      <w:r>
        <w:rPr>
          <w:rFonts w:hint="eastAsia" w:ascii="仿宋_GB2312" w:eastAsia="仿宋_GB2312"/>
          <w:color w:val="auto"/>
          <w:sz w:val="32"/>
          <w:szCs w:val="32"/>
          <w:highlight w:val="none"/>
        </w:rPr>
        <w:t>公务用车购置及运行维护费支出决算</w:t>
      </w:r>
      <w:r>
        <w:rPr>
          <w:rFonts w:hint="eastAsia" w:ascii="仿宋_GB2312" w:eastAsia="仿宋_GB2312"/>
          <w:color w:val="auto"/>
          <w:sz w:val="32"/>
          <w:szCs w:val="32"/>
          <w:highlight w:val="none"/>
          <w:lang w:eastAsia="zh-CN"/>
        </w:rPr>
        <w:t>较</w:t>
      </w: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21</w:t>
      </w:r>
      <w:r>
        <w:rPr>
          <w:rFonts w:hint="eastAsia" w:ascii="仿宋_GB2312" w:eastAsia="仿宋_GB2312"/>
          <w:color w:val="auto"/>
          <w:sz w:val="32"/>
          <w:szCs w:val="32"/>
          <w:highlight w:val="none"/>
        </w:rPr>
        <w:t>年</w:t>
      </w:r>
      <w:r>
        <w:rPr>
          <w:rFonts w:hint="eastAsia" w:ascii="仿宋_GB2312" w:eastAsia="仿宋_GB2312"/>
          <w:color w:val="auto"/>
          <w:sz w:val="32"/>
          <w:szCs w:val="32"/>
          <w:highlight w:val="none"/>
          <w:lang w:eastAsia="zh-CN"/>
        </w:rPr>
        <w:t>无变化</w:t>
      </w:r>
      <w:r>
        <w:rPr>
          <w:rFonts w:hint="eastAsia" w:ascii="仿宋_GB2312" w:eastAsia="仿宋_GB2312"/>
          <w:color w:val="auto"/>
          <w:sz w:val="32"/>
          <w:szCs w:val="32"/>
          <w:highlight w:val="none"/>
        </w:rPr>
        <w:t>。</w:t>
      </w:r>
    </w:p>
    <w:p>
      <w:pPr>
        <w:spacing w:line="600" w:lineRule="exact"/>
        <w:ind w:firstLine="640" w:firstLineChars="200"/>
        <w:rPr>
          <w:rFonts w:ascii="仿宋_GB2312" w:eastAsia="仿宋_GB2312"/>
          <w:b/>
          <w:color w:val="auto"/>
          <w:sz w:val="32"/>
          <w:szCs w:val="32"/>
          <w:highlight w:val="none"/>
        </w:rPr>
      </w:pPr>
      <w:r>
        <w:rPr>
          <w:rFonts w:hint="eastAsia" w:ascii="仿宋_GB2312" w:eastAsia="仿宋_GB2312"/>
          <w:color w:val="auto"/>
          <w:sz w:val="32"/>
          <w:szCs w:val="32"/>
          <w:highlight w:val="none"/>
        </w:rPr>
        <w:t>其中：</w:t>
      </w:r>
      <w:r>
        <w:rPr>
          <w:rFonts w:hint="eastAsia" w:ascii="仿宋_GB2312" w:eastAsia="仿宋_GB2312"/>
          <w:b/>
          <w:color w:val="auto"/>
          <w:sz w:val="32"/>
          <w:szCs w:val="32"/>
          <w:highlight w:val="none"/>
        </w:rPr>
        <w:t>公务用车购置支出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万元。全年按规定更新购置公务用车</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辆。截至</w:t>
      </w: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22</w:t>
      </w:r>
      <w:r>
        <w:rPr>
          <w:rFonts w:hint="eastAsia" w:ascii="仿宋_GB2312" w:eastAsia="仿宋_GB2312"/>
          <w:color w:val="auto"/>
          <w:sz w:val="32"/>
          <w:szCs w:val="32"/>
          <w:highlight w:val="none"/>
        </w:rPr>
        <w:t>年</w:t>
      </w:r>
      <w:r>
        <w:rPr>
          <w:rFonts w:ascii="仿宋_GB2312" w:eastAsia="仿宋_GB2312"/>
          <w:color w:val="auto"/>
          <w:sz w:val="32"/>
          <w:szCs w:val="32"/>
          <w:highlight w:val="none"/>
        </w:rPr>
        <w:t>12</w:t>
      </w:r>
      <w:r>
        <w:rPr>
          <w:rFonts w:hint="eastAsia" w:ascii="仿宋_GB2312" w:eastAsia="仿宋_GB2312"/>
          <w:color w:val="auto"/>
          <w:sz w:val="32"/>
          <w:szCs w:val="32"/>
          <w:highlight w:val="none"/>
        </w:rPr>
        <w:t>月底，单位共有公务用车</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辆。</w:t>
      </w:r>
    </w:p>
    <w:p>
      <w:pPr>
        <w:spacing w:line="600" w:lineRule="exact"/>
        <w:ind w:firstLine="640"/>
        <w:rPr>
          <w:rFonts w:hint="eastAsia" w:ascii="仿宋_GB2312" w:eastAsia="仿宋_GB2312"/>
          <w:color w:val="auto"/>
          <w:sz w:val="32"/>
          <w:szCs w:val="32"/>
          <w:highlight w:val="none"/>
        </w:rPr>
      </w:pPr>
      <w:r>
        <w:rPr>
          <w:rFonts w:hint="eastAsia" w:ascii="仿宋_GB2312" w:eastAsia="仿宋_GB2312"/>
          <w:b/>
          <w:color w:val="auto"/>
          <w:sz w:val="32"/>
          <w:szCs w:val="32"/>
          <w:highlight w:val="none"/>
        </w:rPr>
        <w:t>公务用车运行维护费支出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p>
    <w:p>
      <w:pPr>
        <w:spacing w:line="600" w:lineRule="exact"/>
        <w:ind w:firstLine="640"/>
        <w:rPr>
          <w:rFonts w:hint="eastAsia" w:ascii="仿宋_GB2312" w:eastAsia="仿宋"/>
          <w:color w:val="auto"/>
          <w:sz w:val="32"/>
          <w:szCs w:val="32"/>
          <w:highlight w:val="none"/>
          <w:lang w:val="en-US" w:eastAsia="zh-CN"/>
        </w:rPr>
      </w:pPr>
      <w:r>
        <w:rPr>
          <w:rFonts w:ascii="仿宋_GB2312" w:eastAsia="仿宋_GB2312"/>
          <w:b/>
          <w:color w:val="auto"/>
          <w:sz w:val="32"/>
          <w:szCs w:val="32"/>
          <w:highlight w:val="none"/>
        </w:rPr>
        <w:t>3.</w:t>
      </w:r>
      <w:r>
        <w:rPr>
          <w:rFonts w:hint="eastAsia" w:ascii="仿宋_GB2312" w:eastAsia="仿宋_GB2312"/>
          <w:b/>
          <w:color w:val="auto"/>
          <w:sz w:val="32"/>
          <w:szCs w:val="32"/>
          <w:highlight w:val="none"/>
        </w:rPr>
        <w:t>公务接待费支出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val="en-US" w:eastAsia="zh-CN"/>
        </w:rPr>
        <w:t>年初未安排预算</w:t>
      </w:r>
      <w:r>
        <w:rPr>
          <w:rStyle w:val="15"/>
          <w:rFonts w:hint="eastAsia" w:ascii="仿宋" w:hAnsi="仿宋" w:eastAsia="仿宋"/>
          <w:b w:val="0"/>
          <w:bCs/>
          <w:color w:val="auto"/>
          <w:sz w:val="32"/>
          <w:szCs w:val="32"/>
          <w:highlight w:val="none"/>
        </w:rPr>
        <w:t>。</w:t>
      </w:r>
      <w:r>
        <w:rPr>
          <w:rFonts w:hint="eastAsia" w:ascii="仿宋_GB2312" w:eastAsia="仿宋_GB2312"/>
          <w:color w:val="auto"/>
          <w:sz w:val="32"/>
          <w:szCs w:val="32"/>
          <w:highlight w:val="none"/>
        </w:rPr>
        <w:t>公务接待费支出决算比</w:t>
      </w: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21</w:t>
      </w:r>
      <w:r>
        <w:rPr>
          <w:rFonts w:hint="eastAsia" w:ascii="仿宋_GB2312" w:eastAsia="仿宋_GB2312"/>
          <w:color w:val="auto"/>
          <w:sz w:val="32"/>
          <w:szCs w:val="32"/>
          <w:highlight w:val="none"/>
        </w:rPr>
        <w:t>年减少</w:t>
      </w:r>
      <w:r>
        <w:rPr>
          <w:rFonts w:hint="eastAsia" w:ascii="仿宋_GB2312" w:eastAsia="仿宋_GB2312"/>
          <w:color w:val="auto"/>
          <w:sz w:val="32"/>
          <w:szCs w:val="32"/>
          <w:highlight w:val="none"/>
          <w:lang w:val="en-US" w:eastAsia="zh-CN"/>
        </w:rPr>
        <w:t>0.33</w:t>
      </w:r>
      <w:r>
        <w:rPr>
          <w:rFonts w:hint="eastAsia" w:ascii="仿宋_GB2312" w:eastAsia="仿宋_GB2312"/>
          <w:color w:val="auto"/>
          <w:sz w:val="32"/>
          <w:szCs w:val="32"/>
          <w:highlight w:val="none"/>
        </w:rPr>
        <w:t>万元，下降</w:t>
      </w:r>
      <w:r>
        <w:rPr>
          <w:rFonts w:hint="eastAsia" w:ascii="仿宋_GB2312" w:eastAsia="仿宋_GB2312"/>
          <w:color w:val="auto"/>
          <w:sz w:val="32"/>
          <w:szCs w:val="32"/>
          <w:highlight w:val="none"/>
          <w:lang w:val="en-US" w:eastAsia="zh-CN"/>
        </w:rPr>
        <w:t>100</w:t>
      </w:r>
      <w:r>
        <w:rPr>
          <w:rFonts w:ascii="仿宋_GB2312" w:eastAsia="仿宋_GB2312"/>
          <w:color w:val="auto"/>
          <w:sz w:val="32"/>
          <w:szCs w:val="32"/>
          <w:highlight w:val="none"/>
        </w:rPr>
        <w:t>%</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主要原因是</w:t>
      </w:r>
      <w:r>
        <w:rPr>
          <w:rFonts w:hint="eastAsia" w:ascii="仿宋" w:hAnsi="仿宋" w:eastAsia="仿宋"/>
          <w:sz w:val="32"/>
          <w:szCs w:val="32"/>
          <w:lang w:eastAsia="zh-Hans"/>
        </w:rPr>
        <w:t>继续本着厉行节约原则，严格控制公务接待费</w:t>
      </w:r>
      <w:r>
        <w:rPr>
          <w:rFonts w:hint="eastAsia" w:ascii="仿宋" w:hAnsi="仿宋" w:eastAsia="仿宋"/>
          <w:sz w:val="32"/>
          <w:szCs w:val="32"/>
          <w:lang w:eastAsia="zh-CN"/>
        </w:rPr>
        <w:t>。</w:t>
      </w:r>
    </w:p>
    <w:p>
      <w:pPr>
        <w:spacing w:line="600" w:lineRule="exact"/>
        <w:ind w:firstLine="640"/>
        <w:rPr>
          <w:rFonts w:ascii="仿宋_GB2312" w:eastAsia="仿宋_GB2312"/>
          <w:color w:val="auto"/>
          <w:sz w:val="32"/>
          <w:szCs w:val="32"/>
          <w:highlight w:val="none"/>
        </w:rPr>
      </w:pPr>
      <w:r>
        <w:rPr>
          <w:rFonts w:hint="eastAsia" w:ascii="仿宋" w:hAnsi="仿宋" w:eastAsia="仿宋"/>
          <w:b/>
          <w:color w:val="auto"/>
          <w:sz w:val="32"/>
          <w:szCs w:val="32"/>
          <w:highlight w:val="none"/>
        </w:rPr>
        <w:t>国内公务接待支出</w:t>
      </w:r>
      <w:r>
        <w:rPr>
          <w:rFonts w:hint="eastAsia" w:ascii="仿宋" w:hAnsi="仿宋" w:eastAsia="仿宋"/>
          <w:color w:val="auto"/>
          <w:sz w:val="32"/>
          <w:szCs w:val="32"/>
          <w:highlight w:val="none"/>
          <w:lang w:val="en-US" w:eastAsia="zh-CN"/>
        </w:rPr>
        <w:t>0</w:t>
      </w:r>
      <w:r>
        <w:rPr>
          <w:rFonts w:hint="eastAsia" w:ascii="仿宋_GB2312" w:eastAsia="仿宋_GB2312"/>
          <w:color w:val="auto"/>
          <w:sz w:val="32"/>
          <w:szCs w:val="32"/>
          <w:highlight w:val="none"/>
        </w:rPr>
        <w:t>万元。</w:t>
      </w:r>
    </w:p>
    <w:p>
      <w:pPr>
        <w:spacing w:line="600" w:lineRule="exact"/>
        <w:ind w:firstLine="643" w:firstLineChars="200"/>
        <w:rPr>
          <w:rFonts w:hint="eastAsia" w:ascii="仿宋_GB2312" w:eastAsia="仿宋_GB2312"/>
          <w:color w:val="auto"/>
          <w:sz w:val="32"/>
          <w:szCs w:val="32"/>
          <w:highlight w:val="none"/>
        </w:rPr>
      </w:pPr>
      <w:r>
        <w:rPr>
          <w:rFonts w:hint="eastAsia" w:ascii="仿宋" w:hAnsi="仿宋" w:eastAsia="仿宋"/>
          <w:b/>
          <w:color w:val="auto"/>
          <w:sz w:val="32"/>
          <w:szCs w:val="32"/>
          <w:highlight w:val="none"/>
        </w:rPr>
        <w:t>外事接待支出</w:t>
      </w:r>
      <w:r>
        <w:rPr>
          <w:rFonts w:hint="eastAsia" w:ascii="仿宋" w:hAnsi="仿宋" w:eastAsia="仿宋"/>
          <w:color w:val="auto"/>
          <w:sz w:val="32"/>
          <w:szCs w:val="32"/>
          <w:highlight w:val="none"/>
          <w:lang w:val="en-US" w:eastAsia="zh-CN"/>
        </w:rPr>
        <w:t>0</w:t>
      </w:r>
      <w:r>
        <w:rPr>
          <w:rFonts w:hint="eastAsia" w:ascii="仿宋_GB2312" w:eastAsia="仿宋_GB2312"/>
          <w:color w:val="auto"/>
          <w:sz w:val="32"/>
          <w:szCs w:val="32"/>
          <w:highlight w:val="none"/>
        </w:rPr>
        <w:t>万元。</w:t>
      </w:r>
    </w:p>
    <w:p>
      <w:pPr>
        <w:spacing w:line="600" w:lineRule="exact"/>
        <w:ind w:firstLine="640"/>
        <w:outlineLvl w:val="1"/>
        <w:rPr>
          <w:rStyle w:val="18"/>
          <w:rFonts w:ascii="黑体" w:hAnsi="黑体" w:eastAsia="黑体"/>
          <w:color w:val="auto"/>
          <w:highlight w:val="none"/>
        </w:rPr>
      </w:pPr>
      <w:bookmarkStart w:id="68" w:name="_Toc6061_WPSOffice_Level2"/>
      <w:bookmarkStart w:id="69" w:name="_Toc15396610"/>
      <w:bookmarkStart w:id="70" w:name="_Toc15377218"/>
      <w:bookmarkStart w:id="71" w:name="_Toc25964"/>
      <w:r>
        <w:rPr>
          <w:rFonts w:hint="eastAsia" w:ascii="黑体" w:eastAsia="黑体"/>
          <w:color w:val="auto"/>
          <w:sz w:val="32"/>
          <w:szCs w:val="32"/>
          <w:highlight w:val="none"/>
        </w:rPr>
        <w:t>八、</w:t>
      </w:r>
      <w:r>
        <w:rPr>
          <w:rStyle w:val="18"/>
          <w:rFonts w:hint="eastAsia" w:ascii="黑体" w:hAnsi="黑体" w:eastAsia="黑体"/>
          <w:b w:val="0"/>
          <w:color w:val="auto"/>
          <w:highlight w:val="none"/>
        </w:rPr>
        <w:t>政府性基金预算支出决算情况说明</w:t>
      </w:r>
      <w:bookmarkEnd w:id="68"/>
      <w:bookmarkEnd w:id="69"/>
      <w:bookmarkEnd w:id="70"/>
      <w:bookmarkEnd w:id="71"/>
    </w:p>
    <w:p>
      <w:pPr>
        <w:spacing w:line="600" w:lineRule="exact"/>
        <w:ind w:firstLine="640"/>
        <w:rPr>
          <w:rFonts w:ascii="仿宋_GB2312" w:eastAsia="仿宋_GB2312"/>
          <w:color w:val="auto"/>
          <w:sz w:val="32"/>
          <w:szCs w:val="32"/>
          <w:highlight w:val="none"/>
        </w:rPr>
      </w:pP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22</w:t>
      </w:r>
      <w:r>
        <w:rPr>
          <w:rFonts w:hint="eastAsia" w:ascii="仿宋_GB2312" w:eastAsia="仿宋_GB2312"/>
          <w:color w:val="auto"/>
          <w:sz w:val="32"/>
          <w:szCs w:val="32"/>
          <w:highlight w:val="none"/>
        </w:rPr>
        <w:t>年政府性基金预算</w:t>
      </w:r>
      <w:r>
        <w:rPr>
          <w:rFonts w:hint="eastAsia" w:ascii="仿宋_GB2312" w:eastAsia="仿宋_GB2312"/>
          <w:color w:val="auto"/>
          <w:sz w:val="32"/>
          <w:szCs w:val="32"/>
          <w:highlight w:val="none"/>
          <w:lang w:eastAsia="zh-CN"/>
        </w:rPr>
        <w:t>财政</w:t>
      </w:r>
      <w:r>
        <w:rPr>
          <w:rFonts w:hint="eastAsia" w:ascii="仿宋_GB2312" w:eastAsia="仿宋_GB2312"/>
          <w:color w:val="auto"/>
          <w:sz w:val="32"/>
          <w:szCs w:val="32"/>
          <w:highlight w:val="none"/>
        </w:rPr>
        <w:t>拨款支出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p>
    <w:p>
      <w:pPr>
        <w:numPr>
          <w:ilvl w:val="0"/>
          <w:numId w:val="4"/>
        </w:numPr>
        <w:spacing w:line="600" w:lineRule="exact"/>
        <w:ind w:firstLine="640"/>
        <w:outlineLvl w:val="1"/>
        <w:rPr>
          <w:rStyle w:val="18"/>
          <w:rFonts w:ascii="黑体" w:hAnsi="黑体" w:eastAsia="黑体"/>
          <w:b w:val="0"/>
          <w:color w:val="auto"/>
          <w:highlight w:val="none"/>
        </w:rPr>
      </w:pPr>
      <w:bookmarkStart w:id="72" w:name="_Toc15377219"/>
      <w:bookmarkStart w:id="73" w:name="_Toc27015_WPSOffice_Level2"/>
      <w:bookmarkStart w:id="74" w:name="_Toc15396611"/>
      <w:bookmarkStart w:id="75" w:name="_Toc1665"/>
      <w:r>
        <w:rPr>
          <w:rStyle w:val="18"/>
          <w:rFonts w:hint="eastAsia" w:ascii="黑体" w:hAnsi="黑体" w:eastAsia="黑体"/>
          <w:b w:val="0"/>
          <w:color w:val="auto"/>
          <w:highlight w:val="none"/>
        </w:rPr>
        <w:t>国有资本经营预算支出决算情况说明</w:t>
      </w:r>
      <w:bookmarkEnd w:id="72"/>
      <w:bookmarkEnd w:id="73"/>
      <w:bookmarkEnd w:id="74"/>
      <w:bookmarkEnd w:id="75"/>
    </w:p>
    <w:p>
      <w:pPr>
        <w:spacing w:line="600" w:lineRule="exact"/>
        <w:ind w:firstLine="640"/>
        <w:rPr>
          <w:rFonts w:ascii="方正小标宋简体" w:hAnsi="方正小标宋简体" w:eastAsia="方正小标宋简体" w:cs="方正小标宋简体"/>
          <w:color w:val="auto"/>
          <w:sz w:val="44"/>
          <w:szCs w:val="44"/>
          <w:highlight w:val="none"/>
        </w:rPr>
      </w:pP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22</w:t>
      </w:r>
      <w:r>
        <w:rPr>
          <w:rFonts w:hint="eastAsia" w:ascii="仿宋_GB2312" w:eastAsia="仿宋_GB2312"/>
          <w:color w:val="auto"/>
          <w:sz w:val="32"/>
          <w:szCs w:val="32"/>
          <w:highlight w:val="none"/>
        </w:rPr>
        <w:t>年国有资本经营预算</w:t>
      </w:r>
      <w:r>
        <w:rPr>
          <w:rFonts w:hint="eastAsia" w:ascii="仿宋_GB2312" w:eastAsia="仿宋_GB2312"/>
          <w:color w:val="auto"/>
          <w:sz w:val="32"/>
          <w:szCs w:val="32"/>
          <w:highlight w:val="none"/>
          <w:lang w:eastAsia="zh-CN"/>
        </w:rPr>
        <w:t>财政</w:t>
      </w:r>
      <w:r>
        <w:rPr>
          <w:rFonts w:hint="eastAsia" w:ascii="仿宋_GB2312" w:eastAsia="仿宋_GB2312"/>
          <w:color w:val="auto"/>
          <w:sz w:val="32"/>
          <w:szCs w:val="32"/>
          <w:highlight w:val="none"/>
        </w:rPr>
        <w:t>拨款支出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p>
    <w:p>
      <w:pPr>
        <w:numPr>
          <w:ilvl w:val="0"/>
          <w:numId w:val="4"/>
        </w:numPr>
        <w:spacing w:line="600" w:lineRule="exact"/>
        <w:ind w:firstLine="640"/>
        <w:outlineLvl w:val="1"/>
        <w:rPr>
          <w:rStyle w:val="18"/>
          <w:rFonts w:hint="eastAsia" w:ascii="黑体" w:hAnsi="黑体" w:eastAsia="黑体"/>
          <w:b w:val="0"/>
          <w:color w:val="auto"/>
          <w:highlight w:val="none"/>
        </w:rPr>
      </w:pPr>
      <w:bookmarkStart w:id="76" w:name="_Toc15377221"/>
      <w:bookmarkStart w:id="77" w:name="_Toc18188_WPSOffice_Level2"/>
      <w:bookmarkStart w:id="78" w:name="_Toc15396612"/>
      <w:bookmarkStart w:id="79" w:name="_Toc11690"/>
      <w:r>
        <w:rPr>
          <w:rStyle w:val="18"/>
          <w:rFonts w:hint="eastAsia" w:ascii="黑体" w:hAnsi="黑体" w:eastAsia="黑体"/>
          <w:b w:val="0"/>
          <w:color w:val="auto"/>
          <w:highlight w:val="none"/>
        </w:rPr>
        <w:t>其他重要事项的情况说明</w:t>
      </w:r>
      <w:bookmarkEnd w:id="76"/>
      <w:bookmarkEnd w:id="77"/>
      <w:bookmarkEnd w:id="78"/>
      <w:bookmarkEnd w:id="79"/>
    </w:p>
    <w:p>
      <w:pPr>
        <w:spacing w:line="600" w:lineRule="exact"/>
        <w:ind w:firstLine="643" w:firstLineChars="200"/>
        <w:outlineLvl w:val="2"/>
        <w:rPr>
          <w:rFonts w:ascii="仿宋" w:hAnsi="仿宋" w:eastAsia="仿宋"/>
          <w:color w:val="auto"/>
          <w:sz w:val="32"/>
          <w:szCs w:val="32"/>
          <w:highlight w:val="none"/>
        </w:rPr>
      </w:pPr>
      <w:bookmarkStart w:id="80" w:name="_Toc15377222"/>
      <w:r>
        <w:rPr>
          <w:rFonts w:hint="eastAsia" w:ascii="仿宋" w:hAnsi="仿宋" w:eastAsia="仿宋"/>
          <w:b/>
          <w:color w:val="auto"/>
          <w:sz w:val="32"/>
          <w:szCs w:val="32"/>
          <w:highlight w:val="none"/>
        </w:rPr>
        <w:t>（一）机关运行经费支出情况</w:t>
      </w:r>
      <w:bookmarkEnd w:id="80"/>
    </w:p>
    <w:p>
      <w:pPr>
        <w:spacing w:line="600" w:lineRule="exact"/>
        <w:ind w:firstLine="640" w:firstLineChars="200"/>
        <w:rPr>
          <w:rFonts w:ascii="仿宋" w:hAnsi="仿宋" w:eastAsia="仿宋"/>
          <w:b/>
          <w:color w:val="auto"/>
          <w:sz w:val="32"/>
          <w:szCs w:val="32"/>
          <w:highlight w:val="none"/>
        </w:rPr>
      </w:pPr>
      <w:bookmarkStart w:id="81" w:name="_Toc15377223"/>
      <w:r>
        <w:rPr>
          <w:rFonts w:hint="eastAsia" w:ascii="仿宋_GB2312" w:eastAsia="仿宋_GB2312"/>
          <w:color w:val="auto"/>
          <w:sz w:val="32"/>
          <w:szCs w:val="32"/>
          <w:highlight w:val="none"/>
          <w:lang w:val="en-US" w:eastAsia="zh-CN"/>
        </w:rPr>
        <w:t>2022年</w:t>
      </w:r>
      <w:r>
        <w:rPr>
          <w:rFonts w:hint="eastAsia" w:ascii="仿宋_GB2312" w:eastAsia="仿宋_GB2312"/>
          <w:color w:val="auto"/>
          <w:sz w:val="32"/>
          <w:szCs w:val="32"/>
          <w:highlight w:val="none"/>
        </w:rPr>
        <w:t>未发生机关运行经费支出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与2021年决算数持平。</w:t>
      </w:r>
    </w:p>
    <w:p>
      <w:pPr>
        <w:autoSpaceDE w:val="0"/>
        <w:autoSpaceDN w:val="0"/>
        <w:adjustRightInd w:val="0"/>
        <w:spacing w:line="600" w:lineRule="exact"/>
        <w:ind w:firstLine="643" w:firstLineChars="200"/>
        <w:jc w:val="left"/>
        <w:outlineLvl w:val="2"/>
        <w:rPr>
          <w:rFonts w:ascii="仿宋" w:hAnsi="仿宋" w:eastAsia="仿宋"/>
          <w:b/>
          <w:color w:val="auto"/>
          <w:sz w:val="32"/>
          <w:szCs w:val="32"/>
          <w:highlight w:val="none"/>
        </w:rPr>
      </w:pPr>
      <w:r>
        <w:rPr>
          <w:rFonts w:hint="eastAsia" w:ascii="仿宋" w:hAnsi="仿宋" w:eastAsia="仿宋"/>
          <w:b/>
          <w:color w:val="auto"/>
          <w:sz w:val="32"/>
          <w:szCs w:val="32"/>
          <w:highlight w:val="none"/>
        </w:rPr>
        <w:t>（二）政府采购支出情况</w:t>
      </w:r>
      <w:bookmarkEnd w:id="81"/>
    </w:p>
    <w:p>
      <w:pPr>
        <w:spacing w:line="600" w:lineRule="exact"/>
        <w:ind w:firstLine="640" w:firstLineChars="200"/>
        <w:rPr>
          <w:rFonts w:ascii="仿宋_GB2312" w:eastAsia="仿宋_GB2312"/>
          <w:color w:val="auto"/>
          <w:sz w:val="32"/>
          <w:szCs w:val="32"/>
          <w:highlight w:val="none"/>
        </w:rPr>
      </w:pP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22</w:t>
      </w:r>
      <w:r>
        <w:rPr>
          <w:rFonts w:hint="eastAsia" w:ascii="仿宋_GB2312" w:eastAsia="仿宋_GB2312"/>
          <w:color w:val="auto"/>
          <w:sz w:val="32"/>
          <w:szCs w:val="32"/>
          <w:highlight w:val="none"/>
        </w:rPr>
        <w:t>年，</w:t>
      </w:r>
      <w:r>
        <w:rPr>
          <w:rFonts w:hint="eastAsia" w:ascii="仿宋_GB2312" w:eastAsia="仿宋_GB2312"/>
          <w:color w:val="auto"/>
          <w:sz w:val="32"/>
          <w:szCs w:val="32"/>
          <w:highlight w:val="none"/>
          <w:lang w:eastAsia="zh-CN"/>
        </w:rPr>
        <w:t>广元市零八一中学</w:t>
      </w:r>
      <w:r>
        <w:rPr>
          <w:rFonts w:hint="eastAsia" w:ascii="仿宋_GB2312" w:eastAsia="仿宋_GB2312"/>
          <w:color w:val="auto"/>
          <w:sz w:val="32"/>
          <w:szCs w:val="32"/>
          <w:highlight w:val="none"/>
        </w:rPr>
        <w:t>政府采购支出总额</w:t>
      </w:r>
      <w:r>
        <w:rPr>
          <w:rFonts w:hint="eastAsia" w:ascii="仿宋_GB2312" w:eastAsia="仿宋_GB2312"/>
          <w:color w:val="auto"/>
          <w:sz w:val="32"/>
          <w:szCs w:val="32"/>
          <w:highlight w:val="none"/>
          <w:lang w:val="en-US" w:eastAsia="zh-CN"/>
        </w:rPr>
        <w:t>322.37</w:t>
      </w:r>
      <w:r>
        <w:rPr>
          <w:rFonts w:hint="eastAsia" w:ascii="仿宋_GB2312" w:eastAsia="仿宋_GB2312"/>
          <w:color w:val="auto"/>
          <w:sz w:val="32"/>
          <w:szCs w:val="32"/>
          <w:highlight w:val="none"/>
        </w:rPr>
        <w:t>万元，其中：政府采购货物支出</w:t>
      </w:r>
      <w:r>
        <w:rPr>
          <w:rFonts w:hint="eastAsia" w:ascii="仿宋_GB2312" w:eastAsia="仿宋_GB2312"/>
          <w:color w:val="auto"/>
          <w:sz w:val="32"/>
          <w:szCs w:val="32"/>
          <w:highlight w:val="none"/>
          <w:lang w:val="en-US" w:eastAsia="zh-CN"/>
        </w:rPr>
        <w:t>322.37</w:t>
      </w:r>
      <w:r>
        <w:rPr>
          <w:rFonts w:hint="eastAsia" w:ascii="仿宋_GB2312" w:eastAsia="仿宋_GB2312"/>
          <w:color w:val="auto"/>
          <w:sz w:val="32"/>
          <w:szCs w:val="32"/>
          <w:highlight w:val="none"/>
        </w:rPr>
        <w:t>万元。主要用于</w:t>
      </w:r>
      <w:r>
        <w:rPr>
          <w:rFonts w:hint="eastAsia" w:ascii="仿宋_GB2312" w:eastAsia="仿宋_GB2312"/>
          <w:color w:val="auto"/>
          <w:sz w:val="32"/>
          <w:szCs w:val="32"/>
          <w:highlight w:val="none"/>
          <w:lang w:eastAsia="zh-CN"/>
        </w:rPr>
        <w:t>新建小学部设施设备购置</w:t>
      </w:r>
      <w:r>
        <w:rPr>
          <w:rFonts w:hint="eastAsia" w:ascii="仿宋_GB2312" w:eastAsia="仿宋_GB2312"/>
          <w:color w:val="auto"/>
          <w:sz w:val="32"/>
          <w:szCs w:val="32"/>
          <w:highlight w:val="none"/>
        </w:rPr>
        <w:t>。授予中小企业合同金额</w:t>
      </w:r>
      <w:r>
        <w:rPr>
          <w:rFonts w:hint="eastAsia" w:ascii="仿宋_GB2312" w:eastAsia="仿宋_GB2312"/>
          <w:color w:val="auto"/>
          <w:sz w:val="32"/>
          <w:szCs w:val="32"/>
          <w:highlight w:val="none"/>
          <w:lang w:val="en-US" w:eastAsia="zh-CN"/>
        </w:rPr>
        <w:t>5</w:t>
      </w:r>
      <w:r>
        <w:rPr>
          <w:rFonts w:hint="eastAsia" w:ascii="仿宋_GB2312" w:eastAsia="仿宋_GB2312"/>
          <w:color w:val="auto"/>
          <w:sz w:val="32"/>
          <w:szCs w:val="32"/>
          <w:highlight w:val="none"/>
        </w:rPr>
        <w:t>万元，占政府采购支出总额的</w:t>
      </w:r>
      <w:r>
        <w:rPr>
          <w:rFonts w:hint="eastAsia" w:ascii="仿宋_GB2312" w:eastAsia="仿宋_GB2312"/>
          <w:color w:val="auto"/>
          <w:sz w:val="32"/>
          <w:szCs w:val="32"/>
          <w:highlight w:val="none"/>
          <w:lang w:val="en-US" w:eastAsia="zh-CN"/>
        </w:rPr>
        <w:t>1.55</w:t>
      </w:r>
      <w:r>
        <w:rPr>
          <w:rFonts w:ascii="仿宋_GB2312" w:eastAsia="仿宋_GB2312"/>
          <w:color w:val="auto"/>
          <w:sz w:val="32"/>
          <w:szCs w:val="32"/>
          <w:highlight w:val="none"/>
        </w:rPr>
        <w:t>%</w:t>
      </w:r>
      <w:r>
        <w:rPr>
          <w:rFonts w:hint="eastAsia" w:ascii="仿宋_GB2312" w:eastAsia="仿宋_GB2312"/>
          <w:color w:val="auto"/>
          <w:sz w:val="32"/>
          <w:szCs w:val="32"/>
          <w:highlight w:val="none"/>
        </w:rPr>
        <w:t>，其中：授予小微企业合同金额</w:t>
      </w:r>
      <w:r>
        <w:rPr>
          <w:rFonts w:hint="eastAsia" w:ascii="仿宋_GB2312" w:eastAsia="仿宋_GB2312"/>
          <w:color w:val="auto"/>
          <w:sz w:val="32"/>
          <w:szCs w:val="32"/>
          <w:highlight w:val="none"/>
          <w:lang w:val="en-US" w:eastAsia="zh-CN"/>
        </w:rPr>
        <w:t>5</w:t>
      </w:r>
      <w:r>
        <w:rPr>
          <w:rFonts w:hint="eastAsia" w:ascii="仿宋_GB2312" w:eastAsia="仿宋_GB2312"/>
          <w:color w:val="auto"/>
          <w:sz w:val="32"/>
          <w:szCs w:val="32"/>
          <w:highlight w:val="none"/>
        </w:rPr>
        <w:t>万元，占政府采购支出总额的</w:t>
      </w:r>
      <w:r>
        <w:rPr>
          <w:rFonts w:hint="eastAsia" w:ascii="仿宋_GB2312" w:eastAsia="仿宋_GB2312"/>
          <w:color w:val="auto"/>
          <w:sz w:val="32"/>
          <w:szCs w:val="32"/>
          <w:highlight w:val="none"/>
          <w:lang w:val="en-US" w:eastAsia="zh-CN"/>
        </w:rPr>
        <w:t>1.55</w:t>
      </w:r>
      <w:r>
        <w:rPr>
          <w:rFonts w:ascii="仿宋_GB2312" w:eastAsia="仿宋_GB2312"/>
          <w:color w:val="auto"/>
          <w:sz w:val="32"/>
          <w:szCs w:val="32"/>
          <w:highlight w:val="none"/>
        </w:rPr>
        <w:t>%</w:t>
      </w:r>
      <w:r>
        <w:rPr>
          <w:rFonts w:hint="eastAsia" w:ascii="仿宋_GB2312" w:eastAsia="仿宋_GB2312"/>
          <w:color w:val="auto"/>
          <w:sz w:val="32"/>
          <w:szCs w:val="32"/>
          <w:highlight w:val="none"/>
        </w:rPr>
        <w:t>。</w:t>
      </w:r>
    </w:p>
    <w:p>
      <w:pPr>
        <w:autoSpaceDE w:val="0"/>
        <w:autoSpaceDN w:val="0"/>
        <w:adjustRightInd w:val="0"/>
        <w:spacing w:line="600" w:lineRule="exact"/>
        <w:ind w:firstLine="643" w:firstLineChars="200"/>
        <w:jc w:val="left"/>
        <w:outlineLvl w:val="2"/>
        <w:rPr>
          <w:rFonts w:ascii="仿宋" w:hAnsi="仿宋" w:eastAsia="仿宋"/>
          <w:b/>
          <w:color w:val="auto"/>
          <w:sz w:val="32"/>
          <w:szCs w:val="32"/>
          <w:highlight w:val="none"/>
        </w:rPr>
      </w:pPr>
      <w:bookmarkStart w:id="82" w:name="_Toc15377224"/>
      <w:r>
        <w:rPr>
          <w:rFonts w:hint="eastAsia" w:ascii="仿宋" w:hAnsi="仿宋" w:eastAsia="仿宋"/>
          <w:b/>
          <w:color w:val="auto"/>
          <w:sz w:val="32"/>
          <w:szCs w:val="32"/>
          <w:highlight w:val="none"/>
        </w:rPr>
        <w:t>（三）国有资产占有使用情况</w:t>
      </w:r>
      <w:bookmarkEnd w:id="82"/>
    </w:p>
    <w:p>
      <w:pPr>
        <w:autoSpaceDE w:val="0"/>
        <w:autoSpaceDN w:val="0"/>
        <w:adjustRightInd w:val="0"/>
        <w:spacing w:line="600" w:lineRule="exact"/>
        <w:ind w:firstLine="640" w:firstLineChars="200"/>
        <w:jc w:val="left"/>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截至</w:t>
      </w: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22</w:t>
      </w:r>
      <w:r>
        <w:rPr>
          <w:rFonts w:hint="eastAsia" w:ascii="仿宋_GB2312" w:eastAsia="仿宋_GB2312"/>
          <w:color w:val="auto"/>
          <w:sz w:val="32"/>
          <w:szCs w:val="32"/>
          <w:highlight w:val="none"/>
        </w:rPr>
        <w:t>年</w:t>
      </w:r>
      <w:r>
        <w:rPr>
          <w:rFonts w:ascii="仿宋_GB2312" w:eastAsia="仿宋_GB2312"/>
          <w:color w:val="auto"/>
          <w:sz w:val="32"/>
          <w:szCs w:val="32"/>
          <w:highlight w:val="none"/>
        </w:rPr>
        <w:t>12</w:t>
      </w:r>
      <w:r>
        <w:rPr>
          <w:rFonts w:hint="eastAsia" w:ascii="仿宋_GB2312" w:eastAsia="仿宋_GB2312"/>
          <w:color w:val="auto"/>
          <w:sz w:val="32"/>
          <w:szCs w:val="32"/>
          <w:highlight w:val="none"/>
        </w:rPr>
        <w:t>月</w:t>
      </w:r>
      <w:r>
        <w:rPr>
          <w:rFonts w:ascii="仿宋_GB2312" w:eastAsia="仿宋_GB2312"/>
          <w:color w:val="auto"/>
          <w:sz w:val="32"/>
          <w:szCs w:val="32"/>
          <w:highlight w:val="none"/>
        </w:rPr>
        <w:t>31</w:t>
      </w:r>
      <w:r>
        <w:rPr>
          <w:rFonts w:hint="eastAsia" w:ascii="仿宋_GB2312" w:eastAsia="仿宋_GB2312"/>
          <w:color w:val="auto"/>
          <w:sz w:val="32"/>
          <w:szCs w:val="32"/>
          <w:highlight w:val="none"/>
        </w:rPr>
        <w:t>日，</w:t>
      </w:r>
      <w:r>
        <w:rPr>
          <w:rFonts w:hint="eastAsia" w:ascii="仿宋_GB2312" w:eastAsia="仿宋_GB2312"/>
          <w:color w:val="auto"/>
          <w:sz w:val="32"/>
          <w:szCs w:val="32"/>
          <w:highlight w:val="none"/>
          <w:lang w:eastAsia="zh-CN"/>
        </w:rPr>
        <w:t>广元市零八一中学</w:t>
      </w:r>
      <w:r>
        <w:rPr>
          <w:rFonts w:hint="eastAsia" w:ascii="仿宋_GB2312" w:eastAsia="仿宋_GB2312"/>
          <w:color w:val="auto"/>
          <w:sz w:val="32"/>
          <w:szCs w:val="32"/>
          <w:highlight w:val="none"/>
        </w:rPr>
        <w:t>共有车辆</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辆</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单价</w:t>
      </w:r>
      <w:r>
        <w:rPr>
          <w:rFonts w:ascii="仿宋_GB2312" w:eastAsia="仿宋_GB2312"/>
          <w:color w:val="auto"/>
          <w:sz w:val="32"/>
          <w:szCs w:val="32"/>
          <w:highlight w:val="none"/>
        </w:rPr>
        <w:t>100</w:t>
      </w:r>
      <w:r>
        <w:rPr>
          <w:rFonts w:hint="eastAsia" w:ascii="仿宋_GB2312" w:eastAsia="仿宋_GB2312"/>
          <w:color w:val="auto"/>
          <w:sz w:val="32"/>
          <w:szCs w:val="32"/>
          <w:highlight w:val="none"/>
        </w:rPr>
        <w:t>万元以上专用设备</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台（套）。</w:t>
      </w:r>
    </w:p>
    <w:p>
      <w:pPr>
        <w:autoSpaceDE w:val="0"/>
        <w:autoSpaceDN w:val="0"/>
        <w:adjustRightInd w:val="0"/>
        <w:spacing w:line="600" w:lineRule="exact"/>
        <w:ind w:firstLine="643" w:firstLineChars="200"/>
        <w:jc w:val="left"/>
        <w:outlineLvl w:val="2"/>
        <w:rPr>
          <w:rFonts w:hint="eastAsia" w:ascii="仿宋" w:hAnsi="仿宋" w:eastAsia="仿宋"/>
          <w:b/>
          <w:color w:val="auto"/>
          <w:sz w:val="32"/>
          <w:szCs w:val="32"/>
          <w:highlight w:val="none"/>
          <w:lang w:eastAsia="zh-CN"/>
        </w:rPr>
      </w:pPr>
      <w:r>
        <w:rPr>
          <w:rFonts w:hint="eastAsia" w:ascii="仿宋" w:hAnsi="仿宋" w:eastAsia="仿宋"/>
          <w:b/>
          <w:color w:val="auto"/>
          <w:sz w:val="32"/>
          <w:szCs w:val="32"/>
          <w:highlight w:val="none"/>
        </w:rPr>
        <w:t>（四）预算绩效管理情况</w:t>
      </w:r>
    </w:p>
    <w:p>
      <w:pPr>
        <w:pStyle w:val="6"/>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根据预算绩效管理要求，本单位在202</w:t>
      </w:r>
      <w:r>
        <w:rPr>
          <w:rFonts w:hint="eastAsia" w:hAnsi="仿宋_GB2312" w:cs="仿宋_GB2312"/>
          <w:color w:val="auto"/>
          <w:sz w:val="32"/>
          <w:szCs w:val="32"/>
          <w:highlight w:val="none"/>
          <w:lang w:val="en-US" w:eastAsia="zh-CN"/>
        </w:rPr>
        <w:t>2</w:t>
      </w:r>
      <w:r>
        <w:rPr>
          <w:rFonts w:hint="eastAsia" w:ascii="仿宋_GB2312" w:hAnsi="仿宋_GB2312" w:eastAsia="仿宋_GB2312" w:cs="仿宋_GB2312"/>
          <w:color w:val="auto"/>
          <w:sz w:val="32"/>
          <w:szCs w:val="32"/>
          <w:highlight w:val="none"/>
        </w:rPr>
        <w:t>年度预算编制阶段，组织对小学部食堂及教辅用房建设项目等</w:t>
      </w:r>
      <w:r>
        <w:rPr>
          <w:rFonts w:hint="eastAsia" w:hAnsi="仿宋_GB2312" w:cs="仿宋_GB2312"/>
          <w:color w:val="auto"/>
          <w:sz w:val="32"/>
          <w:szCs w:val="32"/>
          <w:highlight w:val="none"/>
          <w:lang w:val="en-US" w:eastAsia="zh-CN"/>
        </w:rPr>
        <w:t>8</w:t>
      </w:r>
      <w:r>
        <w:rPr>
          <w:rFonts w:hint="eastAsia" w:ascii="仿宋_GB2312" w:hAnsi="仿宋_GB2312" w:eastAsia="仿宋_GB2312" w:cs="仿宋_GB2312"/>
          <w:color w:val="auto"/>
          <w:sz w:val="32"/>
          <w:szCs w:val="32"/>
          <w:highlight w:val="none"/>
        </w:rPr>
        <w:t>个项目开展了预算事前绩效评估，对</w:t>
      </w:r>
      <w:r>
        <w:rPr>
          <w:rFonts w:hint="eastAsia" w:hAnsi="仿宋_GB2312" w:cs="仿宋_GB2312"/>
          <w:color w:val="auto"/>
          <w:sz w:val="32"/>
          <w:szCs w:val="32"/>
          <w:highlight w:val="none"/>
          <w:lang w:val="en-US" w:eastAsia="zh-CN"/>
        </w:rPr>
        <w:t>8</w:t>
      </w:r>
      <w:r>
        <w:rPr>
          <w:rFonts w:hint="eastAsia" w:ascii="仿宋_GB2312" w:hAnsi="仿宋_GB2312" w:eastAsia="仿宋_GB2312" w:cs="仿宋_GB2312"/>
          <w:color w:val="auto"/>
          <w:sz w:val="32"/>
          <w:szCs w:val="32"/>
          <w:highlight w:val="none"/>
        </w:rPr>
        <w:t>个项目编制了绩效目标，预算执行过程中，选取</w:t>
      </w:r>
      <w:r>
        <w:rPr>
          <w:rFonts w:hint="eastAsia" w:hAnsi="仿宋_GB2312" w:cs="仿宋_GB2312"/>
          <w:color w:val="auto"/>
          <w:sz w:val="32"/>
          <w:szCs w:val="32"/>
          <w:highlight w:val="none"/>
          <w:lang w:val="en-US" w:eastAsia="zh-CN"/>
        </w:rPr>
        <w:t>8</w:t>
      </w:r>
      <w:r>
        <w:rPr>
          <w:rFonts w:hint="eastAsia" w:ascii="仿宋_GB2312" w:hAnsi="仿宋_GB2312" w:eastAsia="仿宋_GB2312" w:cs="仿宋_GB2312"/>
          <w:color w:val="auto"/>
          <w:sz w:val="32"/>
          <w:szCs w:val="32"/>
          <w:highlight w:val="none"/>
        </w:rPr>
        <w:t>个项目开展绩效监控，组织对</w:t>
      </w:r>
      <w:r>
        <w:rPr>
          <w:rFonts w:hint="eastAsia" w:hAnsi="仿宋_GB2312" w:cs="仿宋_GB2312"/>
          <w:color w:val="auto"/>
          <w:sz w:val="32"/>
          <w:szCs w:val="32"/>
          <w:highlight w:val="none"/>
          <w:lang w:val="en-US" w:eastAsia="zh-CN"/>
        </w:rPr>
        <w:t>8</w:t>
      </w:r>
      <w:r>
        <w:rPr>
          <w:rFonts w:hint="eastAsia" w:ascii="仿宋_GB2312" w:hAnsi="仿宋_GB2312" w:eastAsia="仿宋_GB2312" w:cs="仿宋_GB2312"/>
          <w:color w:val="auto"/>
          <w:sz w:val="32"/>
          <w:szCs w:val="32"/>
          <w:highlight w:val="none"/>
        </w:rPr>
        <w:t>个项目开展绩效自评，绩效自评表详见</w:t>
      </w:r>
      <w:r>
        <w:rPr>
          <w:rFonts w:hint="eastAsia" w:hAnsi="仿宋_GB2312" w:cs="仿宋_GB2312"/>
          <w:color w:val="auto"/>
          <w:sz w:val="32"/>
          <w:szCs w:val="32"/>
          <w:highlight w:val="none"/>
          <w:lang w:eastAsia="zh-CN"/>
        </w:rPr>
        <w:t>第四部分</w:t>
      </w:r>
      <w:r>
        <w:rPr>
          <w:rFonts w:hint="eastAsia" w:ascii="仿宋_GB2312" w:hAnsi="仿宋_GB2312" w:eastAsia="仿宋_GB2312" w:cs="仿宋_GB2312"/>
          <w:color w:val="auto"/>
          <w:sz w:val="32"/>
          <w:szCs w:val="32"/>
          <w:highlight w:val="none"/>
        </w:rPr>
        <w:t>附件。</w:t>
      </w:r>
    </w:p>
    <w:p>
      <w:pPr>
        <w:widowControl/>
        <w:jc w:val="left"/>
        <w:rPr>
          <w:rFonts w:ascii="仿宋_GB2312" w:eastAsia="仿宋_GB2312"/>
          <w:b/>
          <w:color w:val="auto"/>
          <w:sz w:val="32"/>
          <w:szCs w:val="32"/>
          <w:highlight w:val="none"/>
        </w:rPr>
      </w:pPr>
    </w:p>
    <w:p>
      <w:pPr>
        <w:rPr>
          <w:rStyle w:val="17"/>
          <w:rFonts w:ascii="黑体" w:hAnsi="黑体" w:eastAsia="黑体"/>
          <w:b w:val="0"/>
          <w:color w:val="auto"/>
          <w:highlight w:val="none"/>
        </w:rPr>
      </w:pPr>
      <w:bookmarkStart w:id="83" w:name="_Toc15377225"/>
      <w:bookmarkStart w:id="84" w:name="_Toc15396613"/>
      <w:bookmarkStart w:id="85" w:name="_Toc27512_WPSOffice_Level1"/>
      <w:bookmarkStart w:id="86" w:name="_Toc10595"/>
      <w:r>
        <w:rPr>
          <w:rFonts w:hint="eastAsia" w:ascii="黑体" w:hAnsi="黑体" w:eastAsia="黑体"/>
          <w:color w:val="auto"/>
          <w:sz w:val="44"/>
          <w:szCs w:val="44"/>
          <w:highlight w:val="none"/>
        </w:rPr>
        <w:br w:type="page"/>
      </w:r>
    </w:p>
    <w:p>
      <w:pPr>
        <w:numPr>
          <w:ilvl w:val="0"/>
          <w:numId w:val="5"/>
        </w:numPr>
        <w:spacing w:line="600" w:lineRule="exact"/>
        <w:ind w:firstLine="660" w:firstLineChars="150"/>
        <w:jc w:val="center"/>
        <w:outlineLvl w:val="0"/>
        <w:rPr>
          <w:rStyle w:val="17"/>
          <w:rFonts w:ascii="黑体" w:hAnsi="黑体" w:eastAsia="黑体"/>
          <w:b w:val="0"/>
          <w:color w:val="auto"/>
          <w:highlight w:val="none"/>
        </w:rPr>
      </w:pPr>
      <w:r>
        <w:rPr>
          <w:rFonts w:hint="eastAsia" w:ascii="黑体" w:hAnsi="黑体" w:eastAsia="黑体"/>
          <w:color w:val="auto"/>
          <w:sz w:val="44"/>
          <w:szCs w:val="44"/>
          <w:highlight w:val="none"/>
        </w:rPr>
        <w:t>名</w:t>
      </w:r>
      <w:r>
        <w:rPr>
          <w:rStyle w:val="17"/>
          <w:rFonts w:hint="eastAsia" w:ascii="黑体" w:hAnsi="黑体" w:eastAsia="黑体"/>
          <w:b w:val="0"/>
          <w:color w:val="auto"/>
          <w:highlight w:val="none"/>
        </w:rPr>
        <w:t>词解释</w:t>
      </w:r>
      <w:bookmarkEnd w:id="83"/>
      <w:bookmarkEnd w:id="84"/>
      <w:bookmarkEnd w:id="85"/>
      <w:bookmarkEnd w:id="86"/>
    </w:p>
    <w:p>
      <w:pPr>
        <w:spacing w:line="600" w:lineRule="exact"/>
        <w:jc w:val="left"/>
        <w:rPr>
          <w:rFonts w:ascii="宋体"/>
          <w:b/>
          <w:color w:val="auto"/>
          <w:sz w:val="44"/>
          <w:szCs w:val="44"/>
          <w:highlight w:val="none"/>
        </w:rPr>
      </w:pPr>
    </w:p>
    <w:p>
      <w:pPr>
        <w:pStyle w:val="26"/>
        <w:spacing w:line="560" w:lineRule="exact"/>
        <w:ind w:firstLine="640" w:firstLineChars="200"/>
        <w:rPr>
          <w:rFonts w:ascii="仿宋_GB2312" w:eastAsia="仿宋_GB2312"/>
          <w:color w:val="auto"/>
          <w:sz w:val="32"/>
          <w:szCs w:val="32"/>
          <w:highlight w:val="none"/>
        </w:rPr>
      </w:pPr>
      <w:r>
        <w:rPr>
          <w:rFonts w:ascii="仿宋_GB2312" w:eastAsia="仿宋_GB2312"/>
          <w:color w:val="auto"/>
          <w:sz w:val="32"/>
          <w:szCs w:val="32"/>
          <w:highlight w:val="none"/>
        </w:rPr>
        <w:t>1.</w:t>
      </w:r>
      <w:r>
        <w:rPr>
          <w:rFonts w:hint="eastAsia" w:ascii="仿宋_GB2312" w:eastAsia="仿宋_GB2312"/>
          <w:color w:val="auto"/>
          <w:sz w:val="32"/>
          <w:szCs w:val="32"/>
          <w:highlight w:val="none"/>
        </w:rPr>
        <w:t>财政拨款收入：指单位从同级财政部门取得的财政预算资金。</w:t>
      </w:r>
    </w:p>
    <w:p>
      <w:pPr>
        <w:pStyle w:val="26"/>
        <w:spacing w:line="560" w:lineRule="exact"/>
        <w:ind w:firstLine="640" w:firstLineChars="200"/>
        <w:rPr>
          <w:rFonts w:ascii="仿宋_GB2312" w:eastAsia="仿宋_GB2312"/>
          <w:color w:val="auto"/>
          <w:sz w:val="32"/>
          <w:szCs w:val="32"/>
          <w:highlight w:val="none"/>
        </w:rPr>
      </w:pPr>
      <w:r>
        <w:rPr>
          <w:rFonts w:ascii="仿宋_GB2312" w:eastAsia="仿宋_GB2312"/>
          <w:color w:val="auto"/>
          <w:sz w:val="32"/>
          <w:szCs w:val="32"/>
          <w:highlight w:val="none"/>
        </w:rPr>
        <w:t>2.</w:t>
      </w:r>
      <w:r>
        <w:rPr>
          <w:rFonts w:hint="eastAsia" w:ascii="仿宋_GB2312" w:eastAsia="仿宋_GB2312"/>
          <w:color w:val="auto"/>
          <w:sz w:val="32"/>
          <w:szCs w:val="32"/>
          <w:highlight w:val="none"/>
        </w:rPr>
        <w:t>事业收入：指事业单位开展专业业务活动及辅助活动取得的收入。如</w:t>
      </w:r>
      <w:r>
        <w:rPr>
          <w:rFonts w:hint="eastAsia" w:ascii="仿宋_GB2312" w:eastAsia="仿宋_GB2312"/>
          <w:color w:val="auto"/>
          <w:sz w:val="32"/>
          <w:szCs w:val="32"/>
        </w:rPr>
        <w:t>初中住校费收入等</w:t>
      </w:r>
      <w:r>
        <w:rPr>
          <w:rFonts w:hint="eastAsia" w:ascii="仿宋_GB2312" w:eastAsia="仿宋_GB2312"/>
          <w:color w:val="auto"/>
          <w:sz w:val="32"/>
          <w:szCs w:val="32"/>
          <w:highlight w:val="none"/>
        </w:rPr>
        <w:t>。</w:t>
      </w:r>
    </w:p>
    <w:p>
      <w:pPr>
        <w:pStyle w:val="26"/>
        <w:spacing w:line="560" w:lineRule="exact"/>
        <w:ind w:firstLine="640" w:firstLineChars="200"/>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val="en-US" w:eastAsia="zh-CN"/>
        </w:rPr>
        <w:t>3</w:t>
      </w:r>
      <w:r>
        <w:rPr>
          <w:rFonts w:ascii="仿宋_GB2312" w:eastAsia="仿宋_GB2312"/>
          <w:color w:val="auto"/>
          <w:sz w:val="32"/>
          <w:szCs w:val="32"/>
          <w:highlight w:val="none"/>
        </w:rPr>
        <w:t>.</w:t>
      </w:r>
      <w:r>
        <w:rPr>
          <w:rFonts w:hint="eastAsia" w:ascii="仿宋_GB2312" w:eastAsia="仿宋_GB2312"/>
          <w:color w:val="auto"/>
          <w:sz w:val="32"/>
          <w:szCs w:val="32"/>
          <w:highlight w:val="none"/>
        </w:rPr>
        <w:t>年初结转和结余：指以前年度尚未完成、结转到本年按有关规定继续使用的资金。</w:t>
      </w:r>
    </w:p>
    <w:p>
      <w:pPr>
        <w:ind w:firstLine="640" w:firstLineChars="200"/>
        <w:rPr>
          <w:rFonts w:ascii="仿宋_GB2312" w:eastAsia="仿宋_GB2312"/>
          <w:sz w:val="32"/>
          <w:szCs w:val="32"/>
        </w:rPr>
      </w:pPr>
      <w:r>
        <w:rPr>
          <w:rFonts w:hint="eastAsia" w:ascii="仿宋_GB2312" w:eastAsia="仿宋_GB2312"/>
          <w:color w:val="auto"/>
          <w:sz w:val="32"/>
          <w:szCs w:val="32"/>
          <w:highlight w:val="none"/>
          <w:lang w:val="en-US" w:eastAsia="zh-CN"/>
        </w:rPr>
        <w:t>4.</w:t>
      </w:r>
      <w:r>
        <w:rPr>
          <w:rFonts w:hint="eastAsia" w:ascii="仿宋_GB2312" w:eastAsia="仿宋_GB2312"/>
          <w:sz w:val="32"/>
          <w:szCs w:val="32"/>
        </w:rPr>
        <w:t>教育支出（类）普通教育（款）小学教育（项）：指小学教育支出</w:t>
      </w:r>
    </w:p>
    <w:p>
      <w:pPr>
        <w:ind w:firstLine="640" w:firstLineChars="200"/>
        <w:rPr>
          <w:rFonts w:ascii="仿宋_GB2312" w:eastAsia="仿宋_GB2312"/>
          <w:sz w:val="32"/>
          <w:szCs w:val="32"/>
        </w:rPr>
      </w:pPr>
      <w:r>
        <w:rPr>
          <w:rFonts w:hint="eastAsia" w:ascii="仿宋_GB2312" w:eastAsia="仿宋_GB2312"/>
          <w:sz w:val="32"/>
          <w:szCs w:val="32"/>
          <w:lang w:val="en-US" w:eastAsia="zh-CN"/>
        </w:rPr>
        <w:t>5</w:t>
      </w:r>
      <w:r>
        <w:rPr>
          <w:rFonts w:ascii="仿宋_GB2312" w:eastAsia="仿宋_GB2312"/>
          <w:sz w:val="32"/>
          <w:szCs w:val="32"/>
        </w:rPr>
        <w:t>.</w:t>
      </w:r>
      <w:r>
        <w:rPr>
          <w:rFonts w:hint="eastAsia" w:ascii="仿宋_GB2312" w:eastAsia="仿宋_GB2312"/>
          <w:sz w:val="32"/>
          <w:szCs w:val="32"/>
        </w:rPr>
        <w:t>教育支出（类）普通教育（款）初中教育（项）：指初中教育支出。</w:t>
      </w:r>
    </w:p>
    <w:p>
      <w:pPr>
        <w:ind w:firstLine="640" w:firstLineChars="200"/>
        <w:rPr>
          <w:rFonts w:ascii="仿宋_GB2312" w:eastAsia="仿宋_GB2312"/>
          <w:sz w:val="32"/>
          <w:szCs w:val="32"/>
        </w:rPr>
      </w:pPr>
      <w:r>
        <w:rPr>
          <w:rFonts w:hint="eastAsia" w:ascii="仿宋_GB2312" w:eastAsia="仿宋_GB2312"/>
          <w:sz w:val="32"/>
          <w:szCs w:val="32"/>
          <w:lang w:val="en-US" w:eastAsia="zh-CN"/>
        </w:rPr>
        <w:t>6</w:t>
      </w:r>
      <w:r>
        <w:rPr>
          <w:rFonts w:ascii="仿宋_GB2312" w:eastAsia="仿宋_GB2312"/>
          <w:sz w:val="32"/>
          <w:szCs w:val="32"/>
        </w:rPr>
        <w:t>.</w:t>
      </w:r>
      <w:r>
        <w:rPr>
          <w:rFonts w:hint="eastAsia" w:ascii="仿宋_GB2312" w:eastAsia="仿宋_GB2312"/>
          <w:sz w:val="32"/>
          <w:szCs w:val="32"/>
        </w:rPr>
        <w:t>教育支出（类）普通教育（款）其他普通教育支出（项）：指其他用于普通教育方面的支出。</w:t>
      </w:r>
    </w:p>
    <w:p>
      <w:pPr>
        <w:ind w:firstLine="640" w:firstLineChars="200"/>
        <w:rPr>
          <w:rFonts w:ascii="仿宋_GB2312" w:eastAsia="仿宋_GB2312"/>
          <w:sz w:val="32"/>
          <w:szCs w:val="32"/>
        </w:rPr>
      </w:pPr>
      <w:r>
        <w:rPr>
          <w:rFonts w:hint="eastAsia" w:ascii="仿宋_GB2312" w:eastAsia="仿宋_GB2312"/>
          <w:sz w:val="32"/>
          <w:szCs w:val="32"/>
          <w:lang w:val="en-US" w:eastAsia="zh-CN"/>
        </w:rPr>
        <w:t>7.</w:t>
      </w:r>
      <w:r>
        <w:rPr>
          <w:rFonts w:hint="eastAsia" w:ascii="仿宋_GB2312" w:eastAsia="仿宋_GB2312"/>
          <w:sz w:val="32"/>
          <w:szCs w:val="32"/>
        </w:rPr>
        <w:t>社会保障和就业（类）行政事业单位养老支出（款）机关事业单位基本养老保险缴费支出（项）：指由单位缴纳的基本养老保险费支出。</w:t>
      </w:r>
    </w:p>
    <w:p>
      <w:pPr>
        <w:ind w:firstLine="640" w:firstLineChars="200"/>
        <w:rPr>
          <w:rFonts w:ascii="仿宋_GB2312" w:eastAsia="仿宋_GB2312"/>
          <w:sz w:val="32"/>
          <w:szCs w:val="32"/>
        </w:rPr>
      </w:pPr>
      <w:r>
        <w:rPr>
          <w:rFonts w:hint="eastAsia" w:ascii="仿宋_GB2312" w:eastAsia="仿宋_GB2312"/>
          <w:sz w:val="32"/>
          <w:szCs w:val="32"/>
        </w:rPr>
        <w:t>8.社会保障和就业（类）行政事业单位养老支出（款）机关事业单位职业年金缴费支出（项）：指由单位实际缴纳的职业年金支出。</w:t>
      </w:r>
    </w:p>
    <w:p>
      <w:pPr>
        <w:ind w:firstLine="640" w:firstLineChars="200"/>
        <w:rPr>
          <w:rFonts w:ascii="仿宋_GB2312" w:eastAsia="仿宋_GB2312"/>
          <w:sz w:val="32"/>
          <w:szCs w:val="32"/>
        </w:rPr>
      </w:pPr>
      <w:r>
        <w:rPr>
          <w:rFonts w:hint="eastAsia" w:ascii="仿宋_GB2312" w:eastAsia="仿宋_GB2312"/>
          <w:sz w:val="32"/>
          <w:szCs w:val="32"/>
          <w:lang w:val="en-US" w:eastAsia="zh-CN"/>
        </w:rPr>
        <w:t>9.</w:t>
      </w:r>
      <w:r>
        <w:rPr>
          <w:rFonts w:hint="eastAsia" w:ascii="仿宋_GB2312" w:eastAsia="仿宋_GB2312"/>
          <w:sz w:val="32"/>
          <w:szCs w:val="32"/>
        </w:rPr>
        <w:t>卫生健康（类）行政事业单位医疗（款）事业医疗（项）：指财政安排的事业单位基本医疗保险缴费经费。</w:t>
      </w:r>
    </w:p>
    <w:p>
      <w:pPr>
        <w:ind w:firstLine="640" w:firstLineChars="200"/>
        <w:rPr>
          <w:rFonts w:ascii="仿宋_GB2312" w:eastAsia="仿宋_GB2312"/>
          <w:sz w:val="32"/>
          <w:szCs w:val="32"/>
        </w:rPr>
      </w:pPr>
      <w:r>
        <w:rPr>
          <w:rFonts w:hint="eastAsia" w:ascii="仿宋_GB2312" w:eastAsia="仿宋_GB2312"/>
          <w:sz w:val="32"/>
          <w:szCs w:val="32"/>
        </w:rPr>
        <w:t>1</w:t>
      </w:r>
      <w:r>
        <w:rPr>
          <w:rFonts w:hint="eastAsia" w:ascii="仿宋_GB2312" w:eastAsia="仿宋_GB2312"/>
          <w:sz w:val="32"/>
          <w:szCs w:val="32"/>
          <w:lang w:val="en-US" w:eastAsia="zh-CN"/>
        </w:rPr>
        <w:t>0</w:t>
      </w:r>
      <w:r>
        <w:rPr>
          <w:rFonts w:hint="eastAsia" w:ascii="仿宋_GB2312" w:eastAsia="仿宋_GB2312"/>
          <w:sz w:val="32"/>
          <w:szCs w:val="32"/>
        </w:rPr>
        <w:t>.住房保障支出（类）住房改革支出（款）住房公积金（项）：指单位按规定比例为职工缴纳的住房公积金。</w:t>
      </w:r>
    </w:p>
    <w:p>
      <w:pPr>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11</w:t>
      </w:r>
      <w:r>
        <w:rPr>
          <w:rFonts w:ascii="仿宋_GB2312" w:eastAsia="仿宋_GB2312"/>
          <w:color w:val="auto"/>
          <w:sz w:val="32"/>
          <w:szCs w:val="32"/>
          <w:highlight w:val="none"/>
        </w:rPr>
        <w:t>.</w:t>
      </w:r>
      <w:r>
        <w:rPr>
          <w:rFonts w:hint="eastAsia" w:ascii="仿宋_GB2312" w:eastAsia="仿宋_GB2312"/>
          <w:color w:val="auto"/>
          <w:sz w:val="32"/>
          <w:szCs w:val="32"/>
          <w:highlight w:val="none"/>
        </w:rPr>
        <w:t>基本支出：指为保障机构正常运转、完成日常工作任务而发生的人员支出和公用支出。</w:t>
      </w:r>
    </w:p>
    <w:p>
      <w:pPr>
        <w:ind w:firstLine="640" w:firstLineChars="200"/>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val="en-US" w:eastAsia="zh-CN"/>
        </w:rPr>
        <w:t>12</w:t>
      </w:r>
      <w:r>
        <w:rPr>
          <w:rFonts w:ascii="仿宋_GB2312" w:eastAsia="仿宋_GB2312"/>
          <w:color w:val="auto"/>
          <w:sz w:val="32"/>
          <w:szCs w:val="32"/>
          <w:highlight w:val="none"/>
        </w:rPr>
        <w:t>.</w:t>
      </w:r>
      <w:r>
        <w:rPr>
          <w:rFonts w:hint="eastAsia" w:ascii="仿宋_GB2312" w:eastAsia="仿宋_GB2312"/>
          <w:color w:val="auto"/>
          <w:sz w:val="32"/>
          <w:szCs w:val="32"/>
          <w:highlight w:val="none"/>
        </w:rPr>
        <w:t>项目支出：指在基本支出之外为完成特定行政任务和事业发展目标所发生的支出。</w:t>
      </w:r>
    </w:p>
    <w:p>
      <w:pPr>
        <w:pStyle w:val="26"/>
        <w:spacing w:line="560" w:lineRule="exact"/>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13</w:t>
      </w:r>
      <w:r>
        <w:rPr>
          <w:rFonts w:ascii="仿宋_GB2312" w:eastAsia="仿宋_GB2312"/>
          <w:color w:val="auto"/>
          <w:sz w:val="32"/>
          <w:szCs w:val="32"/>
          <w:highlight w:val="none"/>
        </w:rPr>
        <w:t>.</w:t>
      </w:r>
      <w:r>
        <w:rPr>
          <w:rFonts w:hint="eastAsia" w:ascii="仿宋_GB2312" w:eastAsia="仿宋_GB2312"/>
          <w:color w:val="auto"/>
          <w:sz w:val="32"/>
          <w:szCs w:val="32"/>
          <w:highlight w:val="none"/>
        </w:rPr>
        <w:t>“三公”经费：指</w:t>
      </w:r>
      <w:r>
        <w:rPr>
          <w:rFonts w:hint="eastAsia" w:ascii="仿宋_GB2312" w:eastAsia="仿宋_GB2312"/>
          <w:color w:val="auto"/>
          <w:sz w:val="32"/>
          <w:szCs w:val="32"/>
          <w:highlight w:val="none"/>
          <w:lang w:eastAsia="zh-CN"/>
        </w:rPr>
        <w:t>单位</w:t>
      </w:r>
      <w:r>
        <w:rPr>
          <w:rFonts w:hint="eastAsia" w:ascii="仿宋_GB2312" w:eastAsia="仿宋_GB2312"/>
          <w:color w:val="auto"/>
          <w:sz w:val="32"/>
          <w:szCs w:val="32"/>
          <w:highlight w:val="none"/>
        </w:rPr>
        <w:t>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spacing w:line="600" w:lineRule="exact"/>
        <w:jc w:val="both"/>
        <w:outlineLvl w:val="9"/>
        <w:rPr>
          <w:rFonts w:hint="eastAsia" w:ascii="黑体" w:hAnsi="黑体" w:eastAsia="黑体"/>
          <w:color w:val="auto"/>
          <w:sz w:val="44"/>
          <w:szCs w:val="44"/>
          <w:highlight w:val="none"/>
        </w:rPr>
      </w:pPr>
      <w:bookmarkStart w:id="87" w:name="_Toc15396614"/>
      <w:bookmarkStart w:id="88" w:name="_Toc15377226"/>
    </w:p>
    <w:p>
      <w:pPr>
        <w:spacing w:line="600" w:lineRule="exact"/>
        <w:jc w:val="center"/>
        <w:outlineLvl w:val="9"/>
        <w:rPr>
          <w:rFonts w:hint="eastAsia" w:ascii="黑体" w:hAnsi="黑体" w:eastAsia="黑体"/>
          <w:color w:val="auto"/>
          <w:sz w:val="44"/>
          <w:szCs w:val="44"/>
          <w:highlight w:val="none"/>
        </w:rPr>
      </w:pPr>
    </w:p>
    <w:p>
      <w:pPr>
        <w:rPr>
          <w:rFonts w:hint="eastAsia" w:ascii="黑体" w:hAnsi="黑体" w:eastAsia="黑体"/>
          <w:color w:val="auto"/>
          <w:sz w:val="44"/>
          <w:szCs w:val="44"/>
          <w:highlight w:val="none"/>
        </w:rPr>
      </w:pPr>
      <w:bookmarkStart w:id="89" w:name="_Toc11468_WPSOffice_Level1"/>
      <w:bookmarkStart w:id="90" w:name="_Toc29004"/>
      <w:r>
        <w:rPr>
          <w:rFonts w:hint="eastAsia" w:ascii="黑体" w:hAnsi="黑体" w:eastAsia="黑体"/>
          <w:color w:val="auto"/>
          <w:sz w:val="44"/>
          <w:szCs w:val="44"/>
          <w:highlight w:val="none"/>
        </w:rPr>
        <w:br w:type="page"/>
      </w:r>
    </w:p>
    <w:p>
      <w:pPr>
        <w:spacing w:line="600" w:lineRule="exact"/>
        <w:jc w:val="center"/>
        <w:outlineLvl w:val="0"/>
        <w:rPr>
          <w:rStyle w:val="17"/>
          <w:rFonts w:ascii="黑体" w:hAnsi="黑体" w:eastAsia="黑体"/>
          <w:b w:val="0"/>
          <w:color w:val="auto"/>
          <w:highlight w:val="none"/>
        </w:rPr>
      </w:pPr>
      <w:r>
        <w:rPr>
          <w:rFonts w:hint="eastAsia" w:ascii="黑体" w:hAnsi="黑体" w:eastAsia="黑体"/>
          <w:color w:val="auto"/>
          <w:sz w:val="44"/>
          <w:szCs w:val="44"/>
          <w:highlight w:val="none"/>
        </w:rPr>
        <w:t>第</w:t>
      </w:r>
      <w:r>
        <w:rPr>
          <w:rStyle w:val="17"/>
          <w:rFonts w:hint="eastAsia" w:ascii="黑体" w:hAnsi="黑体" w:eastAsia="黑体"/>
          <w:b w:val="0"/>
          <w:color w:val="auto"/>
          <w:highlight w:val="none"/>
        </w:rPr>
        <w:t>四部分附件</w:t>
      </w:r>
      <w:bookmarkEnd w:id="87"/>
      <w:bookmarkEnd w:id="89"/>
      <w:bookmarkEnd w:id="90"/>
    </w:p>
    <w:p>
      <w:pPr>
        <w:keepNext w:val="0"/>
        <w:keepLines w:val="0"/>
        <w:pageBreakBefore w:val="0"/>
        <w:kinsoku/>
        <w:wordWrap/>
        <w:overflowPunct/>
        <w:topLinePunct w:val="0"/>
        <w:autoSpaceDE/>
        <w:autoSpaceDN/>
        <w:bidi w:val="0"/>
        <w:spacing w:line="572" w:lineRule="exact"/>
        <w:jc w:val="left"/>
        <w:textAlignment w:val="auto"/>
        <w:outlineLvl w:val="9"/>
        <w:rPr>
          <w:rFonts w:ascii="仿宋_GB2312" w:hAnsi="仿宋_GB2312" w:eastAsia="仿宋_GB2312" w:cs="仿宋_GB2312"/>
          <w:color w:val="auto"/>
          <w:sz w:val="32"/>
          <w:szCs w:val="32"/>
          <w:highlight w:val="none"/>
        </w:rPr>
      </w:pPr>
    </w:p>
    <w:p>
      <w:pPr>
        <w:spacing w:line="600" w:lineRule="exact"/>
        <w:jc w:val="center"/>
        <w:outlineLvl w:val="1"/>
        <w:rPr>
          <w:rFonts w:hint="eastAsia" w:ascii="宋体" w:hAnsi="宋体" w:eastAsia="宋体" w:cs="宋体"/>
          <w:color w:val="auto"/>
          <w:kern w:val="0"/>
          <w:sz w:val="32"/>
          <w:szCs w:val="32"/>
          <w:highlight w:val="none"/>
          <w:lang w:val="en-US" w:eastAsia="zh-CN" w:bidi="ar-SA"/>
        </w:rPr>
      </w:pPr>
      <w:bookmarkStart w:id="91" w:name="_Toc18036_WPSOffice_Level2"/>
      <w:bookmarkStart w:id="92" w:name="_Toc14198"/>
      <w:bookmarkStart w:id="93" w:name="_Toc15396618"/>
      <w:r>
        <w:rPr>
          <w:rFonts w:hint="eastAsia" w:ascii="宋体" w:hAnsi="宋体" w:eastAsia="宋体" w:cs="宋体"/>
          <w:color w:val="auto"/>
          <w:kern w:val="0"/>
          <w:sz w:val="32"/>
          <w:szCs w:val="32"/>
          <w:highlight w:val="none"/>
          <w:lang w:val="en-US" w:eastAsia="zh-CN" w:bidi="ar-SA"/>
        </w:rPr>
        <w:t>部门预算项目支出绩效自评表（2022年度）</w:t>
      </w:r>
      <w:bookmarkEnd w:id="91"/>
      <w:bookmarkEnd w:id="92"/>
    </w:p>
    <w:p>
      <w:pPr>
        <w:spacing w:line="600" w:lineRule="exact"/>
        <w:jc w:val="left"/>
        <w:outlineLvl w:val="9"/>
        <w:rPr>
          <w:rFonts w:hint="eastAsia" w:ascii="仿宋_GB2312" w:hAnsi="Calibri" w:eastAsia="仿宋_GB2312" w:cs="仿宋"/>
          <w:color w:val="auto"/>
          <w:kern w:val="0"/>
          <w:sz w:val="32"/>
          <w:szCs w:val="32"/>
          <w:highlight w:val="none"/>
          <w:lang w:val="en-US" w:eastAsia="zh-CN" w:bidi="ar-SA"/>
        </w:rPr>
      </w:pPr>
    </w:p>
    <w:p>
      <w:pPr>
        <w:pStyle w:val="2"/>
        <w:rPr>
          <w:rFonts w:hint="eastAsia" w:ascii="仿宋_GB2312" w:hAnsi="Calibri" w:eastAsia="仿宋_GB2312" w:cs="仿宋"/>
          <w:color w:val="auto"/>
          <w:kern w:val="0"/>
          <w:sz w:val="32"/>
          <w:szCs w:val="32"/>
          <w:highlight w:val="none"/>
          <w:lang w:val="en-US" w:eastAsia="zh-CN" w:bidi="ar-SA"/>
        </w:rPr>
      </w:pPr>
    </w:p>
    <w:p>
      <w:pPr>
        <w:rPr>
          <w:rFonts w:hint="eastAsia" w:ascii="仿宋_GB2312" w:hAnsi="Calibri" w:eastAsia="仿宋_GB2312" w:cs="仿宋"/>
          <w:color w:val="auto"/>
          <w:kern w:val="0"/>
          <w:sz w:val="32"/>
          <w:szCs w:val="32"/>
          <w:highlight w:val="none"/>
          <w:lang w:val="en-US" w:eastAsia="zh-CN" w:bidi="ar-SA"/>
        </w:rPr>
      </w:pPr>
    </w:p>
    <w:p>
      <w:pPr>
        <w:pStyle w:val="2"/>
        <w:rPr>
          <w:rFonts w:hint="eastAsia"/>
          <w:lang w:val="en-US" w:eastAsia="zh-CN"/>
        </w:rPr>
      </w:pPr>
    </w:p>
    <w:p>
      <w:pPr>
        <w:rPr>
          <w:rFonts w:hint="eastAsia"/>
          <w:lang w:val="en-US" w:eastAsia="zh-CN"/>
        </w:rPr>
      </w:pPr>
    </w:p>
    <w:p>
      <w:pPr>
        <w:pStyle w:val="2"/>
        <w:rPr>
          <w:rFonts w:hint="eastAsia"/>
          <w:lang w:val="en-US" w:eastAsia="zh-CN"/>
        </w:rPr>
      </w:pPr>
    </w:p>
    <w:p>
      <w:pPr>
        <w:rPr>
          <w:rFonts w:hint="eastAsia" w:ascii="黑体" w:hAnsi="黑体" w:eastAsia="黑体"/>
          <w:color w:val="auto"/>
          <w:sz w:val="44"/>
          <w:szCs w:val="44"/>
          <w:highlight w:val="none"/>
        </w:rPr>
      </w:pPr>
      <w:bookmarkStart w:id="94" w:name="_Toc11471_WPSOffice_Level1"/>
      <w:bookmarkStart w:id="95" w:name="_Toc9483"/>
      <w:r>
        <w:rPr>
          <w:rFonts w:hint="eastAsia" w:ascii="黑体" w:hAnsi="黑体" w:eastAsia="黑体"/>
          <w:color w:val="auto"/>
          <w:sz w:val="44"/>
          <w:szCs w:val="44"/>
          <w:highlight w:val="none"/>
        </w:rPr>
        <w:br w:type="page"/>
      </w:r>
    </w:p>
    <w:p>
      <w:pPr>
        <w:spacing w:line="600" w:lineRule="exact"/>
        <w:jc w:val="center"/>
        <w:outlineLvl w:val="0"/>
        <w:rPr>
          <w:rFonts w:hint="eastAsia" w:ascii="仿宋" w:hAnsi="仿宋" w:eastAsia="仿宋"/>
          <w:b w:val="0"/>
          <w:color w:val="auto"/>
          <w:highlight w:val="none"/>
        </w:rPr>
      </w:pPr>
      <w:r>
        <w:rPr>
          <w:rFonts w:hint="eastAsia" w:ascii="黑体" w:hAnsi="黑体" w:eastAsia="黑体"/>
          <w:color w:val="auto"/>
          <w:sz w:val="44"/>
          <w:szCs w:val="44"/>
          <w:highlight w:val="none"/>
        </w:rPr>
        <w:t>第</w:t>
      </w:r>
      <w:r>
        <w:rPr>
          <w:rStyle w:val="17"/>
          <w:rFonts w:hint="eastAsia" w:ascii="黑体" w:hAnsi="黑体" w:eastAsia="黑体"/>
          <w:b w:val="0"/>
          <w:color w:val="auto"/>
          <w:highlight w:val="none"/>
        </w:rPr>
        <w:t>五部分附表</w:t>
      </w:r>
      <w:bookmarkEnd w:id="88"/>
      <w:bookmarkEnd w:id="93"/>
      <w:bookmarkEnd w:id="94"/>
      <w:bookmarkEnd w:id="95"/>
      <w:bookmarkStart w:id="96" w:name="_Toc15396619"/>
    </w:p>
    <w:p>
      <w:pPr>
        <w:pStyle w:val="4"/>
        <w:rPr>
          <w:rFonts w:ascii="仿宋" w:hAnsi="仿宋" w:eastAsia="仿宋"/>
          <w:color w:val="auto"/>
          <w:highlight w:val="none"/>
        </w:rPr>
      </w:pPr>
      <w:bookmarkStart w:id="97" w:name="_Toc3268_WPSOffice_Level2"/>
      <w:bookmarkStart w:id="98" w:name="_Toc9330"/>
      <w:r>
        <w:rPr>
          <w:rFonts w:hint="eastAsia" w:ascii="仿宋" w:hAnsi="仿宋" w:eastAsia="仿宋"/>
          <w:b w:val="0"/>
          <w:color w:val="auto"/>
          <w:highlight w:val="none"/>
        </w:rPr>
        <w:t>一、收</w:t>
      </w:r>
      <w:r>
        <w:rPr>
          <w:rStyle w:val="18"/>
          <w:rFonts w:hint="eastAsia" w:ascii="仿宋" w:hAnsi="仿宋" w:eastAsia="仿宋"/>
          <w:b w:val="0"/>
          <w:bCs w:val="0"/>
          <w:color w:val="auto"/>
          <w:highlight w:val="none"/>
        </w:rPr>
        <w:t>入支出决算总表</w:t>
      </w:r>
      <w:bookmarkEnd w:id="96"/>
      <w:bookmarkEnd w:id="97"/>
      <w:bookmarkEnd w:id="98"/>
    </w:p>
    <w:p>
      <w:pPr>
        <w:pStyle w:val="4"/>
        <w:rPr>
          <w:rFonts w:ascii="仿宋" w:hAnsi="仿宋" w:eastAsia="仿宋"/>
          <w:color w:val="auto"/>
          <w:highlight w:val="none"/>
        </w:rPr>
      </w:pPr>
      <w:bookmarkStart w:id="99" w:name="_Toc15396620"/>
      <w:bookmarkStart w:id="100" w:name="_Toc1776_WPSOffice_Level2"/>
      <w:bookmarkStart w:id="101" w:name="_Toc7353"/>
      <w:r>
        <w:rPr>
          <w:rFonts w:hint="eastAsia" w:ascii="仿宋" w:hAnsi="仿宋" w:eastAsia="仿宋"/>
          <w:b w:val="0"/>
          <w:color w:val="auto"/>
          <w:highlight w:val="none"/>
        </w:rPr>
        <w:t>二、收</w:t>
      </w:r>
      <w:r>
        <w:rPr>
          <w:rStyle w:val="18"/>
          <w:rFonts w:hint="eastAsia" w:ascii="仿宋" w:hAnsi="仿宋" w:eastAsia="仿宋"/>
          <w:b w:val="0"/>
          <w:bCs w:val="0"/>
          <w:color w:val="auto"/>
          <w:highlight w:val="none"/>
        </w:rPr>
        <w:t>入决算表</w:t>
      </w:r>
      <w:bookmarkEnd w:id="99"/>
      <w:bookmarkEnd w:id="100"/>
      <w:bookmarkEnd w:id="101"/>
    </w:p>
    <w:p>
      <w:pPr>
        <w:pStyle w:val="4"/>
        <w:rPr>
          <w:rFonts w:ascii="仿宋" w:hAnsi="仿宋" w:eastAsia="仿宋"/>
          <w:color w:val="auto"/>
          <w:highlight w:val="none"/>
        </w:rPr>
      </w:pPr>
      <w:bookmarkStart w:id="102" w:name="_Toc15396621"/>
      <w:bookmarkStart w:id="103" w:name="_Toc8458_WPSOffice_Level2"/>
      <w:bookmarkStart w:id="104" w:name="_Toc9121"/>
      <w:r>
        <w:rPr>
          <w:rStyle w:val="18"/>
          <w:rFonts w:hint="eastAsia" w:ascii="仿宋" w:hAnsi="仿宋" w:eastAsia="仿宋"/>
          <w:b w:val="0"/>
          <w:bCs w:val="0"/>
          <w:color w:val="auto"/>
          <w:highlight w:val="none"/>
        </w:rPr>
        <w:t>三、</w:t>
      </w:r>
      <w:r>
        <w:rPr>
          <w:rFonts w:hint="eastAsia" w:ascii="仿宋" w:hAnsi="仿宋" w:eastAsia="仿宋"/>
          <w:b w:val="0"/>
          <w:color w:val="auto"/>
          <w:highlight w:val="none"/>
        </w:rPr>
        <w:t>支</w:t>
      </w:r>
      <w:r>
        <w:rPr>
          <w:rStyle w:val="18"/>
          <w:rFonts w:hint="eastAsia" w:ascii="仿宋" w:hAnsi="仿宋" w:eastAsia="仿宋"/>
          <w:b w:val="0"/>
          <w:bCs w:val="0"/>
          <w:color w:val="auto"/>
          <w:highlight w:val="none"/>
        </w:rPr>
        <w:t>出决算表</w:t>
      </w:r>
      <w:bookmarkEnd w:id="102"/>
      <w:bookmarkEnd w:id="103"/>
      <w:bookmarkEnd w:id="104"/>
    </w:p>
    <w:p>
      <w:pPr>
        <w:pStyle w:val="4"/>
        <w:rPr>
          <w:rFonts w:ascii="仿宋" w:hAnsi="仿宋" w:eastAsia="仿宋"/>
          <w:b w:val="0"/>
          <w:color w:val="auto"/>
          <w:highlight w:val="none"/>
        </w:rPr>
      </w:pPr>
      <w:bookmarkStart w:id="105" w:name="_Toc10513_WPSOffice_Level2"/>
      <w:bookmarkStart w:id="106" w:name="_Toc15396622"/>
      <w:bookmarkStart w:id="107" w:name="_Toc1566"/>
      <w:r>
        <w:rPr>
          <w:rStyle w:val="18"/>
          <w:rFonts w:hint="eastAsia" w:ascii="仿宋" w:hAnsi="仿宋" w:eastAsia="仿宋"/>
          <w:b w:val="0"/>
          <w:bCs w:val="0"/>
          <w:color w:val="auto"/>
          <w:highlight w:val="none"/>
        </w:rPr>
        <w:t>四、</w:t>
      </w:r>
      <w:r>
        <w:rPr>
          <w:rFonts w:hint="eastAsia" w:ascii="仿宋" w:hAnsi="仿宋" w:eastAsia="仿宋"/>
          <w:b w:val="0"/>
          <w:color w:val="auto"/>
          <w:highlight w:val="none"/>
        </w:rPr>
        <w:t>财</w:t>
      </w:r>
      <w:r>
        <w:rPr>
          <w:rStyle w:val="18"/>
          <w:rFonts w:hint="eastAsia" w:ascii="仿宋" w:hAnsi="仿宋" w:eastAsia="仿宋"/>
          <w:b w:val="0"/>
          <w:bCs w:val="0"/>
          <w:color w:val="auto"/>
          <w:highlight w:val="none"/>
        </w:rPr>
        <w:t>政拨款收入支出决算总表</w:t>
      </w:r>
      <w:bookmarkEnd w:id="105"/>
      <w:bookmarkEnd w:id="106"/>
      <w:bookmarkEnd w:id="107"/>
    </w:p>
    <w:p>
      <w:pPr>
        <w:pStyle w:val="4"/>
        <w:rPr>
          <w:rStyle w:val="18"/>
          <w:rFonts w:ascii="仿宋" w:hAnsi="仿宋" w:eastAsia="仿宋"/>
          <w:b w:val="0"/>
          <w:bCs w:val="0"/>
          <w:color w:val="auto"/>
          <w:highlight w:val="none"/>
        </w:rPr>
      </w:pPr>
      <w:bookmarkStart w:id="108" w:name="_Toc32108_WPSOffice_Level2"/>
      <w:bookmarkStart w:id="109" w:name="_Toc15396623"/>
      <w:bookmarkStart w:id="110" w:name="_Toc26045"/>
      <w:r>
        <w:rPr>
          <w:rStyle w:val="18"/>
          <w:rFonts w:hint="eastAsia" w:ascii="仿宋" w:hAnsi="仿宋" w:eastAsia="仿宋"/>
          <w:b w:val="0"/>
          <w:bCs w:val="0"/>
          <w:color w:val="auto"/>
          <w:highlight w:val="none"/>
        </w:rPr>
        <w:t>五、</w:t>
      </w:r>
      <w:r>
        <w:rPr>
          <w:rFonts w:hint="eastAsia" w:ascii="仿宋" w:hAnsi="仿宋" w:eastAsia="仿宋"/>
          <w:b w:val="0"/>
          <w:color w:val="auto"/>
          <w:highlight w:val="none"/>
        </w:rPr>
        <w:t>财</w:t>
      </w:r>
      <w:r>
        <w:rPr>
          <w:rStyle w:val="18"/>
          <w:rFonts w:hint="eastAsia" w:ascii="仿宋" w:hAnsi="仿宋" w:eastAsia="仿宋"/>
          <w:b w:val="0"/>
          <w:bCs w:val="0"/>
          <w:color w:val="auto"/>
          <w:highlight w:val="none"/>
        </w:rPr>
        <w:t>政拨款支出决算明细表</w:t>
      </w:r>
      <w:bookmarkEnd w:id="108"/>
      <w:bookmarkEnd w:id="109"/>
      <w:bookmarkEnd w:id="110"/>
      <w:bookmarkStart w:id="111" w:name="_Toc15396624"/>
    </w:p>
    <w:p>
      <w:pPr>
        <w:pStyle w:val="4"/>
        <w:rPr>
          <w:rFonts w:ascii="仿宋" w:hAnsi="仿宋" w:eastAsia="仿宋"/>
          <w:color w:val="auto"/>
          <w:highlight w:val="none"/>
        </w:rPr>
      </w:pPr>
      <w:bookmarkStart w:id="112" w:name="_Toc11448_WPSOffice_Level2"/>
      <w:bookmarkStart w:id="113" w:name="_Toc11151"/>
      <w:r>
        <w:rPr>
          <w:rStyle w:val="18"/>
          <w:rFonts w:hint="eastAsia" w:ascii="仿宋" w:hAnsi="仿宋" w:eastAsia="仿宋"/>
          <w:b w:val="0"/>
          <w:bCs w:val="0"/>
          <w:color w:val="auto"/>
          <w:highlight w:val="none"/>
        </w:rPr>
        <w:t>六、</w:t>
      </w:r>
      <w:r>
        <w:rPr>
          <w:rFonts w:hint="eastAsia" w:ascii="仿宋" w:hAnsi="仿宋" w:eastAsia="仿宋"/>
          <w:b w:val="0"/>
          <w:color w:val="auto"/>
          <w:highlight w:val="none"/>
        </w:rPr>
        <w:t>一</w:t>
      </w:r>
      <w:r>
        <w:rPr>
          <w:rStyle w:val="18"/>
          <w:rFonts w:hint="eastAsia" w:ascii="仿宋" w:hAnsi="仿宋" w:eastAsia="仿宋"/>
          <w:b w:val="0"/>
          <w:bCs w:val="0"/>
          <w:color w:val="auto"/>
          <w:highlight w:val="none"/>
        </w:rPr>
        <w:t>般公共预算财政拨款支出决算表</w:t>
      </w:r>
      <w:bookmarkEnd w:id="111"/>
      <w:bookmarkEnd w:id="112"/>
      <w:bookmarkEnd w:id="113"/>
    </w:p>
    <w:p>
      <w:pPr>
        <w:pStyle w:val="4"/>
        <w:rPr>
          <w:rFonts w:ascii="仿宋" w:hAnsi="仿宋" w:eastAsia="仿宋"/>
          <w:color w:val="auto"/>
          <w:highlight w:val="none"/>
        </w:rPr>
      </w:pPr>
      <w:bookmarkStart w:id="114" w:name="_Toc1193_WPSOffice_Level2"/>
      <w:bookmarkStart w:id="115" w:name="_Toc15396625"/>
      <w:bookmarkStart w:id="116" w:name="_Toc32316"/>
      <w:r>
        <w:rPr>
          <w:rStyle w:val="18"/>
          <w:rFonts w:hint="eastAsia" w:ascii="仿宋" w:hAnsi="仿宋" w:eastAsia="仿宋"/>
          <w:b w:val="0"/>
          <w:bCs w:val="0"/>
          <w:color w:val="auto"/>
          <w:highlight w:val="none"/>
        </w:rPr>
        <w:t>七、</w:t>
      </w:r>
      <w:r>
        <w:rPr>
          <w:rFonts w:hint="eastAsia" w:ascii="仿宋" w:hAnsi="仿宋" w:eastAsia="仿宋"/>
          <w:b w:val="0"/>
          <w:color w:val="auto"/>
          <w:highlight w:val="none"/>
        </w:rPr>
        <w:t>一</w:t>
      </w:r>
      <w:r>
        <w:rPr>
          <w:rStyle w:val="18"/>
          <w:rFonts w:hint="eastAsia" w:ascii="仿宋" w:hAnsi="仿宋" w:eastAsia="仿宋"/>
          <w:b w:val="0"/>
          <w:bCs w:val="0"/>
          <w:color w:val="auto"/>
          <w:highlight w:val="none"/>
        </w:rPr>
        <w:t>般公共预算财政拨款支出决算明细表</w:t>
      </w:r>
      <w:bookmarkEnd w:id="114"/>
      <w:bookmarkEnd w:id="115"/>
      <w:bookmarkEnd w:id="116"/>
    </w:p>
    <w:p>
      <w:pPr>
        <w:pStyle w:val="4"/>
        <w:rPr>
          <w:rFonts w:ascii="仿宋" w:hAnsi="仿宋" w:eastAsia="仿宋"/>
          <w:color w:val="auto"/>
          <w:highlight w:val="none"/>
        </w:rPr>
      </w:pPr>
      <w:bookmarkStart w:id="117" w:name="_Toc19077_WPSOffice_Level2"/>
      <w:bookmarkStart w:id="118" w:name="_Toc15396626"/>
      <w:bookmarkStart w:id="119" w:name="_Toc25401"/>
      <w:r>
        <w:rPr>
          <w:rStyle w:val="18"/>
          <w:rFonts w:hint="eastAsia" w:ascii="仿宋" w:hAnsi="仿宋" w:eastAsia="仿宋"/>
          <w:b w:val="0"/>
          <w:bCs w:val="0"/>
          <w:color w:val="auto"/>
          <w:highlight w:val="none"/>
        </w:rPr>
        <w:t>八、</w:t>
      </w:r>
      <w:r>
        <w:rPr>
          <w:rFonts w:hint="eastAsia" w:ascii="仿宋" w:hAnsi="仿宋" w:eastAsia="仿宋"/>
          <w:b w:val="0"/>
          <w:color w:val="auto"/>
          <w:highlight w:val="none"/>
        </w:rPr>
        <w:t>一</w:t>
      </w:r>
      <w:r>
        <w:rPr>
          <w:rStyle w:val="18"/>
          <w:rFonts w:hint="eastAsia" w:ascii="仿宋" w:hAnsi="仿宋" w:eastAsia="仿宋"/>
          <w:b w:val="0"/>
          <w:bCs w:val="0"/>
          <w:color w:val="auto"/>
          <w:highlight w:val="none"/>
        </w:rPr>
        <w:t>般公共预算财政拨款基本支出决算表</w:t>
      </w:r>
      <w:bookmarkEnd w:id="117"/>
      <w:bookmarkEnd w:id="118"/>
      <w:bookmarkEnd w:id="119"/>
    </w:p>
    <w:p>
      <w:pPr>
        <w:pStyle w:val="4"/>
        <w:rPr>
          <w:rFonts w:ascii="仿宋" w:hAnsi="仿宋" w:eastAsia="仿宋"/>
          <w:color w:val="auto"/>
          <w:highlight w:val="none"/>
        </w:rPr>
      </w:pPr>
      <w:bookmarkStart w:id="120" w:name="_Toc15396627"/>
      <w:bookmarkStart w:id="121" w:name="_Toc21079_WPSOffice_Level2"/>
      <w:bookmarkStart w:id="122" w:name="_Toc226"/>
      <w:r>
        <w:rPr>
          <w:rStyle w:val="18"/>
          <w:rFonts w:hint="eastAsia" w:ascii="仿宋" w:hAnsi="仿宋" w:eastAsia="仿宋"/>
          <w:b w:val="0"/>
          <w:bCs w:val="0"/>
          <w:color w:val="auto"/>
          <w:highlight w:val="none"/>
        </w:rPr>
        <w:t>九、</w:t>
      </w:r>
      <w:r>
        <w:rPr>
          <w:rFonts w:hint="eastAsia" w:ascii="仿宋" w:hAnsi="仿宋" w:eastAsia="仿宋"/>
          <w:b w:val="0"/>
          <w:color w:val="auto"/>
          <w:highlight w:val="none"/>
        </w:rPr>
        <w:t>一</w:t>
      </w:r>
      <w:r>
        <w:rPr>
          <w:rStyle w:val="18"/>
          <w:rFonts w:hint="eastAsia" w:ascii="仿宋" w:hAnsi="仿宋" w:eastAsia="仿宋"/>
          <w:b w:val="0"/>
          <w:bCs w:val="0"/>
          <w:color w:val="auto"/>
          <w:highlight w:val="none"/>
        </w:rPr>
        <w:t>般公共预算财政拨款项目支出决算表</w:t>
      </w:r>
      <w:bookmarkEnd w:id="120"/>
      <w:bookmarkEnd w:id="121"/>
      <w:bookmarkEnd w:id="122"/>
    </w:p>
    <w:p>
      <w:pPr>
        <w:pStyle w:val="4"/>
        <w:rPr>
          <w:rFonts w:ascii="仿宋" w:hAnsi="仿宋" w:eastAsia="仿宋"/>
          <w:color w:val="auto"/>
          <w:highlight w:val="none"/>
        </w:rPr>
      </w:pPr>
      <w:bookmarkStart w:id="123" w:name="_Toc15396628"/>
      <w:bookmarkStart w:id="124" w:name="_Toc10080_WPSOffice_Level2"/>
      <w:bookmarkStart w:id="125" w:name="_Toc22263"/>
      <w:r>
        <w:rPr>
          <w:rStyle w:val="18"/>
          <w:rFonts w:hint="eastAsia" w:ascii="仿宋" w:hAnsi="仿宋" w:eastAsia="仿宋"/>
          <w:b w:val="0"/>
          <w:bCs w:val="0"/>
          <w:color w:val="auto"/>
          <w:highlight w:val="none"/>
        </w:rPr>
        <w:t>十、</w:t>
      </w:r>
      <w:bookmarkEnd w:id="123"/>
      <w:r>
        <w:rPr>
          <w:rFonts w:hint="eastAsia" w:ascii="仿宋" w:hAnsi="仿宋" w:eastAsia="仿宋"/>
          <w:b w:val="0"/>
          <w:color w:val="auto"/>
          <w:highlight w:val="none"/>
        </w:rPr>
        <w:t>政</w:t>
      </w:r>
      <w:r>
        <w:rPr>
          <w:rStyle w:val="18"/>
          <w:rFonts w:hint="eastAsia" w:ascii="仿宋" w:hAnsi="仿宋" w:eastAsia="仿宋"/>
          <w:b w:val="0"/>
          <w:bCs w:val="0"/>
          <w:color w:val="auto"/>
          <w:highlight w:val="none"/>
        </w:rPr>
        <w:t>府性基金预算财政拨款收入支出决算表</w:t>
      </w:r>
      <w:bookmarkEnd w:id="124"/>
      <w:bookmarkEnd w:id="125"/>
    </w:p>
    <w:p>
      <w:pPr>
        <w:pStyle w:val="4"/>
        <w:rPr>
          <w:rFonts w:ascii="仿宋" w:hAnsi="仿宋" w:eastAsia="仿宋"/>
          <w:color w:val="auto"/>
          <w:highlight w:val="none"/>
        </w:rPr>
      </w:pPr>
      <w:bookmarkStart w:id="126" w:name="_Toc15396629"/>
      <w:bookmarkStart w:id="127" w:name="_Toc14526_WPSOffice_Level2"/>
      <w:bookmarkStart w:id="128" w:name="_Toc18620"/>
      <w:r>
        <w:rPr>
          <w:rStyle w:val="18"/>
          <w:rFonts w:hint="eastAsia" w:ascii="仿宋" w:hAnsi="仿宋" w:eastAsia="仿宋"/>
          <w:b w:val="0"/>
          <w:bCs w:val="0"/>
          <w:color w:val="auto"/>
          <w:highlight w:val="none"/>
        </w:rPr>
        <w:t>十一、</w:t>
      </w:r>
      <w:bookmarkEnd w:id="126"/>
      <w:r>
        <w:rPr>
          <w:rFonts w:hint="eastAsia" w:ascii="仿宋" w:hAnsi="仿宋" w:eastAsia="仿宋"/>
          <w:b w:val="0"/>
          <w:color w:val="auto"/>
          <w:highlight w:val="none"/>
        </w:rPr>
        <w:t>国</w:t>
      </w:r>
      <w:r>
        <w:rPr>
          <w:rStyle w:val="18"/>
          <w:rFonts w:hint="eastAsia" w:ascii="仿宋" w:hAnsi="仿宋" w:eastAsia="仿宋"/>
          <w:b w:val="0"/>
          <w:bCs w:val="0"/>
          <w:color w:val="auto"/>
          <w:highlight w:val="none"/>
        </w:rPr>
        <w:t>有资本经营预算</w:t>
      </w:r>
      <w:r>
        <w:rPr>
          <w:rStyle w:val="18"/>
          <w:rFonts w:hint="eastAsia" w:ascii="仿宋" w:hAnsi="仿宋" w:eastAsia="仿宋"/>
          <w:b w:val="0"/>
          <w:bCs w:val="0"/>
          <w:color w:val="auto"/>
          <w:highlight w:val="none"/>
          <w:lang w:eastAsia="zh-CN"/>
        </w:rPr>
        <w:t>财政拨款收入</w:t>
      </w:r>
      <w:r>
        <w:rPr>
          <w:rStyle w:val="18"/>
          <w:rFonts w:hint="eastAsia" w:ascii="仿宋" w:hAnsi="仿宋" w:eastAsia="仿宋"/>
          <w:b w:val="0"/>
          <w:bCs w:val="0"/>
          <w:color w:val="auto"/>
          <w:highlight w:val="none"/>
        </w:rPr>
        <w:t>支出决算表</w:t>
      </w:r>
      <w:bookmarkEnd w:id="127"/>
      <w:bookmarkEnd w:id="128"/>
    </w:p>
    <w:p>
      <w:pPr>
        <w:pStyle w:val="4"/>
        <w:rPr>
          <w:rFonts w:ascii="仿宋" w:hAnsi="仿宋" w:eastAsia="仿宋"/>
          <w:color w:val="auto"/>
          <w:highlight w:val="none"/>
        </w:rPr>
      </w:pPr>
      <w:bookmarkStart w:id="129" w:name="_Toc15396630"/>
      <w:bookmarkStart w:id="130" w:name="_Toc4455_WPSOffice_Level2"/>
      <w:bookmarkStart w:id="131" w:name="_Toc21456"/>
      <w:r>
        <w:rPr>
          <w:rStyle w:val="18"/>
          <w:rFonts w:hint="eastAsia" w:ascii="仿宋" w:hAnsi="仿宋" w:eastAsia="仿宋"/>
          <w:b w:val="0"/>
          <w:bCs w:val="0"/>
          <w:color w:val="auto"/>
          <w:highlight w:val="none"/>
        </w:rPr>
        <w:t>十二、</w:t>
      </w:r>
      <w:bookmarkEnd w:id="129"/>
      <w:r>
        <w:rPr>
          <w:rStyle w:val="18"/>
          <w:rFonts w:hint="eastAsia" w:ascii="仿宋" w:hAnsi="仿宋" w:eastAsia="仿宋"/>
          <w:b w:val="0"/>
          <w:bCs w:val="0"/>
          <w:color w:val="auto"/>
          <w:highlight w:val="none"/>
          <w:lang w:eastAsia="zh-CN"/>
        </w:rPr>
        <w:t>国有资本经营预算财政拨款支出决算表</w:t>
      </w:r>
      <w:bookmarkEnd w:id="130"/>
      <w:bookmarkEnd w:id="131"/>
    </w:p>
    <w:p>
      <w:pPr>
        <w:pStyle w:val="4"/>
        <w:rPr>
          <w:rFonts w:hint="eastAsia" w:eastAsia="仿宋"/>
          <w:color w:val="auto"/>
          <w:highlight w:val="none"/>
          <w:lang w:eastAsia="zh-CN"/>
        </w:rPr>
      </w:pPr>
      <w:bookmarkStart w:id="132" w:name="_Toc15396631"/>
      <w:bookmarkStart w:id="133" w:name="_Toc26259_WPSOffice_Level2"/>
      <w:bookmarkStart w:id="134" w:name="_Toc7196"/>
      <w:r>
        <w:rPr>
          <w:rStyle w:val="18"/>
          <w:rFonts w:hint="eastAsia" w:ascii="仿宋" w:hAnsi="仿宋" w:eastAsia="仿宋"/>
          <w:b w:val="0"/>
          <w:bCs w:val="0"/>
          <w:color w:val="auto"/>
          <w:highlight w:val="none"/>
        </w:rPr>
        <w:t>十三、</w:t>
      </w:r>
      <w:bookmarkEnd w:id="132"/>
      <w:r>
        <w:rPr>
          <w:rStyle w:val="18"/>
          <w:rFonts w:hint="eastAsia" w:ascii="仿宋" w:hAnsi="仿宋" w:eastAsia="仿宋"/>
          <w:b w:val="0"/>
          <w:bCs w:val="0"/>
          <w:color w:val="auto"/>
          <w:highlight w:val="none"/>
          <w:lang w:eastAsia="zh-CN"/>
        </w:rPr>
        <w:t>财政拨款“三公”经费支出决算表</w:t>
      </w:r>
      <w:bookmarkEnd w:id="133"/>
      <w:bookmarkEnd w:id="134"/>
    </w:p>
    <w:sectPr>
      <w:footerReference r:id="rId5" w:type="first"/>
      <w:footerReference r:id="rId4" w:type="default"/>
      <w:pgSz w:w="11906" w:h="16838"/>
      <w:pgMar w:top="1440" w:right="1800" w:bottom="1440" w:left="1800" w:header="851" w:footer="992" w:gutter="0"/>
      <w:pgNumType w:fmt="decimal" w:start="1"/>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71D7FEF9-5A74-4BD7-AE75-4F3BDA7F6374}"/>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50F84A49-EAB0-4FA9-B551-42746C2AC47D}"/>
  </w:font>
  <w:font w:name="方正小标宋_GBK">
    <w:altName w:val="微软雅黑"/>
    <w:panose1 w:val="03000509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embedRegular r:id="rId3" w:fontKey="{8D279396-EA6A-4B96-BB30-3CC8FC32EA60}"/>
  </w:font>
  <w:font w:name="Cambria">
    <w:panose1 w:val="02040503050406030204"/>
    <w:charset w:val="00"/>
    <w:family w:val="roman"/>
    <w:pitch w:val="default"/>
    <w:sig w:usb0="E00006FF" w:usb1="420024FF" w:usb2="02000000" w:usb3="00000000" w:csb0="2000019F" w:csb1="00000000"/>
    <w:embedRegular r:id="rId4" w:fontKey="{792FBF58-99F9-4C1F-9E47-4E4AF9B878C2}"/>
  </w:font>
  <w:font w:name="仿宋">
    <w:panose1 w:val="02010609060101010101"/>
    <w:charset w:val="86"/>
    <w:family w:val="auto"/>
    <w:pitch w:val="default"/>
    <w:sig w:usb0="800002BF" w:usb1="38CF7CFA" w:usb2="00000016" w:usb3="00000000" w:csb0="00040001" w:csb1="00000000"/>
    <w:embedRegular r:id="rId5" w:fontKey="{CF526281-4940-4FDD-86D5-280151BD39CB}"/>
  </w:font>
  <w:font w:name="方正小标宋简体">
    <w:panose1 w:val="02000000000000000000"/>
    <w:charset w:val="86"/>
    <w:family w:val="script"/>
    <w:pitch w:val="default"/>
    <w:sig w:usb0="00000001" w:usb1="08000000" w:usb2="00000000" w:usb3="00000000" w:csb0="00040000" w:csb1="00000000"/>
    <w:embedRegular r:id="rId6" w:fontKey="{17FFAB41-0140-45B5-B9CF-E4B292C3065F}"/>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9"/>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fill on="f" focussize="0,0"/>
              <v:stroke on="f" weight="0.5pt"/>
              <v:imagedata o:title=""/>
              <o:lock v:ext="edit" aspectratio="f"/>
              <v:textbox inset="0mm,0mm,0mm,0mm" style="mso-fit-shape-to-text:t;">
                <w:txbxContent>
                  <w:p>
                    <w:pPr>
                      <w:pStyle w:val="9"/>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9"/>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0YRyTdAgAAJAYAAA4AAABkcnMvZTJvRG9jLnhtbK1US27bMBDdF+gd&#10;CO4VSY7syEbkwLGiooDRBEiLrmmKsohSJEHSn7Totr1BV91033PlHB1Klp2kRRGg9UIecoaP894M&#10;5/xi1wi0YcZyJTMcn0QYMUlVyeUqw+/eFkGKkXVElkQoyTJ8xyy+mL58cb7VEzZQtRIlMwhApJ1s&#10;dYZr5/QkDC2tWUPsidJMgrNSpiEOlmYVloZsAb0R4SCKRuFWmVIbRZm1sJt3TrxHNM8BVFXFKcsV&#10;XTdMug7VMEEcULI11xZP22yrilF3XVWWOSQyDExd+4VLwF76bzg9J5OVIbrmdJ8CeU4KTzg1hEu4&#10;9ACVE0fQ2vDfoBpOjbKqcidUNWFHpFUEWMTRE21ua6JZywWktvoguv1/sPTN5sYgXmZ4iJEkDRT8&#10;/tvX++8/7398QUMvz1bbCUTdaohzu0u1g6bp9y1seta7yjT+H/gg8IO4dwdx2c4h6g+lgzSNwEXB&#10;1y8APzwe18a6V0w1yBsZNlC9VlSyWVjXhfYh/japCi5EW0Eh0TbDo9Nh1B44eABcSB8LWQDG3uoq&#10;82kcja/SqzQJksHoKkiiPA9mxTwJRkV8NsxP8/k8jz97vDiZ1LwsmfT39V0SJ8+rwr5Tuvoe+sQq&#10;wUsP51OyZrWcC4M2BLq0aH9eYUj+QVj4OI3WDayeUIoHSXQ5GAfFKD0LkiIZBuOzKA2ieHw5HkXJ&#10;OMmLx5QWXLJ/p/RI/QdJk4kv2IHbUhD64a/UfDpHaqBAX7jQ92HXb95yu+UOJPLmUpV30JtGdY/b&#10;alpwuHRBrLshBl4z9BzMO3cNn0oo6BO1tzCqlfn4p30fD+UFL0ZbmA4ZljAMMRKvJTw+AHS9YXpj&#10;2Rty3cwVFDKGOappa8IB40RvVkY172EIzvwd4CKSwk0Zdr05d92EgiFK2WzWBq214au6OwCjQxO3&#10;kLea+mvaFtKztYP30D6ToyogpV/A8GhF3Q86P50ertuo43Cf/gJ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CzSVju0AAAAAUBAAAPAAAAAAAAAAEAIAAAACIAAABkcnMvZG93bnJldi54bWxQSwECFAAU&#10;AAAACACHTuJAPRhHJN0CAAAkBgAADgAAAAAAAAABACAAAAAfAQAAZHJzL2Uyb0RvYy54bWxQSwUG&#10;AAAAAAYABgBZAQAAbgYAAAAA&#10;">
              <v:fill on="f" focussize="0,0"/>
              <v:stroke on="f" weight="0.5pt"/>
              <v:imagedata o:title=""/>
              <o:lock v:ext="edit" aspectratio="f"/>
              <v:textbox inset="0mm,0mm,0mm,0mm" style="mso-fit-shape-to-text:t;">
                <w:txbxContent>
                  <w:p>
                    <w:pPr>
                      <w:pStyle w:val="9"/>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652CEC"/>
    <w:multiLevelType w:val="singleLevel"/>
    <w:tmpl w:val="CF652CEC"/>
    <w:lvl w:ilvl="0" w:tentative="0">
      <w:start w:val="9"/>
      <w:numFmt w:val="chineseCounting"/>
      <w:suff w:val="nothing"/>
      <w:lvlText w:val="%1、"/>
      <w:lvlJc w:val="left"/>
      <w:rPr>
        <w:rFonts w:hint="eastAsia"/>
      </w:rPr>
    </w:lvl>
  </w:abstractNum>
  <w:abstractNum w:abstractNumId="1">
    <w:nsid w:val="E2FA047D"/>
    <w:multiLevelType w:val="singleLevel"/>
    <w:tmpl w:val="E2FA047D"/>
    <w:lvl w:ilvl="0" w:tentative="0">
      <w:start w:val="3"/>
      <w:numFmt w:val="chineseCounting"/>
      <w:suff w:val="space"/>
      <w:lvlText w:val="第%1部分"/>
      <w:lvlJc w:val="left"/>
      <w:rPr>
        <w:rFonts w:hint="eastAsia" w:ascii="黑体" w:hAnsi="黑体" w:eastAsia="黑体" w:cs="黑体"/>
        <w:sz w:val="44"/>
        <w:szCs w:val="44"/>
      </w:rPr>
    </w:lvl>
  </w:abstractNum>
  <w:abstractNum w:abstractNumId="2">
    <w:nsid w:val="0282F133"/>
    <w:multiLevelType w:val="singleLevel"/>
    <w:tmpl w:val="0282F133"/>
    <w:lvl w:ilvl="0" w:tentative="0">
      <w:start w:val="1"/>
      <w:numFmt w:val="decimal"/>
      <w:lvlText w:val="%1."/>
      <w:lvlJc w:val="left"/>
      <w:pPr>
        <w:tabs>
          <w:tab w:val="left" w:pos="312"/>
        </w:tabs>
      </w:pPr>
    </w:lvl>
  </w:abstractNum>
  <w:abstractNum w:abstractNumId="3">
    <w:nsid w:val="1272550B"/>
    <w:multiLevelType w:val="multilevel"/>
    <w:tmpl w:val="1272550B"/>
    <w:lvl w:ilvl="0" w:tentative="0">
      <w:start w:val="1"/>
      <w:numFmt w:val="japaneseCounting"/>
      <w:lvlText w:val="%1、"/>
      <w:lvlJc w:val="left"/>
      <w:pPr>
        <w:ind w:left="1360" w:hanging="720"/>
      </w:pPr>
      <w:rPr>
        <w:rFonts w:hint="default"/>
        <w:b w:val="0"/>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4">
    <w:nsid w:val="3818A09A"/>
    <w:multiLevelType w:val="singleLevel"/>
    <w:tmpl w:val="3818A09A"/>
    <w:lvl w:ilvl="0" w:tentative="0">
      <w:start w:val="1"/>
      <w:numFmt w:val="chineseCounting"/>
      <w:suff w:val="nothing"/>
      <w:lvlText w:val="%1、"/>
      <w:lvlJc w:val="left"/>
      <w:rPr>
        <w:rFonts w:hint="eastAsia"/>
      </w:rPr>
    </w:lvl>
  </w:abstractNum>
  <w:num w:numId="1">
    <w:abstractNumId w:val="4"/>
  </w:num>
  <w:num w:numId="2">
    <w:abstractNumId w:val="3"/>
  </w:num>
  <w:num w:numId="3">
    <w:abstractNumId w:val="2"/>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7"/>
  <w:embedTrueTypeFonts/>
  <w:saveSubsetFonts/>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c2ZGZiNzZiNDVlOGViOWVmM2JhOTY0NGJkNjUyYzgifQ=="/>
  </w:docVars>
  <w:rsids>
    <w:rsidRoot w:val="00F1361C"/>
    <w:rsid w:val="000222C6"/>
    <w:rsid w:val="0002549F"/>
    <w:rsid w:val="000468DB"/>
    <w:rsid w:val="0006487A"/>
    <w:rsid w:val="00065F8F"/>
    <w:rsid w:val="00070A43"/>
    <w:rsid w:val="000768F2"/>
    <w:rsid w:val="0009184B"/>
    <w:rsid w:val="00094236"/>
    <w:rsid w:val="0009593C"/>
    <w:rsid w:val="00097322"/>
    <w:rsid w:val="000A6A92"/>
    <w:rsid w:val="000B047F"/>
    <w:rsid w:val="000B5923"/>
    <w:rsid w:val="000B5A48"/>
    <w:rsid w:val="000B6FF3"/>
    <w:rsid w:val="000C3467"/>
    <w:rsid w:val="000C3CA6"/>
    <w:rsid w:val="000D1267"/>
    <w:rsid w:val="000D1D50"/>
    <w:rsid w:val="000D5782"/>
    <w:rsid w:val="000E6613"/>
    <w:rsid w:val="000E7119"/>
    <w:rsid w:val="00114E9B"/>
    <w:rsid w:val="00142216"/>
    <w:rsid w:val="00144D6A"/>
    <w:rsid w:val="0014729F"/>
    <w:rsid w:val="00157BAB"/>
    <w:rsid w:val="001654D1"/>
    <w:rsid w:val="00174518"/>
    <w:rsid w:val="0018106D"/>
    <w:rsid w:val="001877A7"/>
    <w:rsid w:val="00191536"/>
    <w:rsid w:val="00196687"/>
    <w:rsid w:val="001C0962"/>
    <w:rsid w:val="001D7531"/>
    <w:rsid w:val="001E737D"/>
    <w:rsid w:val="001F0592"/>
    <w:rsid w:val="001F7506"/>
    <w:rsid w:val="002006CD"/>
    <w:rsid w:val="00202B36"/>
    <w:rsid w:val="00204B7A"/>
    <w:rsid w:val="00204CDE"/>
    <w:rsid w:val="0021101A"/>
    <w:rsid w:val="00220536"/>
    <w:rsid w:val="00235629"/>
    <w:rsid w:val="00260C38"/>
    <w:rsid w:val="002616C0"/>
    <w:rsid w:val="00265372"/>
    <w:rsid w:val="002662AA"/>
    <w:rsid w:val="00280496"/>
    <w:rsid w:val="00294DC9"/>
    <w:rsid w:val="00295495"/>
    <w:rsid w:val="002A31DE"/>
    <w:rsid w:val="002B2613"/>
    <w:rsid w:val="002D6D05"/>
    <w:rsid w:val="002F1818"/>
    <w:rsid w:val="002F567B"/>
    <w:rsid w:val="003216A9"/>
    <w:rsid w:val="00335A74"/>
    <w:rsid w:val="0036561B"/>
    <w:rsid w:val="0037013F"/>
    <w:rsid w:val="00380C92"/>
    <w:rsid w:val="003A484F"/>
    <w:rsid w:val="003A4883"/>
    <w:rsid w:val="003B0BE0"/>
    <w:rsid w:val="003B0C1B"/>
    <w:rsid w:val="003B688C"/>
    <w:rsid w:val="003C0291"/>
    <w:rsid w:val="003C39AE"/>
    <w:rsid w:val="003C7B60"/>
    <w:rsid w:val="003D0C0F"/>
    <w:rsid w:val="003D1FB2"/>
    <w:rsid w:val="003D66DA"/>
    <w:rsid w:val="003E1310"/>
    <w:rsid w:val="003E6F55"/>
    <w:rsid w:val="00406254"/>
    <w:rsid w:val="004223DE"/>
    <w:rsid w:val="00434489"/>
    <w:rsid w:val="00437085"/>
    <w:rsid w:val="00443880"/>
    <w:rsid w:val="004464F4"/>
    <w:rsid w:val="00471401"/>
    <w:rsid w:val="00473F31"/>
    <w:rsid w:val="0048263A"/>
    <w:rsid w:val="00487E5D"/>
    <w:rsid w:val="004A711F"/>
    <w:rsid w:val="004B199D"/>
    <w:rsid w:val="004B4690"/>
    <w:rsid w:val="004E0A2D"/>
    <w:rsid w:val="004E206B"/>
    <w:rsid w:val="004E6DF7"/>
    <w:rsid w:val="004F0FBD"/>
    <w:rsid w:val="00505A47"/>
    <w:rsid w:val="00512FDA"/>
    <w:rsid w:val="00520DA0"/>
    <w:rsid w:val="005664BB"/>
    <w:rsid w:val="00566FFA"/>
    <w:rsid w:val="0057481D"/>
    <w:rsid w:val="0058486E"/>
    <w:rsid w:val="00585B33"/>
    <w:rsid w:val="0059014D"/>
    <w:rsid w:val="005B5C64"/>
    <w:rsid w:val="005C5337"/>
    <w:rsid w:val="005C6BD0"/>
    <w:rsid w:val="005D1C8B"/>
    <w:rsid w:val="005D468D"/>
    <w:rsid w:val="005D5CED"/>
    <w:rsid w:val="005F1A4C"/>
    <w:rsid w:val="00605688"/>
    <w:rsid w:val="006070AF"/>
    <w:rsid w:val="00607E6C"/>
    <w:rsid w:val="006101B1"/>
    <w:rsid w:val="00614E44"/>
    <w:rsid w:val="0062270A"/>
    <w:rsid w:val="00622830"/>
    <w:rsid w:val="00623DA0"/>
    <w:rsid w:val="00630AEF"/>
    <w:rsid w:val="006325F8"/>
    <w:rsid w:val="00633463"/>
    <w:rsid w:val="00634C9A"/>
    <w:rsid w:val="006440E4"/>
    <w:rsid w:val="0066343B"/>
    <w:rsid w:val="00664777"/>
    <w:rsid w:val="006748A4"/>
    <w:rsid w:val="00681A31"/>
    <w:rsid w:val="00683E73"/>
    <w:rsid w:val="006A3141"/>
    <w:rsid w:val="006A5E34"/>
    <w:rsid w:val="006B2422"/>
    <w:rsid w:val="006B2B9A"/>
    <w:rsid w:val="006C1937"/>
    <w:rsid w:val="006F020C"/>
    <w:rsid w:val="007127B7"/>
    <w:rsid w:val="0071798E"/>
    <w:rsid w:val="007416B6"/>
    <w:rsid w:val="00746F48"/>
    <w:rsid w:val="0075404D"/>
    <w:rsid w:val="0076182A"/>
    <w:rsid w:val="00767B7E"/>
    <w:rsid w:val="007770C3"/>
    <w:rsid w:val="00784D24"/>
    <w:rsid w:val="00785FBA"/>
    <w:rsid w:val="00786E4A"/>
    <w:rsid w:val="007875EB"/>
    <w:rsid w:val="0079426B"/>
    <w:rsid w:val="007D1682"/>
    <w:rsid w:val="007D312A"/>
    <w:rsid w:val="007D3F19"/>
    <w:rsid w:val="007E23B0"/>
    <w:rsid w:val="007E23E5"/>
    <w:rsid w:val="007F1991"/>
    <w:rsid w:val="007F2C2F"/>
    <w:rsid w:val="007F55FC"/>
    <w:rsid w:val="007F5665"/>
    <w:rsid w:val="00800112"/>
    <w:rsid w:val="00813348"/>
    <w:rsid w:val="008253BB"/>
    <w:rsid w:val="0083706E"/>
    <w:rsid w:val="008408F6"/>
    <w:rsid w:val="008423A5"/>
    <w:rsid w:val="00850625"/>
    <w:rsid w:val="00853718"/>
    <w:rsid w:val="00855221"/>
    <w:rsid w:val="00860645"/>
    <w:rsid w:val="00871F71"/>
    <w:rsid w:val="00872FD8"/>
    <w:rsid w:val="00885AF4"/>
    <w:rsid w:val="008939CD"/>
    <w:rsid w:val="008B768C"/>
    <w:rsid w:val="008C4DB1"/>
    <w:rsid w:val="008C4EAF"/>
    <w:rsid w:val="008C5176"/>
    <w:rsid w:val="008C7FD0"/>
    <w:rsid w:val="008E1DE7"/>
    <w:rsid w:val="008E707C"/>
    <w:rsid w:val="00900B08"/>
    <w:rsid w:val="00902155"/>
    <w:rsid w:val="00902FA3"/>
    <w:rsid w:val="00923564"/>
    <w:rsid w:val="0092392E"/>
    <w:rsid w:val="009315F9"/>
    <w:rsid w:val="00933499"/>
    <w:rsid w:val="00935C98"/>
    <w:rsid w:val="00946945"/>
    <w:rsid w:val="00951248"/>
    <w:rsid w:val="0095152F"/>
    <w:rsid w:val="00954C49"/>
    <w:rsid w:val="00955E37"/>
    <w:rsid w:val="0097099F"/>
    <w:rsid w:val="00971997"/>
    <w:rsid w:val="00971FFC"/>
    <w:rsid w:val="0098660A"/>
    <w:rsid w:val="009931C3"/>
    <w:rsid w:val="009B2C43"/>
    <w:rsid w:val="009B4EAE"/>
    <w:rsid w:val="009B7573"/>
    <w:rsid w:val="009C22F4"/>
    <w:rsid w:val="009C2A4B"/>
    <w:rsid w:val="009C2E98"/>
    <w:rsid w:val="009D3447"/>
    <w:rsid w:val="009D4711"/>
    <w:rsid w:val="009F1185"/>
    <w:rsid w:val="009F18CD"/>
    <w:rsid w:val="009F2A13"/>
    <w:rsid w:val="009F7527"/>
    <w:rsid w:val="00A04EB0"/>
    <w:rsid w:val="00A13CC1"/>
    <w:rsid w:val="00A16847"/>
    <w:rsid w:val="00A237D8"/>
    <w:rsid w:val="00A268C4"/>
    <w:rsid w:val="00A307CD"/>
    <w:rsid w:val="00A331C8"/>
    <w:rsid w:val="00A40A00"/>
    <w:rsid w:val="00A4142F"/>
    <w:rsid w:val="00A422EB"/>
    <w:rsid w:val="00A45BB7"/>
    <w:rsid w:val="00A56DF2"/>
    <w:rsid w:val="00A56E6E"/>
    <w:rsid w:val="00A67AB5"/>
    <w:rsid w:val="00A733B2"/>
    <w:rsid w:val="00A741C2"/>
    <w:rsid w:val="00A91760"/>
    <w:rsid w:val="00A93B00"/>
    <w:rsid w:val="00A93C21"/>
    <w:rsid w:val="00AB64C9"/>
    <w:rsid w:val="00AC3C6A"/>
    <w:rsid w:val="00AD5620"/>
    <w:rsid w:val="00AD656B"/>
    <w:rsid w:val="00AD7C1B"/>
    <w:rsid w:val="00AE16BA"/>
    <w:rsid w:val="00AE1EBE"/>
    <w:rsid w:val="00B03C9D"/>
    <w:rsid w:val="00B060AE"/>
    <w:rsid w:val="00B10517"/>
    <w:rsid w:val="00B14E76"/>
    <w:rsid w:val="00B161B8"/>
    <w:rsid w:val="00B2048C"/>
    <w:rsid w:val="00B310B9"/>
    <w:rsid w:val="00B35F3F"/>
    <w:rsid w:val="00B36CBB"/>
    <w:rsid w:val="00B425E0"/>
    <w:rsid w:val="00B440AA"/>
    <w:rsid w:val="00B44B70"/>
    <w:rsid w:val="00B53C56"/>
    <w:rsid w:val="00B57DAF"/>
    <w:rsid w:val="00B77EA6"/>
    <w:rsid w:val="00B81598"/>
    <w:rsid w:val="00B841F1"/>
    <w:rsid w:val="00B944D6"/>
    <w:rsid w:val="00BB4DF0"/>
    <w:rsid w:val="00BC289F"/>
    <w:rsid w:val="00BC2D50"/>
    <w:rsid w:val="00BC5361"/>
    <w:rsid w:val="00BC5460"/>
    <w:rsid w:val="00BC6B50"/>
    <w:rsid w:val="00BD0E25"/>
    <w:rsid w:val="00BF5BD6"/>
    <w:rsid w:val="00C03E31"/>
    <w:rsid w:val="00C33E72"/>
    <w:rsid w:val="00C354B2"/>
    <w:rsid w:val="00C35554"/>
    <w:rsid w:val="00C42709"/>
    <w:rsid w:val="00C533CC"/>
    <w:rsid w:val="00C5751C"/>
    <w:rsid w:val="00C61BFC"/>
    <w:rsid w:val="00C62B85"/>
    <w:rsid w:val="00C65438"/>
    <w:rsid w:val="00C87FD8"/>
    <w:rsid w:val="00C91381"/>
    <w:rsid w:val="00C91CBB"/>
    <w:rsid w:val="00CB4E70"/>
    <w:rsid w:val="00CC09B6"/>
    <w:rsid w:val="00CC666F"/>
    <w:rsid w:val="00CD1E3F"/>
    <w:rsid w:val="00CE44F6"/>
    <w:rsid w:val="00CE49DA"/>
    <w:rsid w:val="00CE7B61"/>
    <w:rsid w:val="00D00095"/>
    <w:rsid w:val="00D114F0"/>
    <w:rsid w:val="00D20620"/>
    <w:rsid w:val="00D254F7"/>
    <w:rsid w:val="00D26091"/>
    <w:rsid w:val="00D2685C"/>
    <w:rsid w:val="00D34E7C"/>
    <w:rsid w:val="00D35489"/>
    <w:rsid w:val="00D36AFE"/>
    <w:rsid w:val="00D51276"/>
    <w:rsid w:val="00D7035F"/>
    <w:rsid w:val="00DA634F"/>
    <w:rsid w:val="00DA65AC"/>
    <w:rsid w:val="00DB1913"/>
    <w:rsid w:val="00DC410D"/>
    <w:rsid w:val="00DC5A81"/>
    <w:rsid w:val="00DC68CA"/>
    <w:rsid w:val="00DC7CBA"/>
    <w:rsid w:val="00DD73B7"/>
    <w:rsid w:val="00DF28BC"/>
    <w:rsid w:val="00DF34B9"/>
    <w:rsid w:val="00E01053"/>
    <w:rsid w:val="00E07ACF"/>
    <w:rsid w:val="00E331A1"/>
    <w:rsid w:val="00E33202"/>
    <w:rsid w:val="00E336A9"/>
    <w:rsid w:val="00E472B1"/>
    <w:rsid w:val="00E50624"/>
    <w:rsid w:val="00E568DF"/>
    <w:rsid w:val="00E64269"/>
    <w:rsid w:val="00E82267"/>
    <w:rsid w:val="00E853CE"/>
    <w:rsid w:val="00E867B6"/>
    <w:rsid w:val="00EA010F"/>
    <w:rsid w:val="00ED1B63"/>
    <w:rsid w:val="00ED3C1F"/>
    <w:rsid w:val="00ED4085"/>
    <w:rsid w:val="00ED420E"/>
    <w:rsid w:val="00ED6FBE"/>
    <w:rsid w:val="00EE2F57"/>
    <w:rsid w:val="00EF4C34"/>
    <w:rsid w:val="00EF77C6"/>
    <w:rsid w:val="00F05438"/>
    <w:rsid w:val="00F1361C"/>
    <w:rsid w:val="00F156F0"/>
    <w:rsid w:val="00F160C7"/>
    <w:rsid w:val="00F2408F"/>
    <w:rsid w:val="00F240E9"/>
    <w:rsid w:val="00F36D8F"/>
    <w:rsid w:val="00F417B1"/>
    <w:rsid w:val="00F45853"/>
    <w:rsid w:val="00F602DF"/>
    <w:rsid w:val="00F754A1"/>
    <w:rsid w:val="00F81FD9"/>
    <w:rsid w:val="00F841AA"/>
    <w:rsid w:val="00F84A94"/>
    <w:rsid w:val="00F87E96"/>
    <w:rsid w:val="00FA23E8"/>
    <w:rsid w:val="00FD3CC1"/>
    <w:rsid w:val="00FF1E02"/>
    <w:rsid w:val="00FF30B4"/>
    <w:rsid w:val="0199672A"/>
    <w:rsid w:val="053A62B5"/>
    <w:rsid w:val="0A2032A3"/>
    <w:rsid w:val="0B8A37D8"/>
    <w:rsid w:val="10C055FF"/>
    <w:rsid w:val="118107EC"/>
    <w:rsid w:val="11DD6519"/>
    <w:rsid w:val="146805B8"/>
    <w:rsid w:val="16BB723D"/>
    <w:rsid w:val="17A23C7C"/>
    <w:rsid w:val="18015F3F"/>
    <w:rsid w:val="199553C2"/>
    <w:rsid w:val="1BE8440E"/>
    <w:rsid w:val="1CF63E7D"/>
    <w:rsid w:val="1D155CEE"/>
    <w:rsid w:val="20F57F95"/>
    <w:rsid w:val="22C63051"/>
    <w:rsid w:val="240371BF"/>
    <w:rsid w:val="25711CC6"/>
    <w:rsid w:val="25C741E6"/>
    <w:rsid w:val="27842671"/>
    <w:rsid w:val="29FD04D3"/>
    <w:rsid w:val="2ABE7A3E"/>
    <w:rsid w:val="2CA234A8"/>
    <w:rsid w:val="2EFA178C"/>
    <w:rsid w:val="30B46D73"/>
    <w:rsid w:val="30D442A8"/>
    <w:rsid w:val="31012CBB"/>
    <w:rsid w:val="319F7F4E"/>
    <w:rsid w:val="33A1178B"/>
    <w:rsid w:val="34B676A6"/>
    <w:rsid w:val="383D272C"/>
    <w:rsid w:val="388A503E"/>
    <w:rsid w:val="39AE70AB"/>
    <w:rsid w:val="3A645944"/>
    <w:rsid w:val="3C0C0783"/>
    <w:rsid w:val="3D02750E"/>
    <w:rsid w:val="3F9F3A96"/>
    <w:rsid w:val="41085755"/>
    <w:rsid w:val="47DB7CAA"/>
    <w:rsid w:val="48BF60AB"/>
    <w:rsid w:val="49342B5E"/>
    <w:rsid w:val="493C27E9"/>
    <w:rsid w:val="496F39ED"/>
    <w:rsid w:val="49FF41D3"/>
    <w:rsid w:val="4BE068DB"/>
    <w:rsid w:val="4BF6002B"/>
    <w:rsid w:val="4ECE2238"/>
    <w:rsid w:val="51DB4B86"/>
    <w:rsid w:val="55333C3E"/>
    <w:rsid w:val="5CA642EA"/>
    <w:rsid w:val="64CA39A1"/>
    <w:rsid w:val="656E56A8"/>
    <w:rsid w:val="69186940"/>
    <w:rsid w:val="69630ADE"/>
    <w:rsid w:val="6BDE0473"/>
    <w:rsid w:val="6C4A05C8"/>
    <w:rsid w:val="6D3B1A89"/>
    <w:rsid w:val="6FE8097D"/>
    <w:rsid w:val="71941C6C"/>
    <w:rsid w:val="71BF4EC2"/>
    <w:rsid w:val="72734D90"/>
    <w:rsid w:val="73F15D94"/>
    <w:rsid w:val="7412278C"/>
    <w:rsid w:val="744948FB"/>
    <w:rsid w:val="75C43A95"/>
    <w:rsid w:val="76692CDC"/>
    <w:rsid w:val="76957247"/>
    <w:rsid w:val="7904082E"/>
    <w:rsid w:val="79E7B28D"/>
    <w:rsid w:val="7A7C59F8"/>
    <w:rsid w:val="7F9F20EE"/>
    <w:rsid w:val="9E3A10E2"/>
    <w:rsid w:val="F2E1F9D4"/>
    <w:rsid w:val="F7880819"/>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name="header"/>
    <w:lsdException w:qFormat="1" w:unhideWhenUsed="0" w:uiPriority="99" w:semiHidden="0" w:name="footer"/>
    <w:lsdException w:uiPriority="99" w:name="index heading"/>
    <w:lsdException w:qFormat="1" w:uiPriority="35" w:name="caption"/>
    <w:lsdException w:qFormat="1" w:unhideWhenUsed="0"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17"/>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18"/>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5">
    <w:name w:val="heading 3"/>
    <w:basedOn w:val="1"/>
    <w:next w:val="1"/>
    <w:link w:val="19"/>
    <w:unhideWhenUsed/>
    <w:qFormat/>
    <w:uiPriority w:val="9"/>
    <w:pPr>
      <w:keepNext/>
      <w:keepLines/>
      <w:spacing w:before="260" w:after="260" w:line="416" w:lineRule="auto"/>
      <w:outlineLvl w:val="2"/>
    </w:pPr>
    <w:rPr>
      <w:b/>
      <w:bCs/>
      <w:sz w:val="32"/>
      <w:szCs w:val="32"/>
    </w:rPr>
  </w:style>
  <w:style w:type="character" w:default="1" w:styleId="14">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2">
    <w:name w:val="table of figures"/>
    <w:basedOn w:val="1"/>
    <w:next w:val="1"/>
    <w:semiHidden/>
    <w:qFormat/>
    <w:uiPriority w:val="99"/>
    <w:pPr>
      <w:ind w:left="200" w:leftChars="200" w:hanging="200" w:hangingChars="200"/>
    </w:pPr>
    <w:rPr>
      <w:rFonts w:ascii="Calibri" w:hAnsi="Calibri" w:eastAsia="仿宋_GB2312"/>
      <w:sz w:val="32"/>
    </w:rPr>
  </w:style>
  <w:style w:type="paragraph" w:styleId="6">
    <w:name w:val="Body Text"/>
    <w:basedOn w:val="1"/>
    <w:link w:val="25"/>
    <w:qFormat/>
    <w:uiPriority w:val="99"/>
    <w:pPr>
      <w:spacing w:beforeLines="30"/>
    </w:pPr>
    <w:rPr>
      <w:rFonts w:ascii="仿宋_GB2312" w:eastAsia="仿宋_GB2312"/>
      <w:kern w:val="0"/>
      <w:sz w:val="30"/>
    </w:rPr>
  </w:style>
  <w:style w:type="paragraph" w:styleId="7">
    <w:name w:val="toc 3"/>
    <w:basedOn w:val="1"/>
    <w:next w:val="1"/>
    <w:unhideWhenUsed/>
    <w:qFormat/>
    <w:uiPriority w:val="39"/>
    <w:pPr>
      <w:tabs>
        <w:tab w:val="right" w:leader="dot" w:pos="8296"/>
      </w:tabs>
      <w:ind w:left="840" w:leftChars="400"/>
    </w:pPr>
  </w:style>
  <w:style w:type="paragraph" w:styleId="8">
    <w:name w:val="Balloon Text"/>
    <w:basedOn w:val="1"/>
    <w:link w:val="29"/>
    <w:semiHidden/>
    <w:unhideWhenUsed/>
    <w:qFormat/>
    <w:uiPriority w:val="99"/>
    <w:rPr>
      <w:sz w:val="18"/>
      <w:szCs w:val="18"/>
    </w:rPr>
  </w:style>
  <w:style w:type="paragraph" w:styleId="9">
    <w:name w:val="footer"/>
    <w:basedOn w:val="1"/>
    <w:link w:val="23"/>
    <w:qFormat/>
    <w:uiPriority w:val="99"/>
    <w:pPr>
      <w:tabs>
        <w:tab w:val="center" w:pos="4153"/>
        <w:tab w:val="right" w:pos="8306"/>
      </w:tabs>
      <w:snapToGrid w:val="0"/>
      <w:jc w:val="left"/>
    </w:pPr>
    <w:rPr>
      <w:rFonts w:ascii="Calibri" w:hAnsi="Calibri"/>
      <w:kern w:val="0"/>
      <w:sz w:val="18"/>
      <w:szCs w:val="18"/>
    </w:rPr>
  </w:style>
  <w:style w:type="paragraph" w:styleId="10">
    <w:name w:val="header"/>
    <w:basedOn w:val="1"/>
    <w:link w:val="21"/>
    <w:semiHidden/>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11">
    <w:name w:val="toc 1"/>
    <w:basedOn w:val="1"/>
    <w:next w:val="1"/>
    <w:unhideWhenUsed/>
    <w:qFormat/>
    <w:uiPriority w:val="39"/>
    <w:pPr>
      <w:tabs>
        <w:tab w:val="right" w:leader="dot" w:pos="8296"/>
      </w:tabs>
      <w:spacing w:before="93"/>
      <w:jc w:val="center"/>
    </w:pPr>
    <w:rPr>
      <w:rFonts w:ascii="仿宋" w:hAnsi="仿宋" w:eastAsia="仿宋"/>
      <w:sz w:val="28"/>
      <w:szCs w:val="28"/>
    </w:rPr>
  </w:style>
  <w:style w:type="paragraph" w:styleId="12">
    <w:name w:val="toc 2"/>
    <w:basedOn w:val="1"/>
    <w:next w:val="1"/>
    <w:unhideWhenUsed/>
    <w:qFormat/>
    <w:uiPriority w:val="39"/>
    <w:pPr>
      <w:tabs>
        <w:tab w:val="right" w:leader="dot" w:pos="8296"/>
      </w:tabs>
      <w:ind w:left="420" w:leftChars="200"/>
    </w:pPr>
  </w:style>
  <w:style w:type="character" w:styleId="15">
    <w:name w:val="Strong"/>
    <w:basedOn w:val="14"/>
    <w:qFormat/>
    <w:uiPriority w:val="99"/>
    <w:rPr>
      <w:b/>
    </w:rPr>
  </w:style>
  <w:style w:type="character" w:styleId="16">
    <w:name w:val="Hyperlink"/>
    <w:basedOn w:val="14"/>
    <w:unhideWhenUsed/>
    <w:qFormat/>
    <w:uiPriority w:val="99"/>
    <w:rPr>
      <w:color w:val="0000FF" w:themeColor="hyperlink"/>
      <w:u w:val="single"/>
      <w14:textFill>
        <w14:solidFill>
          <w14:schemeClr w14:val="hlink"/>
        </w14:solidFill>
      </w14:textFill>
    </w:rPr>
  </w:style>
  <w:style w:type="character" w:customStyle="1" w:styleId="17">
    <w:name w:val="标题 1 Char"/>
    <w:basedOn w:val="14"/>
    <w:link w:val="3"/>
    <w:qFormat/>
    <w:uiPriority w:val="9"/>
    <w:rPr>
      <w:rFonts w:ascii="Times New Roman" w:hAnsi="Times New Roman"/>
      <w:b/>
      <w:bCs/>
      <w:kern w:val="44"/>
      <w:sz w:val="44"/>
      <w:szCs w:val="44"/>
    </w:rPr>
  </w:style>
  <w:style w:type="character" w:customStyle="1" w:styleId="18">
    <w:name w:val="标题 2 Char"/>
    <w:basedOn w:val="14"/>
    <w:link w:val="4"/>
    <w:qFormat/>
    <w:uiPriority w:val="9"/>
    <w:rPr>
      <w:rFonts w:asciiTheme="majorHAnsi" w:hAnsiTheme="majorHAnsi" w:eastAsiaTheme="majorEastAsia" w:cstheme="majorBidi"/>
      <w:b/>
      <w:bCs/>
      <w:kern w:val="2"/>
      <w:sz w:val="32"/>
      <w:szCs w:val="32"/>
    </w:rPr>
  </w:style>
  <w:style w:type="character" w:customStyle="1" w:styleId="19">
    <w:name w:val="标题 3 Char"/>
    <w:basedOn w:val="14"/>
    <w:link w:val="5"/>
    <w:qFormat/>
    <w:uiPriority w:val="9"/>
    <w:rPr>
      <w:rFonts w:ascii="Times New Roman" w:hAnsi="Times New Roman"/>
      <w:b/>
      <w:bCs/>
      <w:kern w:val="2"/>
      <w:sz w:val="32"/>
      <w:szCs w:val="32"/>
    </w:rPr>
  </w:style>
  <w:style w:type="character" w:customStyle="1" w:styleId="20">
    <w:name w:val="Header Char"/>
    <w:basedOn w:val="14"/>
    <w:semiHidden/>
    <w:qFormat/>
    <w:uiPriority w:val="99"/>
    <w:rPr>
      <w:rFonts w:ascii="Times New Roman" w:hAnsi="Times New Roman"/>
      <w:sz w:val="18"/>
      <w:szCs w:val="18"/>
    </w:rPr>
  </w:style>
  <w:style w:type="character" w:customStyle="1" w:styleId="21">
    <w:name w:val="页眉 Char"/>
    <w:link w:val="10"/>
    <w:semiHidden/>
    <w:qFormat/>
    <w:locked/>
    <w:uiPriority w:val="99"/>
    <w:rPr>
      <w:sz w:val="18"/>
    </w:rPr>
  </w:style>
  <w:style w:type="character" w:customStyle="1" w:styleId="22">
    <w:name w:val="Footer Char"/>
    <w:basedOn w:val="14"/>
    <w:semiHidden/>
    <w:qFormat/>
    <w:uiPriority w:val="99"/>
    <w:rPr>
      <w:rFonts w:ascii="Times New Roman" w:hAnsi="Times New Roman"/>
      <w:sz w:val="18"/>
      <w:szCs w:val="18"/>
    </w:rPr>
  </w:style>
  <w:style w:type="character" w:customStyle="1" w:styleId="23">
    <w:name w:val="页脚 Char"/>
    <w:link w:val="9"/>
    <w:qFormat/>
    <w:locked/>
    <w:uiPriority w:val="99"/>
    <w:rPr>
      <w:sz w:val="18"/>
    </w:rPr>
  </w:style>
  <w:style w:type="character" w:customStyle="1" w:styleId="24">
    <w:name w:val="Body Text Char"/>
    <w:basedOn w:val="14"/>
    <w:semiHidden/>
    <w:qFormat/>
    <w:uiPriority w:val="99"/>
    <w:rPr>
      <w:rFonts w:ascii="Times New Roman" w:hAnsi="Times New Roman"/>
      <w:szCs w:val="24"/>
    </w:rPr>
  </w:style>
  <w:style w:type="character" w:customStyle="1" w:styleId="25">
    <w:name w:val="正文文本 Char"/>
    <w:link w:val="6"/>
    <w:qFormat/>
    <w:locked/>
    <w:uiPriority w:val="99"/>
    <w:rPr>
      <w:rFonts w:ascii="仿宋_GB2312" w:hAnsi="Times New Roman" w:eastAsia="仿宋_GB2312"/>
      <w:sz w:val="24"/>
    </w:rPr>
  </w:style>
  <w:style w:type="paragraph" w:customStyle="1" w:styleId="26">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paragraph" w:styleId="27">
    <w:name w:val="List Paragraph"/>
    <w:basedOn w:val="1"/>
    <w:qFormat/>
    <w:uiPriority w:val="34"/>
    <w:pPr>
      <w:ind w:firstLine="420" w:firstLineChars="200"/>
    </w:pPr>
  </w:style>
  <w:style w:type="paragraph" w:customStyle="1" w:styleId="28">
    <w:name w:val="TOC 标题1"/>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29">
    <w:name w:val="批注框文本 Char"/>
    <w:basedOn w:val="14"/>
    <w:link w:val="8"/>
    <w:semiHidden/>
    <w:qFormat/>
    <w:uiPriority w:val="99"/>
    <w:rPr>
      <w:rFonts w:ascii="Times New Roman" w:hAnsi="Times New Roman"/>
      <w:kern w:val="2"/>
      <w:sz w:val="18"/>
      <w:szCs w:val="18"/>
    </w:rPr>
  </w:style>
  <w:style w:type="paragraph" w:customStyle="1" w:styleId="30">
    <w:name w:val="TOC Heading"/>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paragraph" w:customStyle="1" w:styleId="31">
    <w:name w:val="WPSOffice手动目录 1"/>
    <w:qFormat/>
    <w:uiPriority w:val="0"/>
    <w:pPr>
      <w:ind w:leftChars="0"/>
    </w:pPr>
    <w:rPr>
      <w:rFonts w:ascii="Times New Roman" w:hAnsi="Times New Roman" w:eastAsia="宋体" w:cs="Times New Roman"/>
      <w:sz w:val="20"/>
      <w:szCs w:val="20"/>
    </w:rPr>
  </w:style>
  <w:style w:type="paragraph" w:customStyle="1" w:styleId="32">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chart" Target="charts/chart3.xml"/><Relationship Id="rId8" Type="http://schemas.openxmlformats.org/officeDocument/2006/relationships/chart" Target="charts/chart2.xml"/><Relationship Id="rId7" Type="http://schemas.openxmlformats.org/officeDocument/2006/relationships/chart" Target="charts/chart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chart" Target="charts/chart6.xml"/><Relationship Id="rId11" Type="http://schemas.openxmlformats.org/officeDocument/2006/relationships/chart" Target="charts/chart5.xml"/><Relationship Id="rId10" Type="http://schemas.openxmlformats.org/officeDocument/2006/relationships/chart" Target="charts/chart4.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charts/_rels/chart1.xml.rels><?xml version="1.0" encoding="UTF-8" standalone="yes"?>
<Relationships xmlns="http://schemas.openxmlformats.org/package/2006/relationships"><Relationship Id="rId1" Type="http://schemas.openxmlformats.org/officeDocument/2006/relationships/package" Target="../embeddings/Workbook2.xlsx"/></Relationships>
</file>

<file path=word/charts/_rels/chart2.xml.rels><?xml version="1.0" encoding="UTF-8" standalone="yes"?>
<Relationships xmlns="http://schemas.openxmlformats.org/package/2006/relationships"><Relationship Id="rId1" Type="http://schemas.openxmlformats.org/officeDocument/2006/relationships/package" Target="../embeddings/Workbook1.xlsx"/></Relationships>
</file>

<file path=word/charts/_rels/chart3.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package" Target="../embeddings/Workbook5.xlsx"/></Relationships>
</file>

<file path=word/charts/_rels/chart4.xml.rels><?xml version="1.0" encoding="UTF-8" standalone="yes"?>
<Relationships xmlns="http://schemas.openxmlformats.org/package/2006/relationships"><Relationship Id="rId3" Type="http://schemas.microsoft.com/office/2011/relationships/chartColorStyle" Target="colors3.xml"/><Relationship Id="rId2" Type="http://schemas.microsoft.com/office/2011/relationships/chartStyle" Target="style3.xml"/><Relationship Id="rId1" Type="http://schemas.openxmlformats.org/officeDocument/2006/relationships/package" Target="../embeddings/Workbook6.xlsx"/></Relationships>
</file>

<file path=word/charts/_rels/chart5.xml.rels><?xml version="1.0" encoding="UTF-8" standalone="yes"?>
<Relationships xmlns="http://schemas.openxmlformats.org/package/2006/relationships"><Relationship Id="rId1" Type="http://schemas.openxmlformats.org/officeDocument/2006/relationships/package" Target="../embeddings/Workbook3.xlsx"/></Relationships>
</file>

<file path=word/charts/_rels/chart6.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package" Target="../embeddings/Workbook4.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rPr lang="zh-CN" altLang="en-US" b="1"/>
              <a:t>收、支决算总计变动情况</a:t>
            </a:r>
            <a:endParaRPr lang="zh-CN" altLang="en-US" b="1"/>
          </a:p>
        </c:rich>
      </c:tx>
      <c:layout>
        <c:manualLayout>
          <c:xMode val="edge"/>
          <c:yMode val="edge"/>
          <c:x val="0.218354718244879"/>
          <c:y val="0.00936329588014981"/>
        </c:manualLayout>
      </c:layout>
      <c:overlay val="0"/>
      <c:spPr>
        <a:noFill/>
        <a:ln>
          <a:noFill/>
        </a:ln>
        <a:effectLst/>
      </c:spPr>
    </c:title>
    <c:autoTitleDeleted val="0"/>
    <c:plotArea>
      <c:layout>
        <c:manualLayout>
          <c:layoutTarget val="inner"/>
          <c:xMode val="edge"/>
          <c:yMode val="edge"/>
          <c:x val="0.118256949661908"/>
          <c:y val="0.180914512922465"/>
          <c:w val="0.840420736288505"/>
          <c:h val="0.567726971504308"/>
        </c:manualLayout>
      </c:layout>
      <c:barChart>
        <c:barDir val="col"/>
        <c:grouping val="clustered"/>
        <c:varyColors val="0"/>
        <c:ser>
          <c:idx val="0"/>
          <c:order val="0"/>
          <c:tx>
            <c:strRef>
              <c:f>Sheet1!$B$1</c:f>
              <c:strCache>
                <c:ptCount val="1"/>
                <c:pt idx="0">
                  <c:v>系列 1</c:v>
                </c:pt>
              </c:strCache>
            </c:strRef>
          </c:tx>
          <c:spPr>
            <a:solidFill>
              <a:schemeClr val="accent1"/>
            </a:solidFill>
            <a:ln>
              <a:noFill/>
            </a:ln>
            <a:effectLst/>
          </c:spPr>
          <c:invertIfNegative val="0"/>
          <c:dPt>
            <c:idx val="1"/>
            <c:invertIfNegative val="0"/>
            <c:bubble3D val="0"/>
            <c:spPr>
              <a:solidFill>
                <a:schemeClr val="accent2"/>
              </a:solidFill>
              <a:ln>
                <a:noFill/>
              </a:ln>
              <a:effectLst/>
            </c:spPr>
          </c:dPt>
          <c:dLbls>
            <c:dLbl>
              <c:idx val="0"/>
              <c:layout/>
              <c:tx>
                <c:rich>
                  <a:bodyPr rot="0" spcFirstLastPara="0" vertOverflow="ellipsis" vert="horz" wrap="square" lIns="38100" tIns="19050" rIns="38100" bIns="19050" anchor="ctr" anchorCtr="1"/>
                  <a:lstStyle/>
                  <a:p>
                    <a:pPr defTabSz="914400">
                      <a:defRPr lang="zh-CN" sz="900" b="0" i="0" u="none" strike="noStrike" kern="1200" baseline="0">
                        <a:solidFill>
                          <a:schemeClr val="tx1">
                            <a:lumMod val="75000"/>
                            <a:lumOff val="25000"/>
                          </a:schemeClr>
                        </a:solidFill>
                        <a:latin typeface="+mn-lt"/>
                        <a:ea typeface="+mn-ea"/>
                        <a:cs typeface="+mn-cs"/>
                      </a:defRPr>
                    </a:pPr>
                    <a:r>
                      <a:t>4114.</a:t>
                    </a:r>
                    <a:r>
                      <a:rPr lang="en-US" altLang="zh-CN"/>
                      <a:t>8</a:t>
                    </a:r>
                    <a:r>
                      <a:t>6</a:t>
                    </a:r>
                  </a:p>
                </c:rich>
              </c:tx>
              <c:dLblPos val="outEnd"/>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prstDash val="solid"/>
                      <a:round/>
                    </a:ln>
                    <a:effectLst/>
                  </c:spPr>
                </c15:leaderLines>
              </c:ext>
            </c:extLst>
          </c:dLbls>
          <c:cat>
            <c:numRef>
              <c:f>Sheet1!$A$2:$A$3</c:f>
              <c:numCache>
                <c:formatCode>General</c:formatCode>
                <c:ptCount val="2"/>
                <c:pt idx="0">
                  <c:v>2022</c:v>
                </c:pt>
                <c:pt idx="1">
                  <c:v>2021</c:v>
                </c:pt>
              </c:numCache>
            </c:numRef>
          </c:cat>
          <c:val>
            <c:numRef>
              <c:f>Sheet1!$B$2:$B$3</c:f>
              <c:numCache>
                <c:formatCode>General</c:formatCode>
                <c:ptCount val="2"/>
                <c:pt idx="0">
                  <c:v>4114.96</c:v>
                </c:pt>
                <c:pt idx="1">
                  <c:v>3913.03</c:v>
                </c:pt>
              </c:numCache>
            </c:numRef>
          </c:val>
        </c:ser>
        <c:dLbls>
          <c:showLegendKey val="0"/>
          <c:showVal val="1"/>
          <c:showCatName val="0"/>
          <c:showSerName val="0"/>
          <c:showPercent val="0"/>
          <c:showBubbleSize val="0"/>
        </c:dLbls>
        <c:gapWidth val="383"/>
        <c:overlap val="-57"/>
        <c:axId val="196130688"/>
        <c:axId val="196187264"/>
      </c:barChart>
      <c:catAx>
        <c:axId val="19613068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196187264"/>
        <c:crosses val="autoZero"/>
        <c:auto val="1"/>
        <c:lblAlgn val="ctr"/>
        <c:lblOffset val="100"/>
        <c:noMultiLvlLbl val="0"/>
      </c:catAx>
      <c:valAx>
        <c:axId val="196187264"/>
        <c:scaling>
          <c:orientation val="minMax"/>
        </c:scaling>
        <c:delete val="0"/>
        <c:axPos val="l"/>
        <c:majorGridlines>
          <c:spPr>
            <a:ln w="9525" cap="flat" cmpd="sng" algn="ctr">
              <a:solidFill>
                <a:schemeClr val="tx1">
                  <a:lumMod val="15000"/>
                  <a:lumOff val="85000"/>
                </a:schemeClr>
              </a:solidFill>
              <a:prstDash val="solid"/>
              <a:round/>
            </a:ln>
            <a:effectLst/>
          </c:spPr>
        </c:majorGridlines>
        <c:numFmt formatCode="General" sourceLinked="1"/>
        <c:majorTickMark val="none"/>
        <c:minorTickMark val="none"/>
        <c:tickLblPos val="nextTo"/>
        <c:spPr>
          <a:noFill/>
          <a:ln w="9525" cap="flat" cmpd="sng" algn="ctr">
            <a:no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196130688"/>
        <c:crosses val="autoZero"/>
        <c:crossBetween val="between"/>
      </c:valAx>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rPr lang="zh-CN" altLang="en-US" b="1"/>
              <a:t>收入情况</a:t>
            </a:r>
            <a:endParaRPr lang="zh-CN" altLang="en-US" b="1"/>
          </a:p>
        </c:rich>
      </c:tx>
      <c:layout/>
      <c:overlay val="0"/>
      <c:spPr>
        <a:noFill/>
        <a:ln>
          <a:noFill/>
        </a:ln>
        <a:effectLst/>
      </c:spPr>
    </c:title>
    <c:autoTitleDeleted val="0"/>
    <c:plotArea>
      <c:layout/>
      <c:pieChart>
        <c:varyColors val="1"/>
        <c:ser>
          <c:idx val="0"/>
          <c:order val="0"/>
          <c:tx>
            <c:strRef>
              <c:f>Sheet1!$B$1</c:f>
              <c:strCache>
                <c:ptCount val="1"/>
                <c:pt idx="0">
                  <c:v>收入情况</c:v>
                </c:pt>
              </c:strCache>
            </c:strRef>
          </c:tx>
          <c:spPr>
            <a:solidFill>
              <a:schemeClr val="accent6"/>
            </a:solidFill>
          </c:spPr>
          <c:explosion val="0"/>
          <c:dPt>
            <c:idx val="0"/>
            <c:bubble3D val="0"/>
            <c:spPr>
              <a:solidFill>
                <a:schemeClr val="tx2">
                  <a:lumMod val="60000"/>
                  <a:lumOff val="40000"/>
                </a:schemeClr>
              </a:solidFill>
              <a:ln w="19050">
                <a:solidFill>
                  <a:schemeClr val="lt1"/>
                </a:solidFill>
              </a:ln>
              <a:effectLst/>
            </c:spPr>
          </c:dPt>
          <c:dPt>
            <c:idx val="1"/>
            <c:bubble3D val="0"/>
            <c:spPr>
              <a:solidFill>
                <a:schemeClr val="accent6"/>
              </a:solidFill>
              <a:ln w="19050">
                <a:solidFill>
                  <a:schemeClr val="lt1"/>
                </a:solidFill>
              </a:ln>
              <a:effectLst/>
            </c:spPr>
          </c:dPt>
          <c:dLbls>
            <c:dLbl>
              <c:idx val="0"/>
              <c:layout>
                <c:manualLayout>
                  <c:x val="-0.0459427165919228"/>
                  <c:y val="-0.20976462781782"/>
                </c:manualLayout>
              </c:layout>
              <c:tx>
                <c:rich>
                  <a:bodyPr rot="0" spcFirstLastPara="0" vertOverflow="ellipsis" vert="horz" wrap="square" lIns="38100" tIns="19050" rIns="38100" bIns="19050" anchor="ctr" anchorCtr="1"/>
                  <a:lstStyle/>
                  <a:p>
                    <a:pPr defTabSz="914400">
                      <a:defRPr lang="zh-CN" sz="900" b="0" i="0" u="none" strike="noStrike" kern="1200" baseline="0">
                        <a:solidFill>
                          <a:schemeClr val="tx1">
                            <a:lumMod val="75000"/>
                            <a:lumOff val="25000"/>
                          </a:schemeClr>
                        </a:solidFill>
                        <a:latin typeface="+mn-lt"/>
                        <a:ea typeface="+mn-ea"/>
                        <a:cs typeface="+mn-cs"/>
                      </a:defRPr>
                    </a:pPr>
                    <a:r>
                      <a:rPr lang="en-US" altLang="zh-CN"/>
                      <a:t>3110.87</a:t>
                    </a:r>
                    <a:endParaRPr lang="en-US" altLang="zh-CN"/>
                  </a:p>
                </c:rich>
              </c:tx>
              <c:dLblPos val="bestFit"/>
              <c:showLegendKey val="0"/>
              <c:showVal val="0"/>
              <c:showCatName val="0"/>
              <c:showSerName val="0"/>
              <c:showPercent val="1"/>
              <c:showBubbleSize val="0"/>
              <c:extLst>
                <c:ext xmlns:c15="http://schemas.microsoft.com/office/drawing/2012/chart" uri="{CE6537A1-D6FC-4f65-9D91-7224C49458BB}">
                  <c15:layout/>
                </c:ext>
              </c:extLst>
            </c:dLbl>
            <c:dLbl>
              <c:idx val="1"/>
              <c:layout>
                <c:manualLayout>
                  <c:x val="0.00922626980085553"/>
                  <c:y val="0.0852334581260061"/>
                </c:manualLayout>
              </c:layout>
              <c:tx>
                <c:rich>
                  <a:bodyPr rot="0" spcFirstLastPara="0" vertOverflow="ellipsis" vert="horz" wrap="square" lIns="38100" tIns="19050" rIns="38100" bIns="19050" anchor="ctr" anchorCtr="1"/>
                  <a:lstStyle/>
                  <a:p>
                    <a:pPr defTabSz="914400">
                      <a:defRPr lang="zh-CN" sz="900" b="0" i="0" u="none" strike="noStrike" kern="1200" baseline="0">
                        <a:solidFill>
                          <a:schemeClr val="tx1">
                            <a:lumMod val="75000"/>
                            <a:lumOff val="25000"/>
                          </a:schemeClr>
                        </a:solidFill>
                        <a:latin typeface="+mn-lt"/>
                        <a:ea typeface="+mn-ea"/>
                        <a:cs typeface="+mn-cs"/>
                      </a:defRPr>
                    </a:pPr>
                    <a:r>
                      <a:rPr lang="en-US" altLang="zh-CN"/>
                      <a:t>105</a:t>
                    </a:r>
                    <a:endParaRPr lang="en-US" altLang="zh-CN"/>
                  </a:p>
                </c:rich>
              </c:tx>
              <c:dLblPos val="bestFit"/>
              <c:showLegendKey val="0"/>
              <c:showVal val="0"/>
              <c:showCatName val="0"/>
              <c:showSerName val="0"/>
              <c:showPercent val="1"/>
              <c:showBubbleSize val="0"/>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inEnd"/>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prstDash val="solid"/>
                      <a:round/>
                    </a:ln>
                    <a:effectLst/>
                  </c:spPr>
                </c15:leaderLines>
              </c:ext>
            </c:extLst>
          </c:dLbls>
          <c:cat>
            <c:strRef>
              <c:f>Sheet1!$A$2:$A$3</c:f>
              <c:strCache>
                <c:ptCount val="2"/>
                <c:pt idx="0">
                  <c:v>一般公共预算财政拨款收入</c:v>
                </c:pt>
                <c:pt idx="1">
                  <c:v>事业收入</c:v>
                </c:pt>
              </c:strCache>
            </c:strRef>
          </c:cat>
          <c:val>
            <c:numRef>
              <c:f>Sheet1!$B$2:$B$3</c:f>
              <c:numCache>
                <c:formatCode>General</c:formatCode>
                <c:ptCount val="2"/>
                <c:pt idx="0">
                  <c:v>3110.87</c:v>
                </c:pt>
                <c:pt idx="1">
                  <c:v>105</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r"/>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spPr>
        <a:noFill/>
        <a:ln>
          <a:noFill/>
        </a:ln>
        <a:effectLst/>
      </c:spPr>
      <c:txPr>
        <a:bodyPr rot="0" spcFirstLastPara="0" vertOverflow="ellipsis" vert="horz" wrap="square" anchor="ctr" anchorCtr="1"/>
        <a:lstStyle/>
        <a:p>
          <a:pPr>
            <a:defRPr lang="zh-CN" sz="1400" b="0" i="0" u="none" strike="noStrike" kern="1200" spc="0" baseline="0">
              <a:solidFill>
                <a:schemeClr val="tx1">
                  <a:lumMod val="65000"/>
                  <a:lumOff val="35000"/>
                </a:schemeClr>
              </a:solidFill>
              <a:latin typeface="+mn-lt"/>
              <a:ea typeface="+mn-ea"/>
              <a:cs typeface="+mn-cs"/>
            </a:defRPr>
          </a:pPr>
        </a:p>
      </c:txPr>
    </c:title>
    <c:autoTitleDeleted val="0"/>
    <c:plotArea>
      <c:layout/>
      <c:pieChart>
        <c:varyColors val="1"/>
        <c:ser>
          <c:idx val="0"/>
          <c:order val="0"/>
          <c:tx>
            <c:strRef>
              <c:f>Sheet1!$B$1</c:f>
              <c:strCache>
                <c:ptCount val="1"/>
                <c:pt idx="0">
                  <c:v>支出情况</c:v>
                </c:pt>
              </c:strCache>
            </c:strRef>
          </c:tx>
          <c:spPr/>
          <c:explosion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ctr"/>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extLst>
                <c:ext xmlns:c15="http://schemas.microsoft.com/office/drawing/2012/chart" uri="{02D57815-91ED-43cb-92C2-25804820EDAC}">
                  <c15:fullRef>
                    <c15:sqref>Sheet1!$A$2:$A$5</c15:sqref>
                  </c15:fullRef>
                </c:ext>
              </c:extLst>
              <c:f>Sheet1!$A$2:$A$3</c:f>
              <c:strCache>
                <c:ptCount val="2"/>
                <c:pt idx="0">
                  <c:v>基本支出</c:v>
                </c:pt>
                <c:pt idx="1">
                  <c:v>项目支出</c:v>
                </c:pt>
              </c:strCache>
            </c:strRef>
          </c:cat>
          <c:val>
            <c:numRef>
              <c:extLst>
                <c:ext xmlns:c15="http://schemas.microsoft.com/office/drawing/2012/chart" uri="{02D57815-91ED-43cb-92C2-25804820EDAC}">
                  <c15:fullRef>
                    <c15:sqref>Sheet1!$B$2:$B$5</c15:sqref>
                  </c15:fullRef>
                </c:ext>
              </c:extLst>
              <c:f>Sheet1!$B$2:$B$3</c:f>
              <c:numCache>
                <c:formatCode>General</c:formatCode>
                <c:ptCount val="2"/>
                <c:pt idx="0">
                  <c:v>2668.79</c:v>
                </c:pt>
                <c:pt idx="1">
                  <c:v>1446.07</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b"/>
      <c:layout>
        <c:manualLayout>
          <c:xMode val="edge"/>
          <c:yMode val="edge"/>
          <c:x val="0.3391289948667"/>
          <c:y val="0.885316455696203"/>
        </c:manualLayou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rPr sz="1200" b="1"/>
              <a:t>财政拨款收、支决算总计变动情况</a:t>
            </a:r>
            <a:endParaRPr sz="1200" b="1"/>
          </a:p>
        </c:rich>
      </c:tx>
      <c:layout>
        <c:manualLayout>
          <c:xMode val="edge"/>
          <c:yMode val="edge"/>
          <c:x val="0.230555113726738"/>
          <c:y val="0.0476779092353876"/>
        </c:manualLayout>
      </c:layout>
      <c:overlay val="0"/>
      <c:spPr>
        <a:noFill/>
        <a:ln>
          <a:noFill/>
        </a:ln>
        <a:effectLst/>
      </c:spPr>
    </c:title>
    <c:autoTitleDeleted val="0"/>
    <c:plotArea>
      <c:layout/>
      <c:barChart>
        <c:barDir val="col"/>
        <c:grouping val="clustered"/>
        <c:varyColors val="0"/>
        <c:ser>
          <c:idx val="0"/>
          <c:order val="0"/>
          <c:tx>
            <c:strRef>
              <c:f>Sheet1!$B$1</c:f>
              <c:strCache>
                <c:ptCount val="1"/>
                <c:pt idx="0">
                  <c:v>财政拨款收、支决算总计变动情况</c:v>
                </c:pt>
              </c:strCache>
            </c:strRef>
          </c:tx>
          <c:spPr>
            <a:solidFill>
              <a:schemeClr val="accent1"/>
            </a:solidFill>
            <a:ln>
              <a:noFill/>
            </a:ln>
            <a:effectLst/>
          </c:spPr>
          <c:invertIfNegative val="0"/>
          <c:dPt>
            <c:idx val="1"/>
            <c:invertIfNegative val="0"/>
            <c:bubble3D val="0"/>
            <c:spPr>
              <a:solidFill>
                <a:schemeClr val="accent2"/>
              </a:solidFill>
              <a:ln>
                <a:noFill/>
              </a:ln>
              <a:effectLst/>
            </c:spPr>
          </c:dPt>
          <c:dLbls>
            <c:dLbl>
              <c:idx val="0"/>
              <c:layout/>
              <c:dLblPos val="outEnd"/>
              <c:showLegendKey val="0"/>
              <c:showVal val="1"/>
              <c:showCatName val="0"/>
              <c:showSerName val="0"/>
              <c:showPercent val="0"/>
              <c:showBubbleSize val="0"/>
              <c:extLst>
                <c:ext xmlns:c15="http://schemas.microsoft.com/office/drawing/2012/chart" uri="{CE6537A1-D6FC-4f65-9D91-7224C49458BB}"/>
              </c:extLst>
            </c:dLbl>
            <c:dLbl>
              <c:idx val="1"/>
              <c:layout/>
              <c:dLblPos val="outEnd"/>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0"/>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numRef>
              <c:extLst>
                <c:ext xmlns:c15="http://schemas.microsoft.com/office/drawing/2012/chart" uri="{02D57815-91ED-43cb-92C2-25804820EDAC}">
                  <c15:fullRef>
                    <c15:sqref>Sheet1!$A$2:$A$5</c15:sqref>
                  </c15:fullRef>
                </c:ext>
              </c:extLst>
              <c:f>Sheet1!$A$2:$A$3</c:f>
              <c:numCache>
                <c:formatCode>General</c:formatCode>
                <c:ptCount val="2"/>
                <c:pt idx="0">
                  <c:v>2022</c:v>
                </c:pt>
                <c:pt idx="1">
                  <c:v>2021</c:v>
                </c:pt>
              </c:numCache>
            </c:numRef>
          </c:cat>
          <c:val>
            <c:numRef>
              <c:extLst>
                <c:ext xmlns:c15="http://schemas.microsoft.com/office/drawing/2012/chart" uri="{02D57815-91ED-43cb-92C2-25804820EDAC}">
                  <c15:fullRef>
                    <c15:sqref>Sheet1!$B$2:$B$5</c15:sqref>
                  </c15:fullRef>
                </c:ext>
              </c:extLst>
              <c:f>Sheet1!$B$2:$B$3</c:f>
              <c:numCache>
                <c:formatCode>General</c:formatCode>
                <c:ptCount val="2"/>
                <c:pt idx="0">
                  <c:v>4009.86</c:v>
                </c:pt>
                <c:pt idx="1">
                  <c:v>3818.03</c:v>
                </c:pt>
              </c:numCache>
            </c:numRef>
          </c:val>
        </c:ser>
        <c:dLbls>
          <c:showLegendKey val="0"/>
          <c:showVal val="0"/>
          <c:showCatName val="0"/>
          <c:showSerName val="0"/>
          <c:showPercent val="0"/>
          <c:showBubbleSize val="0"/>
        </c:dLbls>
        <c:gapWidth val="219"/>
        <c:overlap val="-27"/>
        <c:axId val="591497624"/>
        <c:axId val="683476537"/>
        <c:extLst>
          <c:ext xmlns:c15="http://schemas.microsoft.com/office/drawing/2012/chart" uri="{02D57815-91ED-43cb-92C2-25804820EDAC}">
            <c15:filteredBarSeries>
              <c15:ser>
                <c:idx val="1"/>
                <c:order val="1"/>
                <c:tx>
                  <c:strRef>
                    <c:extLst>
                      <c:ext uri="{02D57815-91ED-43cb-92C2-25804820EDAC}">
                        <c15:formulaRef>
                          <c15:sqref>Sheet1!$C$1</c15:sqref>
                        </c15:formulaRef>
                      </c:ext>
                    </c:extLst>
                    <c:strCache>
                      <c:ptCount val="1"/>
                      <c:pt idx="0">
                        <c:v/>
                      </c:pt>
                    </c:strCache>
                  </c:strRef>
                </c:tx>
                <c:spPr>
                  <a:solidFill>
                    <a:schemeClr val="accent2"/>
                  </a:solidFill>
                  <a:ln>
                    <a:noFill/>
                  </a:ln>
                  <a:effectLst/>
                </c:spPr>
                <c:invertIfNegative val="0"/>
                <c:dLbls>
                  <c:delete val="1"/>
                </c:dLbls>
                <c:cat>
                  <c:numRef>
                    <c:extLst>
                      <c:ext uri="{02D57815-91ED-43cb-92C2-25804820EDAC}">
                        <c15:fullRef>
                          <c15:sqref>Sheet1!$A$2:$A$5</c15:sqref>
                        </c15:fullRef>
                        <c15:formulaRef>
                          <c15:sqref>Sheet1!$A$2:$A$3</c15:sqref>
                        </c15:formulaRef>
                      </c:ext>
                    </c:extLst>
                    <c:numCache>
                      <c:formatCode>General</c:formatCode>
                      <c:ptCount val="2"/>
                      <c:pt idx="0">
                        <c:v>2022</c:v>
                      </c:pt>
                      <c:pt idx="1">
                        <c:v>2021</c:v>
                      </c:pt>
                    </c:numCache>
                  </c:numRef>
                </c:cat>
                <c:val>
                  <c:numRef>
                    <c:extLst>
                      <c:ext uri="{02D57815-91ED-43cb-92C2-25804820EDAC}">
                        <c15:fullRef>
                          <c15:sqref>Sheet1!$C$2:$C$5</c15:sqref>
                        </c15:fullRef>
                        <c15:formulaRef>
                          <c15:sqref>Sheet1!$C$2:$C$3</c15:sqref>
                        </c15:formulaRef>
                      </c:ext>
                    </c:extLst>
                    <c:numCache>
                      <c:formatCode>General</c:formatCode>
                      <c:ptCount val="2"/>
                    </c:numCache>
                  </c:numRef>
                </c:val>
              </c15:ser>
            </c15:filteredBarSeries>
            <c15:filteredBarSeries>
              <c15:ser>
                <c:idx val="2"/>
                <c:order val="2"/>
                <c:tx>
                  <c:strRef>
                    <c:extLst>
                      <c:ext uri="{02D57815-91ED-43cb-92C2-25804820EDAC}">
                        <c15:formulaRef>
                          <c15:sqref>Sheet1!$D$1</c15:sqref>
                        </c15:formulaRef>
                      </c:ext>
                    </c:extLst>
                    <c:strCache>
                      <c:ptCount val="1"/>
                      <c:pt idx="0">
                        <c:v/>
                      </c:pt>
                    </c:strCache>
                  </c:strRef>
                </c:tx>
                <c:spPr>
                  <a:solidFill>
                    <a:schemeClr val="accent3"/>
                  </a:solidFill>
                  <a:ln>
                    <a:noFill/>
                  </a:ln>
                  <a:effectLst/>
                </c:spPr>
                <c:invertIfNegative val="0"/>
                <c:dLbls>
                  <c:delete val="1"/>
                </c:dLbls>
                <c:cat>
                  <c:numRef>
                    <c:extLst>
                      <c:ext uri="{02D57815-91ED-43cb-92C2-25804820EDAC}">
                        <c15:fullRef>
                          <c15:sqref>Sheet1!$A$2:$A$5</c15:sqref>
                        </c15:fullRef>
                        <c15:formulaRef>
                          <c15:sqref>Sheet1!$A$2:$A$3</c15:sqref>
                        </c15:formulaRef>
                      </c:ext>
                    </c:extLst>
                    <c:numCache>
                      <c:formatCode>General</c:formatCode>
                      <c:ptCount val="2"/>
                      <c:pt idx="0">
                        <c:v>2022</c:v>
                      </c:pt>
                      <c:pt idx="1">
                        <c:v>2021</c:v>
                      </c:pt>
                    </c:numCache>
                  </c:numRef>
                </c:cat>
                <c:val>
                  <c:numRef>
                    <c:extLst>
                      <c:ext uri="{02D57815-91ED-43cb-92C2-25804820EDAC}">
                        <c15:fullRef>
                          <c15:sqref>Sheet1!$D$2:$D$5</c15:sqref>
                        </c15:fullRef>
                        <c15:formulaRef>
                          <c15:sqref>Sheet1!$D$2:$D$3</c15:sqref>
                        </c15:formulaRef>
                      </c:ext>
                    </c:extLst>
                    <c:numCache>
                      <c:formatCode>General</c:formatCode>
                      <c:ptCount val="2"/>
                    </c:numCache>
                  </c:numRef>
                </c:val>
              </c15:ser>
            </c15:filteredBarSeries>
          </c:ext>
        </c:extLst>
      </c:barChart>
      <c:catAx>
        <c:axId val="591497624"/>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683476537"/>
        <c:crosses val="autoZero"/>
        <c:auto val="1"/>
        <c:lblAlgn val="ctr"/>
        <c:lblOffset val="100"/>
        <c:noMultiLvlLbl val="0"/>
      </c:catAx>
      <c:valAx>
        <c:axId val="683476537"/>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591497624"/>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rPr lang="zh-CN" altLang="en-US" sz="1200" b="1"/>
              <a:t>一般公共预算财政拨款支出决算变动情况</a:t>
            </a:r>
            <a:endParaRPr lang="zh-CN" altLang="en-US" sz="1200" b="1"/>
          </a:p>
        </c:rich>
      </c:tx>
      <c:layout/>
      <c:overlay val="0"/>
      <c:spPr>
        <a:noFill/>
        <a:ln>
          <a:noFill/>
        </a:ln>
        <a:effectLst/>
      </c:spPr>
    </c:title>
    <c:autoTitleDeleted val="0"/>
    <c:plotArea>
      <c:layout>
        <c:manualLayout>
          <c:layoutTarget val="inner"/>
          <c:xMode val="edge"/>
          <c:yMode val="edge"/>
          <c:x val="0.103543240973971"/>
          <c:y val="0.214930764599639"/>
          <c:w val="0.857329974811083"/>
          <c:h val="0.530222757375075"/>
        </c:manualLayout>
      </c:layout>
      <c:barChart>
        <c:barDir val="col"/>
        <c:grouping val="clustered"/>
        <c:varyColors val="0"/>
        <c:ser>
          <c:idx val="0"/>
          <c:order val="0"/>
          <c:tx>
            <c:strRef>
              <c:f>Sheet1!$B$1</c:f>
              <c:strCache>
                <c:ptCount val="1"/>
                <c:pt idx="0">
                  <c:v>系列 1</c:v>
                </c:pt>
              </c:strCache>
            </c:strRef>
          </c:tx>
          <c:spPr>
            <a:solidFill>
              <a:schemeClr val="accent1"/>
            </a:solidFill>
            <a:ln>
              <a:noFill/>
            </a:ln>
            <a:effectLst/>
          </c:spPr>
          <c:invertIfNegative val="0"/>
          <c:dPt>
            <c:idx val="1"/>
            <c:invertIfNegative val="0"/>
            <c:bubble3D val="0"/>
            <c:spPr>
              <a:solidFill>
                <a:schemeClr val="accent2"/>
              </a:solidFill>
              <a:ln>
                <a:noFill/>
              </a:ln>
              <a:effectLst/>
            </c:spPr>
          </c:dPt>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prstDash val="solid"/>
                      <a:round/>
                    </a:ln>
                    <a:effectLst/>
                  </c:spPr>
                </c15:leaderLines>
              </c:ext>
            </c:extLst>
          </c:dLbls>
          <c:cat>
            <c:numRef>
              <c:f>Sheet1!$A$2:$A$3</c:f>
              <c:numCache>
                <c:formatCode>General</c:formatCode>
                <c:ptCount val="2"/>
                <c:pt idx="0">
                  <c:v>2022</c:v>
                </c:pt>
                <c:pt idx="1">
                  <c:v>2021</c:v>
                </c:pt>
              </c:numCache>
            </c:numRef>
          </c:cat>
          <c:val>
            <c:numRef>
              <c:f>Sheet1!$B$2:$B$3</c:f>
              <c:numCache>
                <c:formatCode>General</c:formatCode>
                <c:ptCount val="2"/>
                <c:pt idx="0">
                  <c:v>4009.86</c:v>
                </c:pt>
                <c:pt idx="1">
                  <c:v>2355.22</c:v>
                </c:pt>
              </c:numCache>
            </c:numRef>
          </c:val>
        </c:ser>
        <c:dLbls>
          <c:showLegendKey val="0"/>
          <c:showVal val="1"/>
          <c:showCatName val="0"/>
          <c:showSerName val="0"/>
          <c:showPercent val="0"/>
          <c:showBubbleSize val="0"/>
        </c:dLbls>
        <c:gapWidth val="367"/>
        <c:overlap val="-27"/>
        <c:axId val="198911872"/>
        <c:axId val="211252352"/>
      </c:barChart>
      <c:catAx>
        <c:axId val="19891187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211252352"/>
        <c:crosses val="autoZero"/>
        <c:auto val="1"/>
        <c:lblAlgn val="ctr"/>
        <c:lblOffset val="100"/>
        <c:noMultiLvlLbl val="0"/>
      </c:catAx>
      <c:valAx>
        <c:axId val="211252352"/>
        <c:scaling>
          <c:orientation val="minMax"/>
        </c:scaling>
        <c:delete val="0"/>
        <c:axPos val="l"/>
        <c:majorGridlines>
          <c:spPr>
            <a:ln w="9525" cap="flat" cmpd="sng" algn="ctr">
              <a:solidFill>
                <a:schemeClr val="tx1">
                  <a:lumMod val="15000"/>
                  <a:lumOff val="85000"/>
                </a:schemeClr>
              </a:solidFill>
              <a:prstDash val="solid"/>
              <a:round/>
            </a:ln>
            <a:effectLst/>
          </c:spPr>
        </c:majorGridlines>
        <c:numFmt formatCode="General" sourceLinked="1"/>
        <c:majorTickMark val="none"/>
        <c:minorTickMark val="none"/>
        <c:tickLblPos val="nextTo"/>
        <c:spPr>
          <a:noFill/>
          <a:ln w="9525" cap="flat" cmpd="sng" algn="ctr">
            <a:no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198911872"/>
        <c:crosses val="autoZero"/>
        <c:crossBetween val="between"/>
      </c:valAx>
      <c:spPr>
        <a:noFill/>
        <a:ln>
          <a:noFill/>
        </a:ln>
        <a:effectLst/>
      </c:spPr>
    </c:plotArea>
    <c:legend>
      <c:legendPos val="b"/>
      <c:layout>
        <c:manualLayout>
          <c:xMode val="edge"/>
          <c:yMode val="edge"/>
          <c:x val="0.450875"/>
          <c:y val="0.924166666666667"/>
          <c:w val="0.25425"/>
          <c:h val="0.0558333333333333"/>
        </c:manualLayou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a:pPr>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tx>
            <c:strRef>
              <c:f>Sheet1!$B$1</c:f>
              <c:strCache>
                <c:ptCount val="1"/>
                <c:pt idx="0">
                  <c:v>一般公共预算财政拨款支出决算结构</c:v>
                </c:pt>
              </c:strCache>
            </c:strRef>
          </c:tx>
          <c:spPr/>
          <c:explosion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Pt>
            <c:idx val="2"/>
            <c:bubble3D val="0"/>
            <c:spPr>
              <a:solidFill>
                <a:schemeClr val="accent3"/>
              </a:solidFill>
              <a:ln w="19050">
                <a:solidFill>
                  <a:schemeClr val="lt1"/>
                </a:solidFill>
              </a:ln>
              <a:effectLst/>
            </c:spPr>
          </c:dPt>
          <c:dPt>
            <c:idx val="3"/>
            <c:bubble3D val="0"/>
            <c:spPr>
              <a:solidFill>
                <a:schemeClr val="accent4"/>
              </a:solidFill>
              <a:ln w="19050">
                <a:solidFill>
                  <a:schemeClr val="lt1"/>
                </a:solidFill>
              </a:ln>
              <a:effectLst/>
            </c:spPr>
          </c:dPt>
          <c:dLbls>
            <c:dLbl>
              <c:idx val="0"/>
              <c:layout>
                <c:manualLayout>
                  <c:x val="-0.1059539206316"/>
                  <c:y val="-0.328424853068764"/>
                </c:manualLayout>
              </c:layout>
              <c:dLblPos val="bestFit"/>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0.0600184350194915"/>
                  <c:y val="0.130247070315343"/>
                </c:manualLayout>
              </c:layout>
              <c:dLblPos val="bestFit"/>
              <c:showLegendKey val="0"/>
              <c:showVal val="1"/>
              <c:showCatName val="0"/>
              <c:showSerName val="0"/>
              <c:showPercent val="0"/>
              <c:showBubbleSize val="0"/>
              <c:extLst>
                <c:ext xmlns:c15="http://schemas.microsoft.com/office/drawing/2012/chart" uri="{CE6537A1-D6FC-4f65-9D91-7224C49458BB}">
                  <c15:layout/>
                </c:ext>
              </c:extLst>
            </c:dLbl>
            <c:dLbl>
              <c:idx val="2"/>
              <c:layout>
                <c:manualLayout>
                  <c:x val="0.0310028235973273"/>
                  <c:y val="0.0768771985002668"/>
                </c:manualLayout>
              </c:layout>
              <c:dLblPos val="bestFit"/>
              <c:showLegendKey val="0"/>
              <c:showVal val="1"/>
              <c:showCatName val="0"/>
              <c:showSerName val="0"/>
              <c:showPercent val="0"/>
              <c:showBubbleSize val="0"/>
              <c:extLst>
                <c:ext xmlns:c15="http://schemas.microsoft.com/office/drawing/2012/chart" uri="{CE6537A1-D6FC-4f65-9D91-7224C49458BB}">
                  <c15:layout/>
                </c:ext>
              </c:extLst>
            </c:dLbl>
            <c:dLbl>
              <c:idx val="3"/>
              <c:layout>
                <c:manualLayout>
                  <c:x val="0.019440528241478"/>
                  <c:y val="0.16498756172488"/>
                </c:manualLayout>
              </c:layout>
              <c:dLblPos val="bestFit"/>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inEnd"/>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Sheet1!$A$2:$A$5</c:f>
              <c:strCache>
                <c:ptCount val="4"/>
                <c:pt idx="0">
                  <c:v>教育支出</c:v>
                </c:pt>
                <c:pt idx="1">
                  <c:v>社会保障及就业支出</c:v>
                </c:pt>
                <c:pt idx="2">
                  <c:v>卫生健康支出</c:v>
                </c:pt>
                <c:pt idx="3">
                  <c:v>住房保障支出</c:v>
                </c:pt>
              </c:strCache>
            </c:strRef>
          </c:cat>
          <c:val>
            <c:numRef>
              <c:f>Sheet1!$B$2:$B$5</c:f>
              <c:numCache>
                <c:formatCode>General</c:formatCode>
                <c:ptCount val="4"/>
                <c:pt idx="0">
                  <c:v>3509.32</c:v>
                </c:pt>
                <c:pt idx="1">
                  <c:v>234.92</c:v>
                </c:pt>
                <c:pt idx="2">
                  <c:v>89.72</c:v>
                </c:pt>
                <c:pt idx="3">
                  <c:v>175.9</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r"/>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四川省财政厅</Company>
  <Pages>24</Pages>
  <Words>1299</Words>
  <Characters>7410</Characters>
  <Lines>61</Lines>
  <Paragraphs>17</Paragraphs>
  <TotalTime>5</TotalTime>
  <ScaleCrop>false</ScaleCrop>
  <LinksUpToDate>false</LinksUpToDate>
  <CharactersWithSpaces>8692</CharactersWithSpaces>
  <Application>WPS Office_12.1.0.15404_F1E327BC-269C-435d-A152-05C5408002CA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2020-08-05T01:49:00Z</dcterms:created>
  <dc:creator>曹颖</dc:creator>
  <cp:lastModifiedBy>玖千余为春秋</cp:lastModifiedBy>
  <cp:lastPrinted>2023-07-31T02:35:00Z</cp:lastPrinted>
  <dcterms:modified xsi:type="dcterms:W3CDTF">2023-10-12T12:57:14Z</dcterms:modified>
  <dc:title>四川省***</dc:title>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2052-12.1.0.15404</vt:lpwstr>
  </property>
  <property fmtid="{D5CDD505-2E9C-101B-9397-08002B2CF9AE}" pid="3" name="ICV">
    <vt:lpwstr>6B70361D626A4593B4A9C4A901EC4F63</vt:lpwstr>
  </property>
</Properties>
</file>