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28565"/>
      <w:bookmarkStart w:id="2" w:name="_Toc6567"/>
      <w:bookmarkStart w:id="3" w:name="_Toc15377425"/>
      <w:bookmarkStart w:id="4" w:name="_Toc28549"/>
      <w:bookmarkStart w:id="5" w:name="_Toc15396475"/>
      <w:bookmarkStart w:id="6" w:name="_Toc15396597"/>
      <w:bookmarkStart w:id="7" w:name="_Toc15378441"/>
      <w:bookmarkStart w:id="8" w:name="_Toc15377193"/>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2</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bookmarkEnd w:id="6"/>
      <w:bookmarkEnd w:id="7"/>
      <w:bookmarkEnd w:id="8"/>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9" w:name="_Toc15378442"/>
      <w:bookmarkStart w:id="10" w:name="_Toc15396476"/>
      <w:bookmarkStart w:id="11" w:name="_Toc20774"/>
      <w:bookmarkStart w:id="12" w:name="_Toc17667"/>
      <w:bookmarkStart w:id="13" w:name="_Toc15377426"/>
      <w:bookmarkStart w:id="14" w:name="_Toc15396598"/>
      <w:bookmarkStart w:id="15" w:name="_Toc15377194"/>
      <w:bookmarkStart w:id="16" w:name="_Toc6199"/>
      <w:r>
        <w:rPr>
          <w:rFonts w:hint="eastAsia" w:ascii="方正小标宋简体" w:hAnsi="方正小标宋简体" w:eastAsia="方正小标宋简体" w:cs="方正小标宋简体"/>
          <w:sz w:val="72"/>
          <w:szCs w:val="72"/>
        </w:rPr>
        <w:t>广元市</w:t>
      </w:r>
      <w:bookmarkEnd w:id="0"/>
      <w:bookmarkStart w:id="17" w:name="_Toc15306268"/>
      <w:r>
        <w:rPr>
          <w:rFonts w:hint="eastAsia" w:ascii="方正小标宋简体" w:hAnsi="方正小标宋简体" w:eastAsia="方正小标宋简体" w:cs="方正小标宋简体"/>
          <w:sz w:val="72"/>
          <w:szCs w:val="72"/>
        </w:rPr>
        <w:t>发展和改革委员会单位决算</w:t>
      </w:r>
      <w:bookmarkEnd w:id="9"/>
      <w:bookmarkEnd w:id="10"/>
      <w:bookmarkEnd w:id="11"/>
      <w:bookmarkEnd w:id="12"/>
      <w:bookmarkEnd w:id="13"/>
      <w:bookmarkEnd w:id="14"/>
      <w:bookmarkEnd w:id="15"/>
      <w:bookmarkEnd w:id="16"/>
      <w:bookmarkEnd w:id="17"/>
    </w:p>
    <w:p>
      <w:pPr>
        <w:widowControl/>
        <w:jc w:val="center"/>
        <w:rPr>
          <w:rFonts w:hint="eastAsia" w:ascii="方正小标宋简体" w:hAnsi="黑体" w:eastAsia="方正小标宋简体"/>
          <w:color w:val="000000"/>
          <w:sz w:val="44"/>
          <w:szCs w:val="44"/>
        </w:rPr>
      </w:pPr>
      <w:r>
        <w:rPr>
          <w:rFonts w:ascii="方正小标宋简体" w:hAnsi="宋体" w:eastAsia="方正小标宋简体"/>
          <w:sz w:val="36"/>
          <w:szCs w:val="36"/>
        </w:rPr>
        <w:br w:type="page"/>
      </w:r>
      <w:r>
        <w:rPr>
          <w:rFonts w:hint="eastAsia" w:ascii="方正小标宋简体" w:hAnsi="黑体" w:eastAsia="方正小标宋简体"/>
          <w:color w:val="000000"/>
          <w:sz w:val="44"/>
          <w:szCs w:val="44"/>
        </w:rPr>
        <w:t>目      录</w:t>
      </w:r>
    </w:p>
    <w:p>
      <w:pPr>
        <w:pStyle w:val="15"/>
        <w:tabs>
          <w:tab w:val="right" w:leader="dot" w:pos="8306"/>
          <w:tab w:val="clear" w:pos="8296"/>
        </w:tabs>
        <w:rPr>
          <w:lang w:val="en-US" w:eastAsia="zh-CN"/>
        </w:rPr>
      </w:pPr>
      <w:r>
        <w:rPr>
          <w:rFonts w:hint="eastAsia"/>
          <w:lang w:val="en-US" w:eastAsia="zh-CN"/>
        </w:rPr>
        <w:t>(公开时间2023年10月12日）</w:t>
      </w:r>
      <w:r>
        <w:fldChar w:fldCharType="begin"/>
      </w:r>
      <w:r>
        <w:instrText xml:space="preserve">TOC \o "1-2" \h \u </w:instrText>
      </w:r>
      <w:r>
        <w:fldChar w:fldCharType="separate"/>
      </w:r>
    </w:p>
    <w:p>
      <w:pPr>
        <w:pStyle w:val="15"/>
        <w:tabs>
          <w:tab w:val="right" w:leader="dot" w:pos="8306"/>
          <w:tab w:val="clear" w:pos="8296"/>
        </w:tabs>
      </w:pPr>
      <w:r>
        <w:fldChar w:fldCharType="begin"/>
      </w:r>
      <w:r>
        <w:instrText xml:space="preserve"> HYPERLINK \l _Toc16100 </w:instrText>
      </w:r>
      <w:r>
        <w:fldChar w:fldCharType="separate"/>
      </w:r>
      <w:r>
        <w:rPr>
          <w:rFonts w:hint="eastAsia"/>
        </w:rPr>
        <w:t>第一部分 单位概况</w:t>
      </w:r>
      <w:r>
        <w:tab/>
      </w:r>
      <w:r>
        <w:fldChar w:fldCharType="begin"/>
      </w:r>
      <w:r>
        <w:instrText xml:space="preserve"> PAGEREF _Toc16100 \h </w:instrText>
      </w:r>
      <w:r>
        <w:fldChar w:fldCharType="separate"/>
      </w:r>
      <w:r>
        <w:t>4</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_Toc23686 </w:instrText>
      </w:r>
      <w:r>
        <w:fldChar w:fldCharType="separate"/>
      </w:r>
      <w:r>
        <w:rPr>
          <w:rFonts w:hint="default"/>
        </w:rPr>
        <w:t xml:space="preserve">一、 </w:t>
      </w:r>
      <w:r>
        <w:rPr>
          <w:rFonts w:hint="eastAsia"/>
          <w:lang w:eastAsia="zh-CN"/>
        </w:rPr>
        <w:t>主要职责</w:t>
      </w:r>
      <w:r>
        <w:tab/>
      </w:r>
      <w:r>
        <w:fldChar w:fldCharType="begin"/>
      </w:r>
      <w:r>
        <w:instrText xml:space="preserve"> PAGEREF _Toc23686 \h </w:instrText>
      </w:r>
      <w:r>
        <w:fldChar w:fldCharType="separate"/>
      </w:r>
      <w:r>
        <w:t>4</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_Toc13439 </w:instrText>
      </w:r>
      <w:r>
        <w:fldChar w:fldCharType="separate"/>
      </w:r>
      <w:r>
        <w:rPr>
          <w:rFonts w:hint="eastAsia"/>
        </w:rPr>
        <w:t>二、</w:t>
      </w:r>
      <w:r>
        <w:rPr>
          <w:rFonts w:hint="eastAsia"/>
          <w:lang w:eastAsia="zh-CN"/>
        </w:rPr>
        <w:t>机构设置</w:t>
      </w:r>
      <w:r>
        <w:tab/>
      </w:r>
      <w:r>
        <w:fldChar w:fldCharType="begin"/>
      </w:r>
      <w:r>
        <w:instrText xml:space="preserve"> PAGEREF _Toc13439 \h </w:instrText>
      </w:r>
      <w:r>
        <w:fldChar w:fldCharType="separate"/>
      </w:r>
      <w:r>
        <w:t>9</w:t>
      </w:r>
      <w:r>
        <w:fldChar w:fldCharType="end"/>
      </w:r>
      <w:r>
        <w:fldChar w:fldCharType="end"/>
      </w:r>
    </w:p>
    <w:p>
      <w:pPr>
        <w:pStyle w:val="15"/>
        <w:tabs>
          <w:tab w:val="right" w:leader="dot" w:pos="8306"/>
          <w:tab w:val="clear" w:pos="8296"/>
        </w:tabs>
      </w:pPr>
      <w:r>
        <w:fldChar w:fldCharType="begin"/>
      </w:r>
      <w:r>
        <w:instrText xml:space="preserve"> HYPERLINK \l _Toc10661 </w:instrText>
      </w:r>
      <w:r>
        <w:fldChar w:fldCharType="separate"/>
      </w:r>
      <w:r>
        <w:rPr>
          <w:rFonts w:hint="eastAsia"/>
        </w:rPr>
        <w:t>第二部分 202</w:t>
      </w:r>
      <w:r>
        <w:rPr>
          <w:rFonts w:hint="eastAsia"/>
          <w:lang w:val="en-US" w:eastAsia="zh-CN"/>
        </w:rPr>
        <w:t>2</w:t>
      </w:r>
      <w:r>
        <w:rPr>
          <w:rFonts w:hint="eastAsia"/>
        </w:rPr>
        <w:t>年度单位决算情况说明</w:t>
      </w:r>
      <w:r>
        <w:tab/>
      </w:r>
      <w:r>
        <w:fldChar w:fldCharType="begin"/>
      </w:r>
      <w:r>
        <w:instrText xml:space="preserve"> PAGEREF _Toc10661 \h </w:instrText>
      </w:r>
      <w:r>
        <w:fldChar w:fldCharType="separate"/>
      </w:r>
      <w:r>
        <w:t>11</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_Toc25589 </w:instrText>
      </w:r>
      <w:r>
        <w:fldChar w:fldCharType="separate"/>
      </w:r>
      <w:r>
        <w:rPr>
          <w:rFonts w:hint="default"/>
        </w:rPr>
        <w:t xml:space="preserve">一、 </w:t>
      </w:r>
      <w:r>
        <w:rPr>
          <w:rFonts w:hint="eastAsia"/>
        </w:rPr>
        <w:t>收入支出决算总体情况说明</w:t>
      </w:r>
      <w:r>
        <w:tab/>
      </w:r>
      <w:r>
        <w:fldChar w:fldCharType="begin"/>
      </w:r>
      <w:r>
        <w:instrText xml:space="preserve"> PAGEREF _Toc25589 \h </w:instrText>
      </w:r>
      <w:r>
        <w:fldChar w:fldCharType="separate"/>
      </w:r>
      <w:r>
        <w:t>11</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_Toc29934 </w:instrText>
      </w:r>
      <w:r>
        <w:fldChar w:fldCharType="separate"/>
      </w:r>
      <w:r>
        <w:rPr>
          <w:rFonts w:hint="default"/>
        </w:rPr>
        <w:t xml:space="preserve">二、 </w:t>
      </w:r>
      <w:r>
        <w:rPr>
          <w:rFonts w:hint="eastAsia"/>
        </w:rPr>
        <w:t>收入决算情况说明</w:t>
      </w:r>
      <w:r>
        <w:tab/>
      </w:r>
      <w:r>
        <w:fldChar w:fldCharType="begin"/>
      </w:r>
      <w:r>
        <w:instrText xml:space="preserve"> PAGEREF _Toc29934 \h </w:instrText>
      </w:r>
      <w:r>
        <w:fldChar w:fldCharType="separate"/>
      </w:r>
      <w:r>
        <w:t>11</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_Toc5644 </w:instrText>
      </w:r>
      <w:r>
        <w:fldChar w:fldCharType="separate"/>
      </w:r>
      <w:r>
        <w:rPr>
          <w:rFonts w:hint="default"/>
        </w:rPr>
        <w:t xml:space="preserve">三、 </w:t>
      </w:r>
      <w:r>
        <w:rPr>
          <w:rFonts w:hint="eastAsia"/>
        </w:rPr>
        <w:t>支出决算情况说明</w:t>
      </w:r>
      <w:r>
        <w:tab/>
      </w:r>
      <w:r>
        <w:fldChar w:fldCharType="begin"/>
      </w:r>
      <w:r>
        <w:instrText xml:space="preserve"> PAGEREF _Toc5644 \h </w:instrText>
      </w:r>
      <w:r>
        <w:fldChar w:fldCharType="separate"/>
      </w:r>
      <w:r>
        <w:t>12</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_Toc14833 </w:instrText>
      </w:r>
      <w:r>
        <w:fldChar w:fldCharType="separate"/>
      </w:r>
      <w:r>
        <w:rPr>
          <w:rFonts w:hint="eastAsia"/>
        </w:rPr>
        <w:t>四、财政拨款收入支出决算总体情况说明</w:t>
      </w:r>
      <w:r>
        <w:tab/>
      </w:r>
      <w:r>
        <w:fldChar w:fldCharType="begin"/>
      </w:r>
      <w:r>
        <w:instrText xml:space="preserve"> PAGEREF _Toc14833 \h </w:instrText>
      </w:r>
      <w:r>
        <w:fldChar w:fldCharType="separate"/>
      </w:r>
      <w:r>
        <w:t>12</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_Toc19623 </w:instrText>
      </w:r>
      <w:r>
        <w:fldChar w:fldCharType="separate"/>
      </w:r>
      <w:r>
        <w:rPr>
          <w:rFonts w:hint="eastAsia"/>
        </w:rPr>
        <w:t>五、一般公共预算财政拨款支出决算情况说明</w:t>
      </w:r>
      <w:r>
        <w:tab/>
      </w:r>
      <w:r>
        <w:fldChar w:fldCharType="begin"/>
      </w:r>
      <w:r>
        <w:instrText xml:space="preserve"> PAGEREF _Toc19623 \h </w:instrText>
      </w:r>
      <w:r>
        <w:fldChar w:fldCharType="separate"/>
      </w:r>
      <w:r>
        <w:t>13</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_Toc25962 </w:instrText>
      </w:r>
      <w:r>
        <w:fldChar w:fldCharType="separate"/>
      </w:r>
      <w:r>
        <w:rPr>
          <w:rFonts w:hint="eastAsia"/>
        </w:rPr>
        <w:t>六、一般公共预算财政拨款基本支出决算情况说明</w:t>
      </w:r>
      <w:r>
        <w:tab/>
      </w:r>
      <w:r>
        <w:fldChar w:fldCharType="begin"/>
      </w:r>
      <w:r>
        <w:instrText xml:space="preserve"> PAGEREF _Toc25962 \h </w:instrText>
      </w:r>
      <w:r>
        <w:fldChar w:fldCharType="separate"/>
      </w:r>
      <w:r>
        <w:t>16</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_Toc9121 </w:instrText>
      </w:r>
      <w:r>
        <w:fldChar w:fldCharType="separate"/>
      </w:r>
      <w:r>
        <w:rPr>
          <w:rFonts w:hint="eastAsia"/>
        </w:rPr>
        <w:t>七、“三公”经费财政拨款支出决算情况说明</w:t>
      </w:r>
      <w:r>
        <w:tab/>
      </w:r>
      <w:r>
        <w:fldChar w:fldCharType="begin"/>
      </w:r>
      <w:r>
        <w:instrText xml:space="preserve"> PAGEREF _Toc9121 \h </w:instrText>
      </w:r>
      <w:r>
        <w:fldChar w:fldCharType="separate"/>
      </w:r>
      <w:r>
        <w:t>17</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_Toc7656 </w:instrText>
      </w:r>
      <w:r>
        <w:fldChar w:fldCharType="separate"/>
      </w:r>
      <w:r>
        <w:rPr>
          <w:rFonts w:hint="eastAsia"/>
        </w:rPr>
        <w:t>八、政府性基金预算支出决算情况说明</w:t>
      </w:r>
      <w:r>
        <w:tab/>
      </w:r>
      <w:r>
        <w:fldChar w:fldCharType="begin"/>
      </w:r>
      <w:r>
        <w:instrText xml:space="preserve"> PAGEREF _Toc7656 \h </w:instrText>
      </w:r>
      <w:r>
        <w:fldChar w:fldCharType="separate"/>
      </w:r>
      <w:r>
        <w:t>18</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_Toc25852 </w:instrText>
      </w:r>
      <w:r>
        <w:fldChar w:fldCharType="separate"/>
      </w:r>
      <w:r>
        <w:rPr>
          <w:rFonts w:hint="eastAsia"/>
        </w:rPr>
        <w:t>九、 国有资本经营预算支出决算情况说明</w:t>
      </w:r>
      <w:r>
        <w:tab/>
      </w:r>
      <w:r>
        <w:fldChar w:fldCharType="begin"/>
      </w:r>
      <w:r>
        <w:instrText xml:space="preserve"> PAGEREF _Toc25852 \h </w:instrText>
      </w:r>
      <w:r>
        <w:fldChar w:fldCharType="separate"/>
      </w:r>
      <w:r>
        <w:t>18</w:t>
      </w:r>
      <w:r>
        <w:fldChar w:fldCharType="end"/>
      </w:r>
      <w:r>
        <w:fldChar w:fldCharType="end"/>
      </w:r>
    </w:p>
    <w:p>
      <w:pPr>
        <w:pStyle w:val="15"/>
        <w:tabs>
          <w:tab w:val="right" w:leader="dot" w:pos="8306"/>
          <w:tab w:val="clear" w:pos="8296"/>
        </w:tabs>
      </w:pPr>
      <w:r>
        <w:rPr>
          <w:rFonts w:hint="eastAsia"/>
          <w:lang w:val="en-US" w:eastAsia="zh-CN"/>
        </w:rPr>
        <w:t xml:space="preserve">    </w:t>
      </w:r>
      <w:r>
        <w:fldChar w:fldCharType="begin"/>
      </w:r>
      <w:r>
        <w:instrText xml:space="preserve"> HYPERLINK \l _Toc12280 </w:instrText>
      </w:r>
      <w:r>
        <w:fldChar w:fldCharType="separate"/>
      </w:r>
      <w:r>
        <w:rPr>
          <w:rFonts w:hint="eastAsia"/>
        </w:rPr>
        <w:t>十、 其他重要事项的情况说明</w:t>
      </w:r>
      <w:r>
        <w:tab/>
      </w:r>
      <w:r>
        <w:fldChar w:fldCharType="begin"/>
      </w:r>
      <w:r>
        <w:instrText xml:space="preserve"> PAGEREF _Toc12280 \h </w:instrText>
      </w:r>
      <w:r>
        <w:fldChar w:fldCharType="separate"/>
      </w:r>
      <w:r>
        <w:t>19</w:t>
      </w:r>
      <w:r>
        <w:fldChar w:fldCharType="end"/>
      </w:r>
      <w:r>
        <w:fldChar w:fldCharType="end"/>
      </w:r>
    </w:p>
    <w:p>
      <w:pPr>
        <w:pStyle w:val="15"/>
        <w:tabs>
          <w:tab w:val="right" w:leader="dot" w:pos="8306"/>
          <w:tab w:val="clear" w:pos="8296"/>
        </w:tabs>
      </w:pPr>
      <w:r>
        <w:fldChar w:fldCharType="begin"/>
      </w:r>
      <w:r>
        <w:instrText xml:space="preserve"> HYPERLINK \l _Toc26762 </w:instrText>
      </w:r>
      <w:r>
        <w:fldChar w:fldCharType="separate"/>
      </w:r>
      <w:r>
        <w:rPr>
          <w:rFonts w:hint="eastAsia"/>
        </w:rPr>
        <w:t>第三部分 名词解释</w:t>
      </w:r>
      <w:r>
        <w:tab/>
      </w:r>
      <w:r>
        <w:fldChar w:fldCharType="begin"/>
      </w:r>
      <w:r>
        <w:instrText xml:space="preserve"> PAGEREF _Toc26762 \h </w:instrText>
      </w:r>
      <w:r>
        <w:fldChar w:fldCharType="separate"/>
      </w:r>
      <w:r>
        <w:t>20</w:t>
      </w:r>
      <w:r>
        <w:fldChar w:fldCharType="end"/>
      </w:r>
      <w:r>
        <w:fldChar w:fldCharType="end"/>
      </w:r>
    </w:p>
    <w:p>
      <w:pPr>
        <w:pStyle w:val="15"/>
        <w:tabs>
          <w:tab w:val="right" w:leader="dot" w:pos="8306"/>
          <w:tab w:val="clear" w:pos="8296"/>
        </w:tabs>
      </w:pPr>
      <w:r>
        <w:fldChar w:fldCharType="begin"/>
      </w:r>
      <w:r>
        <w:instrText xml:space="preserve"> HYPERLINK \l _Toc17332 </w:instrText>
      </w:r>
      <w:r>
        <w:fldChar w:fldCharType="separate"/>
      </w:r>
      <w:r>
        <w:rPr>
          <w:rFonts w:hint="eastAsia"/>
        </w:rPr>
        <w:t>第四部分 附件</w:t>
      </w:r>
      <w:r>
        <w:tab/>
      </w:r>
      <w:r>
        <w:fldChar w:fldCharType="begin"/>
      </w:r>
      <w:r>
        <w:instrText xml:space="preserve"> PAGEREF _Toc17332 \h </w:instrText>
      </w:r>
      <w:r>
        <w:fldChar w:fldCharType="separate"/>
      </w:r>
      <w:r>
        <w:t>23</w:t>
      </w:r>
      <w:r>
        <w:fldChar w:fldCharType="end"/>
      </w:r>
      <w:r>
        <w:fldChar w:fldCharType="end"/>
      </w:r>
    </w:p>
    <w:p>
      <w:pPr>
        <w:pStyle w:val="15"/>
        <w:tabs>
          <w:tab w:val="right" w:leader="dot" w:pos="8306"/>
          <w:tab w:val="clear" w:pos="8296"/>
        </w:tabs>
        <w:rPr>
          <w:rFonts w:hint="default"/>
        </w:rPr>
      </w:pPr>
      <w:r>
        <w:fldChar w:fldCharType="begin"/>
      </w:r>
      <w:r>
        <w:instrText xml:space="preserve"> HYPERLINK \l _Toc4681 </w:instrText>
      </w:r>
      <w:r>
        <w:fldChar w:fldCharType="separate"/>
      </w:r>
      <w:r>
        <w:rPr>
          <w:rFonts w:hint="eastAsia"/>
        </w:rPr>
        <w:t>第五部分 附表</w:t>
      </w:r>
      <w:r>
        <w:tab/>
      </w:r>
      <w:r>
        <w:fldChar w:fldCharType="begin"/>
      </w:r>
      <w:r>
        <w:instrText xml:space="preserve"> PAGEREF _Toc4681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_Toc24904 </w:instrText>
      </w:r>
      <w:r>
        <w:fldChar w:fldCharType="separate"/>
      </w:r>
      <w:r>
        <w:rPr>
          <w:rFonts w:hint="eastAsia"/>
        </w:rPr>
        <w:t>一、收入支出决算总表</w:t>
      </w:r>
      <w:r>
        <w:tab/>
      </w:r>
      <w:r>
        <w:fldChar w:fldCharType="begin"/>
      </w:r>
      <w:r>
        <w:instrText xml:space="preserve"> PAGEREF _Toc24904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_Toc4262 </w:instrText>
      </w:r>
      <w:r>
        <w:fldChar w:fldCharType="separate"/>
      </w:r>
      <w:r>
        <w:rPr>
          <w:rFonts w:hint="eastAsia"/>
        </w:rPr>
        <w:t>二、收入决算表</w:t>
      </w:r>
      <w:r>
        <w:tab/>
      </w:r>
      <w:r>
        <w:fldChar w:fldCharType="begin"/>
      </w:r>
      <w:r>
        <w:instrText xml:space="preserve"> PAGEREF _Toc4262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_Toc8230 </w:instrText>
      </w:r>
      <w:r>
        <w:fldChar w:fldCharType="separate"/>
      </w:r>
      <w:r>
        <w:rPr>
          <w:rFonts w:hint="eastAsia"/>
        </w:rPr>
        <w:t>三、支出决算表</w:t>
      </w:r>
      <w:r>
        <w:tab/>
      </w:r>
      <w:r>
        <w:fldChar w:fldCharType="begin"/>
      </w:r>
      <w:r>
        <w:instrText xml:space="preserve"> PAGEREF _Toc8230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_Toc202 </w:instrText>
      </w:r>
      <w:r>
        <w:fldChar w:fldCharType="separate"/>
      </w:r>
      <w:r>
        <w:rPr>
          <w:rFonts w:hint="eastAsia"/>
        </w:rPr>
        <w:t>四、财政拨款收入支出决算总表</w:t>
      </w:r>
      <w:r>
        <w:tab/>
      </w:r>
      <w:r>
        <w:fldChar w:fldCharType="begin"/>
      </w:r>
      <w:r>
        <w:instrText xml:space="preserve"> PAGEREF _Toc202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_Toc14753 </w:instrText>
      </w:r>
      <w:r>
        <w:fldChar w:fldCharType="separate"/>
      </w:r>
      <w:r>
        <w:rPr>
          <w:rFonts w:hint="eastAsia"/>
        </w:rPr>
        <w:t>五、财政拨款支出决算明细表</w:t>
      </w:r>
      <w:r>
        <w:tab/>
      </w:r>
      <w:r>
        <w:fldChar w:fldCharType="begin"/>
      </w:r>
      <w:r>
        <w:instrText xml:space="preserve"> PAGEREF _Toc14753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_Toc9796 </w:instrText>
      </w:r>
      <w:r>
        <w:fldChar w:fldCharType="separate"/>
      </w:r>
      <w:r>
        <w:rPr>
          <w:rFonts w:hint="eastAsia"/>
        </w:rPr>
        <w:t>六、一般公共预算财政拨款支出决算表</w:t>
      </w:r>
      <w:r>
        <w:tab/>
      </w:r>
      <w:r>
        <w:fldChar w:fldCharType="begin"/>
      </w:r>
      <w:r>
        <w:instrText xml:space="preserve"> PAGEREF _Toc9796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_Toc25750 </w:instrText>
      </w:r>
      <w:r>
        <w:fldChar w:fldCharType="separate"/>
      </w:r>
      <w:r>
        <w:rPr>
          <w:rFonts w:hint="eastAsia"/>
        </w:rPr>
        <w:t>七、一般公共预算财政拨款支出决算明细表</w:t>
      </w:r>
      <w:r>
        <w:tab/>
      </w:r>
      <w:r>
        <w:fldChar w:fldCharType="begin"/>
      </w:r>
      <w:r>
        <w:instrText xml:space="preserve"> PAGEREF _Toc25750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_Toc32734 </w:instrText>
      </w:r>
      <w:r>
        <w:fldChar w:fldCharType="separate"/>
      </w:r>
      <w:r>
        <w:rPr>
          <w:rFonts w:hint="eastAsia"/>
        </w:rPr>
        <w:t>八、一般公共预算财政拨款基本支出决算表</w:t>
      </w:r>
      <w:r>
        <w:tab/>
      </w:r>
      <w:r>
        <w:fldChar w:fldCharType="begin"/>
      </w:r>
      <w:r>
        <w:instrText xml:space="preserve"> PAGEREF _Toc32734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_Toc17026 </w:instrText>
      </w:r>
      <w:r>
        <w:fldChar w:fldCharType="separate"/>
      </w:r>
      <w:r>
        <w:rPr>
          <w:rFonts w:hint="eastAsia"/>
        </w:rPr>
        <w:t>九、一般公共预算财政拨款项目支出决算表</w:t>
      </w:r>
      <w:r>
        <w:tab/>
      </w:r>
      <w:r>
        <w:fldChar w:fldCharType="begin"/>
      </w:r>
      <w:r>
        <w:instrText xml:space="preserve"> PAGEREF _Toc17026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_Toc14225 </w:instrText>
      </w:r>
      <w:r>
        <w:fldChar w:fldCharType="separate"/>
      </w:r>
      <w:r>
        <w:rPr>
          <w:rFonts w:hint="eastAsia"/>
        </w:rPr>
        <w:t>十、政府性基金预算财政拨款收入支出决算表</w:t>
      </w:r>
      <w:r>
        <w:tab/>
      </w:r>
      <w:r>
        <w:fldChar w:fldCharType="begin"/>
      </w:r>
      <w:r>
        <w:instrText xml:space="preserve"> PAGEREF _Toc14225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_Toc29214 </w:instrText>
      </w:r>
      <w:r>
        <w:fldChar w:fldCharType="separate"/>
      </w:r>
      <w:r>
        <w:rPr>
          <w:rFonts w:hint="eastAsia"/>
        </w:rPr>
        <w:t>十一、国有资本经营预算</w:t>
      </w:r>
      <w:r>
        <w:rPr>
          <w:rFonts w:hint="eastAsia"/>
          <w:lang w:eastAsia="zh-CN"/>
        </w:rPr>
        <w:t>财政拨款收入</w:t>
      </w:r>
      <w:r>
        <w:rPr>
          <w:rFonts w:hint="eastAsia"/>
        </w:rPr>
        <w:t>支出决算表</w:t>
      </w:r>
      <w:r>
        <w:tab/>
      </w:r>
      <w:r>
        <w:fldChar w:fldCharType="begin"/>
      </w:r>
      <w:r>
        <w:instrText xml:space="preserve"> PAGEREF _Toc29214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_Toc17208 </w:instrText>
      </w:r>
      <w:r>
        <w:fldChar w:fldCharType="separate"/>
      </w:r>
      <w:r>
        <w:rPr>
          <w:rFonts w:hint="eastAsia"/>
        </w:rPr>
        <w:t>十二、</w:t>
      </w:r>
      <w:r>
        <w:rPr>
          <w:rFonts w:hint="eastAsia"/>
          <w:lang w:eastAsia="zh-CN"/>
        </w:rPr>
        <w:t>国有资本经营预算财政拨款支出决算表</w:t>
      </w:r>
      <w:r>
        <w:tab/>
      </w:r>
      <w:r>
        <w:fldChar w:fldCharType="begin"/>
      </w:r>
      <w:r>
        <w:instrText xml:space="preserve"> PAGEREF _Toc17208 \h </w:instrText>
      </w:r>
      <w:r>
        <w:fldChar w:fldCharType="separate"/>
      </w:r>
      <w:r>
        <w:t>74</w:t>
      </w:r>
      <w:r>
        <w:fldChar w:fldCharType="end"/>
      </w:r>
      <w:r>
        <w:fldChar w:fldCharType="end"/>
      </w:r>
    </w:p>
    <w:p>
      <w:pPr>
        <w:pStyle w:val="15"/>
        <w:tabs>
          <w:tab w:val="right" w:leader="dot" w:pos="8306"/>
          <w:tab w:val="clear" w:pos="8296"/>
        </w:tabs>
        <w:rPr>
          <w:rFonts w:hint="default"/>
        </w:rPr>
      </w:pPr>
      <w:r>
        <w:rPr>
          <w:rFonts w:hint="eastAsia"/>
          <w:lang w:val="en-US" w:eastAsia="zh-CN"/>
        </w:rPr>
        <w:t xml:space="preserve">    </w:t>
      </w:r>
      <w:r>
        <w:fldChar w:fldCharType="begin"/>
      </w:r>
      <w:r>
        <w:instrText xml:space="preserve"> HYPERLINK \l _Toc9179 </w:instrText>
      </w:r>
      <w:r>
        <w:fldChar w:fldCharType="separate"/>
      </w:r>
      <w:r>
        <w:rPr>
          <w:rFonts w:hint="eastAsia"/>
        </w:rPr>
        <w:t>十三、</w:t>
      </w:r>
      <w:r>
        <w:rPr>
          <w:rFonts w:hint="eastAsia"/>
          <w:lang w:eastAsia="zh-CN"/>
        </w:rPr>
        <w:t>财政拨款“三公”经费支出决算表</w:t>
      </w:r>
      <w:r>
        <w:tab/>
      </w:r>
      <w:r>
        <w:fldChar w:fldCharType="begin"/>
      </w:r>
      <w:r>
        <w:instrText xml:space="preserve"> PAGEREF _Toc9179 \h </w:instrText>
      </w:r>
      <w:r>
        <w:fldChar w:fldCharType="separate"/>
      </w:r>
      <w:r>
        <w:t>74</w:t>
      </w:r>
      <w:r>
        <w:fldChar w:fldCharType="end"/>
      </w:r>
      <w:r>
        <w:fldChar w:fldCharType="end"/>
      </w:r>
    </w:p>
    <w:p>
      <w:pPr>
        <w:pStyle w:val="15"/>
        <w:tabs>
          <w:tab w:val="right" w:leader="dot" w:pos="8306"/>
          <w:tab w:val="clear" w:pos="8296"/>
        </w:tabs>
      </w:pPr>
      <w:r>
        <w:fldChar w:fldCharType="end"/>
      </w:r>
    </w:p>
    <w:p>
      <w:pPr>
        <w:pStyle w:val="15"/>
        <w:tabs>
          <w:tab w:val="right" w:leader="dot" w:pos="8306"/>
          <w:tab w:val="clear" w:pos="8296"/>
        </w:tabs>
      </w:pPr>
      <w:bookmarkStart w:id="18" w:name="_Toc15396599"/>
      <w:bookmarkStart w:id="19" w:name="_Toc15377196"/>
      <w:r>
        <w:br w:type="page"/>
      </w:r>
    </w:p>
    <w:p>
      <w:pPr>
        <w:pStyle w:val="3"/>
        <w:jc w:val="center"/>
        <w:rPr>
          <w:rStyle w:val="31"/>
          <w:rFonts w:ascii="黑体" w:hAnsi="黑体" w:eastAsia="黑体"/>
          <w:b/>
          <w:bCs w:val="0"/>
        </w:rPr>
      </w:pPr>
      <w:bookmarkStart w:id="20" w:name="_Toc16100"/>
      <w:r>
        <w:rPr>
          <w:rFonts w:hint="eastAsia" w:ascii="黑体" w:hAnsi="黑体" w:eastAsia="黑体"/>
          <w:b w:val="0"/>
        </w:rPr>
        <w:t>第一部分 单位</w:t>
      </w:r>
      <w:r>
        <w:rPr>
          <w:rStyle w:val="31"/>
          <w:rFonts w:hint="eastAsia" w:ascii="黑体" w:hAnsi="黑体" w:eastAsia="黑体"/>
          <w:b w:val="0"/>
          <w:bCs w:val="0"/>
        </w:rPr>
        <w:t>概况</w:t>
      </w:r>
      <w:bookmarkEnd w:id="18"/>
      <w:bookmarkEnd w:id="19"/>
      <w:bookmarkEnd w:id="20"/>
    </w:p>
    <w:p>
      <w:pPr>
        <w:widowControl/>
        <w:jc w:val="left"/>
        <w:rPr>
          <w:rFonts w:ascii="黑体" w:eastAsia="黑体"/>
          <w:sz w:val="32"/>
          <w:szCs w:val="32"/>
        </w:rPr>
      </w:pPr>
    </w:p>
    <w:p>
      <w:pPr>
        <w:pStyle w:val="4"/>
        <w:numPr>
          <w:ilvl w:val="0"/>
          <w:numId w:val="1"/>
        </w:numPr>
        <w:rPr>
          <w:rStyle w:val="32"/>
          <w:rFonts w:ascii="黑体" w:hAnsi="黑体" w:eastAsia="黑体"/>
          <w:b w:val="0"/>
          <w:bCs w:val="0"/>
        </w:rPr>
      </w:pPr>
      <w:bookmarkStart w:id="21" w:name="_Toc23686"/>
      <w:bookmarkStart w:id="22" w:name="_Toc15377197"/>
      <w:bookmarkStart w:id="23" w:name="_Toc15396600"/>
      <w:r>
        <w:rPr>
          <w:rStyle w:val="32"/>
          <w:rFonts w:hint="eastAsia" w:ascii="黑体" w:hAnsi="黑体" w:eastAsia="黑体"/>
          <w:b w:val="0"/>
          <w:bCs w:val="0"/>
          <w:lang w:eastAsia="zh-CN"/>
        </w:rPr>
        <w:t>主要职责</w:t>
      </w:r>
      <w:bookmarkEnd w:id="21"/>
    </w:p>
    <w:p>
      <w:pPr>
        <w:spacing w:line="576" w:lineRule="exact"/>
        <w:ind w:firstLine="480" w:firstLineChars="150"/>
        <w:rPr>
          <w:rFonts w:ascii="仿宋_GB2312" w:eastAsia="仿宋_GB2312"/>
          <w:sz w:val="32"/>
          <w:szCs w:val="32"/>
        </w:rPr>
      </w:pPr>
      <w:r>
        <w:rPr>
          <w:rFonts w:hint="eastAsia" w:ascii="仿宋_GB2312" w:eastAsia="仿宋_GB2312"/>
          <w:sz w:val="32"/>
          <w:szCs w:val="32"/>
        </w:rPr>
        <w:t>1.贯彻实施国家有关国民经济和社会发展、经济体制改革、国家粮食流通和储备粮管理的方针、政策和法律、法规。拟订全市有关国民经济和社会发展、经济体制改革、粮食流通和储备粮管理的政策措施；拟订全市粮食流通体制改革方案并组织实施；提出发展现代粮食流通产业战略建议；负责本系统、本部门依法行政工作，落实行政执法责任制。</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负责拟订并组织实施全市国民经济和社会发展战略、中长期规划和年度计划，统筹协调全市经济社会发展，研究分析宏观经济形势，提出全市经济社会发展、经济结构优化、价格总水平调控目标和政策建议。受市政府委托向市人大提交国民经济和社会发展计划报告。</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3.负责监测宏观经济和社会发展态势，承担预测预警和信息引导的责任，研究宏观调控重大问题并提出政策建议，搞好总量平衡，综合协调经济社会发展中的重大问题。负责开发区的指导、协调和宏观管理。</w:t>
      </w:r>
    </w:p>
    <w:p>
      <w:pPr>
        <w:spacing w:line="576" w:lineRule="exact"/>
        <w:ind w:firstLine="480" w:firstLineChars="150"/>
        <w:rPr>
          <w:rFonts w:ascii="仿宋_GB2312" w:eastAsia="仿宋_GB2312"/>
          <w:sz w:val="32"/>
          <w:szCs w:val="32"/>
        </w:rPr>
      </w:pPr>
      <w:r>
        <w:rPr>
          <w:rFonts w:hint="eastAsia" w:ascii="仿宋_GB2312" w:eastAsia="仿宋_GB2312"/>
          <w:sz w:val="32"/>
          <w:szCs w:val="32"/>
        </w:rPr>
        <w:t>4.负责全市投资宏观管理。拟订全社会固定资产投资总规模和投资结构的调控目标、政策及措施，安排市级预算内基本建设资金，按规定权限审批、核准、备案或转报固定资产投资项目（企业技术改造项目除外）和资源开发利用、外资、境外投资项目。引导民间投资方向，研究提出利用外资和境外投资的规划、总量平衡和结构优化的目标和政策，指导和协调国外贷款项目实施。指导工程咨询业发展。</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5.推进经济结构战略性调整。组织拟订全市综合性产业政策，负责协调第一、二、三产业发展的重大问题，衔接平衡相关发展规划和重大政策，协调农业和农村经济社会发展的重大问题，衔接农村专项规划和政策。拟订重大产业发展规划，引导全市重大生产力合理布局，协调推进全市重大产业基地建设，会同有关部门拟订服务业、现代物流业发展战略、规划和重大政策。组织拟订高技术产业发展、产业技术进步的战略、规划和重大政策，指导全市自主创新体系建设发展。</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6.促进城乡区域协调发展。组织拟订区域协调发展战略、规划和重大政策，研究提出城镇发展战略和统筹城乡发展的重大政策，负责地区经济协作的统筹协调。</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7.负责重要商品的总量平衡和宏观调控。研究分析市内外市场和对外贸易运行情况，编制重要农产品、工业品和原材料进出口总量计划并监督计划执行；会同有关部门管理粮食、棉花等重要物资和商品的市级储备工作，提出重要商品市场、生产要素市场的总体布局和发展规划。</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8.负责汇总和分析全市财政、金融等方面的情况，参与制定财政、金融、土地政策，综合分析政策执行效果，负责全市全口径外债的总量控制、结构优化和监测工作，提出多渠道融资的政策建议，综合协调财政、金融、价格和产业政策等经济杠杆，保证全市国民经济和发展规划的实施。</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9.负责全市社会发展与国民经济发展的政策衔接。组织拟订社会发展战略、总体规划和年度计划，承担研究拟订和组织实施全市人口发展战略规划、中长期规划、年度计划及人口政策，参与拟订科学技术、教育、文化、卫生、民政等发展政策，推进社会事业建设。研究提出促进就业、调整收入分配、完善社会保障与经济协调发展的政策建议，协调社会事业发展和政策中的重大问题及政策。</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10.拟订全市能源发展战略、总体规划、行业规划和产业政策并组织实施，研究提出促进能源发展、提高能源保障、优化能源结构、推进能源节约的措施方法，拟订全市能源相关体制改革的实施方案。负责全市能源行业管理，协调全市能源建设的重大问题，指导能源科技进步工作，推广应用新产品、新技术、新设备。负责电动汽车充电设施发展的相关工作，根据电动汽车的发展规划和产业政策，牵头拟订电动汽车充电设施的发展规划和扶持政策。</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11.推进可持续发展，协调节能环保产业发展有关工作；组织拟订并协调实施全市发展循环经济、能源资源节约和综合利用规划及政策措施，参与编制生态环境建设，协调生态建设、能源资源节约和综合利用的重大问题，综合协调环保产业和清洁生产促进有关工作。贯彻执行国家和省有关低碳发展战略、方针和政策。</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12.会同有关部门拟订革命老区、贫困地区经济发展规划，会同有关部门制定加快革命老区、贫困地区经济发展的重大政策，协调推进重大项目建设，促进经济社会持续、稳定、协调发展。</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13.承担指导推进和综合协调全市经济体制改革的任务，研究经济体制改革和对外开放的重大问题，组织拟订综合性经济体制改革方案，协调有关专项经济体制改革方案，会同有关部门搞好重要专项经济体制改革之间的衔接，指导经济体制改革试点和改革试验区工作。</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14.贯彻实施国家和省价格法律、法规和方针、政策，编制和执行价格调整改革规划，提出年度价格总水平调控目标及价格调控措施并组织实施，管理国家、省、市列名管理的商品和服务价格，承担行政事业性收费管理工作，负责全市价格成本调查监审、价格监测、价格认证等工作。</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15.指导、协调并综合管理全市招标投标工作，按照职责权限对国家、省和市重大建设项目建设过程中的工程招标投标活动实施监督检查。</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16.负责组织编制全市国民经济动员与装备动员规划、计划，研究国民经济动员与装备动员和国民经济、国防建设的关系，协调相关重大问题，组织实施国民经济动员与装备动员有关工作。</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17.负责全市粮食宏观调控具体工作，承担粮食预警监测和应急责任；提出全市粮食宏观调控、总量平衡以及粮食流通规划的建议；监督执行粮食最低收购价政策及临时收储政策；负责全市粮食余缺调剂，指导市内粮食销售工作；保障军队等政策性粮食的供应，提高全市粮食供应保障能力；组织指导全市粮食系统统计工作。</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18.承担市级储备粮行政管理责任，指导全市储备粮体系建设。提出地方储备粮总规模及市级储备粮的总体布局和收储、轮换、动用计划建议并组织实施；制定市级储备粮管理技术规范并监督执行，监督检查市级储备粮库存数量、质量和储存安全；协助在广中央储备粮、省级储备粮及国家其他政策性临时储存粮食的监督管理工作。</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19.贯彻实施国家粮食质量标准；制定全市粮食储存、运输技术规范并监督执行；负责全市粮食收购、储存环节和政策性用粮质量安全；负责库存原粮卫生监督管理；指导粮食行业安全生产和抢险救灾工作；指导全市农村科学储粮工作。</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20.制订粮食流通产业发展规划，提出促进全市粮食流通产业发展的政策建议并督促落实；指导、协调全市粮食流通基础设施建设，管理市级财政投资粮食流通设施项目；制订全市粮食仓储、加工和物流体系建设规划并组织实施；拟订全市粮食市场体系发展规划，指导粮食批发市场和城乡粮食流通市场建设；开展粮食行业对外合作与交流，协助做好优质粮油的推广、开发工作；指导粮食企业科技进步、技术改造和新技术推广应用，指导粮油龙头企业开展惠农服务。</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21.贯彻国家粮食流通财政财务政策和会计制度，组织编报全市国有粮食企业会计报表及会计决算；指导全市国有和国有控股粮食企业的财务管理和会计报告工作；负责国家、省、市预算拨付的粮食政策性补贴资金和专项资金的使用管理；会同相关部门管理粮食风险基金、政策性粮食财务挂帐，参与粮食收购资金贷款管理。</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22.负责重要物资和应急物资收储、轮换和日常管理。</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23.负责会同有关部门编制以工代赈规划，审核和转报以工代赈项目，下达以工代赈资金计划。</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24.负责全市营商环境和社会信用体系建设。</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25.承担中共广元市委财经委员会办公室、广元市川陕革命老区振兴发展领导小组办公室、广元市川东北经济区对接协调小组办公室、广元市国防动员委员会经济动员办公室、广元市实施西部大开发领导小组、广元市低碳发展领导小组、广元市项目策划储备中心、广元市重大项目推进中心、广元市浙广扶贫协作领导小组办公室的具体工作。</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26.承担市政府公布的有关行政审批事项。</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27.负责与省发展改革委、省粮食和物资储备局等省级部门的工作衔接。</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28.依照法律法规和有关规定，对本行业领域的安全生产、环境保护工作实施监督管理，履行安全生产、环境保护行业监督管理职责和本单位安全生产、环境保护工作职责。</w:t>
      </w:r>
    </w:p>
    <w:p>
      <w:pPr>
        <w:ind w:firstLine="640" w:firstLineChars="200"/>
      </w:pPr>
      <w:r>
        <w:rPr>
          <w:rFonts w:hint="eastAsia" w:ascii="仿宋_GB2312" w:eastAsia="仿宋_GB2312"/>
          <w:sz w:val="32"/>
          <w:szCs w:val="32"/>
        </w:rPr>
        <w:t>29.承办市政府交办的其他事项。</w:t>
      </w:r>
    </w:p>
    <w:p>
      <w:pPr>
        <w:pStyle w:val="4"/>
        <w:rPr>
          <w:rFonts w:hint="eastAsia" w:ascii="黑体" w:hAnsi="黑体" w:eastAsia="黑体"/>
          <w:b w:val="0"/>
          <w:lang w:eastAsia="zh-CN"/>
        </w:rPr>
      </w:pPr>
      <w:bookmarkStart w:id="24" w:name="_Toc13439"/>
      <w:r>
        <w:rPr>
          <w:rFonts w:hint="eastAsia" w:ascii="黑体" w:hAnsi="黑体" w:eastAsia="黑体"/>
          <w:b w:val="0"/>
        </w:rPr>
        <w:t>二、</w:t>
      </w:r>
      <w:bookmarkEnd w:id="22"/>
      <w:bookmarkEnd w:id="23"/>
      <w:r>
        <w:rPr>
          <w:rFonts w:hint="eastAsia" w:ascii="黑体" w:hAnsi="黑体" w:eastAsia="黑体"/>
          <w:b w:val="0"/>
          <w:lang w:eastAsia="zh-CN"/>
        </w:rPr>
        <w:t>机构设置</w:t>
      </w:r>
      <w:bookmarkEnd w:id="24"/>
    </w:p>
    <w:p>
      <w:pPr>
        <w:pStyle w:val="8"/>
        <w:adjustRightInd w:val="0"/>
        <w:snapToGrid w:val="0"/>
        <w:spacing w:before="93" w:line="600" w:lineRule="exact"/>
        <w:ind w:firstLine="672" w:firstLineChars="21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广元</w:t>
      </w:r>
      <w:r>
        <w:rPr>
          <w:rFonts w:hint="eastAsia" w:ascii="仿宋" w:hAnsi="仿宋" w:eastAsia="仿宋"/>
          <w:color w:val="auto"/>
          <w:sz w:val="32"/>
          <w:szCs w:val="32"/>
          <w:highlight w:val="none"/>
          <w:lang w:eastAsia="zh-CN"/>
        </w:rPr>
        <w:t>发展和改革委员会</w:t>
      </w:r>
      <w:r>
        <w:rPr>
          <w:rFonts w:hint="eastAsia" w:ascii="仿宋" w:hAnsi="仿宋" w:eastAsia="仿宋"/>
          <w:color w:val="auto"/>
          <w:sz w:val="32"/>
          <w:szCs w:val="32"/>
          <w:highlight w:val="none"/>
        </w:rPr>
        <w:t>属于广元市发展和改革委员会下属二级预算单位，下设独立预算机构</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个</w:t>
      </w:r>
      <w:r>
        <w:rPr>
          <w:rFonts w:hint="eastAsia" w:ascii="仿宋" w:hAnsi="仿宋" w:eastAsia="仿宋"/>
          <w:color w:val="auto"/>
          <w:sz w:val="32"/>
          <w:szCs w:val="32"/>
          <w:highlight w:val="none"/>
          <w:lang w:eastAsia="zh-CN"/>
        </w:rPr>
        <w:t>（广元市粮油质量监测站）</w:t>
      </w:r>
      <w:r>
        <w:rPr>
          <w:rFonts w:hint="eastAsia" w:ascii="仿宋" w:hAnsi="仿宋" w:eastAsia="仿宋"/>
          <w:color w:val="auto"/>
          <w:sz w:val="32"/>
          <w:szCs w:val="32"/>
          <w:highlight w:val="none"/>
        </w:rPr>
        <w:t>，其中行政单位0个，其他事业单位</w:t>
      </w:r>
      <w:r>
        <w:rPr>
          <w:rFonts w:hint="eastAsia" w:ascii="仿宋" w:hAnsi="仿宋" w:eastAsia="仿宋"/>
          <w:color w:val="auto"/>
          <w:sz w:val="32"/>
          <w:szCs w:val="32"/>
          <w:highlight w:val="none"/>
          <w:lang w:val="en-US" w:eastAsia="zh-CN"/>
        </w:rPr>
        <w:t>4</w:t>
      </w:r>
      <w:r>
        <w:rPr>
          <w:rFonts w:hint="eastAsia" w:ascii="仿宋" w:hAnsi="仿宋" w:eastAsia="仿宋"/>
          <w:color w:val="auto"/>
          <w:sz w:val="32"/>
          <w:szCs w:val="32"/>
          <w:highlight w:val="none"/>
        </w:rPr>
        <w:t>个。纳入</w:t>
      </w:r>
      <w:r>
        <w:rPr>
          <w:rFonts w:hint="eastAsia" w:ascii="仿宋" w:hAnsi="仿宋" w:eastAsia="仿宋"/>
          <w:color w:val="auto"/>
          <w:sz w:val="32"/>
          <w:szCs w:val="32"/>
          <w:highlight w:val="none"/>
          <w:lang w:eastAsia="zh-CN"/>
        </w:rPr>
        <w:t>广元市发展和改革委员会</w:t>
      </w: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年度部门决算编制范围的二级单位包括：</w:t>
      </w:r>
    </w:p>
    <w:p>
      <w:pPr>
        <w:pStyle w:val="6"/>
        <w:numPr>
          <w:ilvl w:val="0"/>
          <w:numId w:val="2"/>
        </w:numPr>
        <w:ind w:left="407" w:leftChars="0" w:firstLineChars="0"/>
        <w:rPr>
          <w:rFonts w:hint="eastAsia" w:ascii="仿宋_GB2312" w:eastAsia="仿宋_GB2312" w:cs="仿宋_GB2312"/>
          <w:sz w:val="32"/>
          <w:szCs w:val="32"/>
        </w:rPr>
      </w:pPr>
      <w:r>
        <w:rPr>
          <w:rFonts w:hint="eastAsia" w:ascii="仿宋" w:hAnsi="仿宋" w:eastAsia="仿宋"/>
          <w:color w:val="auto"/>
          <w:sz w:val="32"/>
          <w:szCs w:val="32"/>
          <w:highlight w:val="none"/>
          <w:lang w:val="en-US" w:eastAsia="zh-CN"/>
        </w:rPr>
        <w:t>广元市发展和改革委员会本级</w:t>
      </w:r>
    </w:p>
    <w:p>
      <w:pPr>
        <w:pStyle w:val="6"/>
        <w:numPr>
          <w:ilvl w:val="0"/>
          <w:numId w:val="2"/>
        </w:numPr>
        <w:ind w:left="407" w:leftChars="0" w:firstLineChars="0"/>
        <w:rPr>
          <w:rFonts w:hint="eastAsia" w:ascii="仿宋_GB2312" w:eastAsia="仿宋_GB2312" w:cs="仿宋_GB2312"/>
          <w:sz w:val="32"/>
          <w:szCs w:val="32"/>
        </w:rPr>
      </w:pPr>
      <w:r>
        <w:rPr>
          <w:rFonts w:hint="eastAsia" w:cs="仿宋_GB2312"/>
          <w:sz w:val="32"/>
          <w:szCs w:val="32"/>
          <w:lang w:eastAsia="zh-CN"/>
        </w:rPr>
        <w:t>广元</w:t>
      </w:r>
      <w:r>
        <w:rPr>
          <w:rFonts w:hint="eastAsia" w:ascii="仿宋_GB2312" w:eastAsia="仿宋_GB2312" w:cs="仿宋_GB2312"/>
          <w:sz w:val="32"/>
          <w:szCs w:val="32"/>
        </w:rPr>
        <w:t>市价格认证中心</w:t>
      </w:r>
    </w:p>
    <w:p>
      <w:pPr>
        <w:pStyle w:val="6"/>
        <w:numPr>
          <w:ilvl w:val="0"/>
          <w:numId w:val="2"/>
        </w:numPr>
        <w:ind w:left="407" w:leftChars="0" w:firstLineChars="0"/>
        <w:rPr>
          <w:rFonts w:hint="eastAsia" w:ascii="仿宋_GB2312" w:eastAsia="仿宋_GB2312" w:cs="仿宋_GB2312"/>
          <w:sz w:val="32"/>
          <w:szCs w:val="32"/>
        </w:rPr>
      </w:pPr>
      <w:r>
        <w:rPr>
          <w:rFonts w:hint="eastAsia" w:cs="仿宋_GB2312"/>
          <w:sz w:val="32"/>
          <w:szCs w:val="32"/>
          <w:lang w:eastAsia="zh-CN"/>
        </w:rPr>
        <w:t>广元</w:t>
      </w:r>
      <w:r>
        <w:rPr>
          <w:rFonts w:hint="eastAsia" w:ascii="仿宋_GB2312" w:eastAsia="仿宋_GB2312" w:cs="仿宋_GB2312"/>
          <w:sz w:val="32"/>
          <w:szCs w:val="32"/>
        </w:rPr>
        <w:t>市项目编研中心</w:t>
      </w:r>
    </w:p>
    <w:p>
      <w:pPr>
        <w:pStyle w:val="6"/>
        <w:numPr>
          <w:ilvl w:val="0"/>
          <w:numId w:val="2"/>
        </w:numPr>
        <w:ind w:left="407" w:leftChars="0" w:firstLineChars="0"/>
        <w:rPr>
          <w:rFonts w:hint="eastAsia" w:ascii="仿宋_GB2312" w:eastAsia="仿宋_GB2312" w:cs="仿宋_GB2312"/>
          <w:sz w:val="32"/>
          <w:szCs w:val="32"/>
        </w:rPr>
      </w:pPr>
      <w:r>
        <w:rPr>
          <w:rFonts w:hint="eastAsia" w:cs="仿宋_GB2312"/>
          <w:sz w:val="32"/>
          <w:szCs w:val="32"/>
          <w:lang w:eastAsia="zh-CN"/>
        </w:rPr>
        <w:t>广元</w:t>
      </w:r>
      <w:r>
        <w:rPr>
          <w:rFonts w:hint="eastAsia" w:ascii="仿宋_GB2312" w:eastAsia="仿宋_GB2312" w:cs="仿宋_GB2312"/>
          <w:sz w:val="32"/>
          <w:szCs w:val="32"/>
        </w:rPr>
        <w:t>市经济信息中心</w:t>
      </w:r>
    </w:p>
    <w:p>
      <w:pPr>
        <w:rPr>
          <w:rFonts w:hint="eastAsia"/>
          <w:lang w:val="en-US" w:eastAsia="zh-CN"/>
        </w:rPr>
      </w:pPr>
    </w:p>
    <w:p>
      <w:pPr>
        <w:rPr>
          <w:rFonts w:hint="eastAsia"/>
        </w:rPr>
      </w:pPr>
      <w:bookmarkStart w:id="25" w:name="_Toc15377204"/>
      <w:bookmarkStart w:id="26" w:name="_Toc15396602"/>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pStyle w:val="3"/>
        <w:ind w:right="440"/>
        <w:jc w:val="center"/>
        <w:rPr>
          <w:rStyle w:val="31"/>
          <w:rFonts w:ascii="黑体" w:hAnsi="黑体" w:eastAsia="黑体"/>
          <w:b w:val="0"/>
          <w:bCs/>
        </w:rPr>
      </w:pPr>
      <w:bookmarkStart w:id="27" w:name="_Toc10661"/>
      <w:r>
        <w:rPr>
          <w:rFonts w:hint="eastAsia" w:ascii="黑体" w:hAnsi="黑体" w:eastAsia="黑体"/>
          <w:b w:val="0"/>
        </w:rPr>
        <w:t>第二部分 202</w:t>
      </w:r>
      <w:r>
        <w:rPr>
          <w:rFonts w:hint="eastAsia" w:ascii="黑体" w:hAnsi="黑体" w:eastAsia="黑体"/>
          <w:b w:val="0"/>
          <w:lang w:val="en-US" w:eastAsia="zh-CN"/>
        </w:rPr>
        <w:t>2</w:t>
      </w:r>
      <w:r>
        <w:rPr>
          <w:rFonts w:hint="eastAsia" w:ascii="黑体" w:hAnsi="黑体" w:eastAsia="黑体"/>
          <w:b w:val="0"/>
        </w:rPr>
        <w:t>年度</w:t>
      </w:r>
      <w:r>
        <w:rPr>
          <w:rStyle w:val="31"/>
          <w:rFonts w:hint="eastAsia" w:ascii="黑体" w:hAnsi="黑体" w:eastAsia="黑体"/>
          <w:b w:val="0"/>
          <w:bCs/>
        </w:rPr>
        <w:t>单位决算情况说明</w:t>
      </w:r>
      <w:bookmarkEnd w:id="25"/>
      <w:bookmarkEnd w:id="26"/>
      <w:bookmarkEnd w:id="27"/>
    </w:p>
    <w:p/>
    <w:p>
      <w:pPr>
        <w:pStyle w:val="30"/>
        <w:numPr>
          <w:ilvl w:val="0"/>
          <w:numId w:val="3"/>
        </w:numPr>
        <w:spacing w:line="600" w:lineRule="exact"/>
        <w:ind w:firstLineChars="0"/>
        <w:outlineLvl w:val="1"/>
        <w:rPr>
          <w:rStyle w:val="32"/>
          <w:rFonts w:ascii="黑体" w:hAnsi="黑体" w:eastAsia="黑体"/>
          <w:b w:val="0"/>
        </w:rPr>
      </w:pPr>
      <w:bookmarkStart w:id="28" w:name="_Toc15396603"/>
      <w:bookmarkStart w:id="29" w:name="_Toc15377205"/>
      <w:bookmarkStart w:id="30" w:name="_Toc25589"/>
      <w:r>
        <w:rPr>
          <w:rFonts w:hint="eastAsia" w:ascii="黑体" w:hAnsi="黑体" w:eastAsia="黑体"/>
          <w:sz w:val="32"/>
          <w:szCs w:val="32"/>
        </w:rPr>
        <w:t>收</w:t>
      </w:r>
      <w:r>
        <w:rPr>
          <w:rStyle w:val="32"/>
          <w:rFonts w:hint="eastAsia" w:ascii="黑体" w:hAnsi="黑体" w:eastAsia="黑体"/>
          <w:b w:val="0"/>
        </w:rPr>
        <w:t>入支出决算总体情况说明</w:t>
      </w:r>
      <w:bookmarkEnd w:id="28"/>
      <w:bookmarkEnd w:id="29"/>
      <w:bookmarkEnd w:id="30"/>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年度收、支总计3</w:t>
      </w:r>
      <w:r>
        <w:rPr>
          <w:rFonts w:hint="eastAsia" w:ascii="仿宋" w:hAnsi="仿宋" w:eastAsia="仿宋"/>
          <w:sz w:val="32"/>
          <w:szCs w:val="32"/>
          <w:lang w:val="en-US" w:eastAsia="zh-CN"/>
        </w:rPr>
        <w:t>579.41</w:t>
      </w:r>
      <w:r>
        <w:rPr>
          <w:rFonts w:hint="eastAsia" w:ascii="仿宋" w:hAnsi="仿宋" w:eastAsia="仿宋"/>
          <w:sz w:val="32"/>
          <w:szCs w:val="32"/>
        </w:rPr>
        <w:t>万元。与202</w:t>
      </w:r>
      <w:r>
        <w:rPr>
          <w:rFonts w:hint="eastAsia" w:ascii="仿宋" w:hAnsi="仿宋" w:eastAsia="仿宋"/>
          <w:sz w:val="32"/>
          <w:szCs w:val="32"/>
          <w:lang w:val="en-US" w:eastAsia="zh-CN"/>
        </w:rPr>
        <w:t>1</w:t>
      </w:r>
      <w:r>
        <w:rPr>
          <w:rFonts w:hint="eastAsia" w:ascii="仿宋" w:hAnsi="仿宋" w:eastAsia="仿宋"/>
          <w:sz w:val="32"/>
          <w:szCs w:val="32"/>
        </w:rPr>
        <w:t>年相比，收、支总计各增加</w:t>
      </w:r>
      <w:r>
        <w:rPr>
          <w:rFonts w:hint="eastAsia" w:ascii="仿宋" w:hAnsi="仿宋" w:eastAsia="仿宋"/>
          <w:sz w:val="32"/>
          <w:szCs w:val="32"/>
          <w:lang w:val="en-US" w:eastAsia="zh-CN"/>
        </w:rPr>
        <w:t>369.52</w:t>
      </w:r>
      <w:r>
        <w:rPr>
          <w:rFonts w:hint="eastAsia" w:ascii="仿宋" w:hAnsi="仿宋" w:eastAsia="仿宋"/>
          <w:sz w:val="32"/>
          <w:szCs w:val="32"/>
        </w:rPr>
        <w:t>万元，增长1</w:t>
      </w:r>
      <w:r>
        <w:rPr>
          <w:rFonts w:hint="eastAsia" w:ascii="仿宋" w:hAnsi="仿宋" w:eastAsia="仿宋"/>
          <w:sz w:val="32"/>
          <w:szCs w:val="32"/>
          <w:lang w:val="en-US" w:eastAsia="zh-CN"/>
        </w:rPr>
        <w:t>1.51</w:t>
      </w:r>
      <w:r>
        <w:rPr>
          <w:rFonts w:ascii="仿宋" w:hAnsi="仿宋" w:eastAsia="仿宋"/>
          <w:sz w:val="32"/>
          <w:szCs w:val="32"/>
        </w:rPr>
        <w:t>%</w:t>
      </w:r>
      <w:r>
        <w:rPr>
          <w:rFonts w:hint="eastAsia" w:ascii="仿宋" w:hAnsi="仿宋" w:eastAsia="仿宋"/>
          <w:sz w:val="32"/>
          <w:szCs w:val="32"/>
        </w:rPr>
        <w:t>。主要变动原因是机关人员</w:t>
      </w:r>
      <w:r>
        <w:rPr>
          <w:rFonts w:hint="eastAsia" w:ascii="仿宋" w:hAnsi="仿宋" w:eastAsia="仿宋"/>
          <w:sz w:val="32"/>
          <w:szCs w:val="32"/>
          <w:lang w:eastAsia="zh-CN"/>
        </w:rPr>
        <w:t>及其日常</w:t>
      </w:r>
      <w:r>
        <w:rPr>
          <w:rFonts w:hint="eastAsia" w:ascii="仿宋" w:hAnsi="仿宋" w:eastAsia="仿宋"/>
          <w:sz w:val="32"/>
          <w:szCs w:val="32"/>
        </w:rPr>
        <w:t>公用经费增长。</w:t>
      </w:r>
    </w:p>
    <w:p>
      <w:pPr>
        <w:spacing w:line="600" w:lineRule="exact"/>
        <w:ind w:firstLine="640" w:firstLineChars="200"/>
        <w:rPr>
          <w:rFonts w:hint="eastAsia" w:ascii="仿宋" w:hAnsi="仿宋" w:eastAsia="仿宋"/>
          <w:color w:val="000000"/>
          <w:sz w:val="32"/>
          <w:szCs w:val="32"/>
        </w:rPr>
      </w:pPr>
      <w:r>
        <w:rPr>
          <w:rFonts w:hint="eastAsia" w:ascii="仿宋_GB2312" w:eastAsia="仿宋_GB2312"/>
          <w:color w:val="000000"/>
          <w:sz w:val="32"/>
          <w:szCs w:val="32"/>
        </w:rPr>
        <w:pict>
          <v:shape id="Object 2" o:spid="_x0000_s2050" o:spt="75" type="#_x0000_t75" style="position:absolute;left:0pt;margin-left:42.1pt;margin-top:17.5pt;height:163.75pt;width:337.8pt;z-index:251659264;mso-width-relative:page;mso-height-relative:page;" o:ole="t" fillcolor="#FFFFFF" filled="t" o:preferrelative="t" stroked="f" coordsize="21600,21600">
            <v:path/>
            <v:fill on="t" color2="#FFFFFF" focussize="0,0"/>
            <v:stroke on="f"/>
            <v:imagedata r:id="rId7" o:title=""/>
            <o:lock v:ext="edit" aspectratio="f"/>
          </v:shape>
          <o:OLEObject Type="Embed" ProgID="Excel.Chart.8" ShapeID="Object 2" DrawAspect="Content" ObjectID="_1468075725" r:id="rId6">
            <o:LockedField>false</o:LockedField>
          </o:OLEObject>
        </w:pict>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jc w:val="right"/>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pStyle w:val="37"/>
        <w:spacing w:line="600" w:lineRule="exact"/>
        <w:ind w:left="640" w:firstLine="0" w:firstLineChars="0"/>
        <w:rPr>
          <w:rFonts w:hint="eastAsia" w:ascii="仿宋" w:hAnsi="仿宋" w:eastAsia="仿宋"/>
          <w:color w:val="000000"/>
          <w:sz w:val="32"/>
          <w:szCs w:val="32"/>
        </w:rPr>
      </w:pPr>
    </w:p>
    <w:p>
      <w:pPr>
        <w:spacing w:line="600" w:lineRule="exact"/>
        <w:ind w:firstLine="640" w:firstLineChars="200"/>
        <w:jc w:val="center"/>
        <w:rPr>
          <w:rStyle w:val="32"/>
          <w:rFonts w:ascii="黑体" w:hAnsi="黑体" w:eastAsia="黑体"/>
          <w:b w:val="0"/>
        </w:rPr>
      </w:pPr>
      <w:r>
        <w:rPr>
          <w:rFonts w:hint="eastAsia" w:ascii="仿宋" w:hAnsi="仿宋" w:eastAsia="仿宋"/>
          <w:color w:val="000000"/>
          <w:sz w:val="32"/>
          <w:szCs w:val="32"/>
        </w:rPr>
        <w:tab/>
      </w:r>
    </w:p>
    <w:p>
      <w:pPr>
        <w:spacing w:line="600" w:lineRule="exact"/>
        <w:ind w:firstLine="640" w:firstLineChars="200"/>
        <w:jc w:val="center"/>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pStyle w:val="30"/>
        <w:numPr>
          <w:ilvl w:val="0"/>
          <w:numId w:val="3"/>
        </w:numPr>
        <w:spacing w:line="600" w:lineRule="exact"/>
        <w:ind w:firstLineChars="0"/>
        <w:outlineLvl w:val="1"/>
        <w:rPr>
          <w:rStyle w:val="32"/>
          <w:rFonts w:ascii="黑体" w:hAnsi="黑体" w:eastAsia="黑体"/>
          <w:b w:val="0"/>
        </w:rPr>
      </w:pPr>
      <w:bookmarkStart w:id="31" w:name="_Toc15396604"/>
      <w:bookmarkStart w:id="32" w:name="_Toc29934"/>
      <w:bookmarkStart w:id="33" w:name="_Toc15377206"/>
      <w:r>
        <w:rPr>
          <w:rFonts w:hint="eastAsia" w:ascii="黑体" w:hAnsi="黑体" w:eastAsia="黑体"/>
          <w:sz w:val="32"/>
          <w:szCs w:val="32"/>
        </w:rPr>
        <w:t>收</w:t>
      </w:r>
      <w:r>
        <w:rPr>
          <w:rStyle w:val="32"/>
          <w:rFonts w:hint="eastAsia" w:ascii="黑体" w:hAnsi="黑体" w:eastAsia="黑体"/>
          <w:b w:val="0"/>
        </w:rPr>
        <w:t>入决算情况说明</w:t>
      </w:r>
      <w:bookmarkEnd w:id="31"/>
      <w:bookmarkEnd w:id="32"/>
      <w:bookmarkEnd w:id="33"/>
    </w:p>
    <w:p>
      <w:pPr>
        <w:spacing w:line="600" w:lineRule="exact"/>
        <w:ind w:firstLine="640" w:firstLineChars="200"/>
        <w:outlineLvl w:val="1"/>
        <w:rPr>
          <w:rFonts w:hint="eastAsia" w:ascii="仿宋" w:hAnsi="仿宋" w:eastAsia="仿宋"/>
          <w:sz w:val="32"/>
          <w:szCs w:val="32"/>
        </w:rPr>
      </w:pPr>
      <w:bookmarkStart w:id="34" w:name="_Toc27993"/>
      <w:bookmarkStart w:id="35" w:name="_Toc6834"/>
      <w:bookmarkStart w:id="36" w:name="_Toc22564"/>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年本年收入合计</w:t>
      </w:r>
      <w:r>
        <w:rPr>
          <w:rFonts w:hint="eastAsia" w:ascii="仿宋" w:hAnsi="仿宋" w:eastAsia="仿宋"/>
          <w:sz w:val="32"/>
          <w:szCs w:val="32"/>
          <w:lang w:val="en-US" w:eastAsia="zh-CN"/>
        </w:rPr>
        <w:t>3425.83</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3423.78</w:t>
      </w:r>
      <w:r>
        <w:rPr>
          <w:rFonts w:hint="eastAsia" w:ascii="仿宋" w:hAnsi="仿宋" w:eastAsia="仿宋"/>
          <w:sz w:val="32"/>
          <w:szCs w:val="32"/>
        </w:rPr>
        <w:t>万元，占99.9</w:t>
      </w:r>
      <w:r>
        <w:rPr>
          <w:rFonts w:hint="eastAsia" w:ascii="仿宋" w:hAnsi="仿宋" w:eastAsia="仿宋"/>
          <w:sz w:val="32"/>
          <w:szCs w:val="32"/>
          <w:lang w:val="en-US" w:eastAsia="zh-CN"/>
        </w:rPr>
        <w:t>4</w:t>
      </w:r>
      <w:r>
        <w:rPr>
          <w:rFonts w:ascii="仿宋" w:hAnsi="仿宋" w:eastAsia="仿宋"/>
          <w:sz w:val="32"/>
          <w:szCs w:val="32"/>
        </w:rPr>
        <w:t>%</w:t>
      </w:r>
      <w:r>
        <w:rPr>
          <w:rFonts w:hint="eastAsia" w:ascii="仿宋" w:hAnsi="仿宋" w:eastAsia="仿宋"/>
          <w:sz w:val="32"/>
          <w:szCs w:val="32"/>
        </w:rPr>
        <w:t>；其他收入</w:t>
      </w:r>
      <w:r>
        <w:rPr>
          <w:rFonts w:hint="eastAsia" w:ascii="仿宋" w:hAnsi="仿宋" w:eastAsia="仿宋"/>
          <w:sz w:val="32"/>
          <w:szCs w:val="32"/>
          <w:lang w:val="en-US" w:eastAsia="zh-CN"/>
        </w:rPr>
        <w:t>2.05</w:t>
      </w:r>
      <w:r>
        <w:rPr>
          <w:rFonts w:hint="eastAsia" w:ascii="仿宋" w:hAnsi="仿宋" w:eastAsia="仿宋"/>
          <w:sz w:val="32"/>
          <w:szCs w:val="32"/>
        </w:rPr>
        <w:t>万元，占0.0</w:t>
      </w:r>
      <w:r>
        <w:rPr>
          <w:rFonts w:hint="eastAsia" w:ascii="仿宋" w:hAnsi="仿宋" w:eastAsia="仿宋"/>
          <w:sz w:val="32"/>
          <w:szCs w:val="32"/>
          <w:lang w:val="en-US" w:eastAsia="zh-CN"/>
        </w:rPr>
        <w:t>6</w:t>
      </w:r>
      <w:r>
        <w:rPr>
          <w:rFonts w:ascii="仿宋" w:hAnsi="仿宋" w:eastAsia="仿宋"/>
          <w:sz w:val="32"/>
          <w:szCs w:val="32"/>
        </w:rPr>
        <w:t>%</w:t>
      </w:r>
      <w:r>
        <w:rPr>
          <w:rFonts w:hint="eastAsia" w:ascii="仿宋" w:hAnsi="仿宋" w:eastAsia="仿宋"/>
          <w:sz w:val="32"/>
          <w:szCs w:val="32"/>
        </w:rPr>
        <w:t>。</w:t>
      </w:r>
      <w:bookmarkEnd w:id="34"/>
      <w:bookmarkEnd w:id="35"/>
      <w:bookmarkEnd w:id="36"/>
    </w:p>
    <w:p>
      <w:pPr>
        <w:pStyle w:val="8"/>
        <w:spacing w:before="93"/>
        <w:jc w:val="center"/>
        <w:rPr>
          <w:rFonts w:hint="default"/>
        </w:rPr>
      </w:pPr>
      <w:r>
        <w:rPr>
          <w:rFonts w:hint="default"/>
        </w:rPr>
        <w:drawing>
          <wp:inline distT="0" distB="0" distL="114300" distR="114300">
            <wp:extent cx="4377690" cy="2477770"/>
            <wp:effectExtent l="0" t="0" r="3810" b="177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4377690" cy="2477770"/>
                    </a:xfrm>
                    <a:prstGeom prst="rect">
                      <a:avLst/>
                    </a:prstGeom>
                  </pic:spPr>
                </pic:pic>
              </a:graphicData>
            </a:graphic>
          </wp:inline>
        </w:drawing>
      </w:r>
    </w:p>
    <w:p>
      <w:pPr>
        <w:spacing w:line="600" w:lineRule="exact"/>
        <w:ind w:firstLine="640" w:firstLineChars="200"/>
        <w:rPr>
          <w:rFonts w:hint="eastAsia" w:ascii="仿宋" w:hAnsi="仿宋" w:eastAsia="仿宋"/>
          <w:sz w:val="32"/>
          <w:szCs w:val="32"/>
        </w:rPr>
      </w:pPr>
    </w:p>
    <w:p>
      <w:pPr>
        <w:spacing w:line="600" w:lineRule="exact"/>
        <w:ind w:firstLine="640" w:firstLineChars="200"/>
        <w:jc w:val="center"/>
        <w:rPr>
          <w:rFonts w:ascii="仿宋_GB2312" w:eastAsia="仿宋_GB2312"/>
          <w:sz w:val="32"/>
          <w:szCs w:val="32"/>
        </w:rPr>
      </w:pPr>
      <w:r>
        <w:rPr>
          <w:rFonts w:hint="eastAsia" w:ascii="仿宋" w:hAnsi="仿宋" w:eastAsia="仿宋"/>
          <w:sz w:val="32"/>
          <w:szCs w:val="32"/>
        </w:rPr>
        <w:t>（图2：收入决算结构图）</w:t>
      </w:r>
    </w:p>
    <w:p>
      <w:pPr>
        <w:pStyle w:val="30"/>
        <w:numPr>
          <w:ilvl w:val="0"/>
          <w:numId w:val="3"/>
        </w:numPr>
        <w:spacing w:line="600" w:lineRule="exact"/>
        <w:ind w:firstLineChars="0"/>
        <w:outlineLvl w:val="1"/>
        <w:rPr>
          <w:rStyle w:val="32"/>
          <w:rFonts w:ascii="黑体" w:hAnsi="黑体" w:eastAsia="黑体"/>
          <w:b w:val="0"/>
        </w:rPr>
      </w:pPr>
      <w:bookmarkStart w:id="37" w:name="_Toc5644"/>
      <w:bookmarkStart w:id="38" w:name="_Toc15396605"/>
      <w:bookmarkStart w:id="39" w:name="_Toc15377207"/>
      <w:r>
        <w:rPr>
          <w:rFonts w:hint="eastAsia" w:ascii="黑体" w:hAnsi="黑体" w:eastAsia="黑体"/>
          <w:sz w:val="32"/>
          <w:szCs w:val="32"/>
        </w:rPr>
        <w:t>支</w:t>
      </w:r>
      <w:r>
        <w:rPr>
          <w:rStyle w:val="32"/>
          <w:rFonts w:hint="eastAsia" w:ascii="黑体" w:hAnsi="黑体" w:eastAsia="黑体"/>
          <w:b w:val="0"/>
        </w:rPr>
        <w:t>出决算情况说明</w:t>
      </w:r>
      <w:bookmarkEnd w:id="37"/>
      <w:bookmarkEnd w:id="38"/>
      <w:bookmarkEnd w:id="39"/>
    </w:p>
    <w:p>
      <w:pPr>
        <w:spacing w:line="600" w:lineRule="exact"/>
        <w:ind w:firstLine="640" w:firstLineChars="200"/>
        <w:outlineLvl w:val="1"/>
        <w:rPr>
          <w:rFonts w:hint="eastAsia" w:ascii="仿宋" w:hAnsi="仿宋" w:eastAsia="仿宋"/>
          <w:sz w:val="32"/>
          <w:szCs w:val="32"/>
        </w:rPr>
      </w:pPr>
      <w:bookmarkStart w:id="40" w:name="_Toc8339"/>
      <w:bookmarkStart w:id="41" w:name="_Toc16091"/>
      <w:bookmarkStart w:id="42" w:name="_Toc14844"/>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年本年支出合计3</w:t>
      </w:r>
      <w:r>
        <w:rPr>
          <w:rFonts w:hint="eastAsia" w:ascii="仿宋" w:hAnsi="仿宋" w:eastAsia="仿宋"/>
          <w:sz w:val="32"/>
          <w:szCs w:val="32"/>
          <w:lang w:val="en-US" w:eastAsia="zh-CN"/>
        </w:rPr>
        <w:t>538.81</w:t>
      </w:r>
      <w:r>
        <w:rPr>
          <w:rFonts w:hint="eastAsia" w:ascii="仿宋" w:hAnsi="仿宋" w:eastAsia="仿宋"/>
          <w:sz w:val="32"/>
          <w:szCs w:val="32"/>
        </w:rPr>
        <w:t>万元，其中：基本支出2</w:t>
      </w:r>
      <w:r>
        <w:rPr>
          <w:rFonts w:hint="eastAsia" w:ascii="仿宋" w:hAnsi="仿宋" w:eastAsia="仿宋"/>
          <w:sz w:val="32"/>
          <w:szCs w:val="32"/>
          <w:lang w:val="en-US" w:eastAsia="zh-CN"/>
        </w:rPr>
        <w:t>861.40</w:t>
      </w:r>
      <w:r>
        <w:rPr>
          <w:rFonts w:hint="eastAsia" w:ascii="仿宋" w:hAnsi="仿宋" w:eastAsia="仿宋"/>
          <w:sz w:val="32"/>
          <w:szCs w:val="32"/>
        </w:rPr>
        <w:t>万元，占8</w:t>
      </w:r>
      <w:r>
        <w:rPr>
          <w:rFonts w:hint="eastAsia" w:ascii="仿宋" w:hAnsi="仿宋" w:eastAsia="仿宋"/>
          <w:sz w:val="32"/>
          <w:szCs w:val="32"/>
          <w:lang w:val="en-US" w:eastAsia="zh-CN"/>
        </w:rPr>
        <w:t>0.86</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677.41</w:t>
      </w:r>
      <w:r>
        <w:rPr>
          <w:rFonts w:hint="eastAsia" w:ascii="仿宋" w:hAnsi="仿宋" w:eastAsia="仿宋"/>
          <w:sz w:val="32"/>
          <w:szCs w:val="32"/>
        </w:rPr>
        <w:t>万元，占1</w:t>
      </w:r>
      <w:r>
        <w:rPr>
          <w:rFonts w:hint="eastAsia" w:ascii="仿宋" w:hAnsi="仿宋" w:eastAsia="仿宋"/>
          <w:sz w:val="32"/>
          <w:szCs w:val="32"/>
          <w:lang w:val="en-US" w:eastAsia="zh-CN"/>
        </w:rPr>
        <w:t>9.14</w:t>
      </w:r>
      <w:r>
        <w:rPr>
          <w:rFonts w:ascii="仿宋" w:hAnsi="仿宋" w:eastAsia="仿宋"/>
          <w:sz w:val="32"/>
          <w:szCs w:val="32"/>
        </w:rPr>
        <w:t>%</w:t>
      </w:r>
      <w:r>
        <w:rPr>
          <w:rFonts w:hint="eastAsia" w:ascii="仿宋" w:hAnsi="仿宋" w:eastAsia="仿宋"/>
          <w:sz w:val="32"/>
          <w:szCs w:val="32"/>
        </w:rPr>
        <w:t>。</w:t>
      </w:r>
      <w:bookmarkEnd w:id="40"/>
      <w:bookmarkEnd w:id="41"/>
      <w:bookmarkEnd w:id="42"/>
    </w:p>
    <w:p>
      <w:pPr>
        <w:spacing w:line="240" w:lineRule="auto"/>
        <w:ind w:firstLine="643" w:firstLineChars="200"/>
        <w:rPr>
          <w:rFonts w:hint="default" w:ascii="仿宋_GB2312" w:hAnsi="仿宋" w:eastAsia="仿宋_GB2312"/>
          <w:b/>
          <w:color w:val="FF0000"/>
          <w:sz w:val="32"/>
          <w:szCs w:val="32"/>
        </w:rPr>
      </w:pPr>
      <w:r>
        <w:rPr>
          <w:rFonts w:hint="default" w:ascii="仿宋_GB2312" w:hAnsi="仿宋" w:eastAsia="仿宋_GB2312"/>
          <w:b/>
          <w:color w:val="FF0000"/>
          <w:sz w:val="32"/>
          <w:szCs w:val="32"/>
        </w:rPr>
        <w:drawing>
          <wp:inline distT="0" distB="0" distL="114300" distR="114300">
            <wp:extent cx="4276725" cy="24860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4276725" cy="2486025"/>
                    </a:xfrm>
                    <a:prstGeom prst="rect">
                      <a:avLst/>
                    </a:prstGeom>
                  </pic:spPr>
                </pic:pic>
              </a:graphicData>
            </a:graphic>
          </wp:inline>
        </w:drawing>
      </w:r>
    </w:p>
    <w:p>
      <w:pPr>
        <w:spacing w:line="600" w:lineRule="exact"/>
        <w:ind w:firstLine="640" w:firstLineChars="200"/>
        <w:jc w:val="center"/>
        <w:outlineLvl w:val="1"/>
        <w:rPr>
          <w:rFonts w:ascii="仿宋_GB2312" w:eastAsia="仿宋_GB2312"/>
          <w:sz w:val="32"/>
          <w:szCs w:val="32"/>
        </w:rPr>
      </w:pPr>
      <w:bookmarkStart w:id="43" w:name="_Toc29138"/>
      <w:bookmarkStart w:id="44" w:name="_Toc172"/>
      <w:bookmarkStart w:id="45" w:name="_Toc32323"/>
      <w:bookmarkStart w:id="46" w:name="_Toc489"/>
      <w:bookmarkStart w:id="47" w:name="_Toc23388"/>
      <w:bookmarkStart w:id="48" w:name="_Toc14437"/>
      <w:bookmarkStart w:id="49" w:name="_Toc9363"/>
      <w:r>
        <w:rPr>
          <w:rFonts w:hint="eastAsia" w:ascii="仿宋_GB2312" w:hAnsi="仿宋" w:eastAsia="仿宋_GB2312"/>
          <w:color w:val="000000"/>
          <w:sz w:val="32"/>
          <w:szCs w:val="32"/>
        </w:rPr>
        <w:t>图3：支出决算结构图</w:t>
      </w:r>
      <w:bookmarkEnd w:id="43"/>
      <w:bookmarkEnd w:id="44"/>
      <w:bookmarkEnd w:id="45"/>
      <w:bookmarkEnd w:id="46"/>
      <w:bookmarkEnd w:id="47"/>
      <w:bookmarkEnd w:id="48"/>
      <w:bookmarkEnd w:id="49"/>
      <w:r>
        <w:rPr>
          <w:rFonts w:hint="eastAsia" w:ascii="仿宋_GB2312" w:hAnsi="黑体" w:eastAsia="仿宋_GB2312"/>
          <w:color w:val="000000"/>
          <w:sz w:val="32"/>
          <w:szCs w:val="32"/>
        </w:rPr>
        <w:tab/>
      </w:r>
    </w:p>
    <w:p>
      <w:pPr>
        <w:spacing w:line="600" w:lineRule="exact"/>
        <w:ind w:firstLine="640" w:firstLineChars="200"/>
        <w:outlineLvl w:val="1"/>
        <w:rPr>
          <w:rStyle w:val="32"/>
          <w:rFonts w:ascii="黑体" w:hAnsi="黑体" w:eastAsia="黑体"/>
          <w:b w:val="0"/>
        </w:rPr>
      </w:pPr>
      <w:bookmarkStart w:id="50" w:name="_Toc15396606"/>
      <w:bookmarkStart w:id="51" w:name="_Toc14833"/>
      <w:bookmarkStart w:id="52" w:name="_Toc15377208"/>
      <w:r>
        <w:rPr>
          <w:rFonts w:hint="eastAsia" w:ascii="黑体" w:hAnsi="黑体" w:eastAsia="黑体"/>
          <w:sz w:val="32"/>
          <w:szCs w:val="32"/>
        </w:rPr>
        <w:t>四、财</w:t>
      </w:r>
      <w:r>
        <w:rPr>
          <w:rStyle w:val="32"/>
          <w:rFonts w:hint="eastAsia" w:ascii="黑体" w:hAnsi="黑体" w:eastAsia="黑体"/>
          <w:b w:val="0"/>
        </w:rPr>
        <w:t>政拨款收入支出决算总体情况说明</w:t>
      </w:r>
      <w:bookmarkEnd w:id="50"/>
      <w:bookmarkEnd w:id="51"/>
      <w:bookmarkEnd w:id="52"/>
    </w:p>
    <w:p>
      <w:pPr>
        <w:spacing w:line="600" w:lineRule="exact"/>
        <w:ind w:firstLine="640"/>
        <w:rPr>
          <w:rFonts w:ascii="仿宋" w:hAnsi="仿宋" w:eastAsia="仿宋"/>
          <w:b/>
          <w:color w:val="auto"/>
          <w:sz w:val="32"/>
          <w:szCs w:val="32"/>
          <w:highlight w:val="none"/>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年财政拨款收、支总计</w:t>
      </w:r>
      <w:r>
        <w:rPr>
          <w:rFonts w:hint="eastAsia" w:ascii="仿宋" w:hAnsi="仿宋" w:eastAsia="仿宋"/>
          <w:sz w:val="32"/>
          <w:szCs w:val="32"/>
          <w:lang w:val="en-US" w:eastAsia="zh-CN"/>
        </w:rPr>
        <w:t>3537.29</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1</w:t>
      </w:r>
      <w:r>
        <w:rPr>
          <w:rFonts w:hint="eastAsia" w:ascii="仿宋" w:hAnsi="仿宋" w:eastAsia="仿宋"/>
          <w:sz w:val="32"/>
          <w:szCs w:val="32"/>
        </w:rPr>
        <w:t>年相比，财政拨款收、支总计各增加</w:t>
      </w:r>
      <w:r>
        <w:rPr>
          <w:rFonts w:hint="eastAsia" w:ascii="仿宋" w:hAnsi="仿宋" w:eastAsia="仿宋"/>
          <w:sz w:val="32"/>
          <w:szCs w:val="32"/>
          <w:lang w:val="en-US" w:eastAsia="zh-CN"/>
        </w:rPr>
        <w:t>426.94</w:t>
      </w:r>
      <w:r>
        <w:rPr>
          <w:rFonts w:hint="eastAsia" w:ascii="仿宋" w:hAnsi="仿宋" w:eastAsia="仿宋"/>
          <w:sz w:val="32"/>
          <w:szCs w:val="32"/>
        </w:rPr>
        <w:t>万元，增长</w:t>
      </w:r>
      <w:r>
        <w:rPr>
          <w:rFonts w:hint="eastAsia" w:ascii="仿宋" w:hAnsi="仿宋" w:eastAsia="仿宋"/>
          <w:sz w:val="32"/>
          <w:szCs w:val="32"/>
          <w:lang w:val="en-US" w:eastAsia="zh-CN"/>
        </w:rPr>
        <w:t>13.73</w:t>
      </w:r>
      <w:r>
        <w:rPr>
          <w:rFonts w:ascii="仿宋" w:hAnsi="仿宋" w:eastAsia="仿宋"/>
          <w:sz w:val="32"/>
          <w:szCs w:val="32"/>
        </w:rPr>
        <w:t>%</w:t>
      </w:r>
      <w:r>
        <w:rPr>
          <w:rFonts w:hint="eastAsia" w:ascii="仿宋" w:hAnsi="仿宋" w:eastAsia="仿宋"/>
          <w:sz w:val="32"/>
          <w:szCs w:val="32"/>
        </w:rPr>
        <w:t>。主要原因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当年人员经费及</w:t>
      </w:r>
      <w:r>
        <w:rPr>
          <w:rFonts w:hint="eastAsia" w:ascii="仿宋_GB2312" w:hAnsi="仿宋" w:eastAsia="仿宋_GB2312"/>
          <w:color w:val="000000"/>
          <w:sz w:val="32"/>
          <w:szCs w:val="32"/>
        </w:rPr>
        <w:t>项目工作经费</w:t>
      </w:r>
      <w:r>
        <w:rPr>
          <w:rFonts w:hint="eastAsia" w:ascii="仿宋_GB2312" w:hAnsi="仿宋" w:eastAsia="仿宋_GB2312"/>
          <w:color w:val="000000"/>
          <w:sz w:val="32"/>
          <w:szCs w:val="32"/>
          <w:lang w:eastAsia="zh-CN"/>
        </w:rPr>
        <w:t>增加。</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pict>
          <v:shape id="Object 9" o:spid="_x0000_s2053" o:spt="75" type="#_x0000_t75" style="position:absolute;left:0pt;margin-left:30.3pt;margin-top:1.1pt;height:206.45pt;width:339.75pt;z-index:251660288;mso-width-relative:page;mso-height-relative:page;" o:ole="t" filled="f" o:preferrelative="t" stroked="f" coordsize="21600,21600">
            <v:path/>
            <v:fill on="f" focussize="0,0"/>
            <v:stroke on="f"/>
            <v:imagedata r:id="rId11" o:title=""/>
            <o:lock v:ext="edit" aspectratio="t"/>
          </v:shape>
          <o:OLEObject Type="Embed" ProgID="Excel.Chart.8" ShapeID="Object 9" DrawAspect="Content" ObjectID="_1468075726" r:id="rId10">
            <o:LockedField>false</o:LockedField>
          </o:OLEObject>
        </w:pict>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pStyle w:val="2"/>
        <w:rPr>
          <w:rFonts w:hint="eastAsia" w:ascii="仿宋" w:hAnsi="仿宋" w:eastAsia="仿宋"/>
          <w:color w:val="000000"/>
          <w:sz w:val="32"/>
          <w:szCs w:val="32"/>
        </w:rPr>
      </w:pPr>
    </w:p>
    <w:p>
      <w:pPr>
        <w:rPr>
          <w:rFonts w:hint="eastAsia"/>
        </w:rPr>
      </w:pPr>
    </w:p>
    <w:p>
      <w:pPr>
        <w:pStyle w:val="22"/>
        <w:rPr>
          <w:rFonts w:hint="eastAsia"/>
        </w:rPr>
      </w:pPr>
    </w:p>
    <w:p>
      <w:pPr>
        <w:spacing w:line="600" w:lineRule="exact"/>
        <w:rPr>
          <w:rFonts w:ascii="仿宋" w:hAnsi="仿宋" w:eastAsia="仿宋"/>
          <w:sz w:val="32"/>
          <w:szCs w:val="32"/>
        </w:rPr>
      </w:pPr>
    </w:p>
    <w:p>
      <w:pPr>
        <w:spacing w:line="600" w:lineRule="exact"/>
        <w:ind w:firstLine="640" w:firstLineChars="200"/>
        <w:jc w:val="center"/>
        <w:rPr>
          <w:rFonts w:hint="eastAsia" w:ascii="仿宋" w:hAnsi="仿宋" w:eastAsia="仿宋"/>
          <w:sz w:val="32"/>
          <w:szCs w:val="32"/>
        </w:rPr>
      </w:pPr>
    </w:p>
    <w:p>
      <w:pPr>
        <w:spacing w:line="600" w:lineRule="exact"/>
        <w:ind w:firstLine="640" w:firstLineChars="200"/>
        <w:jc w:val="center"/>
        <w:rPr>
          <w:rFonts w:hint="eastAsia" w:ascii="仿宋" w:hAnsi="仿宋" w:eastAsia="仿宋"/>
          <w:sz w:val="32"/>
          <w:szCs w:val="32"/>
        </w:rPr>
      </w:pPr>
      <w:r>
        <w:rPr>
          <w:rFonts w:hint="eastAsia" w:ascii="仿宋" w:hAnsi="仿宋" w:eastAsia="仿宋"/>
          <w:sz w:val="32"/>
          <w:szCs w:val="32"/>
        </w:rPr>
        <w:t>（图4：财政拨款收、支决算总计变动情况）</w:t>
      </w:r>
    </w:p>
    <w:p/>
    <w:p>
      <w:pPr>
        <w:spacing w:line="600" w:lineRule="exact"/>
        <w:ind w:firstLine="640" w:firstLineChars="200"/>
        <w:outlineLvl w:val="1"/>
        <w:rPr>
          <w:rStyle w:val="32"/>
          <w:rFonts w:ascii="黑体" w:hAnsi="黑体" w:eastAsia="黑体"/>
          <w:b w:val="0"/>
        </w:rPr>
      </w:pPr>
      <w:bookmarkStart w:id="53" w:name="_Toc15396607"/>
      <w:bookmarkStart w:id="54" w:name="_Toc19623"/>
      <w:bookmarkStart w:id="55" w:name="_Toc15377209"/>
      <w:r>
        <w:rPr>
          <w:rFonts w:hint="eastAsia" w:ascii="黑体" w:hAnsi="黑体" w:eastAsia="黑体"/>
          <w:sz w:val="32"/>
          <w:szCs w:val="32"/>
        </w:rPr>
        <w:t>五、</w:t>
      </w:r>
      <w:r>
        <w:rPr>
          <w:rFonts w:hint="eastAsia" w:ascii="黑体" w:hAnsi="黑体" w:eastAsia="黑体"/>
          <w:b/>
          <w:sz w:val="32"/>
          <w:szCs w:val="32"/>
        </w:rPr>
        <w:t>一</w:t>
      </w:r>
      <w:r>
        <w:rPr>
          <w:rStyle w:val="32"/>
          <w:rFonts w:hint="eastAsia" w:ascii="黑体" w:hAnsi="黑体" w:eastAsia="黑体"/>
          <w:b w:val="0"/>
        </w:rPr>
        <w:t>般公共预算财政拨款支出决算情况说明</w:t>
      </w:r>
      <w:bookmarkEnd w:id="53"/>
      <w:bookmarkEnd w:id="54"/>
      <w:bookmarkEnd w:id="55"/>
    </w:p>
    <w:p>
      <w:pPr>
        <w:spacing w:line="600" w:lineRule="exact"/>
        <w:ind w:firstLine="643" w:firstLineChars="200"/>
        <w:outlineLvl w:val="2"/>
        <w:rPr>
          <w:rFonts w:ascii="仿宋" w:hAnsi="仿宋" w:eastAsia="仿宋"/>
          <w:b/>
          <w:sz w:val="32"/>
          <w:szCs w:val="32"/>
        </w:rPr>
      </w:pPr>
      <w:bookmarkStart w:id="56" w:name="_Toc15377210"/>
      <w:r>
        <w:rPr>
          <w:rFonts w:hint="eastAsia" w:ascii="仿宋" w:hAnsi="仿宋" w:eastAsia="仿宋"/>
          <w:b/>
          <w:sz w:val="32"/>
          <w:szCs w:val="32"/>
        </w:rPr>
        <w:t>（一）一般公共预算财政拨款支出决算总体情况</w:t>
      </w:r>
      <w:bookmarkEnd w:id="56"/>
    </w:p>
    <w:p>
      <w:pPr>
        <w:spacing w:line="600" w:lineRule="exact"/>
        <w:ind w:firstLine="640"/>
        <w:rPr>
          <w:rFonts w:hint="eastAsia" w:ascii="仿宋" w:hAnsi="仿宋" w:eastAsia="仿宋"/>
          <w:color w:val="000000"/>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3537.29</w:t>
      </w:r>
      <w:r>
        <w:rPr>
          <w:rFonts w:hint="eastAsia" w:ascii="仿宋" w:hAnsi="仿宋" w:eastAsia="仿宋"/>
          <w:sz w:val="32"/>
          <w:szCs w:val="32"/>
        </w:rPr>
        <w:t>万元，占本年支出合计的</w:t>
      </w:r>
      <w:r>
        <w:rPr>
          <w:rFonts w:hint="default" w:ascii="仿宋" w:hAnsi="仿宋" w:eastAsia="仿宋"/>
          <w:sz w:val="32"/>
          <w:szCs w:val="32"/>
        </w:rPr>
        <w:t>99.96</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1</w:t>
      </w:r>
      <w:r>
        <w:rPr>
          <w:rFonts w:hint="eastAsia" w:ascii="仿宋" w:hAnsi="仿宋" w:eastAsia="仿宋"/>
          <w:sz w:val="32"/>
          <w:szCs w:val="32"/>
        </w:rPr>
        <w:t>年相比，一般公共预算财政拨款支出增加</w:t>
      </w:r>
      <w:r>
        <w:rPr>
          <w:rFonts w:hint="eastAsia" w:ascii="仿宋" w:hAnsi="仿宋" w:eastAsia="仿宋"/>
          <w:sz w:val="32"/>
          <w:szCs w:val="32"/>
          <w:lang w:val="en-US" w:eastAsia="zh-CN"/>
        </w:rPr>
        <w:t>568.65</w:t>
      </w:r>
      <w:r>
        <w:rPr>
          <w:rFonts w:hint="eastAsia" w:ascii="仿宋" w:hAnsi="仿宋" w:eastAsia="仿宋"/>
          <w:sz w:val="32"/>
          <w:szCs w:val="32"/>
        </w:rPr>
        <w:t>万元，增长</w:t>
      </w:r>
      <w:r>
        <w:rPr>
          <w:rFonts w:hint="eastAsia" w:ascii="仿宋" w:hAnsi="仿宋" w:eastAsia="仿宋"/>
          <w:sz w:val="32"/>
          <w:szCs w:val="32"/>
          <w:lang w:val="en-US" w:eastAsia="zh-CN"/>
        </w:rPr>
        <w:t>19.1</w:t>
      </w:r>
      <w:r>
        <w:rPr>
          <w:rFonts w:hint="default" w:ascii="仿宋" w:hAnsi="仿宋" w:eastAsia="仿宋"/>
          <w:sz w:val="32"/>
          <w:szCs w:val="32"/>
          <w:lang w:eastAsia="zh-CN"/>
        </w:rPr>
        <w:t>6</w:t>
      </w:r>
      <w:r>
        <w:rPr>
          <w:rFonts w:ascii="仿宋" w:hAnsi="仿宋" w:eastAsia="仿宋"/>
          <w:sz w:val="32"/>
          <w:szCs w:val="32"/>
        </w:rPr>
        <w:t>%</w:t>
      </w:r>
      <w:r>
        <w:rPr>
          <w:rFonts w:hint="eastAsia" w:ascii="仿宋" w:hAnsi="仿宋" w:eastAsia="仿宋"/>
          <w:sz w:val="32"/>
          <w:szCs w:val="32"/>
        </w:rPr>
        <w:t>。主要变动原因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当年人员经费及</w:t>
      </w:r>
      <w:r>
        <w:rPr>
          <w:rFonts w:hint="eastAsia" w:ascii="仿宋_GB2312" w:hAnsi="仿宋" w:eastAsia="仿宋_GB2312"/>
          <w:color w:val="000000"/>
          <w:sz w:val="32"/>
          <w:szCs w:val="32"/>
        </w:rPr>
        <w:t>项目工作经费</w:t>
      </w:r>
      <w:r>
        <w:rPr>
          <w:rFonts w:hint="eastAsia" w:ascii="仿宋_GB2312" w:hAnsi="仿宋" w:eastAsia="仿宋_GB2312"/>
          <w:color w:val="000000"/>
          <w:sz w:val="32"/>
          <w:szCs w:val="32"/>
          <w:lang w:eastAsia="zh-CN"/>
        </w:rPr>
        <w:t>增加。</w:t>
      </w:r>
    </w:p>
    <w:p>
      <w:pPr>
        <w:spacing w:line="60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pict>
          <v:shape id="Object 12" o:spid="_x0000_s2054" o:spt="75" type="#_x0000_t75" style="position:absolute;left:0pt;margin-left:79.95pt;margin-top:8.45pt;height:174.55pt;width:287.05pt;z-index:251661312;mso-width-relative:page;mso-height-relative:page;" o:ole="t" filled="f" o:preferrelative="t" stroked="f" coordsize="21600,21600">
            <v:path/>
            <v:fill on="f" focussize="0,0"/>
            <v:stroke on="f"/>
            <v:imagedata r:id="rId13" o:title=""/>
            <o:lock v:ext="edit" aspectratio="t"/>
          </v:shape>
          <o:OLEObject Type="Embed" ProgID="Excel.Chart.8" ShapeID="Object 12" DrawAspect="Content" ObjectID="_1468075727" r:id="rId12">
            <o:LockedField>false</o:LockedField>
          </o:OLEObject>
        </w:pict>
      </w:r>
    </w:p>
    <w:p>
      <w:pPr>
        <w:spacing w:line="600" w:lineRule="exact"/>
        <w:ind w:firstLine="640" w:firstLineChars="200"/>
        <w:rPr>
          <w:rFonts w:hint="eastAsia" w:ascii="仿宋" w:hAnsi="仿宋" w:eastAsia="仿宋"/>
          <w:color w:val="000000"/>
          <w:sz w:val="32"/>
          <w:szCs w:val="32"/>
        </w:rPr>
      </w:pPr>
    </w:p>
    <w:p>
      <w:pPr>
        <w:spacing w:line="600" w:lineRule="exact"/>
        <w:ind w:firstLine="640" w:firstLineChars="200"/>
        <w:rPr>
          <w:rFonts w:hint="eastAsia" w:ascii="仿宋" w:hAnsi="仿宋" w:eastAsia="仿宋"/>
          <w:color w:val="000000"/>
          <w:sz w:val="32"/>
          <w:szCs w:val="32"/>
        </w:rPr>
      </w:pPr>
    </w:p>
    <w:p>
      <w:pPr>
        <w:spacing w:line="600" w:lineRule="exact"/>
        <w:rPr>
          <w:rFonts w:hint="eastAsia" w:ascii="仿宋" w:hAnsi="仿宋" w:eastAsia="仿宋"/>
          <w:color w:val="000000"/>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（图5：一般公共预算财政拨款支出决算变动情况）</w:t>
      </w:r>
    </w:p>
    <w:p>
      <w:pPr>
        <w:rPr>
          <w:rFonts w:hint="eastAsia"/>
        </w:rPr>
      </w:pPr>
    </w:p>
    <w:p>
      <w:pPr>
        <w:pStyle w:val="2"/>
      </w:pPr>
    </w:p>
    <w:p>
      <w:pPr>
        <w:spacing w:line="600" w:lineRule="exact"/>
        <w:ind w:firstLine="643" w:firstLineChars="200"/>
        <w:outlineLvl w:val="2"/>
        <w:rPr>
          <w:rFonts w:ascii="仿宋" w:hAnsi="仿宋" w:eastAsia="仿宋"/>
          <w:b/>
          <w:sz w:val="32"/>
          <w:szCs w:val="32"/>
        </w:rPr>
      </w:pPr>
      <w:bookmarkStart w:id="57" w:name="_Toc15377211"/>
      <w:r>
        <w:rPr>
          <w:rFonts w:hint="eastAsia" w:ascii="仿宋" w:hAnsi="仿宋" w:eastAsia="仿宋"/>
          <w:b/>
          <w:sz w:val="32"/>
          <w:szCs w:val="32"/>
        </w:rPr>
        <w:t>（二）一般公共预算财政拨款支出决算结构情况</w:t>
      </w:r>
      <w:bookmarkEnd w:id="57"/>
    </w:p>
    <w:p>
      <w:pPr>
        <w:spacing w:line="600" w:lineRule="exact"/>
        <w:ind w:firstLine="640"/>
        <w:rPr>
          <w:rFonts w:hint="eastAsia" w:ascii="仿宋" w:hAnsi="仿宋" w:eastAsia="仿宋"/>
          <w:color w:val="auto"/>
          <w:sz w:val="32"/>
          <w:szCs w:val="32"/>
          <w:highlight w:val="none"/>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3537.29</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sz w:val="32"/>
          <w:szCs w:val="32"/>
        </w:rPr>
        <w:t>支出</w:t>
      </w:r>
      <w:r>
        <w:rPr>
          <w:rFonts w:hint="eastAsia" w:ascii="仿宋" w:hAnsi="仿宋" w:eastAsia="仿宋"/>
          <w:sz w:val="32"/>
          <w:szCs w:val="32"/>
          <w:lang w:val="en-US" w:eastAsia="zh-CN"/>
        </w:rPr>
        <w:t>2527.28</w:t>
      </w:r>
      <w:r>
        <w:rPr>
          <w:rFonts w:hint="eastAsia" w:ascii="仿宋" w:hAnsi="仿宋" w:eastAsia="仿宋"/>
          <w:sz w:val="32"/>
          <w:szCs w:val="32"/>
        </w:rPr>
        <w:t>万元，占</w:t>
      </w:r>
      <w:r>
        <w:rPr>
          <w:rFonts w:hint="default" w:ascii="仿宋" w:hAnsi="仿宋" w:eastAsia="仿宋"/>
          <w:sz w:val="32"/>
          <w:szCs w:val="32"/>
        </w:rPr>
        <w:t>71.45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sz w:val="32"/>
          <w:szCs w:val="32"/>
        </w:rPr>
        <w:t>支出</w:t>
      </w:r>
      <w:r>
        <w:rPr>
          <w:rFonts w:hint="eastAsia" w:ascii="仿宋" w:hAnsi="仿宋" w:eastAsia="仿宋"/>
          <w:sz w:val="32"/>
          <w:szCs w:val="32"/>
          <w:lang w:val="en-US" w:eastAsia="zh-CN"/>
        </w:rPr>
        <w:t>0.27</w:t>
      </w:r>
      <w:r>
        <w:rPr>
          <w:rFonts w:hint="eastAsia" w:ascii="仿宋" w:hAnsi="仿宋" w:eastAsia="仿宋"/>
          <w:sz w:val="32"/>
          <w:szCs w:val="32"/>
        </w:rPr>
        <w:t>万元，占0</w:t>
      </w:r>
      <w:r>
        <w:rPr>
          <w:rFonts w:hint="default" w:ascii="仿宋" w:hAnsi="仿宋" w:eastAsia="仿宋"/>
          <w:sz w:val="32"/>
          <w:szCs w:val="32"/>
        </w:rPr>
        <w:t>.01%</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sz w:val="32"/>
          <w:szCs w:val="32"/>
        </w:rPr>
        <w:t>支出</w:t>
      </w:r>
      <w:r>
        <w:rPr>
          <w:rFonts w:hint="eastAsia" w:ascii="仿宋" w:hAnsi="仿宋" w:eastAsia="仿宋"/>
          <w:sz w:val="32"/>
          <w:szCs w:val="32"/>
          <w:lang w:val="en-US" w:eastAsia="zh-CN"/>
        </w:rPr>
        <w:t>585.36</w:t>
      </w:r>
      <w:r>
        <w:rPr>
          <w:rFonts w:hint="eastAsia" w:ascii="仿宋" w:hAnsi="仿宋" w:eastAsia="仿宋"/>
          <w:sz w:val="32"/>
          <w:szCs w:val="32"/>
        </w:rPr>
        <w:t>万元，占</w:t>
      </w:r>
      <w:r>
        <w:rPr>
          <w:rFonts w:hint="default" w:ascii="仿宋" w:hAnsi="仿宋" w:eastAsia="仿宋"/>
          <w:sz w:val="32"/>
          <w:szCs w:val="32"/>
        </w:rPr>
        <w:t>16.55</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74.37</w:t>
      </w:r>
      <w:r>
        <w:rPr>
          <w:rFonts w:hint="eastAsia" w:ascii="仿宋" w:hAnsi="仿宋" w:eastAsia="仿宋"/>
          <w:sz w:val="32"/>
          <w:szCs w:val="32"/>
        </w:rPr>
        <w:t>万元，占2.</w:t>
      </w:r>
      <w:r>
        <w:rPr>
          <w:rFonts w:hint="default" w:ascii="仿宋" w:hAnsi="仿宋" w:eastAsia="仿宋"/>
          <w:sz w:val="32"/>
          <w:szCs w:val="32"/>
        </w:rPr>
        <w:t>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190.35</w:t>
      </w:r>
      <w:r>
        <w:rPr>
          <w:rFonts w:hint="eastAsia" w:ascii="仿宋" w:hAnsi="仿宋" w:eastAsia="仿宋"/>
          <w:sz w:val="32"/>
          <w:szCs w:val="32"/>
        </w:rPr>
        <w:t>万元，占5.</w:t>
      </w:r>
      <w:r>
        <w:rPr>
          <w:rFonts w:hint="default" w:ascii="仿宋" w:hAnsi="仿宋" w:eastAsia="仿宋"/>
          <w:sz w:val="32"/>
          <w:szCs w:val="32"/>
        </w:rPr>
        <w:t>38</w:t>
      </w:r>
      <w:r>
        <w:rPr>
          <w:rFonts w:ascii="仿宋" w:hAnsi="仿宋" w:eastAsia="仿宋"/>
          <w:sz w:val="32"/>
          <w:szCs w:val="32"/>
        </w:rPr>
        <w:t>%</w:t>
      </w:r>
      <w:r>
        <w:rPr>
          <w:rFonts w:hint="eastAsia" w:ascii="仿宋" w:hAnsi="仿宋" w:eastAsia="仿宋"/>
          <w:sz w:val="32"/>
          <w:szCs w:val="32"/>
          <w:lang w:val="en-US" w:eastAsia="zh-CN"/>
        </w:rPr>
        <w:t>;</w:t>
      </w:r>
      <w:r>
        <w:rPr>
          <w:rFonts w:hint="eastAsia" w:ascii="仿宋_GB2312" w:hAnsi="仿宋" w:eastAsia="仿宋_GB2312"/>
          <w:b/>
          <w:bCs/>
          <w:color w:val="000000"/>
          <w:sz w:val="32"/>
          <w:szCs w:val="32"/>
        </w:rPr>
        <w:t>粮油物资储备</w:t>
      </w:r>
      <w:r>
        <w:rPr>
          <w:rFonts w:hint="eastAsia" w:ascii="仿宋_GB2312" w:hAnsi="仿宋" w:eastAsia="仿宋_GB2312"/>
          <w:color w:val="000000"/>
          <w:sz w:val="32"/>
          <w:szCs w:val="32"/>
        </w:rPr>
        <w:t>支出</w:t>
      </w:r>
      <w:r>
        <w:rPr>
          <w:rFonts w:hint="eastAsia" w:ascii="仿宋_GB2312" w:hAnsi="仿宋" w:eastAsia="仿宋_GB2312"/>
          <w:color w:val="000000"/>
          <w:sz w:val="32"/>
          <w:szCs w:val="32"/>
          <w:lang w:val="en-US" w:eastAsia="zh-CN"/>
        </w:rPr>
        <w:t>141万元,</w:t>
      </w:r>
      <w:r>
        <w:rPr>
          <w:rFonts w:hint="eastAsia" w:ascii="仿宋" w:hAnsi="仿宋" w:eastAsia="仿宋"/>
          <w:color w:val="auto"/>
          <w:sz w:val="32"/>
          <w:szCs w:val="32"/>
          <w:highlight w:val="none"/>
        </w:rPr>
        <w:t>占</w:t>
      </w:r>
      <w:r>
        <w:rPr>
          <w:rFonts w:hint="default" w:ascii="仿宋" w:hAnsi="仿宋" w:eastAsia="仿宋"/>
          <w:color w:val="auto"/>
          <w:sz w:val="32"/>
          <w:szCs w:val="32"/>
          <w:highlight w:val="none"/>
        </w:rPr>
        <w:t>3.98</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b/>
          <w:bCs/>
          <w:color w:val="auto"/>
          <w:sz w:val="32"/>
          <w:szCs w:val="32"/>
          <w:highlight w:val="none"/>
          <w:lang w:eastAsia="zh-CN"/>
        </w:rPr>
        <w:t>其他支出</w:t>
      </w:r>
      <w:r>
        <w:rPr>
          <w:rFonts w:hint="eastAsia" w:ascii="仿宋" w:hAnsi="仿宋" w:eastAsia="仿宋"/>
          <w:color w:val="auto"/>
          <w:sz w:val="32"/>
          <w:szCs w:val="32"/>
          <w:highlight w:val="none"/>
          <w:lang w:val="en-US" w:eastAsia="zh-CN"/>
        </w:rPr>
        <w:t>18.66万元，占0.</w:t>
      </w:r>
      <w:r>
        <w:rPr>
          <w:rFonts w:hint="default" w:ascii="仿宋" w:hAnsi="仿宋" w:eastAsia="仿宋"/>
          <w:color w:val="auto"/>
          <w:sz w:val="32"/>
          <w:szCs w:val="32"/>
          <w:highlight w:val="none"/>
          <w:lang w:eastAsia="zh-CN"/>
        </w:rPr>
        <w:t>53</w:t>
      </w:r>
      <w:r>
        <w:rPr>
          <w:rFonts w:hint="eastAsia" w:ascii="仿宋" w:hAnsi="仿宋" w:eastAsia="仿宋"/>
          <w:color w:val="auto"/>
          <w:sz w:val="32"/>
          <w:szCs w:val="32"/>
          <w:highlight w:val="none"/>
          <w:lang w:val="en-US" w:eastAsia="zh-CN"/>
        </w:rPr>
        <w:t>%</w:t>
      </w:r>
      <w:r>
        <w:rPr>
          <w:rFonts w:hint="eastAsia" w:ascii="仿宋" w:hAnsi="仿宋" w:eastAsia="仿宋"/>
          <w:color w:val="auto"/>
          <w:sz w:val="32"/>
          <w:szCs w:val="32"/>
          <w:highlight w:val="none"/>
        </w:rPr>
        <w:t>。</w:t>
      </w:r>
    </w:p>
    <w:p>
      <w:pPr>
        <w:pStyle w:val="2"/>
        <w:rPr>
          <w:rFonts w:hint="eastAsia"/>
          <w:lang w:val="en-US" w:eastAsia="zh-CN"/>
        </w:rPr>
      </w:pPr>
    </w:p>
    <w:p>
      <w:pPr>
        <w:pStyle w:val="8"/>
        <w:spacing w:before="93"/>
        <w:rPr>
          <w:rFonts w:hint="default"/>
        </w:rPr>
      </w:pPr>
      <w:r>
        <w:rPr>
          <w:rFonts w:hint="default"/>
        </w:rPr>
        <w:drawing>
          <wp:inline distT="0" distB="0" distL="114300" distR="114300">
            <wp:extent cx="5143500" cy="30003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5143500" cy="3000375"/>
                    </a:xfrm>
                    <a:prstGeom prst="rect">
                      <a:avLst/>
                    </a:prstGeom>
                  </pic:spPr>
                </pic:pic>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3" w:firstLineChars="200"/>
        <w:outlineLvl w:val="2"/>
        <w:rPr>
          <w:rFonts w:ascii="仿宋" w:hAnsi="仿宋" w:eastAsia="仿宋"/>
          <w:b/>
          <w:sz w:val="32"/>
          <w:szCs w:val="32"/>
        </w:rPr>
      </w:pPr>
      <w:bookmarkStart w:id="58" w:name="_Toc15377212"/>
      <w:r>
        <w:rPr>
          <w:rFonts w:hint="eastAsia" w:ascii="仿宋" w:hAnsi="仿宋" w:eastAsia="仿宋"/>
          <w:b/>
          <w:sz w:val="32"/>
          <w:szCs w:val="32"/>
        </w:rPr>
        <w:t>（三）一般公共预算财政拨款支出决算具体情况</w:t>
      </w:r>
      <w:bookmarkEnd w:id="58"/>
    </w:p>
    <w:p>
      <w:pPr>
        <w:spacing w:line="600" w:lineRule="exact"/>
        <w:ind w:firstLine="643" w:firstLineChars="200"/>
        <w:outlineLvl w:val="2"/>
        <w:rPr>
          <w:rStyle w:val="20"/>
          <w:rFonts w:hint="eastAsia" w:ascii="仿宋" w:hAnsi="仿宋" w:eastAsia="仿宋"/>
          <w:bCs/>
          <w:sz w:val="32"/>
          <w:szCs w:val="32"/>
        </w:rPr>
      </w:pPr>
      <w:bookmarkStart w:id="59" w:name="_Toc15377213"/>
      <w:bookmarkStart w:id="60" w:name="_Toc15378460"/>
      <w:bookmarkStart w:id="61" w:name="_Toc15377444"/>
      <w:r>
        <w:rPr>
          <w:rFonts w:hint="eastAsia" w:ascii="仿宋" w:hAnsi="仿宋" w:eastAsia="仿宋"/>
          <w:b/>
          <w:sz w:val="32"/>
          <w:szCs w:val="32"/>
        </w:rPr>
        <w:t>202</w:t>
      </w:r>
      <w:r>
        <w:rPr>
          <w:rFonts w:hint="eastAsia" w:ascii="仿宋" w:hAnsi="仿宋" w:eastAsia="仿宋"/>
          <w:b/>
          <w:sz w:val="32"/>
          <w:szCs w:val="32"/>
          <w:lang w:val="en-US" w:eastAsia="zh-CN"/>
        </w:rPr>
        <w:t>2</w:t>
      </w:r>
      <w:r>
        <w:rPr>
          <w:rFonts w:hint="eastAsia" w:ascii="仿宋" w:hAnsi="仿宋" w:eastAsia="仿宋"/>
          <w:b/>
          <w:sz w:val="32"/>
          <w:szCs w:val="32"/>
        </w:rPr>
        <w:t>年一般公共预算支出决算数为</w:t>
      </w:r>
      <w:r>
        <w:rPr>
          <w:rFonts w:hint="eastAsia" w:ascii="仿宋" w:hAnsi="仿宋" w:eastAsia="仿宋"/>
          <w:b/>
          <w:sz w:val="32"/>
          <w:szCs w:val="32"/>
          <w:lang w:val="en-US" w:eastAsia="zh-CN"/>
        </w:rPr>
        <w:t>3537.29</w:t>
      </w:r>
      <w:r>
        <w:rPr>
          <w:rFonts w:hint="eastAsia" w:ascii="仿宋" w:hAnsi="仿宋" w:eastAsia="仿宋"/>
          <w:b/>
          <w:sz w:val="32"/>
          <w:szCs w:val="32"/>
        </w:rPr>
        <w:t>万元</w:t>
      </w:r>
      <w:r>
        <w:rPr>
          <w:rFonts w:hint="eastAsia" w:ascii="仿宋" w:hAnsi="仿宋" w:eastAsia="仿宋"/>
          <w:sz w:val="32"/>
          <w:szCs w:val="32"/>
        </w:rPr>
        <w:t>，</w:t>
      </w:r>
      <w:r>
        <w:rPr>
          <w:rStyle w:val="20"/>
          <w:rFonts w:hint="eastAsia" w:ascii="仿宋" w:hAnsi="仿宋" w:eastAsia="仿宋"/>
          <w:bCs/>
          <w:sz w:val="32"/>
          <w:szCs w:val="32"/>
        </w:rPr>
        <w:t>完成预算</w:t>
      </w:r>
      <w:r>
        <w:rPr>
          <w:rStyle w:val="20"/>
          <w:rFonts w:hint="eastAsia" w:ascii="仿宋" w:hAnsi="仿宋" w:eastAsia="仿宋"/>
          <w:bCs/>
          <w:sz w:val="32"/>
          <w:szCs w:val="32"/>
          <w:lang w:val="en-US" w:eastAsia="zh-CN"/>
        </w:rPr>
        <w:t>100</w:t>
      </w:r>
      <w:r>
        <w:rPr>
          <w:rStyle w:val="20"/>
          <w:rFonts w:ascii="仿宋" w:hAnsi="仿宋" w:eastAsia="仿宋"/>
          <w:bCs/>
          <w:sz w:val="32"/>
          <w:szCs w:val="32"/>
        </w:rPr>
        <w:t>%</w:t>
      </w:r>
      <w:r>
        <w:rPr>
          <w:rStyle w:val="20"/>
          <w:rFonts w:hint="eastAsia" w:ascii="仿宋" w:hAnsi="仿宋" w:eastAsia="仿宋"/>
          <w:bCs/>
          <w:sz w:val="32"/>
          <w:szCs w:val="32"/>
        </w:rPr>
        <w:t>。其中：</w:t>
      </w:r>
      <w:bookmarkEnd w:id="59"/>
      <w:bookmarkEnd w:id="60"/>
      <w:bookmarkEnd w:id="61"/>
    </w:p>
    <w:p>
      <w:pPr>
        <w:numPr>
          <w:ilvl w:val="0"/>
          <w:numId w:val="4"/>
        </w:numPr>
        <w:spacing w:line="600" w:lineRule="exact"/>
        <w:ind w:firstLine="643" w:firstLineChars="200"/>
        <w:outlineLvl w:val="2"/>
        <w:rPr>
          <w:rStyle w:val="20"/>
          <w:rFonts w:hint="eastAsia" w:ascii="仿宋" w:hAnsi="仿宋" w:eastAsia="仿宋"/>
          <w:b w:val="0"/>
          <w:bCs/>
          <w:color w:val="000000"/>
          <w:sz w:val="32"/>
          <w:szCs w:val="32"/>
        </w:rPr>
      </w:pPr>
      <w:r>
        <w:rPr>
          <w:rStyle w:val="20"/>
          <w:rFonts w:hint="eastAsia" w:ascii="仿宋_GB2312" w:hAnsi="仿宋" w:eastAsia="仿宋_GB2312"/>
          <w:bCs/>
          <w:sz w:val="32"/>
          <w:szCs w:val="32"/>
        </w:rPr>
        <w:t>一般公共服务（类）发展和改革事务（款）行政运行（项）:</w:t>
      </w:r>
      <w:r>
        <w:rPr>
          <w:rStyle w:val="20"/>
          <w:rFonts w:hint="eastAsia" w:ascii="仿宋" w:hAnsi="仿宋" w:eastAsia="仿宋"/>
          <w:b w:val="0"/>
          <w:bCs/>
          <w:color w:val="000000"/>
          <w:sz w:val="32"/>
          <w:szCs w:val="32"/>
        </w:rPr>
        <w:t>支出决算为</w:t>
      </w:r>
      <w:r>
        <w:rPr>
          <w:rStyle w:val="20"/>
          <w:rFonts w:hint="eastAsia" w:ascii="仿宋" w:hAnsi="仿宋" w:eastAsia="仿宋"/>
          <w:b w:val="0"/>
          <w:bCs/>
          <w:color w:val="000000"/>
          <w:sz w:val="32"/>
          <w:szCs w:val="32"/>
          <w:lang w:val="en-US" w:eastAsia="zh-CN"/>
        </w:rPr>
        <w:t>1825.81</w:t>
      </w:r>
      <w:r>
        <w:rPr>
          <w:rStyle w:val="20"/>
          <w:rFonts w:hint="eastAsia" w:ascii="仿宋" w:hAnsi="仿宋" w:eastAsia="仿宋"/>
          <w:b w:val="0"/>
          <w:bCs/>
          <w:color w:val="000000"/>
          <w:sz w:val="32"/>
          <w:szCs w:val="32"/>
        </w:rPr>
        <w:t>万元，完成预算100</w:t>
      </w:r>
      <w:r>
        <w:rPr>
          <w:rStyle w:val="20"/>
          <w:rFonts w:ascii="仿宋" w:hAnsi="仿宋" w:eastAsia="仿宋"/>
          <w:b w:val="0"/>
          <w:bCs/>
          <w:color w:val="000000"/>
          <w:sz w:val="32"/>
          <w:szCs w:val="32"/>
        </w:rPr>
        <w:t>%</w:t>
      </w:r>
      <w:r>
        <w:rPr>
          <w:rStyle w:val="20"/>
          <w:rFonts w:hint="eastAsia" w:ascii="仿宋" w:hAnsi="仿宋" w:eastAsia="仿宋"/>
          <w:b w:val="0"/>
          <w:bCs/>
          <w:color w:val="000000"/>
          <w:sz w:val="32"/>
          <w:szCs w:val="32"/>
        </w:rPr>
        <w:t>。</w:t>
      </w:r>
    </w:p>
    <w:p>
      <w:pPr>
        <w:numPr>
          <w:ilvl w:val="0"/>
          <w:numId w:val="4"/>
        </w:numPr>
        <w:spacing w:line="600" w:lineRule="exact"/>
        <w:ind w:firstLine="643" w:firstLineChars="200"/>
        <w:outlineLvl w:val="2"/>
        <w:rPr>
          <w:rStyle w:val="20"/>
          <w:rFonts w:hint="eastAsia" w:ascii="仿宋" w:hAnsi="仿宋" w:eastAsia="仿宋"/>
          <w:sz w:val="32"/>
          <w:szCs w:val="32"/>
        </w:rPr>
      </w:pPr>
      <w:r>
        <w:rPr>
          <w:rStyle w:val="20"/>
          <w:rFonts w:hint="eastAsia" w:ascii="仿宋_GB2312" w:hAnsi="仿宋" w:eastAsia="仿宋_GB2312"/>
          <w:bCs/>
          <w:sz w:val="32"/>
          <w:szCs w:val="32"/>
        </w:rPr>
        <w:t>一般公共服务（类）发展和改革事务（款）一般行政管理事务（项）:</w:t>
      </w:r>
      <w:r>
        <w:rPr>
          <w:rStyle w:val="20"/>
          <w:rFonts w:hint="eastAsia" w:ascii="仿宋" w:hAnsi="仿宋" w:eastAsia="仿宋"/>
          <w:b w:val="0"/>
          <w:bCs/>
          <w:color w:val="000000"/>
          <w:sz w:val="32"/>
          <w:szCs w:val="32"/>
        </w:rPr>
        <w:t>支出决算为</w:t>
      </w:r>
      <w:r>
        <w:rPr>
          <w:rStyle w:val="20"/>
          <w:rFonts w:hint="eastAsia" w:ascii="仿宋" w:hAnsi="仿宋" w:eastAsia="仿宋"/>
          <w:b w:val="0"/>
          <w:bCs/>
          <w:color w:val="000000"/>
          <w:sz w:val="32"/>
          <w:szCs w:val="32"/>
          <w:lang w:val="en-US" w:eastAsia="zh-CN"/>
        </w:rPr>
        <w:t>236.46</w:t>
      </w:r>
      <w:r>
        <w:rPr>
          <w:rStyle w:val="20"/>
          <w:rFonts w:hint="eastAsia" w:ascii="仿宋" w:hAnsi="仿宋" w:eastAsia="仿宋"/>
          <w:b w:val="0"/>
          <w:bCs/>
          <w:color w:val="000000"/>
          <w:sz w:val="32"/>
          <w:szCs w:val="32"/>
        </w:rPr>
        <w:t>万元，</w:t>
      </w:r>
      <w:r>
        <w:rPr>
          <w:rStyle w:val="20"/>
          <w:rFonts w:hint="eastAsia" w:ascii="仿宋" w:hAnsi="仿宋" w:eastAsia="仿宋"/>
          <w:b w:val="0"/>
          <w:bCs/>
          <w:color w:val="auto"/>
          <w:sz w:val="32"/>
          <w:szCs w:val="32"/>
        </w:rPr>
        <w:t>完成预算</w:t>
      </w:r>
      <w:r>
        <w:rPr>
          <w:rStyle w:val="20"/>
          <w:rFonts w:hint="eastAsia" w:ascii="仿宋" w:hAnsi="仿宋" w:eastAsia="仿宋"/>
          <w:b w:val="0"/>
          <w:bCs/>
          <w:color w:val="auto"/>
          <w:sz w:val="32"/>
          <w:szCs w:val="32"/>
          <w:lang w:val="en-US" w:eastAsia="zh-CN"/>
        </w:rPr>
        <w:t>100</w:t>
      </w:r>
      <w:r>
        <w:rPr>
          <w:rStyle w:val="20"/>
          <w:rFonts w:ascii="仿宋" w:hAnsi="仿宋" w:eastAsia="仿宋"/>
          <w:b w:val="0"/>
          <w:bCs/>
          <w:color w:val="auto"/>
          <w:sz w:val="32"/>
          <w:szCs w:val="32"/>
        </w:rPr>
        <w:t>%</w:t>
      </w:r>
      <w:r>
        <w:rPr>
          <w:rStyle w:val="20"/>
          <w:rFonts w:hint="eastAsia" w:ascii="仿宋" w:hAnsi="仿宋" w:eastAsia="仿宋"/>
          <w:b w:val="0"/>
          <w:bCs/>
          <w:color w:val="auto"/>
          <w:sz w:val="32"/>
          <w:szCs w:val="32"/>
          <w:lang w:eastAsia="zh-CN"/>
        </w:rPr>
        <w:t>。</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Style w:val="20"/>
          <w:rFonts w:hint="eastAsia" w:ascii="仿宋" w:hAnsi="仿宋" w:eastAsia="仿宋"/>
          <w:bCs/>
          <w:sz w:val="32"/>
          <w:szCs w:val="32"/>
        </w:rPr>
        <w:t>一般公共服务（类）发展和改革事务（款）社会事务发展规划（项）</w:t>
      </w:r>
      <w:r>
        <w:rPr>
          <w:rStyle w:val="20"/>
          <w:rFonts w:ascii="仿宋" w:hAnsi="仿宋" w:eastAsia="仿宋"/>
          <w:bCs/>
          <w:sz w:val="32"/>
          <w:szCs w:val="32"/>
        </w:rPr>
        <w:t>:</w:t>
      </w:r>
      <w:r>
        <w:rPr>
          <w:rStyle w:val="20"/>
          <w:rFonts w:hint="eastAsia" w:ascii="仿宋" w:hAnsi="仿宋" w:eastAsia="仿宋"/>
          <w:b w:val="0"/>
          <w:bCs/>
          <w:sz w:val="32"/>
          <w:szCs w:val="32"/>
        </w:rPr>
        <w:t xml:space="preserve"> 支出决算为</w:t>
      </w:r>
      <w:r>
        <w:rPr>
          <w:rStyle w:val="20"/>
          <w:rFonts w:hint="eastAsia" w:ascii="仿宋" w:hAnsi="仿宋" w:eastAsia="仿宋"/>
          <w:b w:val="0"/>
          <w:bCs/>
          <w:sz w:val="32"/>
          <w:szCs w:val="32"/>
          <w:lang w:val="en-US" w:eastAsia="zh-CN"/>
        </w:rPr>
        <w:t>90</w:t>
      </w:r>
      <w:r>
        <w:rPr>
          <w:rStyle w:val="20"/>
          <w:rFonts w:hint="eastAsia" w:ascii="仿宋" w:hAnsi="仿宋" w:eastAsia="仿宋"/>
          <w:b w:val="0"/>
          <w:bCs/>
          <w:sz w:val="32"/>
          <w:szCs w:val="32"/>
        </w:rPr>
        <w:t>万元，完成预算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Style w:val="20"/>
          <w:rFonts w:hint="eastAsia" w:ascii="仿宋" w:hAnsi="仿宋" w:eastAsia="仿宋"/>
          <w:bCs/>
          <w:sz w:val="32"/>
          <w:szCs w:val="32"/>
        </w:rPr>
        <w:t>一般公共服务（类）发展和改革事务（款）事业运行（项）</w:t>
      </w:r>
      <w:r>
        <w:rPr>
          <w:rStyle w:val="20"/>
          <w:rFonts w:ascii="仿宋" w:hAnsi="仿宋" w:eastAsia="仿宋"/>
          <w:bCs/>
          <w:sz w:val="32"/>
          <w:szCs w:val="32"/>
        </w:rPr>
        <w:t>:</w:t>
      </w:r>
      <w:r>
        <w:rPr>
          <w:rStyle w:val="20"/>
          <w:rFonts w:hint="eastAsia" w:ascii="仿宋" w:hAnsi="仿宋" w:eastAsia="仿宋"/>
          <w:b w:val="0"/>
          <w:bCs/>
          <w:sz w:val="32"/>
          <w:szCs w:val="32"/>
        </w:rPr>
        <w:t xml:space="preserve"> 支出决算为</w:t>
      </w:r>
      <w:r>
        <w:rPr>
          <w:rStyle w:val="20"/>
          <w:rFonts w:hint="eastAsia" w:ascii="仿宋" w:hAnsi="仿宋" w:eastAsia="仿宋"/>
          <w:b w:val="0"/>
          <w:bCs/>
          <w:sz w:val="32"/>
          <w:szCs w:val="32"/>
          <w:lang w:val="en-US" w:eastAsia="zh-CN"/>
        </w:rPr>
        <w:t>185.52</w:t>
      </w:r>
      <w:r>
        <w:rPr>
          <w:rStyle w:val="20"/>
          <w:rFonts w:hint="eastAsia" w:ascii="仿宋" w:hAnsi="仿宋" w:eastAsia="仿宋"/>
          <w:b w:val="0"/>
          <w:bCs/>
          <w:sz w:val="32"/>
          <w:szCs w:val="32"/>
        </w:rPr>
        <w:t>万元，完成预算100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Style w:val="20"/>
          <w:rFonts w:hint="eastAsia" w:ascii="仿宋" w:hAnsi="仿宋" w:eastAsia="仿宋"/>
          <w:bCs/>
          <w:sz w:val="32"/>
          <w:szCs w:val="32"/>
        </w:rPr>
        <w:t>一般公共服务（类）发展和改革事务（款）其他发展与改革事务支出（项）</w:t>
      </w:r>
      <w:r>
        <w:rPr>
          <w:rStyle w:val="20"/>
          <w:rFonts w:ascii="仿宋" w:hAnsi="仿宋" w:eastAsia="仿宋"/>
          <w:bCs/>
          <w:sz w:val="32"/>
          <w:szCs w:val="32"/>
        </w:rPr>
        <w:t>:</w:t>
      </w:r>
      <w:r>
        <w:rPr>
          <w:rStyle w:val="20"/>
          <w:rFonts w:hint="eastAsia" w:ascii="仿宋" w:hAnsi="仿宋" w:eastAsia="仿宋"/>
          <w:b w:val="0"/>
          <w:bCs/>
          <w:sz w:val="32"/>
          <w:szCs w:val="32"/>
        </w:rPr>
        <w:t xml:space="preserve"> 支出决算为</w:t>
      </w:r>
      <w:r>
        <w:rPr>
          <w:rStyle w:val="20"/>
          <w:rFonts w:hint="eastAsia" w:ascii="仿宋" w:hAnsi="仿宋" w:eastAsia="仿宋"/>
          <w:b w:val="0"/>
          <w:bCs/>
          <w:sz w:val="32"/>
          <w:szCs w:val="32"/>
          <w:lang w:val="en-US" w:eastAsia="zh-CN"/>
        </w:rPr>
        <w:t>189.49</w:t>
      </w:r>
      <w:r>
        <w:rPr>
          <w:rStyle w:val="20"/>
          <w:rFonts w:hint="eastAsia" w:ascii="仿宋" w:hAnsi="仿宋" w:eastAsia="仿宋"/>
          <w:b w:val="0"/>
          <w:bCs/>
          <w:sz w:val="32"/>
          <w:szCs w:val="32"/>
        </w:rPr>
        <w:t>万元</w:t>
      </w:r>
      <w:r>
        <w:rPr>
          <w:rStyle w:val="20"/>
          <w:rFonts w:hint="eastAsia" w:ascii="仿宋" w:hAnsi="仿宋" w:eastAsia="仿宋"/>
          <w:b w:val="0"/>
          <w:bCs/>
          <w:color w:val="auto"/>
          <w:sz w:val="32"/>
          <w:szCs w:val="32"/>
        </w:rPr>
        <w:t>，完成预算</w:t>
      </w:r>
      <w:r>
        <w:rPr>
          <w:rStyle w:val="20"/>
          <w:rFonts w:hint="eastAsia" w:ascii="仿宋" w:hAnsi="仿宋" w:eastAsia="仿宋"/>
          <w:b w:val="0"/>
          <w:bCs/>
          <w:color w:val="auto"/>
          <w:sz w:val="32"/>
          <w:szCs w:val="32"/>
          <w:lang w:val="en-US" w:eastAsia="zh-CN"/>
        </w:rPr>
        <w:t>100</w:t>
      </w:r>
      <w:r>
        <w:rPr>
          <w:rStyle w:val="20"/>
          <w:rFonts w:ascii="仿宋" w:hAnsi="仿宋" w:eastAsia="仿宋"/>
          <w:b w:val="0"/>
          <w:bCs/>
          <w:color w:val="auto"/>
          <w:sz w:val="32"/>
          <w:szCs w:val="32"/>
        </w:rPr>
        <w:t>%。</w:t>
      </w:r>
    </w:p>
    <w:p>
      <w:pPr>
        <w:numPr>
          <w:ilvl w:val="0"/>
          <w:numId w:val="4"/>
        </w:numPr>
        <w:spacing w:line="600" w:lineRule="exact"/>
        <w:ind w:firstLine="640" w:firstLineChars="200"/>
        <w:outlineLvl w:val="2"/>
        <w:rPr>
          <w:rStyle w:val="20"/>
          <w:rFonts w:hint="eastAsia" w:ascii="仿宋_GB2312" w:hAnsi="仿宋" w:eastAsia="仿宋_GB2312"/>
          <w:b w:val="0"/>
          <w:sz w:val="32"/>
          <w:szCs w:val="32"/>
        </w:rPr>
      </w:pPr>
      <w:r>
        <w:rPr>
          <w:rStyle w:val="20"/>
          <w:rFonts w:ascii="仿宋" w:hAnsi="仿宋" w:eastAsia="仿宋"/>
          <w:b w:val="0"/>
          <w:bCs/>
          <w:color w:val="auto"/>
          <w:sz w:val="32"/>
          <w:szCs w:val="32"/>
        </w:rPr>
        <w:t>科</w:t>
      </w:r>
      <w:r>
        <w:rPr>
          <w:rStyle w:val="20"/>
          <w:rFonts w:hint="eastAsia" w:ascii="仿宋_GB2312" w:hAnsi="仿宋" w:eastAsia="仿宋_GB2312"/>
          <w:bCs/>
          <w:sz w:val="32"/>
          <w:szCs w:val="32"/>
        </w:rPr>
        <w:t>学技术（类）技术研究与开发（款）科技成果转化与扩散（项）:</w:t>
      </w:r>
      <w:r>
        <w:rPr>
          <w:rStyle w:val="20"/>
          <w:rFonts w:hint="eastAsia" w:ascii="仿宋_GB2312" w:hAnsi="仿宋" w:eastAsia="仿宋_GB2312"/>
          <w:b w:val="0"/>
          <w:bCs/>
          <w:sz w:val="32"/>
          <w:szCs w:val="32"/>
        </w:rPr>
        <w:t>支出决算为</w:t>
      </w:r>
      <w:r>
        <w:rPr>
          <w:rStyle w:val="20"/>
          <w:rFonts w:hint="eastAsia" w:ascii="仿宋_GB2312" w:hAnsi="仿宋" w:eastAsia="仿宋_GB2312"/>
          <w:b w:val="0"/>
          <w:bCs/>
          <w:sz w:val="32"/>
          <w:szCs w:val="32"/>
          <w:lang w:val="en-US" w:eastAsia="zh-CN"/>
        </w:rPr>
        <w:t>0.27</w:t>
      </w:r>
      <w:r>
        <w:rPr>
          <w:rStyle w:val="20"/>
          <w:rFonts w:hint="eastAsia" w:ascii="仿宋_GB2312" w:hAnsi="仿宋" w:eastAsia="仿宋_GB2312"/>
          <w:b w:val="0"/>
          <w:bCs/>
          <w:sz w:val="32"/>
          <w:szCs w:val="32"/>
        </w:rPr>
        <w:t>万元，完成预算100%。</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Style w:val="20"/>
          <w:rFonts w:hint="eastAsia" w:ascii="仿宋" w:hAnsi="仿宋" w:eastAsia="仿宋"/>
          <w:bCs/>
          <w:sz w:val="32"/>
          <w:szCs w:val="32"/>
        </w:rPr>
        <w:t>社会保障和就业支出（类）行政事业单位养老支出（款）行政单位离退休（项）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291.85</w:t>
      </w:r>
      <w:r>
        <w:rPr>
          <w:rStyle w:val="20"/>
          <w:rFonts w:hint="eastAsia" w:ascii="仿宋" w:hAnsi="仿宋" w:eastAsia="仿宋"/>
          <w:b w:val="0"/>
          <w:bCs/>
          <w:sz w:val="32"/>
          <w:szCs w:val="32"/>
        </w:rPr>
        <w:t>万元，完成预算100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Style w:val="20"/>
          <w:rFonts w:hint="eastAsia" w:ascii="仿宋" w:hAnsi="仿宋" w:eastAsia="仿宋"/>
          <w:bCs/>
          <w:sz w:val="32"/>
          <w:szCs w:val="32"/>
        </w:rPr>
        <w:t>社会保障和就业支出（类）行政事业单位养老支出（款）机关事业单位基本养老保险缴费支出（项）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198.17</w:t>
      </w:r>
      <w:r>
        <w:rPr>
          <w:rStyle w:val="20"/>
          <w:rFonts w:hint="eastAsia" w:ascii="仿宋" w:hAnsi="仿宋" w:eastAsia="仿宋"/>
          <w:b w:val="0"/>
          <w:bCs/>
          <w:sz w:val="32"/>
          <w:szCs w:val="32"/>
        </w:rPr>
        <w:t>万元，完成预算100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Style w:val="20"/>
          <w:rFonts w:hint="eastAsia" w:ascii="仿宋" w:hAnsi="仿宋" w:eastAsia="仿宋"/>
          <w:bCs/>
          <w:sz w:val="32"/>
          <w:szCs w:val="32"/>
        </w:rPr>
        <w:t>社会保障和就业支出（类）行政事业单位养老支出（款）机关事业单位职业年金缴费支出（项）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40.99</w:t>
      </w:r>
      <w:r>
        <w:rPr>
          <w:rStyle w:val="20"/>
          <w:rFonts w:hint="eastAsia" w:ascii="仿宋" w:hAnsi="仿宋" w:eastAsia="仿宋"/>
          <w:b w:val="0"/>
          <w:bCs/>
          <w:sz w:val="32"/>
          <w:szCs w:val="32"/>
        </w:rPr>
        <w:t>万元，完成预算100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Style w:val="20"/>
          <w:rFonts w:hint="eastAsia" w:ascii="仿宋" w:hAnsi="仿宋" w:eastAsia="仿宋"/>
          <w:bCs/>
          <w:sz w:val="32"/>
          <w:szCs w:val="32"/>
        </w:rPr>
        <w:t>社会保障和就业支出（类）抚恤（款）死亡抚恤（项）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48.96</w:t>
      </w:r>
      <w:r>
        <w:rPr>
          <w:rStyle w:val="20"/>
          <w:rFonts w:hint="eastAsia" w:ascii="仿宋" w:hAnsi="仿宋" w:eastAsia="仿宋"/>
          <w:b w:val="0"/>
          <w:bCs/>
          <w:sz w:val="32"/>
          <w:szCs w:val="32"/>
        </w:rPr>
        <w:t>万元，完成预算100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Style w:val="20"/>
          <w:rFonts w:hint="eastAsia" w:ascii="仿宋" w:hAnsi="仿宋" w:eastAsia="仿宋"/>
          <w:bCs/>
          <w:sz w:val="32"/>
          <w:szCs w:val="32"/>
        </w:rPr>
        <w:t>社会保障和就业支出（类）其他社会保障和就业支出（款）其他社会保障和就业支出（项）</w:t>
      </w:r>
      <w:r>
        <w:rPr>
          <w:rStyle w:val="20"/>
          <w:rFonts w:ascii="仿宋" w:hAnsi="仿宋" w:eastAsia="仿宋"/>
          <w:bCs/>
          <w:sz w:val="32"/>
          <w:szCs w:val="32"/>
        </w:rPr>
        <w:t>:</w:t>
      </w:r>
      <w:r>
        <w:rPr>
          <w:rStyle w:val="20"/>
          <w:rFonts w:ascii="仿宋" w:hAnsi="仿宋" w:eastAsia="仿宋"/>
          <w:b w:val="0"/>
          <w:bCs/>
          <w:sz w:val="32"/>
          <w:szCs w:val="32"/>
        </w:rPr>
        <w:t xml:space="preserve"> </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5.39</w:t>
      </w:r>
      <w:r>
        <w:rPr>
          <w:rStyle w:val="20"/>
          <w:rFonts w:hint="eastAsia" w:ascii="仿宋" w:hAnsi="仿宋" w:eastAsia="仿宋"/>
          <w:b w:val="0"/>
          <w:bCs/>
          <w:sz w:val="32"/>
          <w:szCs w:val="32"/>
        </w:rPr>
        <w:t>万元，完成预算100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Fonts w:hint="eastAsia" w:ascii="仿宋" w:hAnsi="仿宋" w:eastAsia="仿宋"/>
          <w:b/>
          <w:bCs/>
          <w:sz w:val="32"/>
          <w:szCs w:val="32"/>
        </w:rPr>
        <w:t>卫生健康支出</w:t>
      </w:r>
      <w:r>
        <w:rPr>
          <w:rStyle w:val="20"/>
          <w:rFonts w:hint="eastAsia" w:ascii="仿宋" w:hAnsi="仿宋" w:eastAsia="仿宋"/>
          <w:bCs/>
          <w:sz w:val="32"/>
          <w:szCs w:val="32"/>
        </w:rPr>
        <w:t>（类）行政单位医疗（款）行政单位医疗（项）</w:t>
      </w:r>
      <w:r>
        <w:rPr>
          <w:rStyle w:val="20"/>
          <w:rFonts w:ascii="仿宋" w:hAnsi="仿宋" w:eastAsia="仿宋"/>
          <w:bCs/>
          <w:sz w:val="32"/>
          <w:szCs w:val="32"/>
        </w:rPr>
        <w:t>:</w:t>
      </w:r>
      <w:r>
        <w:rPr>
          <w:rStyle w:val="20"/>
          <w:rFonts w:hint="eastAsia" w:ascii="仿宋" w:hAnsi="仿宋" w:eastAsia="仿宋"/>
          <w:b w:val="0"/>
          <w:bCs/>
          <w:sz w:val="32"/>
          <w:szCs w:val="32"/>
        </w:rPr>
        <w:t>支出决算为</w:t>
      </w:r>
      <w:r>
        <w:rPr>
          <w:rStyle w:val="20"/>
          <w:rFonts w:hint="eastAsia" w:ascii="仿宋" w:hAnsi="仿宋" w:eastAsia="仿宋"/>
          <w:b w:val="0"/>
          <w:bCs/>
          <w:sz w:val="32"/>
          <w:szCs w:val="32"/>
          <w:lang w:val="en-US" w:eastAsia="zh-CN"/>
        </w:rPr>
        <w:t>74.37</w:t>
      </w:r>
      <w:r>
        <w:rPr>
          <w:rStyle w:val="20"/>
          <w:rFonts w:hint="eastAsia" w:ascii="仿宋" w:hAnsi="仿宋" w:eastAsia="仿宋"/>
          <w:b w:val="0"/>
          <w:bCs/>
          <w:sz w:val="32"/>
          <w:szCs w:val="32"/>
        </w:rPr>
        <w:t>万元，完成预算100</w:t>
      </w:r>
      <w:r>
        <w:rPr>
          <w:rStyle w:val="20"/>
          <w:rFonts w:ascii="仿宋" w:hAnsi="仿宋" w:eastAsia="仿宋"/>
          <w:b w:val="0"/>
          <w:bCs/>
          <w:sz w:val="32"/>
          <w:szCs w:val="32"/>
        </w:rPr>
        <w:t>%</w:t>
      </w:r>
      <w:r>
        <w:rPr>
          <w:rStyle w:val="20"/>
          <w:rFonts w:hint="eastAsia" w:ascii="仿宋" w:hAnsi="仿宋" w:eastAsia="仿宋"/>
          <w:b w:val="0"/>
          <w:bCs/>
          <w:sz w:val="32"/>
          <w:szCs w:val="32"/>
        </w:rPr>
        <w:t>。</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Fonts w:hint="eastAsia" w:ascii="仿宋" w:hAnsi="仿宋" w:eastAsia="仿宋"/>
          <w:b/>
          <w:bCs/>
          <w:sz w:val="32"/>
          <w:szCs w:val="32"/>
        </w:rPr>
        <w:t>住房保障支出（类）住房改革支出（款）住房公积金（项）：</w:t>
      </w:r>
      <w:r>
        <w:rPr>
          <w:rFonts w:hint="eastAsia" w:ascii="仿宋" w:hAnsi="仿宋" w:eastAsia="仿宋"/>
          <w:sz w:val="32"/>
          <w:szCs w:val="32"/>
        </w:rPr>
        <w:t>支出决算数为</w:t>
      </w:r>
      <w:r>
        <w:rPr>
          <w:rFonts w:hint="eastAsia" w:ascii="仿宋" w:hAnsi="仿宋" w:eastAsia="仿宋"/>
          <w:sz w:val="32"/>
          <w:szCs w:val="32"/>
          <w:lang w:val="en-US" w:eastAsia="zh-CN"/>
        </w:rPr>
        <w:t>182.85</w:t>
      </w:r>
      <w:r>
        <w:rPr>
          <w:rFonts w:hint="eastAsia" w:ascii="仿宋" w:hAnsi="仿宋" w:eastAsia="仿宋"/>
          <w:sz w:val="32"/>
          <w:szCs w:val="32"/>
        </w:rPr>
        <w:t>万元，完成预算100%。</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Fonts w:hint="eastAsia" w:ascii="仿宋" w:hAnsi="仿宋" w:eastAsia="仿宋"/>
          <w:b/>
          <w:bCs/>
          <w:sz w:val="32"/>
          <w:szCs w:val="32"/>
        </w:rPr>
        <w:t>住房保障支出（类）住房改革支出（款）购房补贴（项）：</w:t>
      </w:r>
      <w:r>
        <w:rPr>
          <w:rFonts w:hint="eastAsia" w:ascii="仿宋" w:hAnsi="仿宋" w:eastAsia="仿宋"/>
          <w:sz w:val="32"/>
          <w:szCs w:val="32"/>
        </w:rPr>
        <w:t>支出决算数为</w:t>
      </w:r>
      <w:r>
        <w:rPr>
          <w:rFonts w:hint="eastAsia" w:ascii="仿宋" w:hAnsi="仿宋" w:eastAsia="仿宋"/>
          <w:sz w:val="32"/>
          <w:szCs w:val="32"/>
          <w:lang w:val="en-US" w:eastAsia="zh-CN"/>
        </w:rPr>
        <w:t>7.5</w:t>
      </w:r>
      <w:r>
        <w:rPr>
          <w:rFonts w:hint="eastAsia" w:ascii="仿宋" w:hAnsi="仿宋" w:eastAsia="仿宋"/>
          <w:sz w:val="32"/>
          <w:szCs w:val="32"/>
        </w:rPr>
        <w:t>万元，完成预算100%。</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Fonts w:hint="eastAsia" w:ascii="仿宋_GB2312" w:hAnsi="仿宋" w:eastAsia="仿宋_GB2312"/>
          <w:b/>
          <w:bCs/>
          <w:sz w:val="32"/>
          <w:szCs w:val="32"/>
        </w:rPr>
        <w:t>粮油</w:t>
      </w:r>
      <w:r>
        <w:rPr>
          <w:rFonts w:hint="eastAsia" w:ascii="仿宋_GB2312" w:hAnsi="仿宋" w:eastAsia="仿宋_GB2312"/>
          <w:b/>
          <w:bCs/>
          <w:sz w:val="32"/>
          <w:szCs w:val="32"/>
          <w:lang w:eastAsia="zh-CN"/>
        </w:rPr>
        <w:t>物资</w:t>
      </w:r>
      <w:r>
        <w:rPr>
          <w:rFonts w:hint="eastAsia" w:ascii="仿宋_GB2312" w:hAnsi="仿宋" w:eastAsia="仿宋_GB2312"/>
          <w:b/>
          <w:bCs/>
          <w:sz w:val="32"/>
          <w:szCs w:val="32"/>
        </w:rPr>
        <w:t>储备</w:t>
      </w:r>
      <w:r>
        <w:rPr>
          <w:rFonts w:hint="eastAsia" w:ascii="仿宋_GB2312" w:hAnsi="仿宋" w:eastAsia="仿宋_GB2312"/>
          <w:b/>
          <w:bCs/>
          <w:sz w:val="32"/>
          <w:szCs w:val="32"/>
          <w:lang w:eastAsia="zh-CN"/>
        </w:rPr>
        <w:t>支出</w:t>
      </w:r>
      <w:r>
        <w:rPr>
          <w:rFonts w:hint="eastAsia" w:ascii="仿宋_GB2312" w:hAnsi="仿宋" w:eastAsia="仿宋_GB2312"/>
          <w:b/>
          <w:bCs/>
          <w:sz w:val="32"/>
          <w:szCs w:val="32"/>
        </w:rPr>
        <w:t>（类）</w:t>
      </w:r>
      <w:r>
        <w:rPr>
          <w:rFonts w:hint="eastAsia" w:ascii="仿宋_GB2312" w:hAnsi="仿宋" w:eastAsia="仿宋_GB2312"/>
          <w:b/>
          <w:bCs/>
          <w:sz w:val="32"/>
          <w:szCs w:val="32"/>
          <w:lang w:eastAsia="zh-CN"/>
        </w:rPr>
        <w:t>粮油储备</w:t>
      </w:r>
      <w:r>
        <w:rPr>
          <w:rFonts w:hint="eastAsia" w:ascii="仿宋_GB2312" w:hAnsi="仿宋" w:eastAsia="仿宋_GB2312"/>
          <w:b/>
          <w:bCs/>
          <w:sz w:val="32"/>
          <w:szCs w:val="32"/>
        </w:rPr>
        <w:t>（款）</w:t>
      </w:r>
      <w:r>
        <w:rPr>
          <w:rFonts w:hint="eastAsia" w:ascii="仿宋_GB2312" w:hAnsi="仿宋" w:eastAsia="仿宋_GB2312"/>
          <w:b/>
          <w:bCs/>
          <w:sz w:val="32"/>
          <w:szCs w:val="32"/>
          <w:lang w:eastAsia="zh-CN"/>
        </w:rPr>
        <w:t>储备粮油（库）建设（项）：</w:t>
      </w:r>
      <w:r>
        <w:rPr>
          <w:rStyle w:val="20"/>
          <w:rFonts w:hint="eastAsia" w:ascii="仿宋_GB2312" w:hAnsi="仿宋" w:eastAsia="仿宋_GB2312" w:cs="Times New Roman"/>
          <w:b w:val="0"/>
          <w:bCs/>
          <w:kern w:val="2"/>
          <w:sz w:val="32"/>
          <w:szCs w:val="32"/>
          <w:lang w:val="en-US" w:eastAsia="zh-CN" w:bidi="ar-SA"/>
        </w:rPr>
        <w:t>支出决算书141万元，完成预算100%。</w:t>
      </w:r>
    </w:p>
    <w:p>
      <w:pPr>
        <w:numPr>
          <w:ilvl w:val="0"/>
          <w:numId w:val="4"/>
        </w:numPr>
        <w:spacing w:line="600" w:lineRule="exact"/>
        <w:ind w:firstLine="643" w:firstLineChars="200"/>
        <w:outlineLvl w:val="2"/>
        <w:rPr>
          <w:rStyle w:val="20"/>
          <w:rFonts w:hint="eastAsia" w:ascii="仿宋_GB2312" w:hAnsi="仿宋" w:eastAsia="仿宋_GB2312"/>
          <w:b w:val="0"/>
          <w:sz w:val="32"/>
          <w:szCs w:val="32"/>
        </w:rPr>
      </w:pPr>
      <w:r>
        <w:rPr>
          <w:rStyle w:val="20"/>
          <w:rFonts w:hint="eastAsia" w:ascii="仿宋" w:hAnsi="仿宋" w:eastAsia="仿宋"/>
          <w:b/>
          <w:bCs w:val="0"/>
          <w:sz w:val="32"/>
          <w:szCs w:val="32"/>
          <w:lang w:eastAsia="zh-CN"/>
        </w:rPr>
        <w:t>其他支出（类）其他支出（款）其他支出（项）：</w:t>
      </w:r>
      <w:r>
        <w:rPr>
          <w:rStyle w:val="20"/>
          <w:rFonts w:hint="eastAsia" w:ascii="仿宋" w:hAnsi="仿宋" w:eastAsia="仿宋"/>
          <w:b w:val="0"/>
          <w:bCs/>
          <w:sz w:val="32"/>
          <w:szCs w:val="32"/>
          <w:lang w:eastAsia="zh-CN"/>
        </w:rPr>
        <w:t>支出决算数</w:t>
      </w:r>
      <w:r>
        <w:rPr>
          <w:rStyle w:val="20"/>
          <w:rFonts w:hint="eastAsia" w:ascii="仿宋" w:hAnsi="仿宋" w:eastAsia="仿宋"/>
          <w:b w:val="0"/>
          <w:bCs/>
          <w:sz w:val="32"/>
          <w:szCs w:val="32"/>
          <w:lang w:val="en-US" w:eastAsia="zh-CN"/>
        </w:rPr>
        <w:t>18.66万元，完成预算100%。</w:t>
      </w:r>
    </w:p>
    <w:p>
      <w:pPr>
        <w:tabs>
          <w:tab w:val="right" w:pos="8306"/>
        </w:tabs>
        <w:spacing w:line="600" w:lineRule="exact"/>
        <w:ind w:firstLine="640"/>
        <w:outlineLvl w:val="1"/>
        <w:rPr>
          <w:rStyle w:val="32"/>
        </w:rPr>
      </w:pPr>
      <w:bookmarkStart w:id="62" w:name="_Toc15396608"/>
      <w:bookmarkStart w:id="63" w:name="_Toc25962"/>
      <w:bookmarkStart w:id="64"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2"/>
          <w:rFonts w:hint="eastAsia" w:ascii="黑体" w:hAnsi="黑体" w:eastAsia="黑体"/>
          <w:b w:val="0"/>
        </w:rPr>
        <w:t>般公共预算财政拨款基本支出决算情况说明</w:t>
      </w:r>
      <w:bookmarkEnd w:id="62"/>
      <w:bookmarkEnd w:id="63"/>
      <w:bookmarkEnd w:id="64"/>
      <w:r>
        <w:rPr>
          <w:rStyle w:val="32"/>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年一般公共预算财政拨款基本支出</w:t>
      </w:r>
      <w:r>
        <w:rPr>
          <w:rFonts w:hint="eastAsia" w:ascii="仿宋" w:hAnsi="仿宋" w:eastAsia="仿宋"/>
          <w:sz w:val="32"/>
          <w:szCs w:val="32"/>
          <w:lang w:val="en-US" w:eastAsia="zh-CN"/>
        </w:rPr>
        <w:t>2861.4</w:t>
      </w:r>
      <w:r>
        <w:rPr>
          <w:rFonts w:hint="eastAsia" w:ascii="仿宋" w:hAnsi="仿宋" w:eastAsia="仿宋"/>
          <w:sz w:val="32"/>
          <w:szCs w:val="32"/>
        </w:rPr>
        <w:t>万元，其中：</w:t>
      </w:r>
    </w:p>
    <w:p>
      <w:pPr>
        <w:spacing w:line="600" w:lineRule="exact"/>
        <w:ind w:firstLine="645"/>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2525.48</w:t>
      </w:r>
      <w:r>
        <w:rPr>
          <w:rFonts w:hint="eastAsia" w:ascii="仿宋" w:hAnsi="仿宋" w:eastAsia="仿宋"/>
          <w:sz w:val="32"/>
          <w:szCs w:val="32"/>
        </w:rPr>
        <w:t>万元，主要包括：基本工资、津贴补贴、奖金、伙食补助费、绩效工资、机关事业单位基本养老保险缴费、职业年金缴费、</w:t>
      </w:r>
      <w:r>
        <w:rPr>
          <w:rFonts w:hint="eastAsia" w:ascii="仿宋" w:hAnsi="仿宋" w:eastAsia="仿宋"/>
          <w:sz w:val="32"/>
          <w:szCs w:val="32"/>
          <w:lang w:eastAsia="zh-CN"/>
        </w:rPr>
        <w:t>职工基本医疗保险缴费、</w:t>
      </w:r>
      <w:r>
        <w:rPr>
          <w:rFonts w:hint="eastAsia" w:ascii="仿宋" w:hAnsi="仿宋" w:eastAsia="仿宋"/>
          <w:sz w:val="32"/>
          <w:szCs w:val="32"/>
        </w:rPr>
        <w:t>其他社会保障缴费</w:t>
      </w:r>
      <w:r>
        <w:rPr>
          <w:rFonts w:hint="eastAsia" w:ascii="仿宋" w:hAnsi="仿宋" w:eastAsia="仿宋"/>
          <w:sz w:val="32"/>
          <w:szCs w:val="32"/>
          <w:lang w:eastAsia="zh-CN"/>
        </w:rPr>
        <w:t>、</w:t>
      </w:r>
      <w:r>
        <w:rPr>
          <w:rFonts w:hint="eastAsia" w:ascii="仿宋" w:hAnsi="仿宋" w:eastAsia="仿宋"/>
          <w:sz w:val="32"/>
          <w:szCs w:val="32"/>
        </w:rPr>
        <w:t>住房公积金、其他工资福利支出</w:t>
      </w:r>
      <w:r>
        <w:rPr>
          <w:rFonts w:hint="eastAsia" w:ascii="仿宋" w:hAnsi="仿宋" w:eastAsia="仿宋"/>
          <w:color w:val="auto"/>
          <w:sz w:val="32"/>
          <w:szCs w:val="32"/>
          <w:highlight w:val="none"/>
          <w:lang w:val="en-US" w:eastAsia="zh-CN"/>
        </w:rPr>
        <w:t>、离休费、抚恤金、生活补助、奖励金、其他对个人和家庭的补助</w:t>
      </w:r>
      <w:r>
        <w:rPr>
          <w:rFonts w:hint="eastAsia" w:ascii="仿宋" w:hAnsi="仿宋" w:eastAsia="仿宋"/>
          <w:sz w:val="32"/>
          <w:szCs w:val="32"/>
        </w:rPr>
        <w:t>。</w:t>
      </w:r>
    </w:p>
    <w:p>
      <w:pPr>
        <w:spacing w:line="600" w:lineRule="exact"/>
        <w:ind w:firstLine="645"/>
        <w:rPr>
          <w:rFonts w:ascii="仿宋" w:hAnsi="仿宋" w:eastAsia="仿宋"/>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335.92</w:t>
      </w:r>
      <w:r>
        <w:rPr>
          <w:rFonts w:hint="eastAsia" w:ascii="仿宋" w:hAnsi="仿宋" w:eastAsia="仿宋"/>
          <w:sz w:val="32"/>
          <w:szCs w:val="32"/>
        </w:rPr>
        <w:t>万元，主要包括：办公费、印刷费、咨询费、水费、电费、邮电费、物业管理费、差旅费、维修（护）费、</w:t>
      </w:r>
      <w:r>
        <w:rPr>
          <w:rFonts w:hint="eastAsia" w:ascii="仿宋" w:hAnsi="仿宋" w:eastAsia="仿宋"/>
          <w:sz w:val="32"/>
          <w:szCs w:val="32"/>
          <w:lang w:eastAsia="zh-CN"/>
        </w:rPr>
        <w:t>会议费、</w:t>
      </w:r>
      <w:r>
        <w:rPr>
          <w:rFonts w:hint="eastAsia" w:ascii="仿宋" w:hAnsi="仿宋" w:eastAsia="仿宋"/>
          <w:sz w:val="32"/>
          <w:szCs w:val="32"/>
        </w:rPr>
        <w:t>培训费、公务接待费、劳务费</w:t>
      </w:r>
      <w:r>
        <w:rPr>
          <w:rFonts w:hint="eastAsia" w:ascii="仿宋" w:hAnsi="仿宋" w:eastAsia="仿宋"/>
          <w:sz w:val="32"/>
          <w:szCs w:val="32"/>
          <w:lang w:eastAsia="zh-CN"/>
        </w:rPr>
        <w:t>、</w:t>
      </w:r>
      <w:r>
        <w:rPr>
          <w:rFonts w:hint="eastAsia" w:ascii="仿宋" w:hAnsi="仿宋" w:eastAsia="仿宋"/>
          <w:sz w:val="32"/>
          <w:szCs w:val="32"/>
        </w:rPr>
        <w:t>工会经费、福利费、公务用车运行维护费、其他交通费、其他商品和服务支出</w:t>
      </w:r>
      <w:r>
        <w:rPr>
          <w:rFonts w:hint="default" w:ascii="仿宋" w:hAnsi="仿宋" w:eastAsia="仿宋"/>
          <w:sz w:val="32"/>
          <w:szCs w:val="32"/>
        </w:rPr>
        <w:t>、 办公设备购置</w:t>
      </w:r>
      <w:r>
        <w:rPr>
          <w:rFonts w:hint="eastAsia" w:ascii="仿宋" w:hAnsi="仿宋" w:eastAsia="仿宋"/>
          <w:sz w:val="32"/>
          <w:szCs w:val="32"/>
        </w:rPr>
        <w:t>等。</w:t>
      </w:r>
    </w:p>
    <w:p>
      <w:pPr>
        <w:spacing w:line="600" w:lineRule="exact"/>
        <w:ind w:firstLine="640"/>
        <w:outlineLvl w:val="1"/>
        <w:rPr>
          <w:rStyle w:val="32"/>
          <w:rFonts w:ascii="黑体" w:hAnsi="黑体" w:eastAsia="黑体"/>
          <w:b w:val="0"/>
        </w:rPr>
      </w:pPr>
      <w:bookmarkStart w:id="65" w:name="_Toc9121"/>
      <w:bookmarkStart w:id="66" w:name="_Toc15377215"/>
      <w:bookmarkStart w:id="67" w:name="_Toc15396609"/>
      <w:r>
        <w:rPr>
          <w:rFonts w:hint="eastAsia" w:ascii="黑体" w:eastAsia="黑体"/>
          <w:sz w:val="32"/>
          <w:szCs w:val="32"/>
        </w:rPr>
        <w:t>七、</w:t>
      </w:r>
      <w:r>
        <w:rPr>
          <w:rStyle w:val="32"/>
          <w:rFonts w:hint="eastAsia" w:ascii="黑体" w:hAnsi="黑体" w:eastAsia="黑体"/>
        </w:rPr>
        <w:t>“</w:t>
      </w:r>
      <w:r>
        <w:rPr>
          <w:rStyle w:val="32"/>
          <w:rFonts w:hint="eastAsia" w:ascii="黑体" w:hAnsi="黑体" w:eastAsia="黑体"/>
          <w:b w:val="0"/>
        </w:rPr>
        <w:t>三公”经费财政拨款支出决算情况说明</w:t>
      </w:r>
      <w:bookmarkEnd w:id="65"/>
      <w:bookmarkEnd w:id="66"/>
      <w:bookmarkEnd w:id="67"/>
    </w:p>
    <w:p>
      <w:pPr>
        <w:spacing w:line="600" w:lineRule="exact"/>
        <w:ind w:firstLine="640"/>
        <w:outlineLvl w:val="2"/>
        <w:rPr>
          <w:rFonts w:ascii="仿宋" w:hAnsi="仿宋" w:eastAsia="仿宋"/>
          <w:b/>
          <w:sz w:val="32"/>
          <w:szCs w:val="32"/>
        </w:rPr>
      </w:pPr>
      <w:bookmarkStart w:id="68" w:name="_Toc15377216"/>
      <w:r>
        <w:rPr>
          <w:rFonts w:hint="eastAsia" w:ascii="仿宋" w:hAnsi="仿宋" w:eastAsia="仿宋"/>
          <w:b/>
          <w:sz w:val="32"/>
          <w:szCs w:val="32"/>
        </w:rPr>
        <w:t>（一）“三公”经费财政拨款支出决算总体情况说明</w:t>
      </w:r>
      <w:bookmarkEnd w:id="68"/>
    </w:p>
    <w:p>
      <w:pPr>
        <w:spacing w:line="600" w:lineRule="exact"/>
        <w:ind w:firstLine="640"/>
        <w:rPr>
          <w:rFonts w:hint="default" w:ascii="仿宋" w:hAnsi="仿宋" w:eastAsia="仿宋"/>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年“三公”经费财政拨款支出决算为</w:t>
      </w:r>
      <w:r>
        <w:rPr>
          <w:rFonts w:hint="eastAsia" w:ascii="仿宋" w:hAnsi="仿宋" w:eastAsia="仿宋"/>
          <w:sz w:val="32"/>
          <w:szCs w:val="32"/>
          <w:lang w:val="en-US" w:eastAsia="zh-CN"/>
        </w:rPr>
        <w:t>18.74</w:t>
      </w:r>
      <w:r>
        <w:rPr>
          <w:rFonts w:hint="eastAsia" w:ascii="仿宋" w:hAnsi="仿宋" w:eastAsia="仿宋"/>
          <w:sz w:val="32"/>
          <w:szCs w:val="32"/>
        </w:rPr>
        <w:t>万元，完成预算</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lang w:eastAsia="zh-CN"/>
        </w:rPr>
        <w:t>。</w:t>
      </w:r>
      <w:r>
        <w:rPr>
          <w:rFonts w:hint="default" w:ascii="仿宋" w:hAnsi="仿宋" w:eastAsia="仿宋"/>
          <w:sz w:val="32"/>
          <w:szCs w:val="32"/>
          <w:lang w:eastAsia="zh-CN"/>
        </w:rPr>
        <w:t>较上年减少</w:t>
      </w:r>
      <w:r>
        <w:rPr>
          <w:rFonts w:hint="eastAsia" w:ascii="仿宋" w:hAnsi="仿宋" w:eastAsia="仿宋"/>
          <w:sz w:val="32"/>
          <w:szCs w:val="32"/>
          <w:lang w:val="en-US" w:eastAsia="zh-CN"/>
        </w:rPr>
        <w:t>14.15</w:t>
      </w:r>
      <w:r>
        <w:rPr>
          <w:rFonts w:hint="default" w:ascii="仿宋" w:hAnsi="仿宋" w:eastAsia="仿宋"/>
          <w:sz w:val="32"/>
          <w:szCs w:val="32"/>
          <w:lang w:eastAsia="zh-CN"/>
        </w:rPr>
        <w:t>万元，下降</w:t>
      </w:r>
      <w:r>
        <w:rPr>
          <w:rFonts w:hint="eastAsia" w:ascii="仿宋" w:hAnsi="仿宋" w:eastAsia="仿宋"/>
          <w:sz w:val="32"/>
          <w:szCs w:val="32"/>
          <w:lang w:val="en-US" w:eastAsia="zh-CN"/>
        </w:rPr>
        <w:t>43.02</w:t>
      </w:r>
      <w:r>
        <w:rPr>
          <w:rFonts w:hint="default" w:ascii="仿宋" w:hAnsi="仿宋" w:eastAsia="仿宋"/>
          <w:sz w:val="32"/>
          <w:szCs w:val="32"/>
          <w:lang w:eastAsia="zh-CN"/>
        </w:rPr>
        <w:t>%，决算数与预算数持平。</w:t>
      </w:r>
    </w:p>
    <w:p>
      <w:pPr>
        <w:spacing w:line="600" w:lineRule="exact"/>
        <w:ind w:firstLine="640"/>
        <w:outlineLvl w:val="2"/>
        <w:rPr>
          <w:rFonts w:ascii="仿宋" w:hAnsi="仿宋" w:eastAsia="仿宋"/>
          <w:b/>
          <w:sz w:val="32"/>
          <w:szCs w:val="32"/>
        </w:rPr>
      </w:pPr>
      <w:bookmarkStart w:id="69" w:name="_Toc15377217"/>
      <w:r>
        <w:rPr>
          <w:rFonts w:hint="eastAsia" w:ascii="仿宋" w:hAnsi="仿宋" w:eastAsia="仿宋"/>
          <w:b/>
          <w:sz w:val="32"/>
          <w:szCs w:val="32"/>
        </w:rPr>
        <w:t>（二）“三公”经费财政拨款支出决算具体情况说明</w:t>
      </w:r>
      <w:bookmarkEnd w:id="69"/>
    </w:p>
    <w:p>
      <w:pPr>
        <w:spacing w:line="600" w:lineRule="exact"/>
        <w:ind w:firstLine="64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年“三公”经费财政拨款支出决算中，因公出国（境）费支出决算0万元；公务用车购置及运行维护费支出决算</w:t>
      </w:r>
      <w:r>
        <w:rPr>
          <w:rFonts w:hint="eastAsia" w:ascii="仿宋" w:hAnsi="仿宋" w:eastAsia="仿宋"/>
          <w:sz w:val="32"/>
          <w:szCs w:val="32"/>
          <w:lang w:val="en-US" w:eastAsia="zh-CN"/>
        </w:rPr>
        <w:t>15.35</w:t>
      </w:r>
      <w:r>
        <w:rPr>
          <w:rFonts w:hint="eastAsia" w:ascii="仿宋" w:hAnsi="仿宋" w:eastAsia="仿宋"/>
          <w:sz w:val="32"/>
          <w:szCs w:val="32"/>
        </w:rPr>
        <w:t>万元，占</w:t>
      </w:r>
      <w:r>
        <w:rPr>
          <w:rFonts w:hint="eastAsia" w:ascii="仿宋" w:hAnsi="仿宋" w:eastAsia="仿宋"/>
          <w:sz w:val="32"/>
          <w:szCs w:val="32"/>
          <w:lang w:val="en-US" w:eastAsia="zh-CN"/>
        </w:rPr>
        <w:t>82</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3.39</w:t>
      </w:r>
      <w:r>
        <w:rPr>
          <w:rFonts w:hint="eastAsia" w:ascii="仿宋" w:hAnsi="仿宋" w:eastAsia="仿宋"/>
          <w:sz w:val="32"/>
          <w:szCs w:val="32"/>
        </w:rPr>
        <w:t>万元，占</w:t>
      </w:r>
      <w:r>
        <w:rPr>
          <w:rFonts w:hint="eastAsia" w:ascii="仿宋" w:hAnsi="仿宋" w:eastAsia="仿宋"/>
          <w:sz w:val="32"/>
          <w:szCs w:val="32"/>
          <w:lang w:val="en-US" w:eastAsia="zh-CN"/>
        </w:rPr>
        <w:t>18</w:t>
      </w:r>
      <w:r>
        <w:rPr>
          <w:rFonts w:ascii="仿宋" w:hAnsi="仿宋" w:eastAsia="仿宋"/>
          <w:sz w:val="32"/>
          <w:szCs w:val="32"/>
        </w:rPr>
        <w:t>%</w:t>
      </w:r>
      <w:r>
        <w:rPr>
          <w:rFonts w:hint="eastAsia" w:ascii="仿宋" w:hAnsi="仿宋" w:eastAsia="仿宋"/>
          <w:sz w:val="32"/>
          <w:szCs w:val="32"/>
        </w:rPr>
        <w:t>。具体情况如下：</w:t>
      </w:r>
    </w:p>
    <w:p>
      <w:pPr>
        <w:pStyle w:val="8"/>
        <w:rPr>
          <w:rFonts w:hint="eastAsia" w:ascii="仿宋" w:hAnsi="仿宋" w:eastAsia="仿宋"/>
          <w:sz w:val="32"/>
          <w:szCs w:val="32"/>
        </w:rPr>
      </w:pPr>
      <w:r>
        <w:rPr>
          <w:rFonts w:hint="eastAsia" w:ascii="仿宋" w:hAnsi="仿宋" w:eastAsia="仿宋"/>
          <w:color w:val="000000"/>
          <w:sz w:val="32"/>
          <w:szCs w:val="32"/>
        </w:rPr>
        <w:pict>
          <v:shape id="Object 13" o:spid="_x0000_s2057" o:spt="75" type="#_x0000_t75" style="position:absolute;left:0pt;margin-left:86.95pt;margin-top:33.6pt;height:181.55pt;width:298.9pt;z-index:251662336;mso-width-relative:page;mso-height-relative:page;" o:ole="t" filled="f" o:preferrelative="t" stroked="f" coordsize="21600,21600">
            <v:path/>
            <v:fill on="f" focussize="0,0"/>
            <v:stroke on="f"/>
            <v:imagedata r:id="rId16" o:title=""/>
            <o:lock v:ext="edit" aspectratio="t"/>
          </v:shape>
          <o:OLEObject Type="Embed" ProgID="Excel.Chart.8" ShapeID="Object 13" DrawAspect="Content" ObjectID="_1468075728" r:id="rId15">
            <o:LockedField>false</o:LockedField>
          </o:OLEObject>
        </w:pict>
      </w:r>
    </w:p>
    <w:p>
      <w:pPr>
        <w:pStyle w:val="8"/>
        <w:rPr>
          <w:rFonts w:hint="eastAsia" w:ascii="仿宋" w:hAnsi="仿宋" w:eastAsia="仿宋"/>
          <w:sz w:val="32"/>
          <w:szCs w:val="32"/>
        </w:rPr>
      </w:pPr>
    </w:p>
    <w:p>
      <w:pPr>
        <w:pStyle w:val="8"/>
        <w:rPr>
          <w:rFonts w:hint="eastAsia" w:ascii="仿宋" w:hAnsi="仿宋" w:eastAsia="仿宋"/>
          <w:sz w:val="32"/>
          <w:szCs w:val="32"/>
        </w:rPr>
      </w:pPr>
    </w:p>
    <w:p>
      <w:pPr>
        <w:spacing w:line="600" w:lineRule="exact"/>
        <w:ind w:firstLine="640"/>
        <w:jc w:val="center"/>
        <w:rPr>
          <w:rFonts w:ascii="仿宋" w:hAnsi="仿宋" w:eastAsia="仿宋"/>
          <w:sz w:val="32"/>
          <w:szCs w:val="32"/>
        </w:rPr>
      </w:pPr>
      <w:r>
        <w:rPr>
          <w:rFonts w:hint="eastAsia" w:ascii="仿宋" w:hAnsi="仿宋" w:eastAsia="仿宋"/>
          <w:sz w:val="32"/>
          <w:szCs w:val="32"/>
        </w:rPr>
        <w:t>图7：“三公”经费财政拨款支出结构）</w:t>
      </w:r>
    </w:p>
    <w:p>
      <w:pPr>
        <w:spacing w:line="600" w:lineRule="exact"/>
        <w:ind w:firstLine="640"/>
        <w:rPr>
          <w:rFonts w:ascii="仿宋_GB2312" w:eastAsia="仿宋_GB2312"/>
          <w:b/>
          <w:sz w:val="32"/>
          <w:szCs w:val="32"/>
        </w:rPr>
      </w:pPr>
    </w:p>
    <w:p>
      <w:pPr>
        <w:pStyle w:val="2"/>
        <w:rPr>
          <w:rFonts w:ascii="仿宋_GB2312" w:eastAsia="仿宋_GB2312"/>
          <w:b/>
          <w:sz w:val="32"/>
          <w:szCs w:val="32"/>
        </w:rPr>
      </w:pPr>
    </w:p>
    <w:p>
      <w:pPr>
        <w:rPr>
          <w:rFonts w:ascii="仿宋_GB2312" w:eastAsia="仿宋_GB2312"/>
          <w:b/>
          <w:sz w:val="32"/>
          <w:szCs w:val="32"/>
        </w:rPr>
      </w:pPr>
    </w:p>
    <w:p>
      <w:pPr>
        <w:pStyle w:val="2"/>
        <w:jc w:val="center"/>
        <w:rPr>
          <w:rFonts w:hint="default" w:ascii="仿宋_GB2312" w:eastAsia="仿宋_GB2312"/>
          <w:b/>
          <w:sz w:val="32"/>
          <w:szCs w:val="32"/>
        </w:rPr>
      </w:pPr>
      <w:r>
        <w:rPr>
          <w:rFonts w:ascii="仿宋_GB2312" w:eastAsia="仿宋_GB2312"/>
          <w:b/>
          <w:sz w:val="32"/>
          <w:szCs w:val="32"/>
        </w:rPr>
        <w:t>（图7：“三公”经费财政拨款支出结构图）</w:t>
      </w:r>
    </w:p>
    <w:p>
      <w:pPr>
        <w:numPr>
          <w:ilvl w:val="0"/>
          <w:numId w:val="0"/>
        </w:numPr>
        <w:spacing w:line="600" w:lineRule="exact"/>
        <w:ind w:firstLine="643" w:firstLineChars="200"/>
      </w:pPr>
      <w:r>
        <w:rPr>
          <w:rFonts w:hint="default" w:ascii="仿宋" w:hAnsi="仿宋" w:eastAsia="仿宋"/>
          <w:b/>
          <w:sz w:val="32"/>
          <w:szCs w:val="32"/>
        </w:rPr>
        <w:t>1.</w:t>
      </w:r>
      <w:r>
        <w:rPr>
          <w:rFonts w:hint="eastAsia" w:ascii="仿宋" w:hAnsi="仿宋" w:eastAsia="仿宋"/>
          <w:b/>
          <w:sz w:val="32"/>
          <w:szCs w:val="32"/>
        </w:rPr>
        <w:t>因公出国经费为0万元，年初未安排预算，因公出国</w:t>
      </w:r>
      <w:r>
        <w:rPr>
          <w:rFonts w:hint="eastAsia" w:ascii="仿宋_GB2312" w:eastAsia="仿宋_GB2312"/>
          <w:b/>
          <w:sz w:val="32"/>
          <w:szCs w:val="32"/>
        </w:rPr>
        <w:t>（境）</w:t>
      </w:r>
      <w:r>
        <w:rPr>
          <w:rFonts w:hint="eastAsia" w:ascii="仿宋" w:hAnsi="仿宋" w:eastAsia="仿宋"/>
          <w:b/>
          <w:sz w:val="32"/>
          <w:szCs w:val="32"/>
        </w:rPr>
        <w:t>支出决算较202</w:t>
      </w:r>
      <w:r>
        <w:rPr>
          <w:rFonts w:hint="eastAsia" w:ascii="仿宋" w:hAnsi="仿宋" w:eastAsia="仿宋"/>
          <w:b/>
          <w:sz w:val="32"/>
          <w:szCs w:val="32"/>
          <w:lang w:val="en-US" w:eastAsia="zh-CN"/>
        </w:rPr>
        <w:t>1</w:t>
      </w:r>
      <w:r>
        <w:rPr>
          <w:rFonts w:hint="eastAsia" w:ascii="仿宋" w:hAnsi="仿宋" w:eastAsia="仿宋"/>
          <w:b/>
          <w:sz w:val="32"/>
          <w:szCs w:val="32"/>
        </w:rPr>
        <w:t>年无变化。</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b/>
          <w:sz w:val="32"/>
          <w:szCs w:val="32"/>
          <w:lang w:val="en-US" w:eastAsia="zh-CN"/>
        </w:rPr>
        <w:t>15.35</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15.67</w:t>
      </w:r>
      <w:r>
        <w:rPr>
          <w:rFonts w:hint="eastAsia" w:ascii="仿宋_GB2312" w:eastAsia="仿宋_GB2312"/>
          <w:sz w:val="32"/>
          <w:szCs w:val="32"/>
        </w:rPr>
        <w:t>万元，</w:t>
      </w:r>
      <w:r>
        <w:rPr>
          <w:rFonts w:hint="eastAsia" w:ascii="仿宋_GB2312" w:eastAsia="仿宋_GB2312"/>
          <w:sz w:val="32"/>
          <w:szCs w:val="32"/>
          <w:lang w:eastAsia="zh-CN"/>
        </w:rPr>
        <w:t>下降</w:t>
      </w:r>
      <w:r>
        <w:rPr>
          <w:rFonts w:hint="eastAsia" w:ascii="仿宋_GB2312" w:eastAsia="仿宋_GB2312"/>
          <w:sz w:val="32"/>
          <w:szCs w:val="32"/>
          <w:lang w:val="en-US" w:eastAsia="zh-CN"/>
        </w:rPr>
        <w:t>50.5</w:t>
      </w:r>
      <w:r>
        <w:rPr>
          <w:rFonts w:hint="default" w:ascii="仿宋_GB2312" w:eastAsia="仿宋_GB2312"/>
          <w:sz w:val="32"/>
          <w:szCs w:val="32"/>
          <w:lang w:eastAsia="zh-CN"/>
        </w:rPr>
        <w:t>2</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2022年无</w:t>
      </w:r>
      <w:r>
        <w:rPr>
          <w:rFonts w:hint="eastAsia" w:ascii="仿宋_GB2312" w:eastAsia="仿宋_GB2312"/>
          <w:sz w:val="32"/>
          <w:szCs w:val="32"/>
        </w:rPr>
        <w:t>公务用车购置</w:t>
      </w:r>
      <w:r>
        <w:rPr>
          <w:rFonts w:hint="eastAsia" w:ascii="仿宋_GB2312" w:eastAsia="仿宋_GB2312"/>
          <w:sz w:val="32"/>
          <w:szCs w:val="32"/>
          <w:lang w:eastAsia="zh-CN"/>
        </w:rPr>
        <w:t>发生</w:t>
      </w:r>
      <w:r>
        <w:rPr>
          <w:rFonts w:hint="eastAsia" w:ascii="仿宋_GB2312" w:eastAsia="仿宋_GB2312"/>
          <w:sz w:val="32"/>
          <w:szCs w:val="32"/>
        </w:rPr>
        <w:t>。</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月底，单位共有公务用车3辆，其中：轿车3辆。</w:t>
      </w:r>
    </w:p>
    <w:p>
      <w:pPr>
        <w:spacing w:line="600" w:lineRule="exact"/>
        <w:ind w:firstLine="640"/>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15.35</w:t>
      </w:r>
      <w:r>
        <w:rPr>
          <w:rFonts w:hint="eastAsia" w:ascii="仿宋_GB2312" w:eastAsia="仿宋_GB2312"/>
          <w:sz w:val="32"/>
          <w:szCs w:val="32"/>
        </w:rPr>
        <w:t>万元。主要用于全市重大项目推进、区域合作、物价工作、粮食工作、能源工作等所需的公务用车燃料费、维修费、过路过桥费、保险费等支出。</w:t>
      </w:r>
    </w:p>
    <w:p>
      <w:pPr>
        <w:spacing w:line="600" w:lineRule="exact"/>
        <w:ind w:firstLine="640"/>
        <w:rPr>
          <w:rFonts w:hint="eastAsia"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3.39</w:t>
      </w:r>
      <w:r>
        <w:rPr>
          <w:rFonts w:hint="eastAsia" w:ascii="仿宋_GB2312" w:eastAsia="仿宋_GB2312"/>
          <w:sz w:val="32"/>
          <w:szCs w:val="32"/>
        </w:rPr>
        <w:t>万元，</w:t>
      </w:r>
      <w:r>
        <w:rPr>
          <w:rStyle w:val="20"/>
          <w:rFonts w:hint="eastAsia" w:ascii="仿宋" w:hAnsi="仿宋" w:eastAsia="仿宋"/>
          <w:b w:val="0"/>
          <w:bCs/>
          <w:sz w:val="32"/>
          <w:szCs w:val="32"/>
        </w:rPr>
        <w:t>完成预算</w:t>
      </w:r>
      <w:r>
        <w:rPr>
          <w:rStyle w:val="20"/>
          <w:rFonts w:hint="eastAsia" w:ascii="仿宋" w:hAnsi="仿宋" w:eastAsia="仿宋"/>
          <w:b w:val="0"/>
          <w:bCs/>
          <w:sz w:val="32"/>
          <w:szCs w:val="32"/>
          <w:lang w:val="en-US" w:eastAsia="zh-CN"/>
        </w:rPr>
        <w:t>100</w:t>
      </w:r>
      <w:r>
        <w:rPr>
          <w:rStyle w:val="20"/>
          <w:rFonts w:ascii="仿宋" w:hAnsi="仿宋" w:eastAsia="仿宋"/>
          <w:b w:val="0"/>
          <w:bCs/>
          <w:sz w:val="32"/>
          <w:szCs w:val="32"/>
        </w:rPr>
        <w:t>%</w:t>
      </w:r>
      <w:r>
        <w:rPr>
          <w:rStyle w:val="20"/>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1.52</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81.28</w:t>
      </w:r>
      <w:r>
        <w:rPr>
          <w:rFonts w:ascii="仿宋_GB2312" w:eastAsia="仿宋_GB2312"/>
          <w:sz w:val="32"/>
          <w:szCs w:val="32"/>
        </w:rPr>
        <w:t>%</w:t>
      </w:r>
      <w:r>
        <w:rPr>
          <w:rFonts w:hint="eastAsia" w:ascii="仿宋_GB2312" w:eastAsia="仿宋_GB2312"/>
          <w:sz w:val="32"/>
          <w:szCs w:val="32"/>
        </w:rPr>
        <w:t>。主要原因：上级调研、对口检查公务接待任务增加。其中：</w:t>
      </w:r>
    </w:p>
    <w:p>
      <w:pPr>
        <w:spacing w:line="600" w:lineRule="exact"/>
        <w:ind w:firstLine="640"/>
        <w:rPr>
          <w:rFonts w:hint="eastAsia"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3.39</w:t>
      </w:r>
      <w:r>
        <w:rPr>
          <w:rFonts w:hint="eastAsia" w:ascii="仿宋_GB2312" w:eastAsia="仿宋_GB2312"/>
          <w:sz w:val="32"/>
          <w:szCs w:val="32"/>
        </w:rPr>
        <w:t>万元，</w:t>
      </w:r>
      <w:bookmarkStart w:id="70" w:name="_Toc15396610"/>
      <w:bookmarkStart w:id="71" w:name="_Toc15377218"/>
      <w:r>
        <w:rPr>
          <w:rFonts w:hint="eastAsia" w:ascii="仿宋_GB2312" w:eastAsia="仿宋_GB2312"/>
          <w:sz w:val="32"/>
          <w:szCs w:val="32"/>
        </w:rPr>
        <w:t>主要用于全市重大项目推进、国家及省级、其他市州调研</w:t>
      </w:r>
      <w:r>
        <w:rPr>
          <w:rFonts w:hint="eastAsia" w:ascii="仿宋_GB2312" w:eastAsia="仿宋_GB2312"/>
          <w:sz w:val="32"/>
          <w:szCs w:val="32"/>
          <w:lang w:eastAsia="zh-CN"/>
        </w:rPr>
        <w:t>接待</w:t>
      </w:r>
      <w:r>
        <w:rPr>
          <w:rFonts w:hint="eastAsia" w:ascii="仿宋_GB2312" w:eastAsia="仿宋_GB2312"/>
          <w:sz w:val="32"/>
          <w:szCs w:val="32"/>
        </w:rPr>
        <w:t>用餐支出。国内公务接待</w:t>
      </w:r>
      <w:r>
        <w:rPr>
          <w:rFonts w:hint="eastAsia" w:ascii="仿宋_GB2312" w:eastAsia="仿宋_GB2312"/>
          <w:sz w:val="32"/>
          <w:szCs w:val="32"/>
          <w:lang w:val="en-US" w:eastAsia="zh-CN"/>
        </w:rPr>
        <w:t>20</w:t>
      </w:r>
      <w:r>
        <w:rPr>
          <w:rFonts w:hint="eastAsia" w:ascii="仿宋_GB2312" w:eastAsia="仿宋_GB2312"/>
          <w:sz w:val="32"/>
          <w:szCs w:val="32"/>
        </w:rPr>
        <w:t>批次，</w:t>
      </w:r>
      <w:r>
        <w:rPr>
          <w:rFonts w:hint="eastAsia" w:ascii="仿宋_GB2312" w:eastAsia="仿宋_GB2312"/>
          <w:sz w:val="32"/>
          <w:szCs w:val="32"/>
          <w:lang w:val="en-US" w:eastAsia="zh-CN"/>
        </w:rPr>
        <w:t>260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3.39</w:t>
      </w:r>
      <w:r>
        <w:rPr>
          <w:rFonts w:hint="eastAsia" w:ascii="仿宋_GB2312" w:eastAsia="仿宋_GB2312"/>
          <w:sz w:val="32"/>
          <w:szCs w:val="32"/>
        </w:rPr>
        <w:t>万元，具体内容包括：国家、省发改委领导来我市调研重点项目工作、</w:t>
      </w:r>
      <w:r>
        <w:rPr>
          <w:rFonts w:hint="eastAsia" w:ascii="仿宋_GB2312" w:eastAsia="仿宋_GB2312"/>
          <w:sz w:val="32"/>
          <w:szCs w:val="32"/>
          <w:lang w:eastAsia="zh-CN"/>
        </w:rPr>
        <w:t>省内市州等相关部门</w:t>
      </w:r>
      <w:r>
        <w:rPr>
          <w:rFonts w:hint="eastAsia" w:ascii="仿宋_GB2312" w:eastAsia="仿宋_GB2312"/>
          <w:sz w:val="32"/>
          <w:szCs w:val="32"/>
        </w:rPr>
        <w:t>来我市</w:t>
      </w:r>
      <w:r>
        <w:rPr>
          <w:rFonts w:hint="eastAsia" w:ascii="仿宋_GB2312" w:eastAsia="仿宋_GB2312"/>
          <w:sz w:val="32"/>
          <w:szCs w:val="32"/>
          <w:lang w:eastAsia="zh-CN"/>
        </w:rPr>
        <w:t>工作</w:t>
      </w:r>
      <w:r>
        <w:rPr>
          <w:rFonts w:hint="eastAsia" w:ascii="仿宋_GB2312" w:eastAsia="仿宋_GB2312"/>
          <w:sz w:val="32"/>
          <w:szCs w:val="32"/>
        </w:rPr>
        <w:t>调研</w:t>
      </w:r>
      <w:r>
        <w:rPr>
          <w:rFonts w:hint="eastAsia" w:ascii="仿宋_GB2312" w:eastAsia="仿宋_GB2312"/>
          <w:sz w:val="32"/>
          <w:szCs w:val="32"/>
          <w:lang w:eastAsia="zh-CN"/>
        </w:rPr>
        <w:t>接待</w:t>
      </w:r>
      <w:r>
        <w:rPr>
          <w:rFonts w:hint="eastAsia" w:ascii="仿宋_GB2312" w:eastAsia="仿宋_GB2312"/>
          <w:sz w:val="32"/>
          <w:szCs w:val="32"/>
        </w:rPr>
        <w:t>。</w:t>
      </w:r>
    </w:p>
    <w:p>
      <w:pPr>
        <w:spacing w:line="600" w:lineRule="exact"/>
        <w:ind w:firstLine="643" w:firstLineChars="200"/>
      </w:pPr>
      <w:r>
        <w:rPr>
          <w:rFonts w:hint="eastAsia" w:ascii="仿宋" w:hAnsi="仿宋" w:eastAsia="仿宋"/>
          <w:b/>
          <w:color w:val="auto"/>
          <w:sz w:val="32"/>
          <w:szCs w:val="32"/>
          <w:highlight w:val="none"/>
        </w:rPr>
        <w:t>外事接待支出</w:t>
      </w:r>
      <w:r>
        <w:rPr>
          <w:rFonts w:hint="eastAsia" w:ascii="仿宋" w:hAnsi="仿宋" w:eastAsia="仿宋"/>
          <w:b/>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32"/>
          <w:rFonts w:ascii="黑体" w:hAnsi="黑体" w:eastAsia="黑体"/>
        </w:rPr>
      </w:pPr>
      <w:bookmarkStart w:id="72" w:name="_Toc7656"/>
      <w:r>
        <w:rPr>
          <w:rFonts w:hint="eastAsia" w:ascii="黑体" w:eastAsia="黑体"/>
          <w:sz w:val="32"/>
          <w:szCs w:val="32"/>
        </w:rPr>
        <w:t>八、</w:t>
      </w:r>
      <w:r>
        <w:rPr>
          <w:rStyle w:val="32"/>
          <w:rFonts w:hint="eastAsia" w:ascii="黑体" w:hAnsi="黑体" w:eastAsia="黑体"/>
          <w:b w:val="0"/>
        </w:rPr>
        <w:t>政府性基金预算支出决算情况说明</w:t>
      </w:r>
      <w:bookmarkEnd w:id="70"/>
      <w:bookmarkEnd w:id="71"/>
      <w:bookmarkEnd w:id="72"/>
    </w:p>
    <w:p>
      <w:pPr>
        <w:spacing w:line="600" w:lineRule="exact"/>
        <w:ind w:firstLine="640"/>
        <w:rPr>
          <w:rFonts w:hint="eastAsia"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年我委无政府性基金预算财政拨款支出。</w:t>
      </w:r>
    </w:p>
    <w:p>
      <w:pPr>
        <w:numPr>
          <w:ilvl w:val="0"/>
          <w:numId w:val="5"/>
        </w:numPr>
        <w:spacing w:line="600" w:lineRule="exact"/>
        <w:ind w:firstLine="640"/>
        <w:outlineLvl w:val="1"/>
        <w:rPr>
          <w:rStyle w:val="32"/>
          <w:rFonts w:ascii="黑体" w:hAnsi="黑体" w:eastAsia="黑体"/>
          <w:b w:val="0"/>
        </w:rPr>
      </w:pPr>
      <w:bookmarkStart w:id="73" w:name="_Toc25852"/>
      <w:bookmarkStart w:id="74" w:name="_Toc15377219"/>
      <w:bookmarkStart w:id="75" w:name="_Toc15396611"/>
      <w:r>
        <w:rPr>
          <w:rStyle w:val="32"/>
          <w:rFonts w:hint="eastAsia" w:ascii="黑体" w:hAnsi="黑体" w:eastAsia="黑体"/>
          <w:b w:val="0"/>
        </w:rPr>
        <w:t>国有资本经营预算支出决算情况说明</w:t>
      </w:r>
      <w:bookmarkEnd w:id="73"/>
      <w:bookmarkEnd w:id="74"/>
      <w:bookmarkEnd w:id="75"/>
    </w:p>
    <w:p>
      <w:pPr>
        <w:spacing w:line="600" w:lineRule="exact"/>
        <w:ind w:firstLine="640"/>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年我委无国有资本经营预算财政拨款支出。</w:t>
      </w:r>
    </w:p>
    <w:p>
      <w:pPr>
        <w:numPr>
          <w:ilvl w:val="0"/>
          <w:numId w:val="5"/>
        </w:numPr>
        <w:spacing w:line="600" w:lineRule="exact"/>
        <w:ind w:firstLine="640"/>
        <w:outlineLvl w:val="1"/>
        <w:rPr>
          <w:rStyle w:val="32"/>
          <w:rFonts w:ascii="黑体" w:hAnsi="黑体" w:eastAsia="黑体"/>
          <w:b w:val="0"/>
        </w:rPr>
      </w:pPr>
      <w:bookmarkStart w:id="76" w:name="_Toc15396612"/>
      <w:bookmarkStart w:id="77" w:name="_Toc15377221"/>
      <w:bookmarkStart w:id="78" w:name="_Toc12280"/>
      <w:r>
        <w:rPr>
          <w:rStyle w:val="32"/>
          <w:rFonts w:hint="eastAsia" w:ascii="黑体" w:hAnsi="黑体" w:eastAsia="黑体"/>
          <w:b w:val="0"/>
        </w:rPr>
        <w:t>其他重要事项的情况说明</w:t>
      </w:r>
      <w:bookmarkEnd w:id="76"/>
      <w:bookmarkEnd w:id="77"/>
      <w:bookmarkEnd w:id="78"/>
    </w:p>
    <w:p>
      <w:pPr>
        <w:spacing w:line="600" w:lineRule="exact"/>
        <w:ind w:firstLine="643" w:firstLineChars="200"/>
        <w:outlineLvl w:val="2"/>
        <w:rPr>
          <w:rFonts w:ascii="仿宋" w:hAnsi="仿宋" w:eastAsia="仿宋"/>
          <w:sz w:val="32"/>
          <w:szCs w:val="32"/>
        </w:rPr>
      </w:pPr>
      <w:bookmarkStart w:id="79" w:name="_Toc15377222"/>
      <w:r>
        <w:rPr>
          <w:rFonts w:hint="eastAsia" w:ascii="仿宋" w:hAnsi="仿宋" w:eastAsia="仿宋"/>
          <w:b/>
          <w:sz w:val="32"/>
          <w:szCs w:val="32"/>
        </w:rPr>
        <w:t>（一）机关运行经费支出情况</w:t>
      </w:r>
      <w:bookmarkEnd w:id="79"/>
    </w:p>
    <w:p>
      <w:pPr>
        <w:spacing w:line="600" w:lineRule="exact"/>
        <w:ind w:firstLine="640" w:firstLineChars="200"/>
        <w:rPr>
          <w:rFonts w:hint="eastAsia" w:ascii="仿宋_GB2312" w:eastAsia="仿宋_GB2312"/>
          <w:color w:val="FF0000"/>
          <w:sz w:val="32"/>
          <w:szCs w:val="32"/>
          <w:highlight w:val="none"/>
          <w:lang w:eastAsia="zh-CN"/>
        </w:rPr>
      </w:pPr>
      <w:bookmarkStart w:id="80" w:name="_Toc15377223"/>
      <w:r>
        <w:rPr>
          <w:rFonts w:ascii="仿宋_GB2312" w:eastAsia="仿宋_GB2312"/>
          <w:color w:val="000000" w:themeColor="text1"/>
          <w:sz w:val="32"/>
          <w:szCs w:val="32"/>
          <w:highlight w:val="none"/>
          <w14:textFill>
            <w14:solidFill>
              <w14:schemeClr w14:val="tx1"/>
            </w14:solidFill>
          </w14:textFill>
        </w:rPr>
        <w:t>20</w:t>
      </w:r>
      <w:r>
        <w:rPr>
          <w:rFonts w:hint="eastAsia" w:ascii="仿宋_GB2312" w:eastAsia="仿宋_GB2312"/>
          <w:color w:val="000000" w:themeColor="text1"/>
          <w:sz w:val="32"/>
          <w:szCs w:val="32"/>
          <w:highlight w:val="none"/>
          <w:lang w:val="en-US" w:eastAsia="zh-CN"/>
          <w14:textFill>
            <w14:solidFill>
              <w14:schemeClr w14:val="tx1"/>
            </w14:solidFill>
          </w14:textFill>
        </w:rPr>
        <w:t>22</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市发展改革委</w:t>
      </w:r>
      <w:r>
        <w:rPr>
          <w:rFonts w:hint="eastAsia" w:ascii="仿宋_GB2312" w:eastAsia="仿宋_GB2312"/>
          <w:color w:val="000000" w:themeColor="text1"/>
          <w:sz w:val="32"/>
          <w:szCs w:val="32"/>
          <w:highlight w:val="none"/>
          <w14:textFill>
            <w14:solidFill>
              <w14:schemeClr w14:val="tx1"/>
            </w14:solidFill>
          </w14:textFill>
        </w:rPr>
        <w:t>机关运行经费支出</w:t>
      </w:r>
      <w:r>
        <w:rPr>
          <w:rFonts w:hint="eastAsia" w:ascii="仿宋_GB2312" w:eastAsia="仿宋_GB2312"/>
          <w:color w:val="000000" w:themeColor="text1"/>
          <w:sz w:val="32"/>
          <w:szCs w:val="32"/>
          <w:highlight w:val="none"/>
          <w:lang w:val="en-US" w:eastAsia="zh-CN"/>
          <w14:textFill>
            <w14:solidFill>
              <w14:schemeClr w14:val="tx1"/>
            </w14:solidFill>
          </w14:textFill>
        </w:rPr>
        <w:t>332.67</w:t>
      </w:r>
      <w:r>
        <w:rPr>
          <w:rFonts w:hint="eastAsia" w:ascii="仿宋_GB2312" w:eastAsia="仿宋_GB2312"/>
          <w:color w:val="000000" w:themeColor="text1"/>
          <w:sz w:val="32"/>
          <w:szCs w:val="32"/>
          <w:highlight w:val="none"/>
          <w14:textFill>
            <w14:solidFill>
              <w14:schemeClr w14:val="tx1"/>
            </w14:solidFill>
          </w14:textFill>
        </w:rPr>
        <w:t>万元，比</w:t>
      </w:r>
      <w:r>
        <w:rPr>
          <w:rFonts w:ascii="仿宋_GB2312" w:eastAsia="仿宋_GB2312"/>
          <w:color w:val="000000" w:themeColor="text1"/>
          <w:sz w:val="32"/>
          <w:szCs w:val="32"/>
          <w:highlight w:val="none"/>
          <w14:textFill>
            <w14:solidFill>
              <w14:schemeClr w14:val="tx1"/>
            </w14:solidFill>
          </w14:textFill>
        </w:rPr>
        <w:t>20</w:t>
      </w:r>
      <w:r>
        <w:rPr>
          <w:rFonts w:hint="eastAsia" w:ascii="仿宋_GB2312" w:eastAsia="仿宋_GB2312"/>
          <w:color w:val="000000" w:themeColor="text1"/>
          <w:sz w:val="32"/>
          <w:szCs w:val="32"/>
          <w:highlight w:val="none"/>
          <w:lang w:val="en-US" w:eastAsia="zh-CN"/>
          <w14:textFill>
            <w14:solidFill>
              <w14:schemeClr w14:val="tx1"/>
            </w14:solidFill>
          </w14:textFill>
        </w:rPr>
        <w:t>21</w:t>
      </w:r>
      <w:r>
        <w:rPr>
          <w:rFonts w:hint="eastAsia" w:ascii="仿宋_GB2312" w:eastAsia="仿宋_GB2312"/>
          <w:color w:val="000000" w:themeColor="text1"/>
          <w:sz w:val="32"/>
          <w:szCs w:val="32"/>
          <w:highlight w:val="none"/>
          <w14:textFill>
            <w14:solidFill>
              <w14:schemeClr w14:val="tx1"/>
            </w14:solidFill>
          </w14:textFill>
        </w:rPr>
        <w:t>年</w:t>
      </w:r>
      <w:r>
        <w:rPr>
          <w:rFonts w:hint="eastAsia" w:ascii="仿宋_GB2312" w:eastAsia="仿宋_GB2312"/>
          <w:color w:val="000000" w:themeColor="text1"/>
          <w:sz w:val="32"/>
          <w:szCs w:val="32"/>
          <w:highlight w:val="none"/>
          <w:lang w:eastAsia="zh-CN"/>
          <w14:textFill>
            <w14:solidFill>
              <w14:schemeClr w14:val="tx1"/>
            </w14:solidFill>
          </w14:textFill>
        </w:rPr>
        <w:t>增加</w:t>
      </w:r>
      <w:r>
        <w:rPr>
          <w:rFonts w:hint="eastAsia" w:ascii="仿宋_GB2312" w:eastAsia="仿宋_GB2312"/>
          <w:color w:val="000000" w:themeColor="text1"/>
          <w:sz w:val="32"/>
          <w:szCs w:val="32"/>
          <w:highlight w:val="none"/>
          <w:lang w:val="en-US" w:eastAsia="zh-CN"/>
          <w14:textFill>
            <w14:solidFill>
              <w14:schemeClr w14:val="tx1"/>
            </w14:solidFill>
          </w14:textFill>
        </w:rPr>
        <w:t>64.68</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增长</w:t>
      </w:r>
      <w:r>
        <w:rPr>
          <w:rFonts w:hint="eastAsia" w:ascii="仿宋_GB2312" w:eastAsia="仿宋_GB2312"/>
          <w:color w:val="000000" w:themeColor="text1"/>
          <w:sz w:val="32"/>
          <w:szCs w:val="32"/>
          <w:highlight w:val="none"/>
          <w:lang w:val="en-US" w:eastAsia="zh-CN"/>
          <w14:textFill>
            <w14:solidFill>
              <w14:schemeClr w14:val="tx1"/>
            </w14:solidFill>
          </w14:textFill>
        </w:rPr>
        <w:t>24.1</w:t>
      </w:r>
      <w:r>
        <w:rPr>
          <w:rFonts w:hint="default" w:ascii="仿宋_GB2312" w:eastAsia="仿宋_GB2312"/>
          <w:color w:val="000000" w:themeColor="text1"/>
          <w:sz w:val="32"/>
          <w:szCs w:val="32"/>
          <w:highlight w:val="none"/>
          <w:lang w:eastAsia="zh-CN"/>
          <w14:textFill>
            <w14:solidFill>
              <w14:schemeClr w14:val="tx1"/>
            </w14:solidFill>
          </w14:textFill>
        </w:rPr>
        <w:t>4</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auto"/>
          <w:sz w:val="32"/>
          <w:szCs w:val="32"/>
        </w:rPr>
        <w:t>主要原因是办公电费、邮电费、物管、维修、劳务费、差旅费等日常公用经费增加。</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bookmarkEnd w:id="80"/>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年，我委政府采购支出总额</w:t>
      </w:r>
      <w:r>
        <w:rPr>
          <w:rFonts w:hint="eastAsia" w:ascii="仿宋_GB2312" w:eastAsia="仿宋_GB2312"/>
          <w:sz w:val="32"/>
          <w:szCs w:val="32"/>
          <w:lang w:val="en-US" w:eastAsia="zh-CN"/>
        </w:rPr>
        <w:t>104.55</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104.55</w:t>
      </w:r>
      <w:r>
        <w:rPr>
          <w:rFonts w:hint="eastAsia" w:ascii="仿宋_GB2312" w:eastAsia="仿宋_GB2312"/>
          <w:sz w:val="32"/>
          <w:szCs w:val="32"/>
        </w:rPr>
        <w:t>万元。主要用于日常办公添置更换办公设备及日常办公用纸等支出。</w:t>
      </w:r>
      <w:r>
        <w:rPr>
          <w:rFonts w:hint="eastAsia" w:ascii="仿宋_GB2312" w:eastAsia="仿宋_GB2312"/>
          <w:color w:val="auto"/>
          <w:sz w:val="32"/>
          <w:szCs w:val="32"/>
          <w:highlight w:val="none"/>
        </w:rPr>
        <w:t>授予小微企业合同金额</w:t>
      </w:r>
      <w:r>
        <w:rPr>
          <w:rFonts w:hint="eastAsia" w:ascii="仿宋_GB2312" w:eastAsia="仿宋_GB2312"/>
          <w:sz w:val="32"/>
          <w:szCs w:val="32"/>
          <w:lang w:val="en-US" w:eastAsia="zh-CN"/>
        </w:rPr>
        <w:t>104.55</w:t>
      </w:r>
      <w:r>
        <w:rPr>
          <w:rFonts w:hint="eastAsia" w:ascii="仿宋_GB2312" w:eastAsia="仿宋_GB2312"/>
          <w:sz w:val="32"/>
          <w:szCs w:val="32"/>
        </w:rPr>
        <w:t>万元，占政府采购支出总额的100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81" w:name="_Toc15377224"/>
      <w:r>
        <w:rPr>
          <w:rFonts w:hint="eastAsia" w:ascii="仿宋" w:hAnsi="仿宋" w:eastAsia="仿宋"/>
          <w:b/>
          <w:sz w:val="32"/>
          <w:szCs w:val="32"/>
        </w:rPr>
        <w:t>（三）国有资产占有使用情况</w:t>
      </w:r>
      <w:bookmarkEnd w:id="81"/>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日，我委共有车辆3辆，其中：其他用车3辆。其他用车主要是用于日常工作任务开展用车。单价</w:t>
      </w:r>
      <w:r>
        <w:rPr>
          <w:rFonts w:ascii="仿宋_GB2312" w:eastAsia="仿宋_GB2312"/>
          <w:sz w:val="32"/>
          <w:szCs w:val="32"/>
        </w:rPr>
        <w:t>100</w:t>
      </w:r>
      <w:r>
        <w:rPr>
          <w:rFonts w:hint="eastAsia" w:ascii="仿宋_GB2312" w:eastAsia="仿宋_GB2312"/>
          <w:sz w:val="32"/>
          <w:szCs w:val="32"/>
        </w:rPr>
        <w:t>万元以上专用设备0台（套）。</w:t>
      </w:r>
    </w:p>
    <w:p>
      <w:pPr>
        <w:autoSpaceDE w:val="0"/>
        <w:autoSpaceDN w:val="0"/>
        <w:adjustRightInd w:val="0"/>
        <w:spacing w:line="600" w:lineRule="exact"/>
        <w:ind w:firstLine="643" w:firstLineChars="200"/>
        <w:jc w:val="left"/>
        <w:outlineLvl w:val="2"/>
        <w:rPr>
          <w:rFonts w:hint="eastAsia" w:ascii="仿宋" w:hAnsi="仿宋" w:eastAsia="仿宋"/>
          <w:b/>
          <w:sz w:val="32"/>
          <w:szCs w:val="32"/>
        </w:rPr>
      </w:pPr>
      <w:bookmarkStart w:id="82" w:name="_Toc16022"/>
      <w:r>
        <w:rPr>
          <w:rFonts w:hint="eastAsia" w:ascii="仿宋" w:hAnsi="仿宋" w:eastAsia="仿宋"/>
          <w:b/>
          <w:sz w:val="32"/>
          <w:szCs w:val="32"/>
          <w:lang w:val="en-US" w:eastAsia="zh-CN"/>
        </w:rPr>
        <w:t>(四）</w:t>
      </w:r>
      <w:r>
        <w:rPr>
          <w:rFonts w:hint="eastAsia" w:ascii="仿宋" w:hAnsi="仿宋" w:eastAsia="仿宋"/>
          <w:b/>
          <w:sz w:val="32"/>
          <w:szCs w:val="32"/>
        </w:rPr>
        <w:t>预算绩效管理情况</w:t>
      </w:r>
      <w:bookmarkEnd w:id="82"/>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年度预算编制阶段，组织对重大项目前期工作经费、区域合作、纪检监察组办案专项经费等</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个项目开展绩效监控，年终执行完毕后，对</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个项目开展了绩效自评，绩效自评表详见</w:t>
      </w:r>
      <w:r>
        <w:rPr>
          <w:rFonts w:hint="eastAsia" w:ascii="仿宋_GB2312" w:hAnsi="仿宋_GB2312" w:eastAsia="仿宋_GB2312" w:cs="仿宋_GB2312"/>
          <w:sz w:val="32"/>
          <w:szCs w:val="32"/>
          <w:lang w:eastAsia="zh-CN"/>
        </w:rPr>
        <w:t>第四部分</w:t>
      </w:r>
      <w:r>
        <w:rPr>
          <w:rFonts w:hint="eastAsia" w:ascii="仿宋_GB2312" w:hAnsi="仿宋_GB2312" w:eastAsia="仿宋_GB2312" w:cs="仿宋_GB2312"/>
          <w:sz w:val="32"/>
          <w:szCs w:val="32"/>
        </w:rPr>
        <w:t>附件。</w:t>
      </w:r>
    </w:p>
    <w:p>
      <w:pPr>
        <w:pStyle w:val="8"/>
        <w:spacing w:before="93"/>
        <w:rPr>
          <w:highlight w:val="yellow"/>
        </w:rPr>
      </w:pPr>
      <w:bookmarkStart w:id="118" w:name="_GoBack"/>
      <w:bookmarkEnd w:id="118"/>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6"/>
        </w:numPr>
        <w:spacing w:line="600" w:lineRule="exact"/>
        <w:ind w:firstLine="660" w:firstLineChars="150"/>
        <w:jc w:val="center"/>
        <w:outlineLvl w:val="0"/>
        <w:rPr>
          <w:rStyle w:val="31"/>
          <w:rFonts w:ascii="黑体" w:hAnsi="黑体" w:eastAsia="黑体"/>
          <w:b w:val="0"/>
        </w:rPr>
      </w:pPr>
      <w:bookmarkStart w:id="83" w:name="_Toc26762"/>
      <w:bookmarkStart w:id="84" w:name="_Toc15377225"/>
      <w:bookmarkStart w:id="85" w:name="_Toc15396613"/>
      <w:r>
        <w:rPr>
          <w:rFonts w:hint="eastAsia" w:ascii="黑体" w:hAnsi="黑体" w:eastAsia="黑体"/>
          <w:sz w:val="44"/>
          <w:szCs w:val="44"/>
        </w:rPr>
        <w:t>名</w:t>
      </w:r>
      <w:r>
        <w:rPr>
          <w:rStyle w:val="31"/>
          <w:rFonts w:hint="eastAsia" w:ascii="黑体" w:hAnsi="黑体" w:eastAsia="黑体"/>
          <w:b w:val="0"/>
        </w:rPr>
        <w:t>词解释</w:t>
      </w:r>
      <w:bookmarkEnd w:id="83"/>
      <w:bookmarkEnd w:id="84"/>
      <w:bookmarkEnd w:id="85"/>
    </w:p>
    <w:p>
      <w:pPr>
        <w:spacing w:line="600" w:lineRule="exact"/>
        <w:jc w:val="left"/>
        <w:rPr>
          <w:rFonts w:ascii="宋体"/>
          <w:b/>
          <w:sz w:val="44"/>
          <w:szCs w:val="44"/>
        </w:rPr>
      </w:pPr>
    </w:p>
    <w:p>
      <w:pPr>
        <w:pStyle w:val="29"/>
        <w:numPr>
          <w:ilvl w:val="0"/>
          <w:numId w:val="7"/>
        </w:num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财政拨款收入：指单位从同级财政部门取得的财政预算资金。</w:t>
      </w:r>
    </w:p>
    <w:p>
      <w:pPr>
        <w:pStyle w:val="29"/>
        <w:numPr>
          <w:ilvl w:val="0"/>
          <w:numId w:val="7"/>
        </w:num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其他收入：指单位取得的除上述收入以外的各项收入。主要是账户存款利息收入等。</w:t>
      </w:r>
      <w:r>
        <w:rPr>
          <w:rFonts w:ascii="仿宋_GB2312" w:eastAsia="仿宋_GB2312"/>
          <w:color w:val="auto"/>
          <w:sz w:val="32"/>
          <w:szCs w:val="32"/>
        </w:rPr>
        <w:t xml:space="preserve"> </w:t>
      </w:r>
    </w:p>
    <w:p>
      <w:pPr>
        <w:pStyle w:val="29"/>
        <w:numPr>
          <w:ilvl w:val="0"/>
          <w:numId w:val="7"/>
        </w:num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9"/>
        <w:numPr>
          <w:ilvl w:val="0"/>
          <w:numId w:val="7"/>
        </w:num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年末结转和结余：指单位按有关规定结转到下年或以后年度继续使用的资金。</w:t>
      </w:r>
    </w:p>
    <w:p>
      <w:pPr>
        <w:pStyle w:val="29"/>
        <w:numPr>
          <w:ilvl w:val="0"/>
          <w:numId w:val="7"/>
        </w:num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一般公共服务（类）一般公共服务（类）发展与改革事务（款）行政运行（项）反映的本单位（包括实行公务员管理的事业单位）的基本支出。</w:t>
      </w:r>
    </w:p>
    <w:p>
      <w:pPr>
        <w:pStyle w:val="29"/>
        <w:numPr>
          <w:ilvl w:val="0"/>
          <w:numId w:val="7"/>
        </w:num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一般公共服务（类）发展与改革事务（款）一般行政管理事务（项）反映的本单位（包括实行公务员管理的事业单位）未单独设置项级科目的其他项目支出。</w:t>
      </w:r>
    </w:p>
    <w:p>
      <w:pPr>
        <w:pStyle w:val="29"/>
        <w:numPr>
          <w:ilvl w:val="0"/>
          <w:numId w:val="7"/>
        </w:num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一般公共服务（类）发展与改革事务（款）社会事业发展</w:t>
      </w:r>
      <w:r>
        <w:rPr>
          <w:rFonts w:hint="default" w:ascii="仿宋_GB2312" w:eastAsia="仿宋_GB2312"/>
          <w:color w:val="auto"/>
          <w:sz w:val="32"/>
          <w:szCs w:val="32"/>
        </w:rPr>
        <w:t>规划</w:t>
      </w:r>
      <w:r>
        <w:rPr>
          <w:rFonts w:hint="eastAsia" w:ascii="仿宋_GB2312" w:eastAsia="仿宋_GB2312"/>
          <w:color w:val="auto"/>
          <w:sz w:val="32"/>
          <w:szCs w:val="32"/>
        </w:rPr>
        <w:t>（项）反映的本单位承担的全市“十四五规划”等方面的支出。</w:t>
      </w:r>
    </w:p>
    <w:p>
      <w:pPr>
        <w:pStyle w:val="29"/>
        <w:numPr>
          <w:ilvl w:val="0"/>
          <w:numId w:val="7"/>
        </w:num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一般公共服务（类）发展与改革事务（款）</w:t>
      </w:r>
      <w:r>
        <w:rPr>
          <w:rFonts w:hint="eastAsia" w:ascii="仿宋_GB2312" w:eastAsia="仿宋_GB2312"/>
          <w:color w:val="auto"/>
          <w:sz w:val="32"/>
          <w:szCs w:val="32"/>
          <w:lang w:eastAsia="zh-CN"/>
        </w:rPr>
        <w:t>事业运行</w:t>
      </w:r>
      <w:r>
        <w:rPr>
          <w:rFonts w:hint="eastAsia" w:ascii="仿宋_GB2312" w:eastAsia="仿宋_GB2312"/>
          <w:color w:val="auto"/>
          <w:sz w:val="32"/>
          <w:szCs w:val="32"/>
        </w:rPr>
        <w:t>（项）反映的本单位</w:t>
      </w:r>
      <w:r>
        <w:rPr>
          <w:rFonts w:hint="eastAsia" w:ascii="仿宋_GB2312" w:eastAsia="仿宋_GB2312"/>
          <w:color w:val="auto"/>
          <w:sz w:val="32"/>
          <w:szCs w:val="32"/>
          <w:lang w:eastAsia="zh-CN"/>
        </w:rPr>
        <w:t>事业人员经费支出</w:t>
      </w:r>
      <w:r>
        <w:rPr>
          <w:rFonts w:hint="eastAsia" w:ascii="仿宋_GB2312" w:eastAsia="仿宋_GB2312"/>
          <w:color w:val="auto"/>
          <w:sz w:val="32"/>
          <w:szCs w:val="32"/>
        </w:rPr>
        <w:t>。</w:t>
      </w:r>
    </w:p>
    <w:p>
      <w:pPr>
        <w:pStyle w:val="29"/>
        <w:numPr>
          <w:ilvl w:val="0"/>
          <w:numId w:val="7"/>
        </w:num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一般公共服务（类）发展与改革事务（款）其他发展与改革事务支出（项）反映除上述项目以外的其他发展与改革事务支出。</w:t>
      </w:r>
    </w:p>
    <w:p>
      <w:pPr>
        <w:pStyle w:val="29"/>
        <w:numPr>
          <w:ilvl w:val="0"/>
          <w:numId w:val="7"/>
        </w:num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 xml:space="preserve"> 科学技术（类）技术研究与开发（款）科技成果转化与扩散（项）指上级补助单位个人支出。</w:t>
      </w:r>
    </w:p>
    <w:p>
      <w:pPr>
        <w:pStyle w:val="29"/>
        <w:numPr>
          <w:ilvl w:val="0"/>
          <w:numId w:val="7"/>
        </w:num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rPr>
        <w:t>社会保障和就业支出（类）行政事业单位养老支出（款）行政单位离退休（项）指本单位离退休公用经费等方面的支出。</w:t>
      </w:r>
    </w:p>
    <w:p>
      <w:pPr>
        <w:pStyle w:val="29"/>
        <w:numPr>
          <w:ilvl w:val="0"/>
          <w:numId w:val="7"/>
        </w:num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社会保障和就业支出（类）行政事业单位养老支出（款）机关事业单位基本养老保险缴费支出（项）指本单位人员养老保险支出。</w:t>
      </w:r>
    </w:p>
    <w:p>
      <w:pPr>
        <w:pStyle w:val="29"/>
        <w:numPr>
          <w:ilvl w:val="0"/>
          <w:numId w:val="7"/>
        </w:num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社会保障和就业支出（类）行政事业单位养老支出（款）机关事业单位职业年金缴费支出（项）指机关退休人中职业年金纪实支出。</w:t>
      </w:r>
    </w:p>
    <w:p>
      <w:pPr>
        <w:pStyle w:val="29"/>
        <w:numPr>
          <w:ilvl w:val="0"/>
          <w:numId w:val="7"/>
        </w:num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社会保障和就业支出（类）抚恤（款）死亡抚恤（项）指机关离退休人员死亡抚恤支出。</w:t>
      </w:r>
    </w:p>
    <w:p>
      <w:pPr>
        <w:pStyle w:val="29"/>
        <w:numPr>
          <w:ilvl w:val="0"/>
          <w:numId w:val="7"/>
        </w:num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社会保障和就业支出（类）其他社会保障和就业支出（款）其他社会保障和就业支出（项）指机关人员其他保障缴费。</w:t>
      </w:r>
    </w:p>
    <w:p>
      <w:pPr>
        <w:pStyle w:val="29"/>
        <w:numPr>
          <w:ilvl w:val="0"/>
          <w:numId w:val="7"/>
        </w:numPr>
        <w:spacing w:line="560" w:lineRule="exact"/>
        <w:ind w:left="0" w:leftChars="0" w:firstLine="640" w:firstLineChars="200"/>
        <w:rPr>
          <w:rFonts w:hint="eastAsia" w:ascii="仿宋_GB2312" w:eastAsia="仿宋_GB2312"/>
          <w:sz w:val="32"/>
          <w:szCs w:val="32"/>
        </w:rPr>
      </w:pPr>
      <w:r>
        <w:rPr>
          <w:rFonts w:hint="eastAsia" w:ascii="仿宋_GB2312" w:eastAsia="仿宋_GB2312"/>
          <w:color w:val="auto"/>
          <w:sz w:val="32"/>
          <w:szCs w:val="32"/>
        </w:rPr>
        <w:t>卫生健康支出（类）行政单位医疗（款）行政单位医疗（项）指机关人员医疗保险支出。</w:t>
      </w:r>
    </w:p>
    <w:p>
      <w:pPr>
        <w:pStyle w:val="29"/>
        <w:numPr>
          <w:ilvl w:val="0"/>
          <w:numId w:val="7"/>
        </w:numPr>
        <w:spacing w:line="560" w:lineRule="exact"/>
        <w:ind w:left="0" w:leftChars="0" w:firstLine="640" w:firstLineChars="200"/>
        <w:rPr>
          <w:rFonts w:hint="eastAsia" w:ascii="仿宋_GB2312" w:eastAsia="仿宋_GB2312"/>
          <w:sz w:val="32"/>
          <w:szCs w:val="32"/>
        </w:rPr>
      </w:pPr>
      <w:r>
        <w:rPr>
          <w:rFonts w:hint="eastAsia" w:ascii="仿宋_GB2312" w:eastAsia="仿宋_GB2312"/>
          <w:color w:val="auto"/>
          <w:sz w:val="32"/>
          <w:szCs w:val="32"/>
        </w:rPr>
        <w:t>住房保障支出（类）住房改革支出（款）住房公积金（项）指机关人员住房公积金缴费支出。</w:t>
      </w:r>
    </w:p>
    <w:p>
      <w:pPr>
        <w:pStyle w:val="29"/>
        <w:numPr>
          <w:ilvl w:val="0"/>
          <w:numId w:val="7"/>
        </w:numPr>
        <w:spacing w:line="560" w:lineRule="exact"/>
        <w:ind w:left="0" w:leftChars="0" w:firstLine="640" w:firstLineChars="200"/>
        <w:rPr>
          <w:rFonts w:hint="eastAsia" w:ascii="仿宋_GB2312" w:eastAsia="仿宋_GB2312"/>
          <w:sz w:val="32"/>
          <w:szCs w:val="32"/>
        </w:rPr>
      </w:pPr>
      <w:r>
        <w:rPr>
          <w:rFonts w:hint="eastAsia" w:ascii="仿宋_GB2312" w:eastAsia="仿宋_GB2312"/>
          <w:color w:val="auto"/>
          <w:sz w:val="32"/>
          <w:szCs w:val="32"/>
        </w:rPr>
        <w:t>住房保障支出（类）住房改革支出（款）购房补贴（项）指机关高层次人才引进住房补贴支出。</w:t>
      </w:r>
    </w:p>
    <w:p>
      <w:pPr>
        <w:pStyle w:val="29"/>
        <w:numPr>
          <w:ilvl w:val="0"/>
          <w:numId w:val="7"/>
        </w:numPr>
        <w:spacing w:line="560" w:lineRule="exact"/>
        <w:ind w:left="0" w:leftChars="0" w:firstLine="640" w:firstLineChars="200"/>
        <w:rPr>
          <w:rFonts w:hint="eastAsia" w:ascii="仿宋_GB2312" w:eastAsia="仿宋_GB2312"/>
          <w:sz w:val="32"/>
          <w:szCs w:val="32"/>
        </w:rPr>
      </w:pPr>
      <w:r>
        <w:rPr>
          <w:rFonts w:hint="eastAsia" w:ascii="仿宋_GB2312" w:eastAsia="仿宋_GB2312"/>
          <w:sz w:val="32"/>
          <w:szCs w:val="32"/>
        </w:rPr>
        <w:t>粮油</w:t>
      </w:r>
      <w:r>
        <w:rPr>
          <w:rFonts w:hint="eastAsia" w:ascii="仿宋_GB2312" w:eastAsia="仿宋_GB2312"/>
          <w:sz w:val="32"/>
          <w:szCs w:val="32"/>
          <w:lang w:eastAsia="zh-CN"/>
        </w:rPr>
        <w:t>物资</w:t>
      </w:r>
      <w:r>
        <w:rPr>
          <w:rFonts w:hint="eastAsia" w:ascii="仿宋_GB2312" w:eastAsia="仿宋_GB2312"/>
          <w:sz w:val="32"/>
          <w:szCs w:val="32"/>
        </w:rPr>
        <w:t>储备</w:t>
      </w:r>
      <w:r>
        <w:rPr>
          <w:rFonts w:hint="eastAsia" w:ascii="仿宋_GB2312" w:eastAsia="仿宋_GB2312"/>
          <w:sz w:val="32"/>
          <w:szCs w:val="32"/>
          <w:lang w:eastAsia="zh-CN"/>
        </w:rPr>
        <w:t>支出</w:t>
      </w:r>
      <w:r>
        <w:rPr>
          <w:rFonts w:hint="eastAsia" w:ascii="仿宋_GB2312" w:eastAsia="仿宋_GB2312"/>
          <w:sz w:val="32"/>
          <w:szCs w:val="32"/>
        </w:rPr>
        <w:t>（类）</w:t>
      </w:r>
      <w:r>
        <w:rPr>
          <w:rFonts w:hint="eastAsia" w:ascii="仿宋_GB2312" w:eastAsia="仿宋_GB2312"/>
          <w:sz w:val="32"/>
          <w:szCs w:val="32"/>
          <w:lang w:eastAsia="zh-CN"/>
        </w:rPr>
        <w:t>粮油储备</w:t>
      </w:r>
      <w:r>
        <w:rPr>
          <w:rFonts w:hint="eastAsia" w:ascii="仿宋_GB2312" w:eastAsia="仿宋_GB2312"/>
          <w:sz w:val="32"/>
          <w:szCs w:val="32"/>
        </w:rPr>
        <w:t>（款）</w:t>
      </w:r>
      <w:r>
        <w:rPr>
          <w:rFonts w:hint="eastAsia" w:ascii="仿宋_GB2312" w:eastAsia="仿宋_GB2312"/>
          <w:sz w:val="32"/>
          <w:szCs w:val="32"/>
          <w:lang w:eastAsia="zh-CN"/>
        </w:rPr>
        <w:t>储备粮油（库）建设（项）指建设川北物流园区前期费用支出。</w:t>
      </w:r>
    </w:p>
    <w:p>
      <w:pPr>
        <w:pStyle w:val="29"/>
        <w:numPr>
          <w:ilvl w:val="0"/>
          <w:numId w:val="7"/>
        </w:numPr>
        <w:spacing w:line="560" w:lineRule="exact"/>
        <w:ind w:left="0" w:leftChars="0" w:firstLine="640" w:firstLineChars="200"/>
        <w:rPr>
          <w:rFonts w:ascii="仿宋_GB2312" w:eastAsia="仿宋_GB2312"/>
          <w:color w:val="auto"/>
          <w:sz w:val="32"/>
          <w:szCs w:val="32"/>
        </w:rPr>
      </w:pPr>
      <w:r>
        <w:rPr>
          <w:rFonts w:hint="eastAsia" w:ascii="仿宋_GB2312" w:eastAsia="仿宋_GB2312"/>
          <w:sz w:val="32"/>
          <w:szCs w:val="32"/>
        </w:rPr>
        <w:t>其他支出（类）其他支出（款）其他支出（项</w:t>
      </w:r>
      <w:r>
        <w:rPr>
          <w:rFonts w:hint="eastAsia" w:ascii="仿宋_GB2312" w:eastAsia="仿宋_GB2312"/>
          <w:sz w:val="32"/>
          <w:szCs w:val="32"/>
          <w:lang w:eastAsia="zh-CN"/>
        </w:rPr>
        <w:t>）指全市重点项目推进工作经费支出。</w:t>
      </w:r>
    </w:p>
    <w:p>
      <w:pPr>
        <w:pStyle w:val="29"/>
        <w:numPr>
          <w:ilvl w:val="0"/>
          <w:numId w:val="7"/>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基本支出：指为保障机构正常运转、完成日常工作任务而发生的人员支出和公用支出。</w:t>
      </w:r>
    </w:p>
    <w:p>
      <w:pPr>
        <w:pStyle w:val="29"/>
        <w:numPr>
          <w:ilvl w:val="0"/>
          <w:numId w:val="7"/>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项目支出：指在基本支出之外为完成特定行政任务和事业发展目标所发生的支出。</w:t>
      </w:r>
      <w:r>
        <w:rPr>
          <w:rFonts w:ascii="仿宋_GB2312" w:eastAsia="仿宋_GB2312"/>
          <w:color w:val="auto"/>
          <w:sz w:val="32"/>
          <w:szCs w:val="32"/>
        </w:rPr>
        <w:t xml:space="preserve"> </w:t>
      </w:r>
    </w:p>
    <w:p>
      <w:pPr>
        <w:pStyle w:val="29"/>
        <w:numPr>
          <w:ilvl w:val="0"/>
          <w:numId w:val="7"/>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9"/>
        <w:numPr>
          <w:ilvl w:val="0"/>
          <w:numId w:val="7"/>
        </w:numPr>
        <w:spacing w:line="560" w:lineRule="exact"/>
        <w:ind w:left="0" w:leftChars="0" w:firstLine="640" w:firstLineChars="200"/>
        <w:rPr>
          <w:rFonts w:ascii="仿宋_GB2312" w:eastAsia="仿宋_GB2312"/>
          <w:color w:val="auto"/>
          <w:sz w:val="32"/>
          <w:szCs w:val="32"/>
        </w:rPr>
      </w:pP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31"/>
          <w:rFonts w:ascii="黑体" w:hAnsi="黑体" w:eastAsia="黑体"/>
          <w:b w:val="0"/>
          <w:color w:val="auto"/>
          <w:highlight w:val="none"/>
        </w:rPr>
      </w:pPr>
      <w:bookmarkStart w:id="86" w:name="_Toc15377226"/>
      <w:r>
        <w:rPr>
          <w:rFonts w:ascii="宋体"/>
          <w:b/>
          <w:sz w:val="44"/>
          <w:szCs w:val="44"/>
        </w:rPr>
        <w:br w:type="page"/>
      </w:r>
      <w:bookmarkStart w:id="87" w:name="_Toc17332"/>
      <w:bookmarkStart w:id="88" w:name="_Toc15396618"/>
      <w:r>
        <w:rPr>
          <w:rFonts w:hint="eastAsia" w:ascii="黑体" w:hAnsi="黑体" w:eastAsia="黑体"/>
          <w:color w:val="auto"/>
          <w:sz w:val="44"/>
          <w:szCs w:val="44"/>
          <w:highlight w:val="none"/>
        </w:rPr>
        <w:t>第</w:t>
      </w:r>
      <w:r>
        <w:rPr>
          <w:rStyle w:val="31"/>
          <w:rFonts w:hint="eastAsia" w:ascii="黑体" w:hAnsi="黑体" w:eastAsia="黑体"/>
          <w:b w:val="0"/>
          <w:color w:val="auto"/>
          <w:highlight w:val="none"/>
        </w:rPr>
        <w:t>四部分 附件</w:t>
      </w:r>
      <w:bookmarkEnd w:id="87"/>
    </w:p>
    <w:p>
      <w:pPr>
        <w:keepNext w:val="0"/>
        <w:keepLines w:val="0"/>
        <w:pageBreakBefore w:val="0"/>
        <w:kinsoku/>
        <w:wordWrap/>
        <w:overflowPunct/>
        <w:topLinePunct w:val="0"/>
        <w:autoSpaceDE/>
        <w:autoSpaceDN/>
        <w:bidi w:val="0"/>
        <w:spacing w:line="572" w:lineRule="exact"/>
        <w:jc w:val="left"/>
        <w:textAlignment w:val="auto"/>
        <w:outlineLvl w:val="0"/>
        <w:rPr>
          <w:rFonts w:ascii="仿宋_GB2312" w:hAnsi="仿宋_GB2312" w:eastAsia="仿宋_GB2312" w:cs="仿宋_GB2312"/>
          <w:color w:val="auto"/>
          <w:sz w:val="32"/>
          <w:szCs w:val="32"/>
          <w:highlight w:val="none"/>
        </w:rPr>
      </w:pPr>
    </w:p>
    <w:p>
      <w:pPr>
        <w:spacing w:line="600" w:lineRule="exact"/>
        <w:jc w:val="center"/>
        <w:outlineLvl w:val="0"/>
        <w:rPr>
          <w:rFonts w:hint="eastAsia" w:ascii="宋体" w:hAnsi="宋体" w:eastAsia="宋体" w:cs="宋体"/>
          <w:color w:val="auto"/>
          <w:kern w:val="0"/>
          <w:sz w:val="32"/>
          <w:szCs w:val="32"/>
          <w:highlight w:val="none"/>
          <w:lang w:val="en-US" w:eastAsia="zh-CN" w:bidi="ar-SA"/>
        </w:rPr>
      </w:pPr>
      <w:bookmarkStart w:id="89" w:name="_Toc15732"/>
      <w:bookmarkStart w:id="90" w:name="_Toc28487"/>
      <w:r>
        <w:rPr>
          <w:rFonts w:hint="eastAsia" w:ascii="宋体" w:hAnsi="宋体" w:eastAsia="宋体" w:cs="宋体"/>
          <w:color w:val="auto"/>
          <w:kern w:val="0"/>
          <w:sz w:val="32"/>
          <w:szCs w:val="32"/>
          <w:highlight w:val="none"/>
          <w:lang w:val="en-US" w:eastAsia="zh-CN" w:bidi="ar-SA"/>
        </w:rPr>
        <w:t>部门预算项目支出绩效自评表（2022年度）</w:t>
      </w:r>
      <w:bookmarkEnd w:id="89"/>
      <w:bookmarkEnd w:id="90"/>
    </w:p>
    <w:tbl>
      <w:tblPr>
        <w:tblStyle w:val="18"/>
        <w:tblW w:w="11385" w:type="dxa"/>
        <w:tblInd w:w="-13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0"/>
        <w:gridCol w:w="1185"/>
        <w:gridCol w:w="1080"/>
        <w:gridCol w:w="1440"/>
        <w:gridCol w:w="1005"/>
        <w:gridCol w:w="795"/>
        <w:gridCol w:w="960"/>
        <w:gridCol w:w="780"/>
        <w:gridCol w:w="780"/>
        <w:gridCol w:w="780"/>
        <w:gridCol w:w="17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138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0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广元市发展和改革委员会部门</w:t>
            </w:r>
          </w:p>
        </w:tc>
        <w:tc>
          <w:tcPr>
            <w:tcW w:w="7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3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0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0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w:t>
            </w:r>
            <w:r>
              <w:rPr>
                <w:rFonts w:hint="eastAsia" w:ascii="宋体" w:hAnsi="宋体" w:cs="宋体"/>
                <w:i w:val="0"/>
                <w:iCs w:val="0"/>
                <w:color w:val="000000"/>
                <w:kern w:val="0"/>
                <w:sz w:val="18"/>
                <w:szCs w:val="18"/>
                <w:u w:val="none"/>
                <w:lang w:val="en-US" w:eastAsia="zh-CN" w:bidi="ar"/>
              </w:rPr>
              <w:t>了职工</w:t>
            </w:r>
            <w:r>
              <w:rPr>
                <w:rFonts w:ascii="宋体" w:hAnsi="宋体" w:eastAsia="宋体" w:cs="宋体"/>
                <w:i w:val="0"/>
                <w:iCs w:val="0"/>
                <w:color w:val="000000"/>
                <w:kern w:val="0"/>
                <w:sz w:val="18"/>
                <w:szCs w:val="18"/>
                <w:u w:val="none"/>
                <w:lang w:val="en-US" w:eastAsia="zh-CN" w:bidi="ar"/>
              </w:rPr>
              <w:t>及时发放、足额发放，预算编制科学合理，</w:t>
            </w:r>
            <w:r>
              <w:rPr>
                <w:rFonts w:hint="eastAsia" w:ascii="宋体" w:hAnsi="宋体" w:cs="宋体"/>
                <w:i w:val="0"/>
                <w:iCs w:val="0"/>
                <w:color w:val="000000"/>
                <w:kern w:val="0"/>
                <w:sz w:val="18"/>
                <w:szCs w:val="18"/>
                <w:u w:val="none"/>
                <w:lang w:val="en-US" w:eastAsia="zh-CN" w:bidi="ar"/>
              </w:rPr>
              <w:t>年末无</w:t>
            </w:r>
            <w:r>
              <w:rPr>
                <w:rFonts w:ascii="宋体" w:hAnsi="宋体" w:eastAsia="宋体" w:cs="宋体"/>
                <w:i w:val="0"/>
                <w:iCs w:val="0"/>
                <w:color w:val="000000"/>
                <w:kern w:val="0"/>
                <w:sz w:val="18"/>
                <w:szCs w:val="18"/>
                <w:u w:val="none"/>
                <w:lang w:val="en-US" w:eastAsia="zh-CN" w:bidi="ar"/>
              </w:rPr>
              <w:t>结余资金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1,293.19</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1,905.57</w:t>
            </w: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1,905.57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1,293.19</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1,905.57</w:t>
            </w: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1,905.57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0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5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自评100分。该项目严格按照年度目标绩效完成了对</w:t>
            </w:r>
            <w:r>
              <w:rPr>
                <w:rFonts w:hint="eastAsia" w:ascii="宋体" w:hAnsi="宋体" w:cs="宋体"/>
                <w:i w:val="0"/>
                <w:iCs w:val="0"/>
                <w:color w:val="000000"/>
                <w:kern w:val="0"/>
                <w:sz w:val="16"/>
                <w:szCs w:val="16"/>
                <w:u w:val="none"/>
                <w:lang w:val="en-US" w:eastAsia="zh-CN" w:bidi="ar"/>
              </w:rPr>
              <w:t>单位职工工资及时、足额的发放</w:t>
            </w:r>
            <w:r>
              <w:rPr>
                <w:rFonts w:hint="eastAsia" w:ascii="宋体" w:hAnsi="宋体" w:eastAsia="宋体" w:cs="宋体"/>
                <w:i w:val="0"/>
                <w:iCs w:val="0"/>
                <w:color w:val="000000"/>
                <w:kern w:val="0"/>
                <w:sz w:val="16"/>
                <w:szCs w:val="16"/>
                <w:u w:val="none"/>
                <w:lang w:val="en-US" w:eastAsia="zh-CN" w:bidi="ar"/>
              </w:rPr>
              <w:t>，达到了项目绩效</w:t>
            </w:r>
            <w:r>
              <w:rPr>
                <w:rFonts w:hint="eastAsia" w:ascii="宋体" w:hAnsi="宋体" w:cs="宋体"/>
                <w:i w:val="0"/>
                <w:iCs w:val="0"/>
                <w:color w:val="000000"/>
                <w:kern w:val="0"/>
                <w:sz w:val="16"/>
                <w:szCs w:val="16"/>
                <w:u w:val="none"/>
                <w:lang w:val="en-US" w:eastAsia="zh-CN" w:bidi="ar"/>
              </w:rPr>
              <w:t>目标</w:t>
            </w:r>
            <w:r>
              <w:rPr>
                <w:rFonts w:hint="eastAsia" w:ascii="宋体" w:hAnsi="宋体" w:eastAsia="宋体" w:cs="宋体"/>
                <w:i w:val="0"/>
                <w:iCs w:val="0"/>
                <w:color w:val="000000"/>
                <w:kern w:val="0"/>
                <w:sz w:val="16"/>
                <w:szCs w:val="16"/>
                <w:u w:val="none"/>
                <w:lang w:val="en-US" w:eastAsia="zh-CN" w:bidi="ar"/>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5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5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8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4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p>
      <w:pPr>
        <w:rPr>
          <w:rFonts w:hint="eastAsia" w:ascii="宋体" w:hAnsi="宋体" w:eastAsia="宋体" w:cs="宋体"/>
          <w:color w:val="auto"/>
          <w:kern w:val="0"/>
          <w:sz w:val="32"/>
          <w:szCs w:val="32"/>
          <w:highlight w:val="none"/>
          <w:lang w:val="en-US" w:eastAsia="zh-CN" w:bidi="ar-SA"/>
        </w:rPr>
      </w:pPr>
    </w:p>
    <w:tbl>
      <w:tblPr>
        <w:tblStyle w:val="18"/>
        <w:tblW w:w="11460" w:type="dxa"/>
        <w:tblInd w:w="-137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3"/>
        <w:gridCol w:w="1045"/>
        <w:gridCol w:w="956"/>
        <w:gridCol w:w="1297"/>
        <w:gridCol w:w="812"/>
        <w:gridCol w:w="891"/>
        <w:gridCol w:w="1049"/>
        <w:gridCol w:w="947"/>
        <w:gridCol w:w="930"/>
        <w:gridCol w:w="802"/>
        <w:gridCol w:w="18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14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5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9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广元市发展和改革委员会部门</w:t>
            </w:r>
          </w:p>
        </w:tc>
        <w:tc>
          <w:tcPr>
            <w:tcW w:w="94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5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0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51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w:t>
            </w:r>
            <w:r>
              <w:rPr>
                <w:rFonts w:hint="eastAsia" w:ascii="宋体" w:hAnsi="宋体" w:eastAsia="宋体" w:cs="宋体"/>
                <w:i w:val="0"/>
                <w:iCs w:val="0"/>
                <w:color w:val="000000"/>
                <w:kern w:val="0"/>
                <w:sz w:val="18"/>
                <w:szCs w:val="18"/>
                <w:u w:val="none"/>
                <w:lang w:val="en-US" w:eastAsia="zh-CN" w:bidi="ar"/>
              </w:rPr>
              <w:t>退休人员生活补助</w:t>
            </w:r>
            <w:r>
              <w:rPr>
                <w:rFonts w:ascii="宋体" w:hAnsi="宋体" w:eastAsia="宋体" w:cs="宋体"/>
                <w:i w:val="0"/>
                <w:iCs w:val="0"/>
                <w:color w:val="000000"/>
                <w:kern w:val="0"/>
                <w:sz w:val="18"/>
                <w:szCs w:val="18"/>
                <w:u w:val="none"/>
                <w:lang w:val="en-US" w:eastAsia="zh-CN" w:bidi="ar"/>
              </w:rPr>
              <w:t>及时发放、足额发放，预算编制科学合理，</w:t>
            </w:r>
            <w:r>
              <w:rPr>
                <w:rFonts w:hint="eastAsia" w:ascii="宋体" w:hAnsi="宋体" w:cs="宋体"/>
                <w:i w:val="0"/>
                <w:iCs w:val="0"/>
                <w:color w:val="000000"/>
                <w:kern w:val="0"/>
                <w:sz w:val="18"/>
                <w:szCs w:val="18"/>
                <w:u w:val="none"/>
                <w:lang w:val="en-US" w:eastAsia="zh-CN" w:bidi="ar"/>
              </w:rPr>
              <w:t>年末无</w:t>
            </w:r>
            <w:r>
              <w:rPr>
                <w:rFonts w:ascii="宋体" w:hAnsi="宋体" w:eastAsia="宋体" w:cs="宋体"/>
                <w:i w:val="0"/>
                <w:iCs w:val="0"/>
                <w:color w:val="000000"/>
                <w:kern w:val="0"/>
                <w:sz w:val="18"/>
                <w:szCs w:val="18"/>
                <w:u w:val="none"/>
                <w:lang w:val="en-US" w:eastAsia="zh-CN" w:bidi="ar"/>
              </w:rPr>
              <w:t>结余资金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5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203.92</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213.64</w:t>
            </w:r>
          </w:p>
        </w:tc>
        <w:tc>
          <w:tcPr>
            <w:tcW w:w="2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213.64</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18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203.92</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213.64</w:t>
            </w:r>
          </w:p>
        </w:tc>
        <w:tc>
          <w:tcPr>
            <w:tcW w:w="2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213.64</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8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56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自评100分。该项目严格按照年度目标绩效完成了对</w:t>
            </w:r>
            <w:r>
              <w:rPr>
                <w:rFonts w:hint="eastAsia" w:ascii="宋体" w:hAnsi="宋体" w:cs="宋体"/>
                <w:i w:val="0"/>
                <w:iCs w:val="0"/>
                <w:color w:val="000000"/>
                <w:kern w:val="0"/>
                <w:sz w:val="16"/>
                <w:szCs w:val="16"/>
                <w:u w:val="none"/>
                <w:lang w:val="en-US" w:eastAsia="zh-CN" w:bidi="ar"/>
              </w:rPr>
              <w:t>退休人员生活补助及时、足额的发放</w:t>
            </w:r>
            <w:r>
              <w:rPr>
                <w:rFonts w:hint="eastAsia" w:ascii="宋体" w:hAnsi="宋体" w:eastAsia="宋体" w:cs="宋体"/>
                <w:i w:val="0"/>
                <w:iCs w:val="0"/>
                <w:color w:val="000000"/>
                <w:kern w:val="0"/>
                <w:sz w:val="16"/>
                <w:szCs w:val="16"/>
                <w:u w:val="none"/>
                <w:lang w:val="en-US" w:eastAsia="zh-CN" w:bidi="ar"/>
              </w:rPr>
              <w:t>，达到了项目绩效</w:t>
            </w:r>
            <w:r>
              <w:rPr>
                <w:rFonts w:hint="eastAsia" w:ascii="宋体" w:hAnsi="宋体" w:cs="宋体"/>
                <w:i w:val="0"/>
                <w:iCs w:val="0"/>
                <w:color w:val="000000"/>
                <w:kern w:val="0"/>
                <w:sz w:val="16"/>
                <w:szCs w:val="16"/>
                <w:u w:val="none"/>
                <w:lang w:val="en-US" w:eastAsia="zh-CN" w:bidi="ar"/>
              </w:rPr>
              <w:t>目标</w:t>
            </w:r>
            <w:r>
              <w:rPr>
                <w:rFonts w:hint="eastAsia" w:ascii="宋体" w:hAnsi="宋体" w:eastAsia="宋体" w:cs="宋体"/>
                <w:i w:val="0"/>
                <w:iCs w:val="0"/>
                <w:color w:val="000000"/>
                <w:kern w:val="0"/>
                <w:sz w:val="16"/>
                <w:szCs w:val="16"/>
                <w:u w:val="none"/>
                <w:lang w:val="en-US" w:eastAsia="zh-CN" w:bidi="ar"/>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56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56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00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4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9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5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9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1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4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02"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8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2"/>
        <w:rPr>
          <w:rFonts w:hint="eastAsia" w:ascii="宋体" w:hAnsi="宋体" w:eastAsia="宋体" w:cs="宋体"/>
          <w:color w:val="auto"/>
          <w:kern w:val="0"/>
          <w:sz w:val="32"/>
          <w:szCs w:val="32"/>
          <w:highlight w:val="none"/>
          <w:lang w:val="en-US" w:eastAsia="zh-CN" w:bidi="ar-SA"/>
        </w:rPr>
      </w:pPr>
    </w:p>
    <w:p>
      <w:pPr>
        <w:rPr>
          <w:rFonts w:hint="eastAsia" w:ascii="宋体" w:hAnsi="宋体" w:eastAsia="宋体" w:cs="宋体"/>
          <w:color w:val="auto"/>
          <w:kern w:val="0"/>
          <w:sz w:val="32"/>
          <w:szCs w:val="32"/>
          <w:highlight w:val="none"/>
          <w:lang w:val="en-US" w:eastAsia="zh-CN" w:bidi="ar-SA"/>
        </w:rPr>
      </w:pPr>
    </w:p>
    <w:tbl>
      <w:tblPr>
        <w:tblStyle w:val="18"/>
        <w:tblW w:w="11445" w:type="dxa"/>
        <w:tblInd w:w="-1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5"/>
        <w:gridCol w:w="1013"/>
        <w:gridCol w:w="968"/>
        <w:gridCol w:w="1444"/>
        <w:gridCol w:w="1110"/>
        <w:gridCol w:w="780"/>
        <w:gridCol w:w="990"/>
        <w:gridCol w:w="930"/>
        <w:gridCol w:w="930"/>
        <w:gridCol w:w="875"/>
        <w:gridCol w:w="1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144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6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7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广元市发展和改革委员会部门</w:t>
            </w:r>
          </w:p>
        </w:tc>
        <w:tc>
          <w:tcPr>
            <w:tcW w:w="93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4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3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3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w:t>
            </w:r>
            <w:r>
              <w:rPr>
                <w:rFonts w:hint="eastAsia" w:ascii="宋体" w:hAnsi="宋体" w:cs="宋体"/>
                <w:i w:val="0"/>
                <w:iCs w:val="0"/>
                <w:color w:val="000000"/>
                <w:kern w:val="0"/>
                <w:sz w:val="18"/>
                <w:szCs w:val="18"/>
                <w:u w:val="none"/>
                <w:lang w:val="en-US" w:eastAsia="zh-CN" w:bidi="ar"/>
              </w:rPr>
              <w:t>年初绩效目标</w:t>
            </w:r>
            <w:r>
              <w:rPr>
                <w:rFonts w:ascii="宋体" w:hAnsi="宋体" w:eastAsia="宋体" w:cs="宋体"/>
                <w:i w:val="0"/>
                <w:iCs w:val="0"/>
                <w:color w:val="000000"/>
                <w:kern w:val="0"/>
                <w:sz w:val="18"/>
                <w:szCs w:val="18"/>
                <w:u w:val="none"/>
                <w:lang w:val="en-US" w:eastAsia="zh-CN" w:bidi="ar"/>
              </w:rPr>
              <w:t>预算</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保障</w:t>
            </w:r>
            <w:r>
              <w:rPr>
                <w:rFonts w:hint="eastAsia" w:ascii="宋体" w:hAnsi="宋体" w:cs="宋体"/>
                <w:i w:val="0"/>
                <w:iCs w:val="0"/>
                <w:color w:val="000000"/>
                <w:kern w:val="0"/>
                <w:sz w:val="18"/>
                <w:szCs w:val="18"/>
                <w:u w:val="none"/>
                <w:lang w:val="en-US" w:eastAsia="zh-CN" w:bidi="ar"/>
              </w:rPr>
              <w:t>了</w:t>
            </w:r>
            <w:r>
              <w:rPr>
                <w:rFonts w:ascii="宋体" w:hAnsi="宋体" w:eastAsia="宋体" w:cs="宋体"/>
                <w:i w:val="0"/>
                <w:iCs w:val="0"/>
                <w:color w:val="000000"/>
                <w:kern w:val="0"/>
                <w:sz w:val="18"/>
                <w:szCs w:val="18"/>
                <w:u w:val="none"/>
                <w:lang w:val="en-US" w:eastAsia="zh-CN" w:bidi="ar"/>
              </w:rPr>
              <w:t>单位日常运转，提高</w:t>
            </w:r>
            <w:r>
              <w:rPr>
                <w:rFonts w:hint="eastAsia" w:ascii="宋体" w:hAnsi="宋体" w:cs="宋体"/>
                <w:i w:val="0"/>
                <w:iCs w:val="0"/>
                <w:color w:val="000000"/>
                <w:kern w:val="0"/>
                <w:sz w:val="18"/>
                <w:szCs w:val="18"/>
                <w:u w:val="none"/>
                <w:lang w:val="en-US" w:eastAsia="zh-CN" w:bidi="ar"/>
              </w:rPr>
              <w:t>了</w:t>
            </w:r>
            <w:r>
              <w:rPr>
                <w:rFonts w:ascii="宋体" w:hAnsi="宋体" w:eastAsia="宋体" w:cs="宋体"/>
                <w:i w:val="0"/>
                <w:iCs w:val="0"/>
                <w:color w:val="000000"/>
                <w:kern w:val="0"/>
                <w:sz w:val="18"/>
                <w:szCs w:val="18"/>
                <w:u w:val="none"/>
                <w:lang w:val="en-US" w:eastAsia="zh-CN" w:bidi="ar"/>
              </w:rPr>
              <w:t>预算编制质量</w:t>
            </w:r>
            <w:r>
              <w:rPr>
                <w:rFonts w:hint="eastAsia" w:ascii="宋体" w:hAnsi="宋体" w:cs="宋体"/>
                <w:i w:val="0"/>
                <w:iCs w:val="0"/>
                <w:color w:val="000000"/>
                <w:kern w:val="0"/>
                <w:sz w:val="18"/>
                <w:szCs w:val="18"/>
                <w:u w:val="none"/>
                <w:lang w:val="en-US" w:eastAsia="zh-CN" w:bidi="ar"/>
              </w:rPr>
              <w:t>，年末无</w:t>
            </w:r>
            <w:r>
              <w:rPr>
                <w:rFonts w:ascii="宋体" w:hAnsi="宋体" w:eastAsia="宋体" w:cs="宋体"/>
                <w:i w:val="0"/>
                <w:iCs w:val="0"/>
                <w:color w:val="000000"/>
                <w:kern w:val="0"/>
                <w:sz w:val="18"/>
                <w:szCs w:val="18"/>
                <w:u w:val="none"/>
                <w:lang w:val="en-US" w:eastAsia="zh-CN" w:bidi="ar"/>
              </w:rPr>
              <w:t>结余资金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65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145.80</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168.10</w:t>
            </w:r>
          </w:p>
        </w:tc>
        <w:tc>
          <w:tcPr>
            <w:tcW w:w="28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16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145.80</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168.10</w:t>
            </w:r>
          </w:p>
        </w:tc>
        <w:tc>
          <w:tcPr>
            <w:tcW w:w="28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168.10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6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7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01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16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6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自评100分。该项目严格按照年度目标绩效</w:t>
            </w:r>
            <w:r>
              <w:rPr>
                <w:rFonts w:hint="eastAsia" w:ascii="宋体" w:hAnsi="宋体" w:cs="宋体"/>
                <w:i w:val="0"/>
                <w:iCs w:val="0"/>
                <w:color w:val="000000"/>
                <w:kern w:val="0"/>
                <w:sz w:val="16"/>
                <w:szCs w:val="16"/>
                <w:u w:val="none"/>
                <w:lang w:val="en-US" w:eastAsia="zh-CN" w:bidi="ar"/>
              </w:rPr>
              <w:t>执行，</w:t>
            </w:r>
            <w:r>
              <w:rPr>
                <w:rFonts w:hint="eastAsia" w:ascii="宋体" w:hAnsi="宋体" w:eastAsia="宋体" w:cs="宋体"/>
                <w:i w:val="0"/>
                <w:iCs w:val="0"/>
                <w:color w:val="000000"/>
                <w:kern w:val="0"/>
                <w:sz w:val="16"/>
                <w:szCs w:val="16"/>
                <w:u w:val="none"/>
                <w:lang w:val="en-US" w:eastAsia="zh-CN" w:bidi="ar"/>
              </w:rPr>
              <w:t>保障</w:t>
            </w:r>
            <w:r>
              <w:rPr>
                <w:rFonts w:hint="eastAsia" w:ascii="宋体" w:hAnsi="宋体" w:cs="宋体"/>
                <w:i w:val="0"/>
                <w:iCs w:val="0"/>
                <w:color w:val="000000"/>
                <w:kern w:val="0"/>
                <w:sz w:val="16"/>
                <w:szCs w:val="16"/>
                <w:u w:val="none"/>
                <w:lang w:val="en-US" w:eastAsia="zh-CN" w:bidi="ar"/>
              </w:rPr>
              <w:t>了</w:t>
            </w:r>
            <w:r>
              <w:rPr>
                <w:rFonts w:hint="eastAsia" w:ascii="宋体" w:hAnsi="宋体" w:eastAsia="宋体" w:cs="宋体"/>
                <w:i w:val="0"/>
                <w:iCs w:val="0"/>
                <w:color w:val="000000"/>
                <w:kern w:val="0"/>
                <w:sz w:val="16"/>
                <w:szCs w:val="16"/>
                <w:u w:val="none"/>
                <w:lang w:val="en-US" w:eastAsia="zh-CN" w:bidi="ar"/>
              </w:rPr>
              <w:t>单位日常运转</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达到了项目绩效</w:t>
            </w:r>
            <w:r>
              <w:rPr>
                <w:rFonts w:hint="eastAsia" w:ascii="宋体" w:hAnsi="宋体" w:cs="宋体"/>
                <w:i w:val="0"/>
                <w:iCs w:val="0"/>
                <w:color w:val="000000"/>
                <w:kern w:val="0"/>
                <w:sz w:val="16"/>
                <w:szCs w:val="16"/>
                <w:u w:val="none"/>
                <w:lang w:val="en-US" w:eastAsia="zh-CN" w:bidi="ar"/>
              </w:rPr>
              <w:t>目标</w:t>
            </w:r>
            <w:r>
              <w:rPr>
                <w:rFonts w:hint="eastAsia" w:ascii="宋体" w:hAnsi="宋体" w:eastAsia="宋体" w:cs="宋体"/>
                <w:i w:val="0"/>
                <w:iCs w:val="0"/>
                <w:color w:val="000000"/>
                <w:kern w:val="0"/>
                <w:sz w:val="16"/>
                <w:szCs w:val="16"/>
                <w:u w:val="none"/>
                <w:lang w:val="en-US" w:eastAsia="zh-CN" w:bidi="ar"/>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6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67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3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1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1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4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8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tbl>
      <w:tblPr>
        <w:tblStyle w:val="18"/>
        <w:tblpPr w:leftFromText="180" w:rightFromText="180" w:vertAnchor="text" w:horzAnchor="page" w:tblpX="315" w:tblpY="1078"/>
        <w:tblOverlap w:val="never"/>
        <w:tblW w:w="114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8"/>
        <w:gridCol w:w="1227"/>
        <w:gridCol w:w="930"/>
        <w:gridCol w:w="1305"/>
        <w:gridCol w:w="930"/>
        <w:gridCol w:w="885"/>
        <w:gridCol w:w="1020"/>
        <w:gridCol w:w="870"/>
        <w:gridCol w:w="765"/>
        <w:gridCol w:w="705"/>
        <w:gridCol w:w="21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140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5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0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广元市发展和改革委员会部门</w:t>
            </w:r>
          </w:p>
        </w:tc>
        <w:tc>
          <w:tcPr>
            <w:tcW w:w="87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0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0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44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w:t>
            </w:r>
            <w:r>
              <w:rPr>
                <w:rFonts w:hint="eastAsia" w:ascii="宋体" w:hAnsi="宋体" w:cs="宋体"/>
                <w:i w:val="0"/>
                <w:iCs w:val="0"/>
                <w:color w:val="000000"/>
                <w:kern w:val="0"/>
                <w:sz w:val="18"/>
                <w:szCs w:val="18"/>
                <w:u w:val="none"/>
                <w:lang w:val="en-US" w:eastAsia="zh-CN" w:bidi="ar"/>
              </w:rPr>
              <w:t>年初绩效目标</w:t>
            </w:r>
            <w:r>
              <w:rPr>
                <w:rFonts w:ascii="宋体" w:hAnsi="宋体" w:eastAsia="宋体" w:cs="宋体"/>
                <w:i w:val="0"/>
                <w:iCs w:val="0"/>
                <w:color w:val="000000"/>
                <w:kern w:val="0"/>
                <w:sz w:val="18"/>
                <w:szCs w:val="18"/>
                <w:u w:val="none"/>
                <w:lang w:val="en-US" w:eastAsia="zh-CN" w:bidi="ar"/>
              </w:rPr>
              <w:t>预算</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保障</w:t>
            </w:r>
            <w:r>
              <w:rPr>
                <w:rFonts w:hint="eastAsia" w:ascii="宋体" w:hAnsi="宋体" w:cs="宋体"/>
                <w:i w:val="0"/>
                <w:iCs w:val="0"/>
                <w:color w:val="000000"/>
                <w:kern w:val="0"/>
                <w:sz w:val="18"/>
                <w:szCs w:val="18"/>
                <w:u w:val="none"/>
                <w:lang w:val="en-US" w:eastAsia="zh-CN" w:bidi="ar"/>
              </w:rPr>
              <w:t>了</w:t>
            </w:r>
            <w:r>
              <w:rPr>
                <w:rFonts w:ascii="宋体" w:hAnsi="宋体" w:eastAsia="宋体" w:cs="宋体"/>
                <w:i w:val="0"/>
                <w:iCs w:val="0"/>
                <w:color w:val="000000"/>
                <w:kern w:val="0"/>
                <w:sz w:val="18"/>
                <w:szCs w:val="18"/>
                <w:u w:val="none"/>
                <w:lang w:val="en-US" w:eastAsia="zh-CN" w:bidi="ar"/>
              </w:rPr>
              <w:t>单位日常运转，提高</w:t>
            </w:r>
            <w:r>
              <w:rPr>
                <w:rFonts w:hint="eastAsia" w:ascii="宋体" w:hAnsi="宋体" w:cs="宋体"/>
                <w:i w:val="0"/>
                <w:iCs w:val="0"/>
                <w:color w:val="000000"/>
                <w:kern w:val="0"/>
                <w:sz w:val="18"/>
                <w:szCs w:val="18"/>
                <w:u w:val="none"/>
                <w:lang w:val="en-US" w:eastAsia="zh-CN" w:bidi="ar"/>
              </w:rPr>
              <w:t>了</w:t>
            </w:r>
            <w:r>
              <w:rPr>
                <w:rFonts w:ascii="宋体" w:hAnsi="宋体" w:eastAsia="宋体" w:cs="宋体"/>
                <w:i w:val="0"/>
                <w:iCs w:val="0"/>
                <w:color w:val="000000"/>
                <w:kern w:val="0"/>
                <w:sz w:val="18"/>
                <w:szCs w:val="18"/>
                <w:u w:val="none"/>
                <w:lang w:val="en-US" w:eastAsia="zh-CN" w:bidi="ar"/>
              </w:rPr>
              <w:t>预算编制质量</w:t>
            </w:r>
            <w:r>
              <w:rPr>
                <w:rFonts w:hint="eastAsia" w:ascii="宋体" w:hAnsi="宋体" w:cs="宋体"/>
                <w:i w:val="0"/>
                <w:iCs w:val="0"/>
                <w:color w:val="000000"/>
                <w:kern w:val="0"/>
                <w:sz w:val="18"/>
                <w:szCs w:val="18"/>
                <w:u w:val="none"/>
                <w:lang w:val="en-US" w:eastAsia="zh-CN" w:bidi="ar"/>
              </w:rPr>
              <w:t>，年末无</w:t>
            </w:r>
            <w:r>
              <w:rPr>
                <w:rFonts w:ascii="宋体" w:hAnsi="宋体" w:eastAsia="宋体" w:cs="宋体"/>
                <w:i w:val="0"/>
                <w:iCs w:val="0"/>
                <w:color w:val="000000"/>
                <w:kern w:val="0"/>
                <w:sz w:val="18"/>
                <w:szCs w:val="18"/>
                <w:u w:val="none"/>
                <w:lang w:val="en-US" w:eastAsia="zh-CN" w:bidi="ar"/>
              </w:rPr>
              <w:t>结余资金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5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146.53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146.53</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146.53</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1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146.53</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146.53</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146.53</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1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1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1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1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8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自评100分。该项目严格按照年度目标绩效</w:t>
            </w:r>
            <w:r>
              <w:rPr>
                <w:rFonts w:hint="eastAsia" w:ascii="宋体" w:hAnsi="宋体" w:cs="宋体"/>
                <w:i w:val="0"/>
                <w:iCs w:val="0"/>
                <w:color w:val="000000"/>
                <w:kern w:val="0"/>
                <w:sz w:val="16"/>
                <w:szCs w:val="16"/>
                <w:u w:val="none"/>
                <w:lang w:val="en-US" w:eastAsia="zh-CN" w:bidi="ar"/>
              </w:rPr>
              <w:t>执行，</w:t>
            </w:r>
            <w:r>
              <w:rPr>
                <w:rFonts w:hint="eastAsia" w:ascii="宋体" w:hAnsi="宋体" w:eastAsia="宋体" w:cs="宋体"/>
                <w:i w:val="0"/>
                <w:iCs w:val="0"/>
                <w:color w:val="000000"/>
                <w:kern w:val="0"/>
                <w:sz w:val="16"/>
                <w:szCs w:val="16"/>
                <w:u w:val="none"/>
                <w:lang w:val="en-US" w:eastAsia="zh-CN" w:bidi="ar"/>
              </w:rPr>
              <w:t>保障</w:t>
            </w:r>
            <w:r>
              <w:rPr>
                <w:rFonts w:hint="eastAsia" w:ascii="宋体" w:hAnsi="宋体" w:cs="宋体"/>
                <w:i w:val="0"/>
                <w:iCs w:val="0"/>
                <w:color w:val="000000"/>
                <w:kern w:val="0"/>
                <w:sz w:val="16"/>
                <w:szCs w:val="16"/>
                <w:u w:val="none"/>
                <w:lang w:val="en-US" w:eastAsia="zh-CN" w:bidi="ar"/>
              </w:rPr>
              <w:t>了</w:t>
            </w:r>
            <w:r>
              <w:rPr>
                <w:rFonts w:hint="eastAsia" w:ascii="宋体" w:hAnsi="宋体" w:eastAsia="宋体" w:cs="宋体"/>
                <w:i w:val="0"/>
                <w:iCs w:val="0"/>
                <w:color w:val="000000"/>
                <w:kern w:val="0"/>
                <w:sz w:val="16"/>
                <w:szCs w:val="16"/>
                <w:u w:val="none"/>
                <w:lang w:val="en-US" w:eastAsia="zh-CN" w:bidi="ar"/>
              </w:rPr>
              <w:t>单位日常运转</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达到了项目绩效</w:t>
            </w:r>
            <w:r>
              <w:rPr>
                <w:rFonts w:hint="eastAsia" w:ascii="宋体" w:hAnsi="宋体" w:cs="宋体"/>
                <w:i w:val="0"/>
                <w:iCs w:val="0"/>
                <w:color w:val="000000"/>
                <w:kern w:val="0"/>
                <w:sz w:val="16"/>
                <w:szCs w:val="16"/>
                <w:u w:val="none"/>
                <w:lang w:val="en-US" w:eastAsia="zh-CN" w:bidi="ar"/>
              </w:rPr>
              <w:t>目标</w:t>
            </w:r>
            <w:r>
              <w:rPr>
                <w:rFonts w:hint="eastAsia" w:ascii="宋体" w:hAnsi="宋体" w:eastAsia="宋体" w:cs="宋体"/>
                <w:i w:val="0"/>
                <w:iCs w:val="0"/>
                <w:color w:val="000000"/>
                <w:kern w:val="0"/>
                <w:sz w:val="16"/>
                <w:szCs w:val="16"/>
                <w:u w:val="none"/>
                <w:lang w:val="en-US" w:eastAsia="zh-CN" w:bidi="ar"/>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6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0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3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5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2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1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2"/>
        <w:rPr>
          <w:rFonts w:hint="eastAsia" w:ascii="宋体" w:hAnsi="宋体" w:eastAsia="宋体" w:cs="宋体"/>
          <w:color w:val="auto"/>
          <w:kern w:val="0"/>
          <w:sz w:val="32"/>
          <w:szCs w:val="32"/>
          <w:highlight w:val="none"/>
          <w:lang w:val="en-US" w:eastAsia="zh-CN" w:bidi="ar-SA"/>
        </w:rPr>
      </w:pPr>
    </w:p>
    <w:p>
      <w:pPr>
        <w:rPr>
          <w:rFonts w:hint="eastAsia" w:ascii="宋体" w:hAnsi="宋体" w:eastAsia="宋体" w:cs="宋体"/>
          <w:color w:val="auto"/>
          <w:kern w:val="0"/>
          <w:sz w:val="32"/>
          <w:szCs w:val="32"/>
          <w:highlight w:val="none"/>
          <w:lang w:val="en-US" w:eastAsia="zh-CN" w:bidi="ar-SA"/>
        </w:rPr>
      </w:pPr>
    </w:p>
    <w:p>
      <w:pPr>
        <w:pStyle w:val="2"/>
        <w:rPr>
          <w:rFonts w:hint="eastAsia" w:ascii="宋体" w:hAnsi="宋体" w:eastAsia="宋体" w:cs="宋体"/>
          <w:color w:val="auto"/>
          <w:kern w:val="0"/>
          <w:sz w:val="32"/>
          <w:szCs w:val="32"/>
          <w:highlight w:val="none"/>
          <w:lang w:val="en-US" w:eastAsia="zh-CN" w:bidi="ar-SA"/>
        </w:rPr>
      </w:pPr>
    </w:p>
    <w:p>
      <w:pPr>
        <w:rPr>
          <w:rFonts w:hint="eastAsia" w:ascii="宋体" w:hAnsi="宋体" w:eastAsia="宋体" w:cs="宋体"/>
          <w:color w:val="auto"/>
          <w:kern w:val="0"/>
          <w:sz w:val="32"/>
          <w:szCs w:val="32"/>
          <w:highlight w:val="none"/>
          <w:lang w:val="en-US" w:eastAsia="zh-CN" w:bidi="ar-SA"/>
        </w:rPr>
      </w:pPr>
    </w:p>
    <w:tbl>
      <w:tblPr>
        <w:tblStyle w:val="18"/>
        <w:tblW w:w="11370" w:type="dxa"/>
        <w:tblInd w:w="-135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5"/>
        <w:gridCol w:w="1200"/>
        <w:gridCol w:w="1110"/>
        <w:gridCol w:w="1348"/>
        <w:gridCol w:w="587"/>
        <w:gridCol w:w="765"/>
        <w:gridCol w:w="975"/>
        <w:gridCol w:w="855"/>
        <w:gridCol w:w="750"/>
        <w:gridCol w:w="705"/>
        <w:gridCol w:w="2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137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92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7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广元市发展和改革委员会部门</w:t>
            </w:r>
          </w:p>
        </w:tc>
        <w:tc>
          <w:tcPr>
            <w:tcW w:w="85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35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7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44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78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444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w:t>
            </w:r>
            <w:r>
              <w:rPr>
                <w:rFonts w:hint="eastAsia" w:ascii="宋体" w:hAnsi="宋体" w:cs="宋体"/>
                <w:i w:val="0"/>
                <w:iCs w:val="0"/>
                <w:color w:val="000000"/>
                <w:kern w:val="0"/>
                <w:sz w:val="18"/>
                <w:szCs w:val="18"/>
                <w:u w:val="none"/>
                <w:lang w:val="en-US" w:eastAsia="zh-CN" w:bidi="ar"/>
              </w:rPr>
              <w:t>了职工</w:t>
            </w:r>
            <w:r>
              <w:rPr>
                <w:rFonts w:ascii="宋体" w:hAnsi="宋体" w:eastAsia="宋体" w:cs="宋体"/>
                <w:i w:val="0"/>
                <w:iCs w:val="0"/>
                <w:color w:val="000000"/>
                <w:kern w:val="0"/>
                <w:sz w:val="18"/>
                <w:szCs w:val="18"/>
                <w:u w:val="none"/>
                <w:lang w:val="en-US" w:eastAsia="zh-CN" w:bidi="ar"/>
              </w:rPr>
              <w:t>及时发放、足额发放，预算编制科学合理，</w:t>
            </w:r>
            <w:r>
              <w:rPr>
                <w:rFonts w:hint="eastAsia" w:ascii="宋体" w:hAnsi="宋体" w:cs="宋体"/>
                <w:i w:val="0"/>
                <w:iCs w:val="0"/>
                <w:color w:val="000000"/>
                <w:kern w:val="0"/>
                <w:sz w:val="18"/>
                <w:szCs w:val="18"/>
                <w:u w:val="none"/>
                <w:lang w:val="en-US" w:eastAsia="zh-CN" w:bidi="ar"/>
              </w:rPr>
              <w:t>年末无</w:t>
            </w:r>
            <w:r>
              <w:rPr>
                <w:rFonts w:ascii="宋体" w:hAnsi="宋体" w:eastAsia="宋体" w:cs="宋体"/>
                <w:i w:val="0"/>
                <w:iCs w:val="0"/>
                <w:color w:val="000000"/>
                <w:kern w:val="0"/>
                <w:sz w:val="18"/>
                <w:szCs w:val="18"/>
                <w:u w:val="none"/>
                <w:lang w:val="en-US" w:eastAsia="zh-CN" w:bidi="ar"/>
              </w:rPr>
              <w:t>结余资金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92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3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160.63</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160.63</w:t>
            </w:r>
          </w:p>
        </w:tc>
        <w:tc>
          <w:tcPr>
            <w:tcW w:w="23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160.63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21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160.63</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160.63</w:t>
            </w:r>
          </w:p>
        </w:tc>
        <w:tc>
          <w:tcPr>
            <w:tcW w:w="23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160.63</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3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3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1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7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自评100分。该项目严格按照年度目标绩效完成了对</w:t>
            </w:r>
            <w:r>
              <w:rPr>
                <w:rFonts w:hint="eastAsia" w:ascii="宋体" w:hAnsi="宋体" w:cs="宋体"/>
                <w:i w:val="0"/>
                <w:iCs w:val="0"/>
                <w:color w:val="000000"/>
                <w:kern w:val="0"/>
                <w:sz w:val="16"/>
                <w:szCs w:val="16"/>
                <w:u w:val="none"/>
                <w:lang w:val="en-US" w:eastAsia="zh-CN" w:bidi="ar"/>
              </w:rPr>
              <w:t>单位职工工资及时、足额的发放</w:t>
            </w:r>
            <w:r>
              <w:rPr>
                <w:rFonts w:hint="eastAsia" w:ascii="宋体" w:hAnsi="宋体" w:eastAsia="宋体" w:cs="宋体"/>
                <w:i w:val="0"/>
                <w:iCs w:val="0"/>
                <w:color w:val="000000"/>
                <w:kern w:val="0"/>
                <w:sz w:val="16"/>
                <w:szCs w:val="16"/>
                <w:u w:val="none"/>
                <w:lang w:val="en-US" w:eastAsia="zh-CN" w:bidi="ar"/>
              </w:rPr>
              <w:t>，达到了项目绩效</w:t>
            </w:r>
            <w:r>
              <w:rPr>
                <w:rFonts w:hint="eastAsia" w:ascii="宋体" w:hAnsi="宋体" w:cs="宋体"/>
                <w:i w:val="0"/>
                <w:iCs w:val="0"/>
                <w:color w:val="000000"/>
                <w:kern w:val="0"/>
                <w:sz w:val="16"/>
                <w:szCs w:val="16"/>
                <w:u w:val="none"/>
                <w:lang w:val="en-US" w:eastAsia="zh-CN" w:bidi="ar"/>
              </w:rPr>
              <w:t>目标</w:t>
            </w:r>
            <w:r>
              <w:rPr>
                <w:rFonts w:hint="eastAsia" w:ascii="宋体" w:hAnsi="宋体" w:eastAsia="宋体" w:cs="宋体"/>
                <w:i w:val="0"/>
                <w:iCs w:val="0"/>
                <w:color w:val="000000"/>
                <w:kern w:val="0"/>
                <w:sz w:val="16"/>
                <w:szCs w:val="16"/>
                <w:u w:val="none"/>
                <w:lang w:val="en-US" w:eastAsia="zh-CN" w:bidi="ar"/>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1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61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2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1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4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5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5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1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2"/>
        <w:rPr>
          <w:rFonts w:hint="eastAsia" w:ascii="宋体" w:hAnsi="宋体" w:eastAsia="宋体" w:cs="宋体"/>
          <w:color w:val="auto"/>
          <w:kern w:val="0"/>
          <w:sz w:val="32"/>
          <w:szCs w:val="32"/>
          <w:highlight w:val="none"/>
          <w:lang w:val="en-US" w:eastAsia="zh-CN" w:bidi="ar-SA"/>
        </w:rPr>
      </w:pPr>
    </w:p>
    <w:tbl>
      <w:tblPr>
        <w:tblStyle w:val="18"/>
        <w:tblW w:w="11340" w:type="dxa"/>
        <w:tblInd w:w="-13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1"/>
        <w:gridCol w:w="1338"/>
        <w:gridCol w:w="995"/>
        <w:gridCol w:w="1341"/>
        <w:gridCol w:w="1095"/>
        <w:gridCol w:w="795"/>
        <w:gridCol w:w="1005"/>
        <w:gridCol w:w="766"/>
        <w:gridCol w:w="674"/>
        <w:gridCol w:w="600"/>
        <w:gridCol w:w="1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113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23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89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3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52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广元市发展和改革委员会部门</w:t>
            </w:r>
          </w:p>
        </w:tc>
        <w:tc>
          <w:tcPr>
            <w:tcW w:w="76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52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7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52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37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w:t>
            </w:r>
            <w:r>
              <w:rPr>
                <w:rFonts w:hint="eastAsia" w:ascii="宋体" w:hAnsi="宋体" w:cs="宋体"/>
                <w:i w:val="0"/>
                <w:iCs w:val="0"/>
                <w:color w:val="000000"/>
                <w:kern w:val="0"/>
                <w:sz w:val="18"/>
                <w:szCs w:val="18"/>
                <w:u w:val="none"/>
                <w:lang w:val="en-US" w:eastAsia="zh-CN" w:bidi="ar"/>
              </w:rPr>
              <w:t>年初绩效目标</w:t>
            </w:r>
            <w:r>
              <w:rPr>
                <w:rFonts w:ascii="宋体" w:hAnsi="宋体" w:eastAsia="宋体" w:cs="宋体"/>
                <w:i w:val="0"/>
                <w:iCs w:val="0"/>
                <w:color w:val="000000"/>
                <w:kern w:val="0"/>
                <w:sz w:val="18"/>
                <w:szCs w:val="18"/>
                <w:u w:val="none"/>
                <w:lang w:val="en-US" w:eastAsia="zh-CN" w:bidi="ar"/>
              </w:rPr>
              <w:t>预算</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保障</w:t>
            </w:r>
            <w:r>
              <w:rPr>
                <w:rFonts w:hint="eastAsia" w:ascii="宋体" w:hAnsi="宋体" w:cs="宋体"/>
                <w:i w:val="0"/>
                <w:iCs w:val="0"/>
                <w:color w:val="000000"/>
                <w:kern w:val="0"/>
                <w:sz w:val="18"/>
                <w:szCs w:val="18"/>
                <w:u w:val="none"/>
                <w:lang w:val="en-US" w:eastAsia="zh-CN" w:bidi="ar"/>
              </w:rPr>
              <w:t>了</w:t>
            </w:r>
            <w:r>
              <w:rPr>
                <w:rFonts w:ascii="宋体" w:hAnsi="宋体" w:eastAsia="宋体" w:cs="宋体"/>
                <w:i w:val="0"/>
                <w:iCs w:val="0"/>
                <w:color w:val="000000"/>
                <w:kern w:val="0"/>
                <w:sz w:val="18"/>
                <w:szCs w:val="18"/>
                <w:u w:val="none"/>
                <w:lang w:val="en-US" w:eastAsia="zh-CN" w:bidi="ar"/>
              </w:rPr>
              <w:t>单位日常运转，提高</w:t>
            </w:r>
            <w:r>
              <w:rPr>
                <w:rFonts w:hint="eastAsia" w:ascii="宋体" w:hAnsi="宋体" w:cs="宋体"/>
                <w:i w:val="0"/>
                <w:iCs w:val="0"/>
                <w:color w:val="000000"/>
                <w:kern w:val="0"/>
                <w:sz w:val="18"/>
                <w:szCs w:val="18"/>
                <w:u w:val="none"/>
                <w:lang w:val="en-US" w:eastAsia="zh-CN" w:bidi="ar"/>
              </w:rPr>
              <w:t>了</w:t>
            </w:r>
            <w:r>
              <w:rPr>
                <w:rFonts w:ascii="宋体" w:hAnsi="宋体" w:eastAsia="宋体" w:cs="宋体"/>
                <w:i w:val="0"/>
                <w:iCs w:val="0"/>
                <w:color w:val="000000"/>
                <w:kern w:val="0"/>
                <w:sz w:val="18"/>
                <w:szCs w:val="18"/>
                <w:u w:val="none"/>
                <w:lang w:val="en-US" w:eastAsia="zh-CN" w:bidi="ar"/>
              </w:rPr>
              <w:t>预算编制质量</w:t>
            </w:r>
            <w:r>
              <w:rPr>
                <w:rFonts w:hint="eastAsia" w:ascii="宋体" w:hAnsi="宋体" w:cs="宋体"/>
                <w:i w:val="0"/>
                <w:iCs w:val="0"/>
                <w:color w:val="000000"/>
                <w:kern w:val="0"/>
                <w:sz w:val="18"/>
                <w:szCs w:val="18"/>
                <w:u w:val="none"/>
                <w:lang w:val="en-US" w:eastAsia="zh-CN" w:bidi="ar"/>
              </w:rPr>
              <w:t>，年末无</w:t>
            </w:r>
            <w:r>
              <w:rPr>
                <w:rFonts w:ascii="宋体" w:hAnsi="宋体" w:eastAsia="宋体" w:cs="宋体"/>
                <w:i w:val="0"/>
                <w:iCs w:val="0"/>
                <w:color w:val="000000"/>
                <w:kern w:val="0"/>
                <w:sz w:val="18"/>
                <w:szCs w:val="18"/>
                <w:u w:val="none"/>
                <w:lang w:val="en-US" w:eastAsia="zh-CN" w:bidi="ar"/>
              </w:rPr>
              <w:t>结余资金</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89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59.40</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59.40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59.40</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59.40</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59.40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59.40</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8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0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微软雅黑" w:hAnsi="微软雅黑" w:eastAsia="微软雅黑" w:cs="微软雅黑"/>
                <w:i/>
                <w:iCs/>
                <w:color w:val="000000"/>
                <w:sz w:val="16"/>
                <w:szCs w:val="16"/>
                <w:u w:val="none"/>
                <w:lang w:val="en-US" w:eastAsia="zh-CN"/>
              </w:rPr>
              <w:t>100</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22.5</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835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103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自评100分。该项目严格按照年度目标绩效</w:t>
            </w:r>
            <w:r>
              <w:rPr>
                <w:rFonts w:hint="eastAsia" w:ascii="宋体" w:hAnsi="宋体" w:cs="宋体"/>
                <w:i w:val="0"/>
                <w:iCs w:val="0"/>
                <w:color w:val="000000"/>
                <w:kern w:val="0"/>
                <w:sz w:val="16"/>
                <w:szCs w:val="16"/>
                <w:u w:val="none"/>
                <w:lang w:val="en-US" w:eastAsia="zh-CN" w:bidi="ar"/>
              </w:rPr>
              <w:t>执行，</w:t>
            </w:r>
            <w:r>
              <w:rPr>
                <w:rFonts w:hint="eastAsia" w:ascii="宋体" w:hAnsi="宋体" w:eastAsia="宋体" w:cs="宋体"/>
                <w:i w:val="0"/>
                <w:iCs w:val="0"/>
                <w:color w:val="000000"/>
                <w:kern w:val="0"/>
                <w:sz w:val="16"/>
                <w:szCs w:val="16"/>
                <w:u w:val="none"/>
                <w:lang w:val="en-US" w:eastAsia="zh-CN" w:bidi="ar"/>
              </w:rPr>
              <w:t>保障</w:t>
            </w:r>
            <w:r>
              <w:rPr>
                <w:rFonts w:hint="eastAsia" w:ascii="宋体" w:hAnsi="宋体" w:cs="宋体"/>
                <w:i w:val="0"/>
                <w:iCs w:val="0"/>
                <w:color w:val="000000"/>
                <w:kern w:val="0"/>
                <w:sz w:val="16"/>
                <w:szCs w:val="16"/>
                <w:u w:val="none"/>
                <w:lang w:val="en-US" w:eastAsia="zh-CN" w:bidi="ar"/>
              </w:rPr>
              <w:t>了</w:t>
            </w:r>
            <w:r>
              <w:rPr>
                <w:rFonts w:hint="eastAsia" w:ascii="宋体" w:hAnsi="宋体" w:eastAsia="宋体" w:cs="宋体"/>
                <w:i w:val="0"/>
                <w:iCs w:val="0"/>
                <w:color w:val="000000"/>
                <w:kern w:val="0"/>
                <w:sz w:val="16"/>
                <w:szCs w:val="16"/>
                <w:u w:val="none"/>
                <w:lang w:val="en-US" w:eastAsia="zh-CN" w:bidi="ar"/>
              </w:rPr>
              <w:t>单位日常运转</w:t>
            </w:r>
            <w:r>
              <w:rPr>
                <w:rFonts w:hint="eastAsia" w:ascii="宋体" w:hAnsi="宋体" w:cs="宋体"/>
                <w:i w:val="0"/>
                <w:iCs w:val="0"/>
                <w:color w:val="000000"/>
                <w:kern w:val="0"/>
                <w:sz w:val="16"/>
                <w:szCs w:val="16"/>
                <w:u w:val="none"/>
                <w:lang w:val="en-US" w:eastAsia="zh-CN" w:bidi="ar"/>
              </w:rPr>
              <w:t>，</w:t>
            </w:r>
            <w:r>
              <w:rPr>
                <w:rFonts w:hint="eastAsia" w:ascii="宋体" w:hAnsi="宋体" w:eastAsia="宋体" w:cs="宋体"/>
                <w:i w:val="0"/>
                <w:iCs w:val="0"/>
                <w:color w:val="000000"/>
                <w:kern w:val="0"/>
                <w:sz w:val="16"/>
                <w:szCs w:val="16"/>
                <w:u w:val="none"/>
                <w:lang w:val="en-US" w:eastAsia="zh-CN" w:bidi="ar"/>
              </w:rPr>
              <w:t>达到了项目绩效</w:t>
            </w:r>
            <w:r>
              <w:rPr>
                <w:rFonts w:hint="eastAsia" w:ascii="宋体" w:hAnsi="宋体" w:cs="宋体"/>
                <w:i w:val="0"/>
                <w:iCs w:val="0"/>
                <w:color w:val="000000"/>
                <w:kern w:val="0"/>
                <w:sz w:val="16"/>
                <w:szCs w:val="16"/>
                <w:u w:val="none"/>
                <w:lang w:val="en-US" w:eastAsia="zh-CN" w:bidi="ar"/>
              </w:rPr>
              <w:t>目标</w:t>
            </w:r>
            <w:r>
              <w:rPr>
                <w:rFonts w:hint="eastAsia" w:ascii="宋体" w:hAnsi="宋体" w:eastAsia="宋体" w:cs="宋体"/>
                <w:i w:val="0"/>
                <w:iCs w:val="0"/>
                <w:color w:val="000000"/>
                <w:kern w:val="0"/>
                <w:sz w:val="16"/>
                <w:szCs w:val="16"/>
                <w:u w:val="none"/>
                <w:lang w:val="en-US" w:eastAsia="zh-CN" w:bidi="ar"/>
              </w:rPr>
              <w:t>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103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lang w:eastAsia="zh-CN"/>
              </w:rPr>
            </w:pPr>
            <w:r>
              <w:rPr>
                <w:rFonts w:hint="eastAsia" w:ascii="微软雅黑" w:hAnsi="微软雅黑" w:eastAsia="微软雅黑" w:cs="微软雅黑"/>
                <w:i/>
                <w:iCs/>
                <w:color w:val="000000"/>
                <w:sz w:val="16"/>
                <w:szCs w:val="16"/>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1031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579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w:t>
            </w:r>
          </w:p>
        </w:tc>
        <w:tc>
          <w:tcPr>
            <w:tcW w:w="555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3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4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9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0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6"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7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0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71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bl>
    <w:p>
      <w:pPr>
        <w:pStyle w:val="2"/>
        <w:ind w:left="0" w:leftChars="0" w:firstLine="0" w:firstLineChars="0"/>
        <w:rPr>
          <w:rFonts w:hint="eastAsia" w:ascii="宋体" w:hAnsi="宋体" w:eastAsia="宋体" w:cs="宋体"/>
          <w:color w:val="auto"/>
          <w:kern w:val="0"/>
          <w:sz w:val="32"/>
          <w:szCs w:val="32"/>
          <w:highlight w:val="none"/>
          <w:lang w:val="en-US" w:eastAsia="zh-CN" w:bidi="ar-SA"/>
        </w:rPr>
      </w:pPr>
    </w:p>
    <w:p/>
    <w:tbl>
      <w:tblPr>
        <w:tblStyle w:val="18"/>
        <w:tblpPr w:leftFromText="180" w:rightFromText="180" w:vertAnchor="text" w:horzAnchor="page" w:tblpXSpec="center" w:tblpY="347"/>
        <w:tblOverlap w:val="never"/>
        <w:tblW w:w="106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6"/>
        <w:gridCol w:w="945"/>
        <w:gridCol w:w="861"/>
        <w:gridCol w:w="1115"/>
        <w:gridCol w:w="430"/>
        <w:gridCol w:w="1224"/>
        <w:gridCol w:w="630"/>
        <w:gridCol w:w="1200"/>
        <w:gridCol w:w="525"/>
        <w:gridCol w:w="810"/>
        <w:gridCol w:w="840"/>
        <w:gridCol w:w="11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0675"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方正小标宋简体" w:hAnsi="方正小标宋简体" w:eastAsia="方正小标宋简体" w:cs="方正小标宋简体"/>
                <w:i w:val="0"/>
                <w:iCs w:val="0"/>
                <w:color w:val="000000"/>
                <w:sz w:val="44"/>
                <w:szCs w:val="44"/>
                <w:u w:val="none"/>
              </w:rPr>
            </w:pPr>
            <w:r>
              <w:rPr>
                <w:rFonts w:hint="eastAsia" w:ascii="仿宋_GB2312" w:hAnsi="Times New Roman" w:eastAsia="仿宋_GB2312" w:cs="仿宋_GB2312"/>
                <w:kern w:val="0"/>
                <w:sz w:val="30"/>
                <w:szCs w:val="30"/>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876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重大项目推进工作经费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9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42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30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42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450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6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42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组织开展全市项目投资现场拉练评比；开展央省预算内投资项目资金争取；谋划储备全市重大项目；开展重大项目前期咨询论证等前期工作；编制2023年投资计划以及2023年省、市重点项目年度计划；组织开展全市重大项目集中开工活动4批次以上；监督检查重点项目、集中开工项目、央省预算内投资项目计划执行情况；组织项目会商调度工作，协调解决项目推进中的具体困难和问题；分析、研判全市项目投资运行情况；组织开展项目储备谋划、推进、入库培训；指导县区项目投资工作；完成全市项目投资年度目标任务的考核。</w:t>
            </w:r>
          </w:p>
        </w:tc>
        <w:tc>
          <w:tcPr>
            <w:tcW w:w="450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组织开展全市项目投资现场拉练评比4次；争取央省预算内投资项目资金17.87亿元；全市动态储备项目3809个、总投资1.77万亿元，开展前期工作项目2208个、占储备项目总个数57.97%；编制2023年投资计划以及2023年省、市重点项目年度计划；组织开展全市重大项目集中开工活动6批次，开工项目690个，总投资1263亿元；召开困难问题会商会4次、协调调度会29次，累计研究解决52个项目137项推进问题；全市300个重点项目提前1个月完成全年目标，超年度计划21个百分点；中央预算内项目月评价始终保持全省前三位；基金项目资金支出率达84.4%,高于全国、全省平均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876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组织开展全市项目投资现场拉练评比；谋划储备全市重大项目；开展重大项目前期咨询论证等前期工作；组织开展全市重大项目集中开工活动；监督检查重点项目、集中开工项目、央省预算内投资项目计划执行情况；组织项目会商调度工作，协调解决项目推进中的具体困难和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9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2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2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98.08</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98.08%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2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98.08</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98.08%</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2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项目完成</w:t>
            </w:r>
          </w:p>
        </w:tc>
        <w:tc>
          <w:tcPr>
            <w:tcW w:w="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指标1：组织开展全市项目投资现场拉练评比</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全年组织召开4次全市项目投资现场拉练评比</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指标2：向上争取资金</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全年争取上级资金8.8亿元以上</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亿元</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全年争取上级资金11.03亿元</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指标3：项目储备</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储备项目总投资保持1万亿以上</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动态储备项目3786个、总投资1.77万亿元</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指标４：固定资产投资</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全年固定资产投资增长10%以上；其中重点项目完成投资450亿元以上</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重点项目完成投资763亿元。</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指标5：全市投资运行</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全年开展4次全市投资运行分析研判</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指标6：重大项目集中开工</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组织开展全市重大项目集中开工活动6批次以上</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指标7：监督检查重点项目、集中开工项目、央省预算内投资项目计划执行情况</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全年开展4次监督检查</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指标1：固定资产投资</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完成省、市下达的固定资产投资和重点项目投资目标任务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指标2：推进中央预算内投资项目</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加快中央预算内投资项目执行进度，提高项目“四率”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指标3：项目协调调度</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组织项目会商调度工作，协调解决项目推进中的具体困难和问题</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指标1：完成重点项目计划编制工作</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61"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指标2：完成项目投资工作考评</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指标1：固定资产投资</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以项目投资带动全市经济社会快速发展</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以项目投资带动了全市经济社会快速发展</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指标1：加快项目推进</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促进基础设施进一步完善，社会民生保障更加健全</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促了我市进基础设施进一步完善，社会民生保障更</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指标1：推进一批生态环保项目</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谋划储备推进一批态环保项目，促进全市生态环境持续优化</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谋划储备推进一批态环保项目，促进全市生态环境持续优化</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指标1：突出重点项目可持续影响</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以重点项目示范带动作用，推动全市投资持续增长</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以重点项目示范带动作用，推动全市投资持续增长</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9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指标1：人民政府</w:t>
            </w: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37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9</w:t>
            </w:r>
            <w:r>
              <w:rPr>
                <w:rFonts w:hint="eastAsia" w:ascii="宋体" w:hAnsi="宋体" w:cs="宋体"/>
                <w:i w:val="0"/>
                <w:iCs w:val="0"/>
                <w:color w:val="000000"/>
                <w:kern w:val="0"/>
                <w:sz w:val="16"/>
                <w:szCs w:val="16"/>
                <w:u w:val="none"/>
                <w:lang w:val="en-US" w:eastAsia="zh-CN" w:bidi="ar"/>
              </w:rPr>
              <w:t>9.81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970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得分99.81分。组织开展全市项目投资现场拉练评比4次；争取央省预算内投资项目资金17.87亿元；全市动态储备项目3809个、总投资1.77万亿元，开展前期工作项目2208个、占储备项目总个数57.97%；编制2023年投资计划以及2023年省、市重点项目年度计划；组织开展全市重大项目集中开工活动6批次，开工项目690个，总投资1263亿元；召开困难问题会商会4次、协调调度会29次，累计研究解决52个项目137项推进问题；全市300个重点项目提前1个月完成全年目标，超年度计划21个百分点；中央预算内项目月评价始终保持全省前三位；基金项目资金支出率达84.4%,高于全国、全省平均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970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5"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970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970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635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3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635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7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bl>
    <w:tbl>
      <w:tblPr>
        <w:tblStyle w:val="18"/>
        <w:tblpPr w:leftFromText="180" w:rightFromText="180" w:vertAnchor="text" w:horzAnchor="page" w:tblpXSpec="center" w:tblpY="604"/>
        <w:tblOverlap w:val="never"/>
        <w:tblW w:w="108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8"/>
        <w:gridCol w:w="891"/>
        <w:gridCol w:w="660"/>
        <w:gridCol w:w="877"/>
        <w:gridCol w:w="397"/>
        <w:gridCol w:w="1705"/>
        <w:gridCol w:w="645"/>
        <w:gridCol w:w="1800"/>
        <w:gridCol w:w="480"/>
        <w:gridCol w:w="720"/>
        <w:gridCol w:w="780"/>
        <w:gridCol w:w="10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0829"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both"/>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1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项目资金争取工作经费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6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42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0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42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48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0"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42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1.加强政策指导，印发地方政府专项债、中省预算内投资等政策指导相关资料，组织各县区和市级有关部门开展培训指导。</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组织开展项目储备申报工作，收集汇总并审核全市地方政府专项债、中省预算内投资拟申报项目，加快2022年已申报项目的推进力度，谋划生成一批新重点项目，加强与省发展改革委、省财政厅、省金融工作局及其他省级部门的汇报对接，力争我市更多项目资金纳入国省计划盘子；</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3.强化要素保障，加快推进拟申报项目前期工作，统筹协调各县区、市级有关部门办理用地预审、规划选址、稳定风险评估、环境影响评价、节能审查、安全评价和审批（核准、备案）等前期要件，不定期召开困难问题会商会，切实提高项目申报成功率；</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4.加强督查督办，对全市地方政府专项债、中省预算内投资项目储备申报等工作实行定期调度机制，定期通报各县区和市级部门工作开展情况、项目谋划和推进情况以及项目资金落实情况等。</w:t>
            </w:r>
          </w:p>
        </w:tc>
        <w:tc>
          <w:tcPr>
            <w:tcW w:w="48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全市积极争取上级资金创新高。全年全市争取中省预算内投资17.87亿元、增长14.41%，全市申报地方政府专项债券项目445个、债券资金需求499.92亿元，进入准备清单项目共209个、债券需求227亿元，分别增长48.23%、47.52%；全市发行专项债券69.85亿元、增长45.64%。全市已投放基金项目8个、基金25.05亿元，投放额度居全省第五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1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贯彻落实2021年12月18日市委主要领导在全市项目投资专题会议上的讲话精神，加强地方政府专项债及中省预算内投资项目储备申报工作。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27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50.00</w:t>
            </w:r>
          </w:p>
        </w:tc>
        <w:tc>
          <w:tcPr>
            <w:tcW w:w="27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50.00</w:t>
            </w:r>
          </w:p>
        </w:tc>
        <w:tc>
          <w:tcPr>
            <w:tcW w:w="27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7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7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74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8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产出指标</w:t>
            </w: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指标1：加强政策指导</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印发地方政府专项债、中省预算内投资等政策指导相关资料，组织各县区和市级有关部门开展培训指导。</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及时印发政策指导相关资料，召开3次专题培训会议</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指标2：组织开展项目储备申报工作</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收集汇总并审核全市地方政府专项债、中省预算内投资拟申报项目，加快2022年已申报项目的推进力度，谋划生成一批新重点项目，加强与省发展改革委、省财政厅、省金融工作局及其他省级部门的汇报对接，力争我市更多项目资金纳入国省计划盘子，每季度至少1次到国家有关部门对接资金争取工作，每个月至少1次到省级有关部门对接资金争取工作。</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亿元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我委形成了全市新谋划地方政府专项债和中省预算内投资项目清单，并及时向市委、市政府进行了报告。共新谋划地方政府专项债项目235个，总投资1263.18亿元，债券资金需求705.8亿元。新谋划中省预算内投资项目260个，总投资138.4亿元，拟争取中省预算内投资60.16亿元。</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指标3：开展中省预算内投资项目、地方政府专项债项目资金争取</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全年争取到位中省预算内资金8亿元以上，配合财政部门争取地方政府专项债资金40亿元以上。</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亿元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全年争取到位中省预算内资金17.87亿元，配合财政部门争取地方政府专项债资金69.85亿元。</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指标4：谋划储备</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保持常态化储备项目投资在1.3万亿以上</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亿元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截至2022年底，储备项目投资1.77万亿元。</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指标5：建立项目会商机制，及时协调解决项目推进中存在的困难和问题</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不定期召开困难问题会商会，切实提高项目申报成功率。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8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加强项目调度通报，及时协调解决项目推进中存在的困难和问题，2022年共召开调度会议29次，印发通报31次，发出提醒函39份。</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指标6：加强督查督办</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对全市地方政府专项债、中省预算内投资项目储备申报等工作实行定期调度机制，定期通报各县区和市级部门工作开展情况、项目谋划和推进情况以及项目资金落实情况等。</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8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指标1：资金争取</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完成下达的向上资金争取目标任务。</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我委2022年争取上级资金目标任务数86602万元，完成数110295万元。</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指标2：项目推进</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定性  </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加快地方政府专项债、中省预算内投资等项目建设进度，推动形成实物工作量。</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1.全市2022年中央预算内投资项目76个全部开工，总投资25.69亿元；到位中央预算内资金12.49亿元。截至2022年12月20日，中央预算内资金完成8.32亿元、投资完成率66.5%；中央预算内资金支付7.39亿元、支付率59.2%。</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2.全市2022年已发行专项债券项目102个（不含亭子口灌区一期工程项目）、总投资675.78亿元，发行专项债券69.44亿元。截至2022年12月20日，累计完成投资248.85亿元、投资完成率36.8%；已使用债券资金63.26亿元、资金使用率91.1%。</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指标3：项目协调调度</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组织项目会商调度工作，协调解决项目资金争取过程中的具体困难和问题。</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加强项目调度通报，及时协调解决项目推进中存在的困难和问题，2022年共召开调度会议29次，印发通报31次，发出提醒函39份。</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指标1：完成2023年第一批次地方政府专项债项目和部分专项中省预算内投资项目的申报工作</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我委于2022年11月向省报送了2023年第一批地方政府专项债券项目，2022年12月报送了城市燃气管道等老化更新改造、排水设施建设等中央预算内投资专项项目。</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660"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指标1：资金争取</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以资金争取带动全市经济社会快速发展。</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有效带动了全市经济社会快速发展。</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指标1：加快项目推进</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促进基础设施进一步完善，社会民生保障更加健全。</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促进基础设施进一步完善，社会民生保障更加健全。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指标1：推进一批生态环保项目</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谋划储备推进一批生态环保类项目，促进全市生态环境持续优化。</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向上争取实施了一批生态环保类项目，其中中省预算内投资项目6个、争取资金1亿元；地方政府专项债券项目7个、发行债券3.13亿元；政策性开发性金融工具项目1个、投放基金0.25亿元。</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指标1：突出地方政府专项债、中省预算内投资项目可持续影响</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以地方政府专项债、中省预算内投资项目的示范带动作用，推动全市投资持续增长。</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有力推动全市投资持续增长。</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78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指标1：项目协调调度</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投资环境进一步改善,工程建设环境持续优化。</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6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1004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自评100分。该项目严格按照年度目标完成了项目资金争取有关工作，达到了项目绩效要求。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1004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1004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jc w:val="center"/>
        </w:trPr>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1004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6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721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6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721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29"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0829" w:type="dxa"/>
            <w:gridSpan w:val="12"/>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r>
    </w:tbl>
    <w:tbl>
      <w:tblPr>
        <w:tblStyle w:val="18"/>
        <w:tblpPr w:leftFromText="180" w:rightFromText="180" w:vertAnchor="text" w:horzAnchor="page" w:tblpXSpec="center" w:tblpY="233"/>
        <w:tblOverlap w:val="never"/>
        <w:tblW w:w="1081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52"/>
        <w:gridCol w:w="915"/>
        <w:gridCol w:w="879"/>
        <w:gridCol w:w="724"/>
        <w:gridCol w:w="587"/>
        <w:gridCol w:w="1755"/>
        <w:gridCol w:w="585"/>
        <w:gridCol w:w="1200"/>
        <w:gridCol w:w="495"/>
        <w:gridCol w:w="765"/>
        <w:gridCol w:w="810"/>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0817"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1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纪检监察组办案专项经费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6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45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45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46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4530"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进一步巩固发展综合监督单位良好政治生态，为决战决胜整体连片贫困到同步全面小康跨越、加快建设川陕甘结合部现代化中心城市提供坚强的政治保证、纪律保证和作风保证。</w:t>
            </w:r>
          </w:p>
        </w:tc>
        <w:tc>
          <w:tcPr>
            <w:tcW w:w="4620"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驻市发改委纪检监察组在市纪委监委的坚强领导下，深入学习贯彻党的二十大精神，全面落实中央、省、市纪委部署要求，以“四抓四提”活动为抓手，抓重点求突破，抓创新求特色，抓落实求实效，一以贯之推动全面从严治党，充分发挥监督保障执行、促进完善发展作用，推动党风廉政建设和反腐败工作取得明显成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15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我组工作开展情况如下。（一）着力监督推动重大决策部署落实。开展监督检查15次，督促整改问题30余个。开展5家综合监督单位政治生态综合评判。（二）扎实督推从严治党主体责任落实，先后6次参加综合监督单位全面从严治党、党风廉政建设工作会议，召开4次联络员会议、3次分管领导领导工作会议，实地督导4次，扎实开展5家综合监督单位“四责同述”。（三）务实督促加快巡察反馈问题整改。督促2个单位及时召开整改专题民主生活会和专题推进会，抓好整改落实。开展反馈问题整改专项检查3次，2家被巡察单位共追责问责17人次，清退追缴违规资金两千余元。（四）全覆盖嵌入式抓实做细日常监督。开展监督检查20余次，列席监督部门“三重一大”事项决策会36次，出具党风廉政建设意见229人次。扎实开展营商环境专项监督，发现问题15个，提出改进建议17条，推动建立和完善制度7个。在5等综合监督单位开展工程建设项目监督“四抓四提”活动。（五）加强审查调查用好追责问责利器。强化审查调查安全，全年未发生审查调查安全事故。强化线索处置查办。处置线索13件，从查办进度看：今年立案6件，结案5件，函询了结5件；从人员查处情况看：党纪政务处分5人，第一种形态9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jc w:val="center"/>
        </w:trPr>
        <w:tc>
          <w:tcPr>
            <w:tcW w:w="7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29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20.00</w:t>
            </w:r>
          </w:p>
        </w:tc>
        <w:tc>
          <w:tcPr>
            <w:tcW w:w="29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20.00</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20.00</w:t>
            </w:r>
          </w:p>
        </w:tc>
        <w:tc>
          <w:tcPr>
            <w:tcW w:w="29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20.00</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9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9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9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一级指标</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二级指标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三级指标</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指标性质</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指标值</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度量单位</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完成值</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权重</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部门自评得分</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指标1：查办案件</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开展案件查办工作，立案4件。</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件</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立案6件。</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指标2：开展驻点监督和日常监督</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定期或不定期开展综合监督单位驻点监督和日常监督，全年开展驻点监督4次，开展日常监督6次。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开展监督检查20余次。</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指标3：开展政治生态评价</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每年开展1次综合监督单位政治生态评价。</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开展1次。</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指标1：提高案件质量</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严格按照监督执纪工作规则和监督执法工作规定，强化内部审理，提高办案质量。</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加强内部审理，办案质量高。</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指标2：确保办案安全</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严格按照“走读式”谈话安全工作规定要求，开展“走读式”谈话，降低风险，杜绝安全事故发生，确保办案安全。</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坚持安全首课和领导首谈制度，严格落实一岗双责，提升安全防范意识，保障办案依纪依法，全年未发生审查调查安全事故。</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指标1：结案</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12月底以前全部结案。</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结案5件。</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指标2：完成驻点监督和日常监督</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每季度开展一次驻点监督，11月底前全面完成。定期或不定期开展综合监督单位日常监督，12月底前全面完成。</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指标3：完成政治生态评价</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对综合监督的5家单位每年开展1次政治生态评价，12月底前完成。</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完成5家综合监督单位政治生态评价。</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指标1：办案费</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工作经费20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完成支出。</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0"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指标1：巩固政治生态</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进一步巩固发展综合监督单位良好政治生态，严肃党内政治生活，严明政治纪律和政治规矩。</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结合日常会议监督、专项检查、驻点监督、群众评价、巡察问题反馈等情况，有针对性地、与时俱进地加强政治生态建设。</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指标2：增强法纪意识</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促进综合监督单位干部职工不断强化底线思维，增强法纪意识。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督促监督单位深入开展干部纪律作风整顿、借培训名义搞公款旅游问题排查整治、虚拟货币“挖矿”活动整治等各类专项治理。</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100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根据广财绩〔2023〕5号文件要求部署安排，我组成立了自评工作组，对工作经费项目开展了自评工作。一、项目基本概况。工作经费资金共计20万元。二、效果及评价结论。（一）效果。监督推动重大决策部署落实，扎实督推从严治党主体责任落实，务实督促加快巡察反馈问题整改，全覆盖嵌入式抓实做细日常监督，强化了审查调查用好追责问责利器，推动党风廉政建设和反腐败工作取得明显成效。（二）评价结果和评价结论。本项目自评分为100分，评价等级为优秀，达到预期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100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在预算编制环节，预期支出项目金额和实际支出的存在差异，这是由于预算编制经验不足导致。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100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进一步加强对单位编制预算绩效目标项目设计的科学性、合理性，加大对绩效项目的管理力度，实施进度跟踪，合理支出预算资金，使其最大效益化。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100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8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69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8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69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1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bl>
    <w:tbl>
      <w:tblPr>
        <w:tblStyle w:val="18"/>
        <w:tblpPr w:leftFromText="180" w:rightFromText="180" w:vertAnchor="text" w:horzAnchor="page" w:tblpX="344" w:tblpY="684"/>
        <w:tblOverlap w:val="never"/>
        <w:tblW w:w="1118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6"/>
        <w:gridCol w:w="795"/>
        <w:gridCol w:w="900"/>
        <w:gridCol w:w="1106"/>
        <w:gridCol w:w="394"/>
        <w:gridCol w:w="1505"/>
        <w:gridCol w:w="655"/>
        <w:gridCol w:w="1410"/>
        <w:gridCol w:w="555"/>
        <w:gridCol w:w="735"/>
        <w:gridCol w:w="945"/>
        <w:gridCol w:w="1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1186"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5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粮食工作经费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6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4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4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4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45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中央、省、市政策性储备粮食数量真实，质量良好，储存安全，通过加强粮食流通监督检查，维护粮食流通秩序，保护种粮农民利益，促进农民增产增收。</w:t>
            </w:r>
          </w:p>
        </w:tc>
        <w:tc>
          <w:tcPr>
            <w:tcW w:w="4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对照年度目标，说明相关任务目标的完成情况（100字以内）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55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确保中央、省、市政策性储备粮食数量真实，质量良好，储存安全，通过加强粮食流通监督检查，维护粮食流通秩序，保护种粮农民利益，促进农民增产增收；2、强化粮油统计工作和军粮供应管理，为党和政府制定粮油政策提供依据，稳定军供粮油质量，为部队官兵提供食品安全保障；3、建立粮油应急网点，及时有效处理和应对突发事件；4、发挥粮食安全考核“指挥棒”作用，落实粮食安全主体责任，通过考核，促进各地加快构建现代粮食产业体系，完善保障粮食安全制度，维护地方粮食安全。5、查处假冒伪劣粮油食品，严格管控重金属超标粮食，防止不合格粮食流入口粮食市场，维护好粮油食品安全。6、开展夏粮、秋粮食收购和中小学粮食供应等专项检查，维护粮食流通秩序，确保学生粮油食品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jc w:val="center"/>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15.00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15.00</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15.00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15.00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15.00</w:t>
            </w: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15.00</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5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项目完成</w:t>
            </w:r>
          </w:p>
        </w:tc>
        <w:tc>
          <w:tcPr>
            <w:tcW w:w="90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数量指标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指标1：强化军粮供应管理，全面保障部队需要。</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完善军粮改革，建立健全和完善军粮供应站1个。</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建立健全和完善军粮供应站1个</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指标2：强化粮油统计工作，为党和政府制定粮油政策提供依据。</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定期对粮油直报系统中粮油企业进行监督检查，开展不少于1次的粮油统计培训工作，确保粮油统计数据真实有效。</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开展1次的粮油统计培训工作</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指标3：建立和完善粮油应急网点，及时有效应对自然灾害和突发事件。</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充分发挥信息监测作用。全市共建7个信息监测点，其中：国家监测点4个，省级监测点3个。合理建立网点层级。全市共建270个粮食应急供应网点，17个粮食应急加工企业，13个粮食应急配送中心，15个粮食应急储运企业；4个应急保障中心。开展应急演练1次。</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全市共建7个信息监测点。开展应急演练1次。</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指标4：开展小包装粮油、节日粮油市场供应、中小学粮油、超期储存粮食出库和开展重金属超标粮食专项检查。</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全年检查小包装粮油4次，检查3000吨；检查小学食堂粮油质量；检查轮换及超期出库粮食，防止出现出库难；监督企业依法处置重金属超标粮食，防止重金属超标粮食流入口粮市场。</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全年检查小包装粮油4次，检查3000吨</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时效指标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指标1：完成时间</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按时完成各项目标任务</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成本指标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指标1：围绕粮油统计开展相关工作。</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开展统计调查、统计培训、统计检查、质量抽查、召开有关会议部署所涉及工作。</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已开展相关工作</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指标2：围绕军粮供应、价格监测、应急网点建设开展工作。</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开展军粮采购、加工、运输及供应，建立完善应急供应网点。</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已开展</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指标3：开展粮食安全省长责任制考核。</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开展考核业务培训，深入现场检查。</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已开展考核业务培训</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项目效益</w:t>
            </w:r>
          </w:p>
        </w:tc>
        <w:tc>
          <w:tcPr>
            <w:tcW w:w="90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社会效益</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1、落实粮食安全主体责任和粮油储备管理工作。</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出现“卖粮难、买粮难”“打白条”等现象，有利于国家粮食安全和社会稳定。</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落实粮食安全主体责任和粮油储备管理工作</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2、粮油统计工作的开展，将发挥良好的经济和社会效益。</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为党委、政府决策提供依据；为农村发展、农民增收提供市场信息。</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为党委、政府决策提供依据；为农村发展、农民增收提供市场信息</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3、军粮供应、应急网点建设工作的开展，其经济和社会效益潜力巨大。</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有效提高部队战斗力，及时提供粮油信息预警，防范未然，及时有效处理突发事件和应对自然发灾害。</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及时提供粮油信息预警，防范未然，及时有效处理突发事件和应对自然发灾害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可持续影响</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1、粮油统计工作的开展，将持续发挥良好的经济和社会效益，影响积极。</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为党委、政府决策提供依据；为农村发展、农民增收提供市场信息；有利国家粮食安全和社会稳定。</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为党委、政府决策提供依据；为农村发展、农民增收提供市场信息</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2、军粮供应、应急网点建设工作的开展，将持续发挥经济和社会效益，影响良好。</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有效提高部队战斗力，及时提供粮油信息预警，防范未然，及时有效处理突发事件和应对自然发灾害。</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及时提供粮油信息预警，防范未然，及时有效处理突发事件和应对自然发灾害</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3、促进加快构建现代粮食产业体系。</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构建高效粮食保障体系，推动粮食产业高质量发展。</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构建高效粮食保障体系</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restart"/>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满意度指标</w:t>
            </w:r>
          </w:p>
        </w:tc>
        <w:tc>
          <w:tcPr>
            <w:tcW w:w="900"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满意度指标</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1、党委、政府、社会、群众全满意。</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满意率100%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满意率100%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8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795" w:type="dxa"/>
            <w:vMerge w:val="continue"/>
            <w:tcBorders>
              <w:top w:val="nil"/>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2、部队及官兵全满意。</w:t>
            </w:r>
          </w:p>
        </w:tc>
        <w:tc>
          <w:tcPr>
            <w:tcW w:w="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满意率100%</w:t>
            </w:r>
          </w:p>
        </w:tc>
        <w:tc>
          <w:tcPr>
            <w:tcW w:w="6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满意率100%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760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000000"/>
                <w:sz w:val="16"/>
                <w:szCs w:val="16"/>
                <w:u w:val="none"/>
                <w:lang w:val="en-US" w:eastAsia="zh-CN"/>
              </w:rPr>
            </w:pPr>
            <w:r>
              <w:rPr>
                <w:rFonts w:hint="eastAsia" w:ascii="宋体" w:hAnsi="宋体" w:cs="宋体"/>
                <w:b/>
                <w:bCs/>
                <w:i w:val="0"/>
                <w:iCs w:val="0"/>
                <w:color w:val="000000"/>
                <w:sz w:val="16"/>
                <w:szCs w:val="16"/>
                <w:u w:val="none"/>
                <w:lang w:val="en-US" w:eastAsia="zh-CN"/>
              </w:rPr>
              <w:t>100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i w:val="0"/>
                <w:iCs w:val="0"/>
                <w:color w:val="000000"/>
                <w:sz w:val="16"/>
                <w:szCs w:val="16"/>
                <w:u w:val="none"/>
                <w:lang w:val="en-US" w:eastAsia="zh-CN"/>
              </w:rPr>
            </w:pPr>
            <w:r>
              <w:rPr>
                <w:rFonts w:hint="eastAsia" w:ascii="宋体" w:hAnsi="宋体" w:cs="宋体"/>
                <w:b/>
                <w:bCs/>
                <w:i w:val="0"/>
                <w:iCs w:val="0"/>
                <w:color w:val="000000"/>
                <w:sz w:val="16"/>
                <w:szCs w:val="16"/>
                <w:u w:val="none"/>
                <w:lang w:val="en-US" w:eastAsia="zh-CN"/>
              </w:rPr>
              <w:t>100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103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构建现代粮食产业体系，完善保障粮食安全制度，维护地方粮食安全。查处假冒伪劣粮油食品，严格管控重金属超标粮食，防止不合格粮食流入口粮食市场，维护好粮油食品安全。开展夏粮、秋粮食收购和中小学粮食供应等专项检查，维护粮食流通秩序，确保学生粮油食品安全。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103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103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1035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40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71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403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71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118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1186" w:type="dxa"/>
            <w:gridSpan w:val="12"/>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r>
    </w:tbl>
    <w:p>
      <w:pPr>
        <w:keepNext w:val="0"/>
        <w:keepLines w:val="0"/>
        <w:widowControl w:val="0"/>
        <w:suppressLineNumbers w:val="0"/>
        <w:spacing w:before="0" w:beforeAutospacing="0" w:after="0" w:afterAutospacing="0" w:line="576" w:lineRule="exact"/>
        <w:ind w:left="0" w:right="0"/>
        <w:jc w:val="both"/>
        <w:rPr>
          <w:rFonts w:hint="default" w:ascii="Times New Roman" w:hAnsi="Times New Roman" w:eastAsia="仿宋_GB2312" w:cs="Times New Roman"/>
          <w:kern w:val="2"/>
          <w:sz w:val="32"/>
          <w:szCs w:val="32"/>
        </w:rPr>
      </w:pPr>
    </w:p>
    <w:tbl>
      <w:tblPr>
        <w:tblStyle w:val="18"/>
        <w:tblpPr w:leftFromText="180" w:rightFromText="180" w:vertAnchor="text" w:horzAnchor="page" w:tblpXSpec="center" w:tblpY="577"/>
        <w:tblOverlap w:val="never"/>
        <w:tblW w:w="113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0"/>
        <w:gridCol w:w="1125"/>
        <w:gridCol w:w="915"/>
        <w:gridCol w:w="1029"/>
        <w:gridCol w:w="570"/>
        <w:gridCol w:w="666"/>
        <w:gridCol w:w="645"/>
        <w:gridCol w:w="546"/>
        <w:gridCol w:w="2163"/>
        <w:gridCol w:w="510"/>
        <w:gridCol w:w="570"/>
        <w:gridCol w:w="705"/>
        <w:gridCol w:w="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1330"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2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区域协同发展工作经费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3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27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3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60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31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指标1：完成川东北经济区协同发展有关工作；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指标2：完成区域合作相关工作；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指标3：完成东西部扶贫协作各项工作；</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指标4：完成县域经济各项工作。</w:t>
            </w:r>
          </w:p>
        </w:tc>
        <w:tc>
          <w:tcPr>
            <w:tcW w:w="60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面完成年度目标任务。全方位主动融入成渝地区双城经济圈建设，加快协同推动川东北经济区振兴发展，深入实施大开放大合作，新签约成渝地区双城经济圈项目123个、签约资金237.61亿元，新开工成渝地区双城经济圈项目122个、总投资330.89亿元。高质量完成川东北经济区振兴发展省下目标任务考核。用好用活杭广东西部协作帮扶资金5.22亿元，高效实施帮扶项目123个。县域经济持续深入推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2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召开市推动成渝地区双城经济圈建设领导小组暨市川东北经济区对接协调小组办公室会议2次专题研究部署，制定广元市2022年区域合作事项（项目）149个、广元市主动融入成渝地区双城经济圈建设2022年重点任务46条、川东北经济区振兴发展2022年涉广重点任务24条、广元市主动融入成渝地区双城经济圈建设体制创新重点任务41条、广元市适用支持成渝地区双城经济圈市场主体健康发展若干政策措施35条等，规划广元市主动融入成渝地区双城经济圈建设重大项目167个、总投资4322.20亿元，编印工作简报12期，全面完成年度重点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31.22</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31.22</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31.22</w:t>
            </w: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31.22</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31.22</w:t>
            </w: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31.22</w:t>
            </w: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1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02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指标1：省下达川东北经济区目标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合格</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印发《川东北经济区振兴发展2022年重点任务清单广元事项责任分工方案》（广推成渝办〔2022〕8号），按月调度推进情况，每月以简报形式进行通报，加快推动川东北经济区振兴发展。</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指标2：推动成渝地区双城经济圈建设</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密切加强与成都市、重庆市对接联系，强化与成渝地区战略对接、政策衔接、功能链接。</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印发《广元市主动融入成渝地区双城经济圈建设2022年重点任务》（广推成渝办〔2022〕6号）《广元市主动融入成渝地区双城经济圈建设体制创新重点任务》（广推成渝办〔2022〕5号）《广元市主动融入成渝地区双城经济圈建设重大项目清单》（广推成渝办〔2022〕9号），按月调度推进情况，每月以简报形式进行通报，加快主动融入成渝地区双城经济圈建设。</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指标３：推动区域协同发展</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积极开展浙广东西部协作、成广合作、渝广合作、西广合作、防广合作等对外交流合作。</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深入实施大开放大合作战略，印发《2022年广元市与成都市合作事项（项目）责任清单》（广推成渝办〔2022〕9号），切实推动与　成渝地区、西安市、陇南市、防城港市等地合作事项落地落实。</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指标４：推动县域经济高质量发展</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力争县区排位更靠前</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建立县域经济先进县考评周调度机制，每周五向分管市领导汇报苍溪县、旺苍县和朝天区向上对接争取先进县指标有关情况。研制出台《关于加快县域经济高质量的实施意见》。</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02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指标1：合格率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合格</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02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指标1：完成时间</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指标1：对外交流合作</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20万元</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指标2：会议筹办</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8万元</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指标3：调研及其他</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3.22</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3.22万元</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指标1：推动东西部合作项目建设</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促进乡村振兴</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争取杭州到位帮扶资金5.22亿元，实施项目123个，带动4116户农户增收。</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指标2：加强跨区域项目合作</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吸引企业赴广投资</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协调推动基础设施、产业发展、生态环境、公共服务等领域深化合作，新签约成渝地区双城经济圈项目123个、签约资金237.61亿元，</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指标1：推动东西部协作成效不断提升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持续巩固脱贫成果</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深化杭广东西部协作，与杭州市乡镇、村、学校、医院、企业、社会组织等积极开展结对，杭广交流交往实现多层次宽领域无缝对接，“1+6”东西部协作共建产业园有效巩固提升。</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指标2：推动县域经济发展</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营造县域经济发展良好氛围</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力争创全省县域经济发展先进县，加强培育县域百亿主导产业，开展县域经济短板分析，加强争创先进县统筹调度，旺苍县获评2021年度全省县域经济发展先进县，实现了全市获评全省先进县零的突破。筹备召开了全市县域经济发展研讨会，拟制《关于加快县域经济高质量发展的实施意见》，持续推动县域经济高质量发展。</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指标3：加大对外开放力度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开拓区域合作新局面</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持续深化成广合作、渝广合作、西广合作、防广合作、杭广协作、陇广合作、绵广合作等对外交流合作，加快阆苍南一体化协同发展，大力推动成渝地区双城经济圈北翼振兴。</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指标1：突出区域合作可持续性</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以项目+清单推进合作协议落实落地</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制定广元市2022年区域合作事项（项目）149个、广元市主动融入成渝地区双城经济圈建设2022年重点任务46条、川东北经济区振兴发展2022年涉广重点任务24条、广元市主动融入成渝地区双城经济圈建设体制创新重点任务41条、广元市适用支持成渝地区双城经济圈市场主体健康发展若干政策措施35条等，规划广元市主动融入成渝地区双城经济圈建设重大项目167个、总投资4322.20亿元。</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指标2：县域经济发展</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抓好县域经济发展各项工作部署安排。</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县域基础设施加快建设，县域发展环境持续优化，社会民生福祉不断增进，帮助21.29万名劳动力就地就近就业，2个县域医疗卫生次中心建成投用，广元市入选中国最干净城市10强榜单。</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112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服务对象满意度指标</w:t>
            </w:r>
          </w:p>
        </w:tc>
        <w:tc>
          <w:tcPr>
            <w:tcW w:w="10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指标1：公众满意度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1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5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5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9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10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年度目标深入开展区域协同发展工作，实施区域协调发展战略，抢抓重大战略机遇，全方位主动融入成渝地区双城经济圈建设，加快协同推动川东北经济区振兴发展，深入实施大开放大合作，各项工作有力有序推进、成效明显，提升了群众满意度，达到了项目绩效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10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1039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20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926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0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73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00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73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33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bl>
    <w:tbl>
      <w:tblPr>
        <w:tblStyle w:val="18"/>
        <w:tblpPr w:leftFromText="180" w:rightFromText="180" w:vertAnchor="text" w:horzAnchor="page" w:tblpXSpec="center" w:tblpY="536"/>
        <w:tblOverlap w:val="never"/>
        <w:tblW w:w="932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4"/>
        <w:gridCol w:w="908"/>
        <w:gridCol w:w="943"/>
        <w:gridCol w:w="1466"/>
        <w:gridCol w:w="563"/>
        <w:gridCol w:w="1204"/>
        <w:gridCol w:w="690"/>
        <w:gridCol w:w="947"/>
        <w:gridCol w:w="684"/>
        <w:gridCol w:w="722"/>
        <w:gridCol w:w="889"/>
        <w:gridCol w:w="1186"/>
        <w:gridCol w:w="2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9329"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807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jc w:val="center"/>
        </w:trPr>
        <w:tc>
          <w:tcPr>
            <w:tcW w:w="12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33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44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33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472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335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巩固拓展朝天区羊木镇新山村和曾家镇毛坝村2个帮扶村脱贫攻坚成果和乡村振兴的有效衔接，按照 “业兴、家富、人和、村美”的振兴理念，全面推进2个帮扶村乡村振兴建设再上新台阶。</w:t>
            </w:r>
          </w:p>
        </w:tc>
        <w:tc>
          <w:tcPr>
            <w:tcW w:w="472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发改委按照市委组织部、市乡村振兴局要求选派驻村工作队2支分赴毛坝村、新山村开展帮扶工作，帮扶期间，市发改委发挥组织优势，带领驻村工作队积极对接协调，扎实开展防止返贫监测、促进产业发展、农户增收，关爱特殊困难群体等各项工作，取得了较好的成效帮扶村各项事业发展稳中有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807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组织选派6名干部组建2个工作队在朝天区羊木镇新山村、曾家镇毛坝村开展乡村振兴帮扶工作。2022年，我委着力巩固脱贫攻坚成果在，开展定期走访扎实开展防止返贫监测工作，2个村无新增检测户；着力培育和壮大集体经济，新山村充分发挥专业合作社作用，重新招引业主，开展企业+专合社+农户多形式合作，拓宽了种植、养殖和销售渠道，毛坝村结合曾家山旅游产业发展，着力从承接服务与种养本职两方面入手，发展大豆-玉米带状复合种植示范推广项目300亩，积极参与旅游旺季服务工作；抓好基础设施巩固建设，协调市区两级部门单位和企业以高标准农田建设、村道整治建设、落水洞整治等为重点，进一步建设“宜居宜业、和美乡村”；关爱关注特殊群体，在六一、七一和春节前后开展留守儿童、困难党员慰问活动4次30多人次；深化开展消费扶贫活动，协调宝珠寺电厂等单位在新山村、毛坝村购买农产品15万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jc w:val="center"/>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14.56</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14.56</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14.56</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14.56</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14.56</w:t>
            </w: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14.56</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5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1、到2022年底，朝天区羊木镇新山村脱贫人口实现巩固提升。</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全村农民人均纯收入达到17800元以上。</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元</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2、到2022年底，朝天区曾家镇毛坝村脱贫人口实现巩固提升。</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全村农民人均收入达到18000元以上</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元</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以巩固拓展朝天区羊木镇新山村脱贫攻坚成果为目标，进一步提高全村产业质量效益和竞争力，进一步提升基础设施和基本公共服务水平，生态环境持续改善，美丽宜居乡村建设扎实推进，乡风文明建设取得显著进展，基层组织建设不断加强，集体经济稳固提升。</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入户路等基础设施逐步完善，集体经济持续稳固，村民精神文化生活丰富，生态环境更加宜居，建强村两委班子更加团结。</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2、以持续巩固拓展朝天区曾家镇毛坝村脱贫攻坚成果为目标，大力培育特色主导产业，加快实施基础设施建设。</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找准曾家山旅游与传统农业的结合点培育适合的特色主导产业，持续实施基础设施建设。</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巩固拓展脱贫攻坚成果和乡村振兴的有效衔接，按照 “业兴、家富、人和、村美”的振兴理念，全面推进2个帮扶村乡村振兴建设上一个台阶。</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新山村、毛坝村在产业发展、基础设施建设、关爱特殊困难群体和防止返贫监测等取得新进展。</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帮扶村村民</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5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县区政府</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588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3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8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875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得分100分。组织选派6名干部组建2个工作队在朝天区羊木镇新山村、曾家镇毛坝村开展乡村振兴帮扶工作。2022年，我委着力巩固脱贫攻坚成果在，开展定期走访扎实开展防止返贫监测工作，2个村无新增检测户；着力培育和壮大集体经济，新山村充分发挥专业合作社作用，重新招引业主，开展企业+专合社+农户多形式合作，拓宽了种植、养殖和销售渠道，毛坝村结合曾家山旅游产业发展，着力从承接服务与种养本职两方面入手，发展大豆-玉米带状复合种植示范推广项目300亩，积极参与旅游旺季服务工作；抓好基础设施巩固建设，协调市区两级部门单位和企业以高标准农田建设、村道整治建设、落水洞整治等为重点，进一步建设“宜居宜业、和美乡村”；关爱关注特殊群体，在六一、七一和春节前后开展留守儿童、困难党员慰问活动4次30多人次；深化开展消费扶贫活动，协调宝珠寺电厂等单位在新山村、毛坝村购买农产品15万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875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875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8751"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6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571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6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571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932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99" w:type="dxa"/>
          <w:trHeight w:val="460" w:hRule="atLeast"/>
          <w:jc w:val="center"/>
        </w:trPr>
        <w:tc>
          <w:tcPr>
            <w:tcW w:w="8630"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tbl>
            <w:tblPr>
              <w:tblStyle w:val="18"/>
              <w:tblpPr w:leftFromText="180" w:rightFromText="180" w:vertAnchor="text" w:horzAnchor="page" w:tblpXSpec="center" w:tblpY="368"/>
              <w:tblOverlap w:val="never"/>
              <w:tblW w:w="10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0"/>
              <w:gridCol w:w="697"/>
              <w:gridCol w:w="853"/>
              <w:gridCol w:w="1050"/>
              <w:gridCol w:w="960"/>
              <w:gridCol w:w="1065"/>
              <w:gridCol w:w="1019"/>
              <w:gridCol w:w="795"/>
              <w:gridCol w:w="480"/>
              <w:gridCol w:w="660"/>
              <w:gridCol w:w="930"/>
              <w:gridCol w:w="14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jc w:val="center"/>
              </w:trPr>
              <w:tc>
                <w:tcPr>
                  <w:tcW w:w="10820" w:type="dxa"/>
                  <w:gridSpan w:val="12"/>
                  <w:tcBorders>
                    <w:top w:val="nil"/>
                    <w:left w:val="nil"/>
                    <w:bottom w:val="nil"/>
                    <w:right w:val="nil"/>
                  </w:tcBorders>
                  <w:shd w:val="clear" w:color="auto" w:fill="auto"/>
                  <w:vAlign w:val="center"/>
                </w:tcPr>
                <w:p>
                  <w:pPr>
                    <w:pStyle w:val="2"/>
                    <w:keepNext w:val="0"/>
                    <w:keepLines w:val="0"/>
                    <w:suppressLineNumbers w:val="0"/>
                    <w:spacing w:before="0" w:beforeAutospacing="0" w:after="0" w:afterAutospacing="0"/>
                    <w:ind w:right="0"/>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lang w:val="en-US" w:eastAsia="zh-CN"/>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16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2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广元市低碳研究会工作经费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16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49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4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广元市低碳经济发展研究会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6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49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4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6"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6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49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根据业务主管单位等相关文件要求，并结合我会职能职责，承担全国低碳日、世界环境日及相关重大主题活动的宣传；编印《广元低碳》内部刊物；维护运营《广元低碳网》；开展相关课题调研，为市委政府决策参谋服务。</w:t>
                  </w:r>
                </w:p>
              </w:tc>
              <w:tc>
                <w:tcPr>
                  <w:tcW w:w="42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市低碳经济发展研究会按照年初计划，参与由广元市委、市政府主办，低碳研究会承办的低碳日主题宣传活动，参与由市生态环境局承办的“世界环境日”活动。编印出版《广元低碳》刊物，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35"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2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低碳经济发展研究会按照年初计划，参与由广元市委、市政府主办，低碳研究会承办的低碳日主题宣传活动一次，参与由市生态环境局承办的“世界环境日”活动一次。编印《广元低碳》刊物2期，运营维护《广元低碳》网站，上稿信息100多条，参加调研5次。形成一批有价值的调研成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6" w:hRule="atLeast"/>
                <w:jc w:val="center"/>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3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3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3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304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86" w:hRule="atLeast"/>
                <w:jc w:val="center"/>
              </w:trPr>
              <w:tc>
                <w:tcPr>
                  <w:tcW w:w="9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广元低碳刊物</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期</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低碳日、环境日活动</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印刷费、稿费、宣传费</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人员工资</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6"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提高宣传影响力</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通过宣传活动，让更多的市民参与低碳、热爱低碳、养成节约好习惯</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引导市民低碳生活新时尚</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自觉践行低碳绿色发展，发挥生态效应</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9"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降碳减排</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让企业节能降碳排污，可持续发展。</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2" w:hRule="atLeast"/>
                <w:jc w:val="center"/>
              </w:trPr>
              <w:tc>
                <w:tcPr>
                  <w:tcW w:w="9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w:t>
                  </w:r>
                </w:p>
              </w:tc>
              <w:tc>
                <w:tcPr>
                  <w:tcW w:w="10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 w:hRule="atLeast"/>
                <w:jc w:val="center"/>
              </w:trPr>
              <w:tc>
                <w:tcPr>
                  <w:tcW w:w="734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cs="宋体"/>
                      <w:i w:val="0"/>
                      <w:iCs w:val="0"/>
                      <w:color w:val="000000"/>
                      <w:kern w:val="0"/>
                      <w:sz w:val="16"/>
                      <w:szCs w:val="16"/>
                      <w:u w:val="none"/>
                      <w:lang w:val="en-US" w:eastAsia="zh-CN" w:bidi="ar"/>
                    </w:rPr>
                    <w:t>10</w:t>
                  </w:r>
                  <w:r>
                    <w:rPr>
                      <w:rFonts w:hint="eastAsia" w:ascii="宋体" w:hAnsi="宋体" w:eastAsia="宋体" w:cs="宋体"/>
                      <w:i w:val="0"/>
                      <w:iCs w:val="0"/>
                      <w:color w:val="000000"/>
                      <w:kern w:val="0"/>
                      <w:sz w:val="16"/>
                      <w:szCs w:val="16"/>
                      <w:u w:val="none"/>
                      <w:lang w:val="en-US" w:eastAsia="zh-CN" w:bidi="ar"/>
                    </w:rPr>
                    <w:t>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8"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991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自评100分。该项目严格按照年度目标完成了低碳研究服务各项工作，在全市生态经济发展和生态产品价值实现机制等方面发挥重要作用，达到了项目绩效要求。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6"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991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6"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991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7" w:hRule="atLeast"/>
                <w:jc w:val="center"/>
              </w:trPr>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991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 w:hRule="atLeast"/>
                <w:jc w:val="center"/>
              </w:trPr>
              <w:tc>
                <w:tcPr>
                  <w:tcW w:w="4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63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 w:hRule="atLeast"/>
                <w:jc w:val="center"/>
              </w:trPr>
              <w:tc>
                <w:tcPr>
                  <w:tcW w:w="447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63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 w:hRule="atLeast"/>
                <w:jc w:val="center"/>
              </w:trPr>
              <w:tc>
                <w:tcPr>
                  <w:tcW w:w="1082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bl>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6"/>
                <w:szCs w:val="16"/>
                <w:u w:val="none"/>
              </w:rPr>
            </w:pPr>
          </w:p>
        </w:tc>
      </w:tr>
    </w:tbl>
    <w:tbl>
      <w:tblPr>
        <w:tblStyle w:val="18"/>
        <w:tblpPr w:leftFromText="180" w:rightFromText="180" w:vertAnchor="text" w:horzAnchor="page" w:tblpXSpec="center" w:tblpY="572"/>
        <w:tblOverlap w:val="never"/>
        <w:tblW w:w="114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05"/>
        <w:gridCol w:w="986"/>
        <w:gridCol w:w="1067"/>
        <w:gridCol w:w="1232"/>
        <w:gridCol w:w="1240"/>
        <w:gridCol w:w="303"/>
        <w:gridCol w:w="233"/>
        <w:gridCol w:w="687"/>
        <w:gridCol w:w="1378"/>
        <w:gridCol w:w="716"/>
        <w:gridCol w:w="780"/>
        <w:gridCol w:w="720"/>
        <w:gridCol w:w="10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1459"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tbl>
            <w:tblPr>
              <w:tblStyle w:val="18"/>
              <w:tblW w:w="11486" w:type="dxa"/>
              <w:tblInd w:w="-2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
              <w:gridCol w:w="951"/>
              <w:gridCol w:w="600"/>
              <w:gridCol w:w="750"/>
              <w:gridCol w:w="1785"/>
              <w:gridCol w:w="795"/>
              <w:gridCol w:w="1650"/>
              <w:gridCol w:w="735"/>
              <w:gridCol w:w="1050"/>
              <w:gridCol w:w="480"/>
              <w:gridCol w:w="960"/>
              <w:gridCol w:w="875"/>
              <w:gridCol w:w="8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5" w:type="dxa"/>
                <w:wAfter w:w="850" w:type="dxa"/>
                <w:trHeight w:val="570" w:hRule="atLeast"/>
              </w:trPr>
              <w:tc>
                <w:tcPr>
                  <w:tcW w:w="10631" w:type="dxa"/>
                  <w:gridSpan w:val="11"/>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4"/>
                      <w:szCs w:val="44"/>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93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广元市发展和改革委员会办公楼维修改造项目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5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57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广元市发展和改革委员会</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1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57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42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57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指标1：办公楼外墙及室内安全排危；                                                        指标2：完成办公楼屋面防水处理工作；                                                       指标3：完成办公楼2、3楼铝合金窗户更换工作；                                              指标4：完成公调外机移机工作。     </w:t>
                  </w:r>
                </w:p>
              </w:tc>
              <w:tc>
                <w:tcPr>
                  <w:tcW w:w="42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b/>
                      <w:bCs/>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93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1.办公楼原外墙进行铲除，重新做真石漆；2.更换2-3楼、4楼会议室铝合金窗户；3屋面局部进行防水处理。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2" w:hRule="atLeast"/>
              </w:trPr>
              <w:tc>
                <w:tcPr>
                  <w:tcW w:w="9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31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49.70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49.70</w:t>
                  </w:r>
                </w:p>
              </w:tc>
              <w:tc>
                <w:tcPr>
                  <w:tcW w:w="31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48.02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96.61%</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剩余部分为质保金，需在项目完工后一年后支付。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49.70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49.70</w:t>
                  </w:r>
                </w:p>
              </w:tc>
              <w:tc>
                <w:tcPr>
                  <w:tcW w:w="31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48.02</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96.61%</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31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5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指标1：铲除原外墙漆，在原外墙瓷砖上挂网后做外墙真石漆。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平方米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2300平方米</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指标2：拆除空调室外机，待外墙改造后空调室外机统一规整（包含移机、安装、加氟、加铜管、外机防护罩、空调排水管等）。</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55台</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指标3：拆除原二楼、三楼铝合金平开窗，更换为塑钢（铝合金）平开窗或向上平开窗。</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740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平方米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740平方米</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指标4：三楼、五楼、七楼、附二楼屋顶局部防水处理。</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平方米</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300平方米</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指标1：竣工验收合格率</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合格</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合格</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指标1：完成时间</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3个月</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指标1：办公楼维修</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49.7</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48.02万元</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剩余部分为质保金，需在项目完工后一年后支付。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指标1：排除周边安全隐患。</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经过维修维护，预防外墙瓷砖脱落，降低周边行人及车辆安全隐患。</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经过维修维护，预防外墙瓷砖脱落，降低了周边行人及车辆安全隐患。</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指标1：维护周边环境污染。</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经过维修维护，预防外墙瓷砖及涂料脱落，减少街道不必要的污染。</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经过维修维护，预防外墙瓷砖及涂料脱落，减少了街道不必要的污染。</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指标1：降低安全隐患及环境污染。</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经过维修维护，长久持续的降低办公楼周边安全隐患及环境污染。</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经过维修维护，长久持续的降低办了公楼周边安全隐患及环境污染</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7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指标1：公众满意度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5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7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指标2：员工满意度</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2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cs="宋体"/>
                      <w:i w:val="0"/>
                      <w:iCs w:val="0"/>
                      <w:color w:val="000000"/>
                      <w:kern w:val="0"/>
                      <w:sz w:val="16"/>
                      <w:szCs w:val="16"/>
                      <w:u w:val="none"/>
                      <w:lang w:val="en-US" w:eastAsia="zh-CN" w:bidi="ar"/>
                    </w:rPr>
                    <w:t>10</w:t>
                  </w:r>
                  <w:r>
                    <w:rPr>
                      <w:rFonts w:hint="eastAsia" w:ascii="宋体" w:hAnsi="宋体" w:eastAsia="宋体" w:cs="宋体"/>
                      <w:i w:val="0"/>
                      <w:iCs w:val="0"/>
                      <w:color w:val="000000"/>
                      <w:kern w:val="0"/>
                      <w:sz w:val="16"/>
                      <w:szCs w:val="16"/>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6"/>
                      <w:szCs w:val="16"/>
                      <w:u w:val="none"/>
                    </w:rPr>
                  </w:pPr>
                  <w:r>
                    <w:rPr>
                      <w:rFonts w:hint="eastAsia" w:ascii="宋体" w:hAnsi="宋体" w:cs="宋体"/>
                      <w:i w:val="0"/>
                      <w:iCs w:val="0"/>
                      <w:color w:val="000000"/>
                      <w:kern w:val="0"/>
                      <w:sz w:val="16"/>
                      <w:szCs w:val="16"/>
                      <w:u w:val="none"/>
                      <w:lang w:val="en-US" w:eastAsia="zh-CN" w:bidi="ar"/>
                    </w:rPr>
                    <w:t>10</w:t>
                  </w:r>
                  <w:r>
                    <w:rPr>
                      <w:rFonts w:hint="eastAsia" w:ascii="宋体" w:hAnsi="宋体" w:eastAsia="宋体" w:cs="宋体"/>
                      <w:i w:val="0"/>
                      <w:iCs w:val="0"/>
                      <w:color w:val="000000"/>
                      <w:kern w:val="0"/>
                      <w:sz w:val="16"/>
                      <w:szCs w:val="16"/>
                      <w:u w:val="none"/>
                      <w:lang w:val="en-US" w:eastAsia="zh-CN" w:bidi="ar"/>
                    </w:rPr>
                    <w:t>0</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105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项目总评分100分，该项目维修改造和排除了外墙砖脱落的风险，改善了办公环境及屋面漏水等现象，与周边建筑保持基本一致。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105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105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9" w:hRule="atLeast"/>
              </w:trPr>
              <w:tc>
                <w:tcPr>
                  <w:tcW w:w="9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105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8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66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88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66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48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bl>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楷体_GB2312" w:hAnsi="楷体_GB2312" w:eastAsia="楷体_GB2312" w:cs="楷体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both"/>
              <w:textAlignment w:val="center"/>
              <w:rPr>
                <w:rFonts w:hint="eastAsia" w:ascii="楷体_GB2312" w:hAnsi="楷体_GB2312" w:eastAsia="楷体_GB2312" w:cs="楷体_GB2312"/>
                <w:i w:val="0"/>
                <w:iCs w:val="0"/>
                <w:color w:val="000000"/>
                <w:kern w:val="0"/>
                <w:sz w:val="30"/>
                <w:szCs w:val="30"/>
                <w:u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楷体_GB2312" w:hAnsi="楷体_GB2312" w:eastAsia="楷体_GB2312" w:cs="楷体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0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项目前期工作激励2022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24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35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2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1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4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35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55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35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组织开展全市重点产业发展现场拉练评比；谋划储备重大产业项目；开展产业发展规划论证；开展重大产业项目前期咨询论证等前期工作；组织产业专班制定产业图谱；每月组织开展重点产业调度会，协调解决重点产业发展中的困难和问题；分析、研判全市产业发展情况；完成全市产业发展目标任务;推动宝珠寺水电站、亭子口库区水风光多能互补项目。</w:t>
            </w:r>
          </w:p>
        </w:tc>
        <w:tc>
          <w:tcPr>
            <w:tcW w:w="550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已组织开展全市重点产业发展现场拉练评比2次并谋划储备重大产业项目、开展产业发展规划论证、开展重大产业项目前期咨询论证等前期工作；组织产业专班制定产业图谱；每月组织开展了重点产业调度会。已完成白龙江宝珠寺水电站及嘉陵江亭子口水利枢纽库区半径60公里范围内风能及光伏资源勘探，提出可行的资源开发点位建议；协助对资源开发点位进行敏感因素情况排查，完成编制《广元市“十四五”水风光互补开发项目初步实施方案》，并取得省发展改革委、省能源局审查通过的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02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组织召开专题会，对《广元市“十四五”水风光互补开发项目初步实施方案》进行研究并征求意见。在此基础上，报送省发展改革委进行评审，并根据评审意见修改完善后报省政府备案。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14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2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110.00</w:t>
            </w: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18.66</w:t>
            </w:r>
          </w:p>
        </w:tc>
        <w:tc>
          <w:tcPr>
            <w:tcW w:w="2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16.96%</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因项目资金为年末下达，项目正在实施中。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110.00</w:t>
            </w: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18.66</w:t>
            </w:r>
          </w:p>
        </w:tc>
        <w:tc>
          <w:tcPr>
            <w:tcW w:w="2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16.96%</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3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4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指标1：组织开展全市重点产业发展现场拉练评比</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全年组织召开4次全市重点产业发展现场拉练评比</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因项目资金为年末下达，项目正在实施中,已完成22年绩效目标任务。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指标2：会商调度</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每月召开重点产业调度会</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次</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累计召开调度会方议4次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指标3：项目储备</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谋划储备重点产业项目总投资5000亿元以上</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亿元</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待完成</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因项目资金为年末下达，项目正在实施中已完成22年绩效目标任务。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指标４：项目招引</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新招引签约产业项目60个以上。</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新签约项目142个。</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指标5：项目开工</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新开工重点产业项目30个以上。</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新开工产业项目41个。</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指标6：项目竣工投产</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实现竣工投产重点产业项目30个以上。</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个</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33个项目竣工投产。</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指标7：企业进规</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年内实现工业企业进规55家，批零住餐企业35个，服务业企业26家</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家</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10-12月，全市新入库重点产业企业86家，现有在库重点产业企业1299家</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指标8：协助勘探白龙江宝珠寺水电站及嘉陵江亭子口水利枢纽库区半径60公里范围内风能及光伏资源状况，提出可行的资源开发点位建议</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协助完成白龙江宝珠寺水电站及嘉陵江亭子口水利枢纽库区半径60公里范围内风能及光伏资源状况勘探工作，提出的可开发风能、光伏资源总装机容量不低于100万千瓦</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千瓦</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已完成白龙江宝珠寺水电站及嘉陵江亭子口水利枢纽库区半径60公里范围内风能及光伏资源状况勘探工作</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指标1：协调调度</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企业复工复产，企业稳产达产</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企业复工复产，企业稳产达产</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指标2：协助对资源开发点位进行敏感因素情况排查，取得相关主管部门审查批复意见</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资源开发点位选址应避开禁止开发红线区域，敏感因素应征得相关主管部门审查皮批复意见，且不影响项目后续实际开发建设</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资源开发点位选址应避开禁止开发红线区域，敏感因素应征得相关主管部门审查皮批复意见，且不影响项目后续实际开发建设</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指标1：完成时间</w:t>
            </w:r>
          </w:p>
        </w:tc>
        <w:tc>
          <w:tcPr>
            <w:tcW w:w="951" w:type="dxa"/>
            <w:tcBorders>
              <w:top w:val="nil"/>
              <w:left w:val="nil"/>
              <w:bottom w:val="nil"/>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待完成</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因项目资金为年末下达，项目正在实施中已完成22年绩效目标任务。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指标1：主要经济指标增速</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主要经济指标增速追平全省平均水平</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全市规上工业增加值增速和排位虽较去年底有所回升</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指标2：协助勘探白龙江宝珠寺水电站及嘉陵江亭子口水利枢纽库区半径60公里范围内风能及光伏资源状况，提出可行的资源开发点位建议</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提升地方经济税收，带动地方居民就业创收</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提升了地方经济税收，带动了地方居民就业创收</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指标1：产业发展</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促进产业高质量发展</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市重点产业工业企业总产值实现1220.38亿元，占全市工业总产值84.6%，其中铝产业、食品饮料产业、建筑建材产业、清洁能源产业产值均超百亿，分别为321.67亿元、284.22亿元、233.97亿元、109.57亿元。</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指标2：协助勘探白龙江宝珠寺水电站及嘉陵江亭子口水利枢纽库区半径60公里范围内风能及光伏资源状况，提出可行的资源开发点位建议</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强化地方能源供应保障能力，带动地区居民就业</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强化了地方能源供应保障能力，带动了地区居民就业</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指标1：企业技改升级</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符合生态环保要求，推动生态环境持续优化</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符合生态环保要求，推动了生态环境持续优化</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指标2：协助编制《广元市“十四五”水风光互补开发项目初步实施方案》，并取得省发展改革委、省能源局审查通过意见</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彰显我市能源资源优势，吸纳能源企业投资</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彰显我市能源资源优势，吸纳能源企业投资</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指标1：突出产业发展可持续影响</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以重点产业项目示范带动作用，推动全市经济社会发展</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以重点产业项目示范带动作用，推动了全市经济社会发展</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指标2：全面落实《广元市“十四五”能源发展总体规划》部署</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提升“信用广元”城市品牌影响力，建成规模化能源发展基地。</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提升了“信用广元”城市品牌影响力，建成规模化能源发展基地。</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4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 公众满意度</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7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30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6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16"/>
                <w:szCs w:val="16"/>
                <w:u w:val="none"/>
                <w:lang w:val="en-US"/>
              </w:rPr>
            </w:pPr>
            <w:r>
              <w:rPr>
                <w:rFonts w:hint="eastAsia" w:ascii="宋体" w:hAnsi="宋体" w:eastAsia="宋体" w:cs="宋体"/>
                <w:i w:val="0"/>
                <w:iCs w:val="0"/>
                <w:color w:val="000000"/>
                <w:kern w:val="0"/>
                <w:sz w:val="16"/>
                <w:szCs w:val="16"/>
                <w:u w:val="none"/>
                <w:lang w:val="en-US" w:eastAsia="zh-CN" w:bidi="ar"/>
              </w:rPr>
              <w:t>9</w:t>
            </w:r>
            <w:r>
              <w:rPr>
                <w:rFonts w:hint="eastAsia" w:ascii="宋体" w:hAnsi="宋体" w:cs="宋体"/>
                <w:i w:val="0"/>
                <w:iCs w:val="0"/>
                <w:color w:val="000000"/>
                <w:kern w:val="0"/>
                <w:sz w:val="16"/>
                <w:szCs w:val="16"/>
                <w:u w:val="none"/>
                <w:lang w:val="en-US" w:eastAsia="zh-CN" w:bidi="ar"/>
              </w:rPr>
              <w:t>1.7</w:t>
            </w:r>
          </w:p>
        </w:tc>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999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因项目资金为年末下达，项目正在实施中，项目绩效目标完成情况较差。自评得分91.7分。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999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999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5" w:hRule="atLeast"/>
          <w:jc w:val="center"/>
        </w:trPr>
        <w:tc>
          <w:tcPr>
            <w:tcW w:w="14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999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5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593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55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593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459"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bl>
    <w:p>
      <w:pPr>
        <w:rPr>
          <w:rStyle w:val="31"/>
          <w:rFonts w:ascii="黑体" w:hAnsi="黑体" w:eastAsia="黑体"/>
          <w:b w:val="0"/>
          <w:color w:val="auto"/>
          <w:highlight w:val="none"/>
        </w:rPr>
      </w:pPr>
    </w:p>
    <w:p>
      <w:pPr>
        <w:pStyle w:val="7"/>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p>
      <w:pPr>
        <w:spacing w:line="600" w:lineRule="exact"/>
        <w:jc w:val="center"/>
        <w:outlineLvl w:val="0"/>
        <w:rPr>
          <w:rFonts w:hint="eastAsia" w:ascii="黑体" w:hAnsi="黑体" w:eastAsia="黑体"/>
          <w:color w:val="auto"/>
          <w:sz w:val="44"/>
          <w:szCs w:val="44"/>
          <w:highlight w:val="none"/>
        </w:rPr>
      </w:pPr>
    </w:p>
    <w:tbl>
      <w:tblPr>
        <w:tblStyle w:val="18"/>
        <w:tblpPr w:leftFromText="180" w:rightFromText="180" w:vertAnchor="text" w:horzAnchor="page" w:tblpXSpec="center" w:tblpY="544"/>
        <w:tblOverlap w:val="never"/>
        <w:tblW w:w="105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7"/>
        <w:gridCol w:w="606"/>
        <w:gridCol w:w="778"/>
        <w:gridCol w:w="1134"/>
        <w:gridCol w:w="480"/>
        <w:gridCol w:w="1170"/>
        <w:gridCol w:w="480"/>
        <w:gridCol w:w="1305"/>
        <w:gridCol w:w="750"/>
        <w:gridCol w:w="795"/>
        <w:gridCol w:w="840"/>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0530"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ascii="仿宋_GB2312" w:hAnsi="仿宋_GB2312" w:eastAsia="仿宋_GB2312" w:cs="仿宋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lang w:val="en-US" w:eastAsia="zh-CN"/>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0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川北粮食现代储备基地项目前期评价工作经费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4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66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4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49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40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围绕省粮食专项规划“1核3极”川北极规划布局，开展全市粮食仓储物流设施建设规划研究、实施方案研究；支持市农业发展集团、县区国有粮食企业立足区位优势，谋划储备一批关系川北地区粮食储备安全的基础设施建设领域重大项目，开展项目前期咨询论证、可行性研究报告编制、项目申请报告编制；组织开展项目谋划、编制、入库培训。</w:t>
            </w:r>
          </w:p>
        </w:tc>
        <w:tc>
          <w:tcPr>
            <w:tcW w:w="49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制定出台《广元市“十四五”粮食和物资储备事业发展规划》，全市谋划建设粮食仓储物流项目5个并完成项目规划、实施方案和可行性研究编制，项目计划总投资金额达到20亿元，粮食仓容达44万吨；正在编制《成渝地区粮食安全保障基地实施方案》（包含川北粮食现代储备基地建设方案）。中央预算内投资支付率、完成率均达到85%，保证2023年10月前完成绩效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00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项目主要用于市农业发展集团、市粮油质监站和剑阁县、旺苍县、利州区开展粮食仓储物流建设项目前期工作。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300.00</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300.00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141.00</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159</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159</w:t>
            </w:r>
          </w:p>
        </w:tc>
        <w:tc>
          <w:tcPr>
            <w:tcW w:w="2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159</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77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指标1：项目规划、实施方案研究，可行性研究编制，项目入库培训</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70" w:type="dxa"/>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个 </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4个</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项目经费未年底下达，项目需在2023年10月结束，22年绩效目标已完成。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7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指标2：项目包装储备</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包装储备子项目5个</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5个</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7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指标3：项目规模</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谋划建设项目总投资计划达到22亿元，粮仓仓容达40万吨</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万吨</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谋划建设项目总投资计划达到20亿元，粮仓仓容达44万吨</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指标1：可行性研究报告完成率</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指标1：完成编制可行性研究报告</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已完成4个项目可行性研究报告编制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77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经济效益指标</w:t>
            </w:r>
          </w:p>
        </w:tc>
        <w:tc>
          <w:tcPr>
            <w:tcW w:w="11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指标1：固定资产投资</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增加固定资产投资20亿元，年内实现0.5亿元</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亿元</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年内已实现固定投资0.2亿元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7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指标2：推进央省预算内补助、基金、专项债劵投资项目</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年内推动争取支持项目工程建设资金1.5亿元以上</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亿元</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争取支持项目工程建设资金2.499亿元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1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推进粮食仓储设施提档升级</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促进促进经济社会持续平稳健康发展</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促进促进经济社会持续平稳健康发展</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生态效益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1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推进一批生态环保项目</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促进全市生态环境持续优化</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促进全市生态环境持续优化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1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突出重点项目可持续影响</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以项目示范带动，推动全市投资持续增长</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以项目示范带动，推动全市投资持续增长</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7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13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粮食仓储企业满意度</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4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30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7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7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eastAsia" w:ascii="宋体" w:hAnsi="宋体" w:eastAsia="宋体" w:cs="宋体"/>
                <w:i w:val="0"/>
                <w:iCs w:val="0"/>
                <w:color w:val="000000"/>
                <w:sz w:val="16"/>
                <w:szCs w:val="16"/>
                <w:u w:val="none"/>
              </w:rPr>
            </w:pPr>
            <w:r>
              <w:rPr>
                <w:rFonts w:hint="eastAsia" w:ascii="宋体" w:hAnsi="宋体" w:cs="宋体"/>
                <w:i w:val="0"/>
                <w:iCs w:val="0"/>
                <w:color w:val="000000"/>
                <w:kern w:val="0"/>
                <w:sz w:val="16"/>
                <w:szCs w:val="16"/>
                <w:u w:val="none"/>
                <w:lang w:val="en-US" w:eastAsia="zh-CN" w:bidi="ar"/>
              </w:rPr>
              <w:t>10</w:t>
            </w:r>
            <w:r>
              <w:rPr>
                <w:rFonts w:hint="eastAsia" w:ascii="宋体" w:hAnsi="宋体" w:eastAsia="宋体" w:cs="宋体"/>
                <w:i w:val="0"/>
                <w:iCs w:val="0"/>
                <w:color w:val="000000"/>
                <w:kern w:val="0"/>
                <w:sz w:val="16"/>
                <w:szCs w:val="16"/>
                <w:u w:val="none"/>
                <w:lang w:val="en-US" w:eastAsia="zh-CN" w:bidi="ar"/>
              </w:rPr>
              <w:t>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961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通过重大项目前期研究谋划，规划全市“一园一基地两中心”的粮食和物资储备规划布局和“1+5”的粮食仓储物流基础设施建设，全面加强我市粮食安全保障能力，大力推进成渝地区粮食安全保障基地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961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961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961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66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9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66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53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bl>
    <w:tbl>
      <w:tblPr>
        <w:tblStyle w:val="18"/>
        <w:tblpPr w:leftFromText="180" w:rightFromText="180" w:vertAnchor="text" w:horzAnchor="page" w:tblpXSpec="center" w:tblpY="411"/>
        <w:tblOverlap w:val="never"/>
        <w:tblW w:w="107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1"/>
        <w:gridCol w:w="900"/>
        <w:gridCol w:w="939"/>
        <w:gridCol w:w="746"/>
        <w:gridCol w:w="401"/>
        <w:gridCol w:w="977"/>
        <w:gridCol w:w="401"/>
        <w:gridCol w:w="2611"/>
        <w:gridCol w:w="540"/>
        <w:gridCol w:w="660"/>
        <w:gridCol w:w="682"/>
        <w:gridCol w:w="10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0714"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lang w:val="en-US" w:eastAsia="zh-CN"/>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0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广元市公共信用平台(一期)建设项目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34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29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广元市经济信息中心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9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34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55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jc w:val="center"/>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9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34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一是完成广元市公共信用平台(一期)2022年驻场运维工作;二是完成广元市公共信用平台(一期)2022年度等保测评工作。</w:t>
            </w:r>
          </w:p>
        </w:tc>
        <w:tc>
          <w:tcPr>
            <w:tcW w:w="55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公共信用平台建设项目（一期）概算总投资409万元(2018年贵局下达45万元政府采购启动资金，2019年下达364万元专项建设资金)。2019年2月，我委按政府采购程序完成项目施工和监理采购,2021年完了成项目等保测评招标。项目于2019年3月开工建设，2019年9月完成项目初验， 2020年7月完成终验，2020年9月项目进入驻场三年运维服务期至今。2022年度，广元市公共信用平台共归集39个市级部门（单位）、7个区县共计395项８200余万条信用数据。全国261个地级市城市信用综合排名中，广元2022年3月全国排名22名，四川省市州排名为第2名。2022年度完成广元市公共信用平台等保三级测评，全年无安全事故发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jc w:val="center"/>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05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为深入贯彻国家关于加强社会信用体系建设有关要求，按照市委、市政府工作安排，由市发改委牵头，于2018年启动建设广元市公共信用平台建设项目（一期）采购。项目概算总投资409万元(2018年下达45万元政府采购启动资金，2019年下达364万元专项建设资金)。2019年2月，我委按政府采购程序完成项目施工和监理采购,2021年完了成项目等保测评采购。项目于2019年3月开工建设，2019年9月完成项目初验， 2020年7月完成终验，2020年9月项目进入驻场三年运维服务期至今。其中：2022年申请返还财政预算资金支付驻场运维费、等保测评费合计41.3万元(市财政局分两次拔付，第一次4.9万元、第二次36.4万元）。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jc w:val="center"/>
        </w:trPr>
        <w:tc>
          <w:tcPr>
            <w:tcW w:w="7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1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41.30</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41.30</w:t>
            </w:r>
          </w:p>
        </w:tc>
        <w:tc>
          <w:tcPr>
            <w:tcW w:w="1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41.30</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41.30</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41.30</w:t>
            </w:r>
          </w:p>
        </w:tc>
        <w:tc>
          <w:tcPr>
            <w:tcW w:w="1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41.30</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7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761"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驻场服务人数</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信用平台由中标企业派驻驻场人员3人；服从发改委工作安排，做好信用平台日常运维</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人</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信用平台中标企业按合同约定，派驻3人按采购人要求开展驻场服务工作。</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信用综合指标排名</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配合财经信用科，按国家对地级市城市信用综合考核指标进行数据归集和上报，全年在全国261个地级市综合排名不得低于100名。</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名次</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全国261个地级市城市信用综合排名中，广元2022年3月全国排名22名，四川省市州排名为第2名。其余月份全国排名均在50名以内，全省排名均在前3名内。</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公共信用数据归集量</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按广元市公共信用归集目录，归集公共信用数据总量累计不得少于8000万条</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条</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广元市公共信用平台共归集39个市级部门（单位）、7个区县共计395项累计8200余万条信用数据。</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通过等保三级测评</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信用平台通过2022年度等保三级测评备案</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份</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完成了广元市公共信用平台２０２２年度等保测评工作，取得了公安部备案证明，</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重大安全事故</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公共信用平台全年无重大安全事故发生</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广元市公共信用平台2022年度全国无安全事故发生。</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驻场服务完成时间</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2022年9月前</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日</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2022年9月30日</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等保测评完成时间</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2022年12月前</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日</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2022年9月5日</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驻场运维费用</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公共信用平台2022年度驻场运维服务按中标后，合同约定29.4万元</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29.4万元</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成本指标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等保测评费用</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信用平台2022年度等保三级测评,按中标后合同约定11.9万元</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万元</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11.9万元</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提升城市信用综合排名，提升城市品牌价值</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对标全国城市信用排名指标要求，通过归集信用数据，提升广元市城市信用排名，提升城市品牌价值。</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全国261个地级市城市信用综合排名中，广元2022年3月全国排名22名，四川省市州排名为第2名。其余月份全国排名均在50名以内，全省排名均在前3名内。在360等搜索引擎中，输入“广元”排名第一的是广元城市信用名片，信用中国（四川广元）年点击量12834149人次；网站总浏览量突破39326400次，注册用户数3304个；</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项目效益</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促进全社会诚实守信</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通过发布失信人员红黑名单，对失信人员开展联合将惩，让守信者一路畅行，让失信者寸步难行，促进全社会诚实守信。</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示行政许可和行政处罚信息53634条；对外发布信用信息1915篇；公示红名单2670条，归集失信黑名单11695人次；公示市场主体信用修复信息125条；公示行政审批中介机构服务质量考评结果信息26批次。推送养老金专业应用38批次疑似冒领名单，涉及疑似冒领人员876人次，疑似冒领涉及金额552.29万元。“信用广元”微信公众号信息发布477篇，关注粉丝8137人。有效地推动广元全社会诚实守信，优化地区营商环境,提升了城市影响力。</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761"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服务对象满意度</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95</w:t>
            </w:r>
          </w:p>
        </w:tc>
        <w:tc>
          <w:tcPr>
            <w:tcW w:w="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2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7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cs="宋体"/>
                <w:i w:val="0"/>
                <w:iCs w:val="0"/>
                <w:color w:val="000000"/>
                <w:kern w:val="0"/>
                <w:sz w:val="16"/>
                <w:szCs w:val="16"/>
                <w:u w:val="none"/>
                <w:lang w:val="en-US" w:eastAsia="zh-CN" w:bidi="ar"/>
              </w:rPr>
              <w:t>10</w:t>
            </w:r>
            <w:r>
              <w:rPr>
                <w:rFonts w:hint="eastAsia" w:ascii="宋体" w:hAnsi="宋体" w:eastAsia="宋体" w:cs="宋体"/>
                <w:i w:val="0"/>
                <w:iCs w:val="0"/>
                <w:color w:val="000000"/>
                <w:kern w:val="0"/>
                <w:sz w:val="16"/>
                <w:szCs w:val="16"/>
                <w:u w:val="none"/>
                <w:lang w:val="en-US" w:eastAsia="zh-CN" w:bidi="ar"/>
              </w:rPr>
              <w:t>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995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100分。该项目严格按照《广元市公共信用平台（一期）实施方案》和合同进行建设，在全国261个地级市城市信用综合排名中，广元市在许多经济指标都不如全国众多地级市的情况下，我们的综合排名能进入全国前50名，全省前３名，最好时排全国22名，全省第2名，我们认为，该信用平台的建设，已完成了他应有的价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995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一是本项目涉及46家数据提供部门（单位）共计395项数据信息，而许多部门信息系统都是烟囱系统，数据归集难度大；二是广元gdp等许多经济指标都不能与全国许多地级市相比，如何提高城市信用综合排名，工作推进难度大；三是该平台驻场服务人员在2023年9月即将到期，后期如何衔接相关工作，可能面临人员脱档，城市信用排名会断崖式下滑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995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年度申请财政资金预算，提高财政资金使用效率，严格资金使用监管，严格按合同进度支付，分析全国城市信用测评指标，对标归集信用数据，提升城市信用排名，加强信用平台安全管理，确保平台和数据安全。认真分析国、省对信用平台建设新要求以及优化营商环境相关指标要求，做好广元市公共信用平台（二级）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7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9953"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7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696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74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696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714"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p>
        </w:tc>
      </w:tr>
    </w:tbl>
    <w:tbl>
      <w:tblPr>
        <w:tblStyle w:val="18"/>
        <w:tblpPr w:leftFromText="180" w:rightFromText="180" w:vertAnchor="text" w:horzAnchor="page" w:tblpXSpec="center" w:tblpY="504"/>
        <w:tblOverlap w:val="never"/>
        <w:tblW w:w="107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66"/>
        <w:gridCol w:w="609"/>
        <w:gridCol w:w="648"/>
        <w:gridCol w:w="1157"/>
        <w:gridCol w:w="192"/>
        <w:gridCol w:w="153"/>
        <w:gridCol w:w="915"/>
        <w:gridCol w:w="578"/>
        <w:gridCol w:w="510"/>
        <w:gridCol w:w="975"/>
        <w:gridCol w:w="750"/>
        <w:gridCol w:w="672"/>
        <w:gridCol w:w="873"/>
        <w:gridCol w:w="16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10733" w:type="dxa"/>
            <w:gridSpan w:val="14"/>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仿宋_GB2312" w:eastAsia="仿宋_GB2312" w:cs="仿宋_GB2312"/>
                <w:i w:val="0"/>
                <w:iCs w:val="0"/>
                <w:color w:val="000000"/>
                <w:kern w:val="0"/>
                <w:sz w:val="30"/>
                <w:szCs w:val="30"/>
                <w:u w:val="none"/>
                <w:lang w:val="en-US" w:eastAsia="zh-CN" w:bidi="ar"/>
              </w:rPr>
            </w:pPr>
          </w:p>
          <w:p>
            <w:pPr>
              <w:pStyle w:val="2"/>
              <w:keepNext w:val="0"/>
              <w:keepLines w:val="0"/>
              <w:suppressLineNumbers w:val="0"/>
              <w:spacing w:before="0" w:beforeAutospacing="0" w:after="0" w:afterAutospacing="0"/>
              <w:ind w:right="0"/>
              <w:rPr>
                <w:rFonts w:hint="eastAsia" w:ascii="仿宋_GB2312" w:hAnsi="仿宋_GB2312" w:eastAsia="仿宋_GB2312" w:cs="仿宋_GB2312"/>
                <w:i w:val="0"/>
                <w:iCs w:val="0"/>
                <w:color w:val="000000"/>
                <w:kern w:val="0"/>
                <w:sz w:val="30"/>
                <w:szCs w:val="30"/>
                <w:u w:val="none"/>
                <w:lang w:val="en-US" w:eastAsia="zh-CN" w:bidi="ar"/>
              </w:rPr>
            </w:pPr>
          </w:p>
          <w:p>
            <w:pPr>
              <w:keepNext w:val="0"/>
              <w:keepLines w:val="0"/>
              <w:suppressLineNumbers w:val="0"/>
              <w:spacing w:before="0" w:beforeAutospacing="0" w:after="0" w:afterAutospacing="0"/>
              <w:ind w:left="0" w:right="0"/>
              <w:rPr>
                <w:rFonts w:hint="eastAsia"/>
                <w:lang w:val="en-US" w:eastAsia="zh-CN"/>
              </w:rPr>
            </w:pP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仿宋_GB2312" w:hAnsi="仿宋_GB2312" w:eastAsia="仿宋_GB2312" w:cs="仿宋_GB2312"/>
                <w:i w:val="0"/>
                <w:iCs w:val="0"/>
                <w:color w:val="000000"/>
                <w:kern w:val="0"/>
                <w:sz w:val="30"/>
                <w:szCs w:val="30"/>
                <w:u w:val="none"/>
                <w:lang w:val="en-US" w:eastAsia="zh-CN" w:bidi="ar"/>
              </w:rPr>
              <w:t>部门预算、专项资金预算项目支出绩效目标自评表（2022年度）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jc w:val="center"/>
        </w:trPr>
        <w:tc>
          <w:tcPr>
            <w:tcW w:w="16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项目名称</w:t>
            </w:r>
          </w:p>
        </w:tc>
        <w:tc>
          <w:tcPr>
            <w:tcW w:w="905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广元市社会信用体系建设咨询服务项目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16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主管部门（盖章）</w:t>
            </w:r>
          </w:p>
        </w:tc>
        <w:tc>
          <w:tcPr>
            <w:tcW w:w="3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c>
          <w:tcPr>
            <w:tcW w:w="20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实施单位 （盖章）</w:t>
            </w:r>
          </w:p>
        </w:tc>
        <w:tc>
          <w:tcPr>
            <w:tcW w:w="393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广元市发展和改革委员会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项目基本情况</w:t>
            </w:r>
          </w:p>
        </w:tc>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1.项目年度目标完成情况</w:t>
            </w:r>
          </w:p>
        </w:tc>
        <w:tc>
          <w:tcPr>
            <w:tcW w:w="3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项目年度目标</w:t>
            </w:r>
          </w:p>
        </w:tc>
        <w:tc>
          <w:tcPr>
            <w:tcW w:w="59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3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指标1：指导完成广元市创建全国社会信用体系建设示范区，在国家级新闻网站及信用专业网站宣传广元信用建设重要事项      </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指标2：提升广元市社会信用体系城市信用监测指标排名</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指标3：指导并完成合同履约监管系统搭建</w:t>
            </w:r>
          </w:p>
        </w:tc>
        <w:tc>
          <w:tcPr>
            <w:tcW w:w="599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国家发展和改革委员会针对社会信用体系建设示范市创建时间延长至2023年4月，项目验收时间延后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b/>
                <w:bCs/>
                <w:i w:val="0"/>
                <w:iCs w:val="0"/>
                <w:color w:val="000000"/>
                <w:sz w:val="16"/>
                <w:szCs w:val="16"/>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2.项目实施内容及过程概述</w:t>
            </w:r>
          </w:p>
        </w:tc>
        <w:tc>
          <w:tcPr>
            <w:tcW w:w="905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宏网（北京）文化传媒有限责任公司派驻人员实地指导工作，研究全国社会信用体系建设示范区创建指标，提出指标实施方案，落实国家整改要求，搭建合同履约监管系统，在国家级新闻媒体宣传广元市信用建设，提升广元市城市信用综合指数，起草自评报告。目前自评报告已提交国家发展改革委审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预算执行情况（10分）</w:t>
            </w: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年度预算数（万元）</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年初预算</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调整后预算数</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预算执行数</w:t>
            </w:r>
          </w:p>
        </w:tc>
        <w:tc>
          <w:tcPr>
            <w:tcW w:w="20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预算执行率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总额</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98.00</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98.00</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38.00</w:t>
            </w:r>
          </w:p>
        </w:tc>
        <w:tc>
          <w:tcPr>
            <w:tcW w:w="20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38.77%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3.88</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根据2022年12月26日与中宏网（北京）文化传媒有限责任公司签订的政府采购合同约定：合同签订后十五个工作日内支付38万元整，剩余费用视全国社会信用体系建设示范市的创建情况，创建成功后十五个工作日内，一次性结清。目前已根据合同约定支付款项38万元，剩余费用由于全国社会信用体系建设示范市创建未出结果，项目仍在进行过程中，未满足支付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其中：财政资金</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98.00</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98.00</w:t>
            </w: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38.00</w:t>
            </w:r>
          </w:p>
        </w:tc>
        <w:tc>
          <w:tcPr>
            <w:tcW w:w="20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38.77%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3.88</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财政专户管理资金</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0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单位资金</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0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2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20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10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绩效指标（90分）</w:t>
            </w: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指标性质</w:t>
            </w:r>
          </w:p>
        </w:tc>
        <w:tc>
          <w:tcPr>
            <w:tcW w:w="1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度量单位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完成值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权重</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部门自评得分</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财政部门科室复评得分</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项目完成</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指导完成广元市创建全国社会信用体系建设示范区，在国家级新闻网站及信用专业网站宣传广元信用建设重要事项 </w:t>
            </w:r>
          </w:p>
        </w:tc>
        <w:tc>
          <w:tcPr>
            <w:tcW w:w="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在在国家级新闻网站及信用专业网站宣传发布不少于2篇新闻报道或典型经验。</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篇</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年末下达资金，已完成2022年绩效目标。在国家发改委发表典型经验宣传稿并获得宣传难度较大。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提升广元市社会信用体系城市信用监测指标排名</w:t>
            </w:r>
          </w:p>
        </w:tc>
        <w:tc>
          <w:tcPr>
            <w:tcW w:w="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提升广元市社会信用体系城市信用监测指标排名，2022年第四季度月均排名不低于70名。</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名</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2022年全国261个地级市平均排名42</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数量指标</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指导并完成合同履约监管系统搭建</w:t>
            </w:r>
          </w:p>
        </w:tc>
        <w:tc>
          <w:tcPr>
            <w:tcW w:w="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建设广元市合同履约监管系统1套。</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套</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1套</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质量指标</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完成质量</w:t>
            </w:r>
          </w:p>
        </w:tc>
        <w:tc>
          <w:tcPr>
            <w:tcW w:w="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100%合格</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合格</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时效指标</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完成时间</w:t>
            </w:r>
          </w:p>
        </w:tc>
        <w:tc>
          <w:tcPr>
            <w:tcW w:w="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月</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待完成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年末下达资金，已完成2022年绩效目标。国家发展和改革委员会针对社会信用体系建设示范市创建时间延长至2023年4月，项目验收时间延后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效益指标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社会效益</w:t>
            </w:r>
            <w:r>
              <w:rPr>
                <w:rFonts w:hint="eastAsia" w:ascii="宋体" w:hAnsi="宋体" w:eastAsia="宋体" w:cs="宋体"/>
                <w:i w:val="0"/>
                <w:iCs w:val="0"/>
                <w:color w:val="000000"/>
                <w:kern w:val="0"/>
                <w:sz w:val="16"/>
                <w:szCs w:val="16"/>
                <w:u w:val="none"/>
                <w:lang w:val="en-US" w:eastAsia="zh-CN" w:bidi="ar"/>
              </w:rPr>
              <w:br w:type="textWrapping"/>
            </w:r>
            <w:r>
              <w:rPr>
                <w:rFonts w:hint="eastAsia" w:ascii="宋体" w:hAnsi="宋体" w:eastAsia="宋体" w:cs="宋体"/>
                <w:i w:val="0"/>
                <w:iCs w:val="0"/>
                <w:color w:val="000000"/>
                <w:kern w:val="0"/>
                <w:sz w:val="16"/>
                <w:szCs w:val="16"/>
                <w:u w:val="none"/>
                <w:lang w:val="en-US" w:eastAsia="zh-CN" w:bidi="ar"/>
              </w:rPr>
              <w:t>指标</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营商环境</w:t>
            </w:r>
          </w:p>
        </w:tc>
        <w:tc>
          <w:tcPr>
            <w:tcW w:w="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增强“信用广元”城市品牌影响力，提升营商环境水平。</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增强“信用了广元”城市品牌影响力，提升了营商环境水平。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可持续影响指标</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突出信用建设可持续影响</w:t>
            </w:r>
          </w:p>
        </w:tc>
        <w:tc>
          <w:tcPr>
            <w:tcW w:w="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定性</w:t>
            </w:r>
          </w:p>
        </w:tc>
        <w:tc>
          <w:tcPr>
            <w:tcW w:w="1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以信用建设和示范区创建为带动，为广元经济社会高质量发展注入强劲动力。</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以信用建设和示范区创建为带动，为广元经济社会高质量发展了注入强劲动力。</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i w:val="0"/>
                <w:iCs w:val="0"/>
                <w:color w:val="000000"/>
                <w:sz w:val="16"/>
                <w:szCs w:val="16"/>
                <w:u w:val="none"/>
              </w:rPr>
            </w:pPr>
          </w:p>
        </w:tc>
        <w:tc>
          <w:tcPr>
            <w:tcW w:w="6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满意度指标</w:t>
            </w:r>
          </w:p>
        </w:tc>
        <w:tc>
          <w:tcPr>
            <w:tcW w:w="11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公众满意度</w:t>
            </w:r>
          </w:p>
        </w:tc>
        <w:tc>
          <w:tcPr>
            <w:tcW w:w="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1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90</w:t>
            </w:r>
          </w:p>
        </w:tc>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680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right"/>
              <w:textAlignment w:val="center"/>
              <w:rPr>
                <w:rFonts w:hint="default" w:ascii="宋体" w:hAnsi="宋体" w:eastAsia="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93.88</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部门（单位）自评结论</w:t>
            </w:r>
          </w:p>
        </w:tc>
        <w:tc>
          <w:tcPr>
            <w:tcW w:w="966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自评得分93.88分。根据国家发展改革委关于全国社会信用体系建设示范区创建整改要求，目前已整改完毕并提交自评报告至国家发展改革委，等待结果反馈。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部门（单位）自评存在问题</w:t>
            </w:r>
          </w:p>
        </w:tc>
        <w:tc>
          <w:tcPr>
            <w:tcW w:w="966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项目进行中，等待国家反馈结果。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部门（单位）自评改进措施</w:t>
            </w:r>
          </w:p>
        </w:tc>
        <w:tc>
          <w:tcPr>
            <w:tcW w:w="966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jc w:val="center"/>
        </w:trPr>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财政部门对口科室复评结论及整改要求</w:t>
            </w:r>
          </w:p>
        </w:tc>
        <w:tc>
          <w:tcPr>
            <w:tcW w:w="9667"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36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单位项目负责人：</w:t>
            </w:r>
          </w:p>
        </w:tc>
        <w:tc>
          <w:tcPr>
            <w:tcW w:w="706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单位财务负责人：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36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部门项目负责人：</w:t>
            </w:r>
          </w:p>
        </w:tc>
        <w:tc>
          <w:tcPr>
            <w:tcW w:w="706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部门财务负责人：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1073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财政部门科室负责人</w:t>
            </w:r>
            <w:r>
              <w:rPr>
                <w:rFonts w:hint="eastAsia" w:ascii="宋体" w:hAnsi="宋体" w:cs="宋体"/>
                <w:i w:val="0"/>
                <w:iCs w:val="0"/>
                <w:color w:val="000000"/>
                <w:kern w:val="0"/>
                <w:sz w:val="16"/>
                <w:szCs w:val="16"/>
                <w:u w:val="none"/>
                <w:lang w:val="en-US" w:eastAsia="zh-CN" w:bidi="ar"/>
              </w:rPr>
              <w:t>、</w:t>
            </w:r>
          </w:p>
        </w:tc>
      </w:tr>
    </w:tbl>
    <w:tbl>
      <w:tblPr>
        <w:tblStyle w:val="18"/>
        <w:tblpPr w:leftFromText="180" w:rightFromText="180" w:vertAnchor="text" w:horzAnchor="page" w:tblpX="671" w:tblpY="-2077"/>
        <w:tblOverlap w:val="never"/>
        <w:tblW w:w="113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11308"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rPr>
                <w:rFonts w:hint="eastAsia"/>
              </w:rPr>
            </w:pPr>
          </w:p>
          <w:p>
            <w:pPr>
              <w:pStyle w:val="2"/>
              <w:keepNext w:val="0"/>
              <w:keepLines w:val="0"/>
              <w:suppressLineNumbers w:val="0"/>
              <w:spacing w:before="0" w:beforeAutospacing="0" w:after="0" w:afterAutospacing="0"/>
              <w:ind w:right="0"/>
              <w:rPr>
                <w:rFonts w:hint="eastAsia"/>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pStyle w:val="2"/>
              <w:keepNext w:val="0"/>
              <w:keepLines w:val="0"/>
              <w:suppressLineNumbers w:val="0"/>
              <w:spacing w:before="0" w:beforeAutospacing="0" w:after="0" w:afterAutospacing="0"/>
              <w:ind w:right="0"/>
              <w:rPr>
                <w:rFonts w:hint="eastAsia" w:eastAsia="宋体"/>
                <w:lang w:eastAsia="zh-CN"/>
              </w:rPr>
            </w:pPr>
          </w:p>
          <w:p>
            <w:pPr>
              <w:keepNext w:val="0"/>
              <w:keepLines w:val="0"/>
              <w:suppressLineNumbers w:val="0"/>
              <w:spacing w:before="0" w:beforeAutospacing="0" w:after="0" w:afterAutospacing="0"/>
              <w:ind w:left="0" w:right="0"/>
              <w:rPr>
                <w:rFonts w:hint="eastAsia" w:eastAsia="宋体"/>
                <w:lang w:eastAsia="zh-CN"/>
              </w:rPr>
            </w:pPr>
          </w:p>
          <w:p>
            <w:pPr>
              <w:keepNext w:val="0"/>
              <w:keepLines w:val="0"/>
              <w:widowControl/>
              <w:suppressLineNumbers w:val="0"/>
              <w:spacing w:before="0" w:beforeAutospacing="0" w:after="0" w:afterAutospacing="0"/>
              <w:ind w:left="0" w:right="0"/>
              <w:jc w:val="both"/>
              <w:textAlignment w:val="center"/>
              <w:rPr>
                <w:rFonts w:hint="eastAsia"/>
              </w:rPr>
            </w:pPr>
          </w:p>
        </w:tc>
      </w:tr>
    </w:tbl>
    <w:p>
      <w:pPr>
        <w:spacing w:line="600" w:lineRule="exact"/>
        <w:jc w:val="both"/>
        <w:outlineLvl w:val="0"/>
        <w:rPr>
          <w:rFonts w:hint="eastAsia" w:ascii="黑体" w:hAnsi="黑体" w:eastAsia="黑体"/>
          <w:sz w:val="44"/>
          <w:szCs w:val="44"/>
        </w:rPr>
      </w:pPr>
    </w:p>
    <w:p>
      <w:pPr>
        <w:spacing w:line="600" w:lineRule="exact"/>
        <w:ind w:firstLine="440" w:firstLineChars="100"/>
        <w:jc w:val="center"/>
        <w:outlineLvl w:val="0"/>
        <w:rPr>
          <w:rFonts w:ascii="仿宋" w:hAnsi="仿宋" w:eastAsia="仿宋"/>
        </w:rPr>
      </w:pPr>
      <w:bookmarkStart w:id="91" w:name="_Toc4681"/>
      <w:r>
        <w:rPr>
          <w:rFonts w:hint="eastAsia" w:ascii="黑体" w:hAnsi="黑体" w:eastAsia="黑体"/>
          <w:sz w:val="44"/>
          <w:szCs w:val="44"/>
        </w:rPr>
        <w:t>第</w:t>
      </w:r>
      <w:r>
        <w:rPr>
          <w:rStyle w:val="31"/>
          <w:rFonts w:hint="eastAsia" w:ascii="黑体" w:hAnsi="黑体" w:eastAsia="黑体"/>
          <w:b w:val="0"/>
        </w:rPr>
        <w:t>五部分 附表</w:t>
      </w:r>
      <w:bookmarkEnd w:id="86"/>
      <w:bookmarkEnd w:id="88"/>
      <w:bookmarkEnd w:id="91"/>
      <w:bookmarkStart w:id="92" w:name="_Toc15396619"/>
    </w:p>
    <w:bookmarkEnd w:id="92"/>
    <w:p>
      <w:pPr>
        <w:pStyle w:val="4"/>
        <w:rPr>
          <w:rFonts w:ascii="仿宋" w:hAnsi="仿宋" w:eastAsia="仿宋"/>
          <w:color w:val="auto"/>
          <w:highlight w:val="none"/>
        </w:rPr>
      </w:pPr>
      <w:bookmarkStart w:id="93" w:name="_Toc24904"/>
      <w:r>
        <w:rPr>
          <w:rFonts w:hint="eastAsia" w:ascii="仿宋" w:hAnsi="仿宋" w:eastAsia="仿宋"/>
          <w:b w:val="0"/>
          <w:color w:val="auto"/>
          <w:highlight w:val="none"/>
        </w:rPr>
        <w:t>一、收</w:t>
      </w:r>
      <w:r>
        <w:rPr>
          <w:rStyle w:val="32"/>
          <w:rFonts w:hint="eastAsia" w:ascii="仿宋" w:hAnsi="仿宋" w:eastAsia="仿宋"/>
          <w:b w:val="0"/>
          <w:bCs w:val="0"/>
          <w:color w:val="auto"/>
          <w:highlight w:val="none"/>
        </w:rPr>
        <w:t>入支出决算总表</w:t>
      </w:r>
      <w:bookmarkEnd w:id="93"/>
    </w:p>
    <w:p>
      <w:pPr>
        <w:pStyle w:val="4"/>
        <w:rPr>
          <w:rFonts w:ascii="仿宋" w:hAnsi="仿宋" w:eastAsia="仿宋"/>
          <w:color w:val="auto"/>
          <w:highlight w:val="none"/>
        </w:rPr>
      </w:pPr>
      <w:bookmarkStart w:id="94" w:name="_Toc4262"/>
      <w:bookmarkStart w:id="95" w:name="_Toc15396620"/>
      <w:r>
        <w:rPr>
          <w:rFonts w:hint="eastAsia" w:ascii="仿宋" w:hAnsi="仿宋" w:eastAsia="仿宋"/>
          <w:b w:val="0"/>
          <w:color w:val="auto"/>
          <w:highlight w:val="none"/>
        </w:rPr>
        <w:t>二、收</w:t>
      </w:r>
      <w:r>
        <w:rPr>
          <w:rStyle w:val="32"/>
          <w:rFonts w:hint="eastAsia" w:ascii="仿宋" w:hAnsi="仿宋" w:eastAsia="仿宋"/>
          <w:b w:val="0"/>
          <w:bCs w:val="0"/>
          <w:color w:val="auto"/>
          <w:highlight w:val="none"/>
        </w:rPr>
        <w:t>入决算表</w:t>
      </w:r>
      <w:bookmarkEnd w:id="94"/>
      <w:bookmarkEnd w:id="95"/>
    </w:p>
    <w:p>
      <w:pPr>
        <w:pStyle w:val="4"/>
        <w:rPr>
          <w:rFonts w:ascii="仿宋" w:hAnsi="仿宋" w:eastAsia="仿宋"/>
          <w:color w:val="auto"/>
          <w:highlight w:val="none"/>
        </w:rPr>
      </w:pPr>
      <w:bookmarkStart w:id="96" w:name="_Toc15396621"/>
      <w:bookmarkStart w:id="97" w:name="_Toc8230"/>
      <w:r>
        <w:rPr>
          <w:rStyle w:val="32"/>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2"/>
          <w:rFonts w:hint="eastAsia" w:ascii="仿宋" w:hAnsi="仿宋" w:eastAsia="仿宋"/>
          <w:b w:val="0"/>
          <w:bCs w:val="0"/>
          <w:color w:val="auto"/>
          <w:highlight w:val="none"/>
        </w:rPr>
        <w:t>出决算表</w:t>
      </w:r>
      <w:bookmarkEnd w:id="96"/>
      <w:bookmarkEnd w:id="97"/>
    </w:p>
    <w:p>
      <w:pPr>
        <w:pStyle w:val="4"/>
        <w:rPr>
          <w:rFonts w:ascii="仿宋" w:hAnsi="仿宋" w:eastAsia="仿宋"/>
          <w:b w:val="0"/>
          <w:color w:val="auto"/>
          <w:highlight w:val="none"/>
        </w:rPr>
      </w:pPr>
      <w:bookmarkStart w:id="98" w:name="_Toc15396622"/>
      <w:bookmarkStart w:id="99" w:name="_Toc202"/>
      <w:r>
        <w:rPr>
          <w:rStyle w:val="32"/>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2"/>
          <w:rFonts w:hint="eastAsia" w:ascii="仿宋" w:hAnsi="仿宋" w:eastAsia="仿宋"/>
          <w:b w:val="0"/>
          <w:bCs w:val="0"/>
          <w:color w:val="auto"/>
          <w:highlight w:val="none"/>
        </w:rPr>
        <w:t>政拨款收入支出决算总表</w:t>
      </w:r>
      <w:bookmarkEnd w:id="98"/>
      <w:bookmarkEnd w:id="99"/>
    </w:p>
    <w:p>
      <w:pPr>
        <w:pStyle w:val="4"/>
        <w:rPr>
          <w:rStyle w:val="32"/>
          <w:rFonts w:ascii="仿宋" w:hAnsi="仿宋" w:eastAsia="仿宋"/>
          <w:b w:val="0"/>
          <w:bCs w:val="0"/>
          <w:color w:val="auto"/>
          <w:highlight w:val="none"/>
        </w:rPr>
      </w:pPr>
      <w:bookmarkStart w:id="100" w:name="_Toc14753"/>
      <w:bookmarkStart w:id="101" w:name="_Toc15396623"/>
      <w:r>
        <w:rPr>
          <w:rStyle w:val="32"/>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2"/>
          <w:rFonts w:hint="eastAsia" w:ascii="仿宋" w:hAnsi="仿宋" w:eastAsia="仿宋"/>
          <w:b w:val="0"/>
          <w:bCs w:val="0"/>
          <w:color w:val="auto"/>
          <w:highlight w:val="none"/>
        </w:rPr>
        <w:t>政拨款支出决算明细表</w:t>
      </w:r>
      <w:bookmarkEnd w:id="100"/>
      <w:bookmarkEnd w:id="101"/>
      <w:bookmarkStart w:id="102" w:name="_Toc15396624"/>
    </w:p>
    <w:p>
      <w:pPr>
        <w:pStyle w:val="4"/>
        <w:rPr>
          <w:rFonts w:ascii="仿宋" w:hAnsi="仿宋" w:eastAsia="仿宋"/>
          <w:color w:val="auto"/>
          <w:highlight w:val="none"/>
        </w:rPr>
      </w:pPr>
      <w:bookmarkStart w:id="103" w:name="_Toc9796"/>
      <w:r>
        <w:rPr>
          <w:rStyle w:val="32"/>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般公共预算财政拨款支出决算表</w:t>
      </w:r>
      <w:bookmarkEnd w:id="102"/>
      <w:bookmarkEnd w:id="103"/>
    </w:p>
    <w:p>
      <w:pPr>
        <w:pStyle w:val="4"/>
        <w:rPr>
          <w:rFonts w:ascii="仿宋" w:hAnsi="仿宋" w:eastAsia="仿宋"/>
          <w:color w:val="auto"/>
          <w:highlight w:val="none"/>
        </w:rPr>
      </w:pPr>
      <w:bookmarkStart w:id="104" w:name="_Toc15396625"/>
      <w:bookmarkStart w:id="105" w:name="_Toc25750"/>
      <w:r>
        <w:rPr>
          <w:rStyle w:val="32"/>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般公共预算财政拨款支出决算明细表</w:t>
      </w:r>
      <w:bookmarkEnd w:id="104"/>
      <w:bookmarkEnd w:id="105"/>
    </w:p>
    <w:p>
      <w:pPr>
        <w:pStyle w:val="4"/>
        <w:rPr>
          <w:rFonts w:ascii="仿宋" w:hAnsi="仿宋" w:eastAsia="仿宋"/>
          <w:color w:val="auto"/>
          <w:highlight w:val="none"/>
        </w:rPr>
      </w:pPr>
      <w:bookmarkStart w:id="106" w:name="_Toc15396626"/>
      <w:bookmarkStart w:id="107" w:name="_Toc32734"/>
      <w:r>
        <w:rPr>
          <w:rStyle w:val="32"/>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般公共预算财政拨款基本支出决算表</w:t>
      </w:r>
      <w:bookmarkEnd w:id="106"/>
      <w:bookmarkEnd w:id="107"/>
    </w:p>
    <w:p>
      <w:pPr>
        <w:pStyle w:val="4"/>
        <w:rPr>
          <w:rFonts w:ascii="仿宋" w:hAnsi="仿宋" w:eastAsia="仿宋"/>
          <w:color w:val="auto"/>
          <w:highlight w:val="none"/>
        </w:rPr>
      </w:pPr>
      <w:bookmarkStart w:id="108" w:name="_Toc15396627"/>
      <w:bookmarkStart w:id="109" w:name="_Toc17026"/>
      <w:r>
        <w:rPr>
          <w:rStyle w:val="32"/>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般公共预算财政拨款项目支出决算表</w:t>
      </w:r>
      <w:bookmarkEnd w:id="108"/>
      <w:bookmarkEnd w:id="109"/>
    </w:p>
    <w:p>
      <w:pPr>
        <w:pStyle w:val="4"/>
        <w:rPr>
          <w:rFonts w:ascii="仿宋" w:hAnsi="仿宋" w:eastAsia="仿宋"/>
          <w:color w:val="auto"/>
          <w:highlight w:val="none"/>
        </w:rPr>
      </w:pPr>
      <w:bookmarkStart w:id="110" w:name="_Toc15396628"/>
      <w:bookmarkStart w:id="111" w:name="_Toc14225"/>
      <w:r>
        <w:rPr>
          <w:rStyle w:val="32"/>
          <w:rFonts w:hint="eastAsia" w:ascii="仿宋" w:hAnsi="仿宋" w:eastAsia="仿宋"/>
          <w:b w:val="0"/>
          <w:bCs w:val="0"/>
          <w:color w:val="auto"/>
          <w:highlight w:val="none"/>
        </w:rPr>
        <w:t>十、</w:t>
      </w:r>
      <w:bookmarkEnd w:id="110"/>
      <w:r>
        <w:rPr>
          <w:rFonts w:hint="eastAsia" w:ascii="仿宋" w:hAnsi="仿宋" w:eastAsia="仿宋"/>
          <w:b w:val="0"/>
          <w:color w:val="auto"/>
          <w:highlight w:val="none"/>
        </w:rPr>
        <w:t>政</w:t>
      </w:r>
      <w:r>
        <w:rPr>
          <w:rStyle w:val="32"/>
          <w:rFonts w:hint="eastAsia" w:ascii="仿宋" w:hAnsi="仿宋" w:eastAsia="仿宋"/>
          <w:b w:val="0"/>
          <w:bCs w:val="0"/>
          <w:color w:val="auto"/>
          <w:highlight w:val="none"/>
        </w:rPr>
        <w:t>府性基金预算财政拨款收入支出决算表</w:t>
      </w:r>
      <w:bookmarkEnd w:id="111"/>
    </w:p>
    <w:p>
      <w:pPr>
        <w:pStyle w:val="4"/>
        <w:rPr>
          <w:rFonts w:ascii="仿宋" w:hAnsi="仿宋" w:eastAsia="仿宋"/>
          <w:color w:val="auto"/>
          <w:highlight w:val="none"/>
        </w:rPr>
      </w:pPr>
      <w:bookmarkStart w:id="112" w:name="_Toc15396629"/>
      <w:bookmarkStart w:id="113" w:name="_Toc29214"/>
      <w:r>
        <w:rPr>
          <w:rStyle w:val="32"/>
          <w:rFonts w:hint="eastAsia" w:ascii="仿宋" w:hAnsi="仿宋" w:eastAsia="仿宋"/>
          <w:b w:val="0"/>
          <w:bCs w:val="0"/>
          <w:color w:val="auto"/>
          <w:highlight w:val="none"/>
        </w:rPr>
        <w:t>十一、</w:t>
      </w:r>
      <w:bookmarkEnd w:id="112"/>
      <w:r>
        <w:rPr>
          <w:rFonts w:hint="eastAsia" w:ascii="仿宋" w:hAnsi="仿宋" w:eastAsia="仿宋"/>
          <w:b w:val="0"/>
          <w:color w:val="auto"/>
          <w:highlight w:val="none"/>
        </w:rPr>
        <w:t>国</w:t>
      </w:r>
      <w:r>
        <w:rPr>
          <w:rStyle w:val="32"/>
          <w:rFonts w:hint="eastAsia" w:ascii="仿宋" w:hAnsi="仿宋" w:eastAsia="仿宋"/>
          <w:b w:val="0"/>
          <w:bCs w:val="0"/>
          <w:color w:val="auto"/>
          <w:highlight w:val="none"/>
        </w:rPr>
        <w:t>有资本经营预算</w:t>
      </w:r>
      <w:r>
        <w:rPr>
          <w:rStyle w:val="32"/>
          <w:rFonts w:hint="eastAsia" w:ascii="仿宋" w:hAnsi="仿宋" w:eastAsia="仿宋"/>
          <w:b w:val="0"/>
          <w:bCs w:val="0"/>
          <w:color w:val="auto"/>
          <w:highlight w:val="none"/>
          <w:lang w:eastAsia="zh-CN"/>
        </w:rPr>
        <w:t>财政拨款收入</w:t>
      </w:r>
      <w:r>
        <w:rPr>
          <w:rStyle w:val="32"/>
          <w:rFonts w:hint="eastAsia" w:ascii="仿宋" w:hAnsi="仿宋" w:eastAsia="仿宋"/>
          <w:b w:val="0"/>
          <w:bCs w:val="0"/>
          <w:color w:val="auto"/>
          <w:highlight w:val="none"/>
        </w:rPr>
        <w:t>支出决算表</w:t>
      </w:r>
      <w:bookmarkEnd w:id="113"/>
    </w:p>
    <w:p>
      <w:pPr>
        <w:pStyle w:val="4"/>
        <w:rPr>
          <w:rFonts w:ascii="仿宋" w:hAnsi="仿宋" w:eastAsia="仿宋"/>
          <w:color w:val="auto"/>
          <w:highlight w:val="none"/>
        </w:rPr>
      </w:pPr>
      <w:bookmarkStart w:id="114" w:name="_Toc15396630"/>
      <w:bookmarkStart w:id="115" w:name="_Toc17208"/>
      <w:r>
        <w:rPr>
          <w:rStyle w:val="32"/>
          <w:rFonts w:hint="eastAsia" w:ascii="仿宋" w:hAnsi="仿宋" w:eastAsia="仿宋"/>
          <w:b w:val="0"/>
          <w:bCs w:val="0"/>
          <w:color w:val="auto"/>
          <w:highlight w:val="none"/>
        </w:rPr>
        <w:t>十二、</w:t>
      </w:r>
      <w:bookmarkEnd w:id="114"/>
      <w:r>
        <w:rPr>
          <w:rStyle w:val="32"/>
          <w:rFonts w:hint="eastAsia" w:ascii="仿宋" w:hAnsi="仿宋" w:eastAsia="仿宋"/>
          <w:b w:val="0"/>
          <w:bCs w:val="0"/>
          <w:color w:val="auto"/>
          <w:highlight w:val="none"/>
          <w:lang w:eastAsia="zh-CN"/>
        </w:rPr>
        <w:t>国有资本经营预算财政拨款支出决算表</w:t>
      </w:r>
      <w:bookmarkEnd w:id="115"/>
    </w:p>
    <w:p>
      <w:pPr>
        <w:pStyle w:val="4"/>
        <w:rPr>
          <w:rFonts w:hint="eastAsia" w:eastAsia="仿宋"/>
          <w:color w:val="auto"/>
          <w:highlight w:val="none"/>
          <w:lang w:eastAsia="zh-CN"/>
        </w:rPr>
      </w:pPr>
      <w:bookmarkStart w:id="116" w:name="_Toc15396631"/>
      <w:bookmarkStart w:id="117" w:name="_Toc9179"/>
      <w:r>
        <w:rPr>
          <w:rStyle w:val="32"/>
          <w:rFonts w:hint="eastAsia" w:ascii="仿宋" w:hAnsi="仿宋" w:eastAsia="仿宋"/>
          <w:b w:val="0"/>
          <w:bCs w:val="0"/>
          <w:color w:val="auto"/>
          <w:highlight w:val="none"/>
        </w:rPr>
        <w:t>十三、</w:t>
      </w:r>
      <w:bookmarkEnd w:id="116"/>
      <w:r>
        <w:rPr>
          <w:rStyle w:val="32"/>
          <w:rFonts w:hint="eastAsia" w:ascii="仿宋" w:hAnsi="仿宋" w:eastAsia="仿宋"/>
          <w:b w:val="0"/>
          <w:bCs w:val="0"/>
          <w:color w:val="auto"/>
          <w:highlight w:val="none"/>
          <w:lang w:eastAsia="zh-CN"/>
        </w:rPr>
        <w:t>财政拨款“三公”经费支出决算表</w:t>
      </w:r>
      <w:bookmarkEnd w:id="117"/>
    </w:p>
    <w:p>
      <w:pPr>
        <w:rPr>
          <w:rFonts w:eastAsia="仿宋"/>
        </w:rPr>
      </w:pP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AR PL UKai CN">
    <w:altName w:val="宋体"/>
    <w:panose1 w:val="02000503000000000000"/>
    <w:charset w:val="86"/>
    <w:family w:val="script"/>
    <w:pitch w:val="default"/>
    <w:sig w:usb0="00000000" w:usb1="00000000" w:usb2="00000036" w:usb3="00000000" w:csb0="2016009F" w:csb1="DFD7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3"/>
          <w:jc w:val="center"/>
        </w:pPr>
        <w:r>
          <w:fldChar w:fldCharType="begin"/>
        </w:r>
        <w:r>
          <w:instrText xml:space="preserve">PAGE   \* MERGEFORMAT</w:instrText>
        </w:r>
        <w:r>
          <w:fldChar w:fldCharType="separate"/>
        </w:r>
        <w:r>
          <w:rPr>
            <w:lang w:val="zh-CN"/>
          </w:rPr>
          <w:t>28</w:t>
        </w:r>
        <w:r>
          <w:rPr>
            <w:lang w:val="zh-CN"/>
          </w:rP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A02E0"/>
    <w:multiLevelType w:val="singleLevel"/>
    <w:tmpl w:val="C21A02E0"/>
    <w:lvl w:ilvl="0" w:tentative="0">
      <w:start w:val="1"/>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20E57330"/>
    <w:multiLevelType w:val="singleLevel"/>
    <w:tmpl w:val="20E57330"/>
    <w:lvl w:ilvl="0" w:tentative="0">
      <w:start w:val="1"/>
      <w:numFmt w:val="decimal"/>
      <w:lvlText w:val="%1."/>
      <w:lvlJc w:val="left"/>
      <w:pPr>
        <w:tabs>
          <w:tab w:val="left" w:pos="312"/>
        </w:tabs>
        <w:ind w:left="407"/>
      </w:pPr>
    </w:lvl>
  </w:abstractNum>
  <w:abstractNum w:abstractNumId="5">
    <w:nsid w:val="3B125BE5"/>
    <w:multiLevelType w:val="multilevel"/>
    <w:tmpl w:val="3B125BE5"/>
    <w:lvl w:ilvl="0" w:tentative="0">
      <w:start w:val="1"/>
      <w:numFmt w:val="none"/>
      <w:lvlText w:val="一、"/>
      <w:lvlJc w:val="left"/>
      <w:pPr>
        <w:ind w:left="900" w:hanging="48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FDC3DB7"/>
    <w:multiLevelType w:val="singleLevel"/>
    <w:tmpl w:val="5FDC3DB7"/>
    <w:lvl w:ilvl="0" w:tentative="0">
      <w:start w:val="1"/>
      <w:numFmt w:val="decimal"/>
      <w:lvlText w:val="%1."/>
      <w:lvlJc w:val="left"/>
      <w:pPr>
        <w:tabs>
          <w:tab w:val="left" w:pos="312"/>
        </w:tabs>
      </w:pPr>
    </w:lvl>
  </w:abstractNum>
  <w:num w:numId="1">
    <w:abstractNumId w:val="5"/>
  </w:num>
  <w:num w:numId="2">
    <w:abstractNumId w:val="4"/>
  </w:num>
  <w:num w:numId="3">
    <w:abstractNumId w:val="3"/>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zMzBmOWIyYjc5MzNkYTMyZmUxYmZmNDJkY2EyY2MifQ=="/>
  </w:docVars>
  <w:rsids>
    <w:rsidRoot w:val="00F1361C"/>
    <w:rsid w:val="000222C6"/>
    <w:rsid w:val="0002549F"/>
    <w:rsid w:val="000468DB"/>
    <w:rsid w:val="0006487A"/>
    <w:rsid w:val="00065F8F"/>
    <w:rsid w:val="00070A43"/>
    <w:rsid w:val="000768F2"/>
    <w:rsid w:val="00080CD3"/>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03C16"/>
    <w:rsid w:val="00114E9B"/>
    <w:rsid w:val="00142216"/>
    <w:rsid w:val="00144D6A"/>
    <w:rsid w:val="0014729F"/>
    <w:rsid w:val="00157BAB"/>
    <w:rsid w:val="001654D1"/>
    <w:rsid w:val="00174518"/>
    <w:rsid w:val="001757B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74CA2"/>
    <w:rsid w:val="00280496"/>
    <w:rsid w:val="00294DC9"/>
    <w:rsid w:val="00295495"/>
    <w:rsid w:val="002A31DE"/>
    <w:rsid w:val="002B2613"/>
    <w:rsid w:val="002D6D05"/>
    <w:rsid w:val="002F1818"/>
    <w:rsid w:val="002F567B"/>
    <w:rsid w:val="00313ABE"/>
    <w:rsid w:val="003216A9"/>
    <w:rsid w:val="00335A74"/>
    <w:rsid w:val="0036561B"/>
    <w:rsid w:val="0037013F"/>
    <w:rsid w:val="00380C92"/>
    <w:rsid w:val="00390F17"/>
    <w:rsid w:val="003A484F"/>
    <w:rsid w:val="003A4883"/>
    <w:rsid w:val="003B0BE0"/>
    <w:rsid w:val="003B0C1B"/>
    <w:rsid w:val="003B688C"/>
    <w:rsid w:val="003C0291"/>
    <w:rsid w:val="003C39AE"/>
    <w:rsid w:val="003C7B60"/>
    <w:rsid w:val="003D0C0F"/>
    <w:rsid w:val="003D1FB2"/>
    <w:rsid w:val="003D66DA"/>
    <w:rsid w:val="003E1310"/>
    <w:rsid w:val="003E6F55"/>
    <w:rsid w:val="003F01EB"/>
    <w:rsid w:val="00406254"/>
    <w:rsid w:val="00412FC7"/>
    <w:rsid w:val="004223DE"/>
    <w:rsid w:val="00434489"/>
    <w:rsid w:val="00437085"/>
    <w:rsid w:val="00443880"/>
    <w:rsid w:val="004464F4"/>
    <w:rsid w:val="00471401"/>
    <w:rsid w:val="00473F31"/>
    <w:rsid w:val="0048263A"/>
    <w:rsid w:val="00487E5D"/>
    <w:rsid w:val="004A711F"/>
    <w:rsid w:val="004B199D"/>
    <w:rsid w:val="004B4690"/>
    <w:rsid w:val="004C7ECA"/>
    <w:rsid w:val="004E0A2D"/>
    <w:rsid w:val="004E206B"/>
    <w:rsid w:val="004E6DF7"/>
    <w:rsid w:val="004F0FBD"/>
    <w:rsid w:val="00505A47"/>
    <w:rsid w:val="00512FDA"/>
    <w:rsid w:val="00520DA0"/>
    <w:rsid w:val="00546091"/>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467"/>
    <w:rsid w:val="006748A4"/>
    <w:rsid w:val="00681A31"/>
    <w:rsid w:val="00683E73"/>
    <w:rsid w:val="006A3141"/>
    <w:rsid w:val="006A5E34"/>
    <w:rsid w:val="006B2422"/>
    <w:rsid w:val="006B2B9A"/>
    <w:rsid w:val="006C1937"/>
    <w:rsid w:val="006F020C"/>
    <w:rsid w:val="006F2665"/>
    <w:rsid w:val="007127B7"/>
    <w:rsid w:val="0071798E"/>
    <w:rsid w:val="007416B6"/>
    <w:rsid w:val="00746F48"/>
    <w:rsid w:val="0075404D"/>
    <w:rsid w:val="00757040"/>
    <w:rsid w:val="0076182A"/>
    <w:rsid w:val="00763FD0"/>
    <w:rsid w:val="00767B7E"/>
    <w:rsid w:val="007770C3"/>
    <w:rsid w:val="0078013A"/>
    <w:rsid w:val="00784D24"/>
    <w:rsid w:val="00785FBA"/>
    <w:rsid w:val="00786E4A"/>
    <w:rsid w:val="007875EB"/>
    <w:rsid w:val="0079426B"/>
    <w:rsid w:val="007949A3"/>
    <w:rsid w:val="007B1976"/>
    <w:rsid w:val="007D1682"/>
    <w:rsid w:val="007D312A"/>
    <w:rsid w:val="007D3F19"/>
    <w:rsid w:val="007D41C4"/>
    <w:rsid w:val="007E23B0"/>
    <w:rsid w:val="007E23E5"/>
    <w:rsid w:val="007F1991"/>
    <w:rsid w:val="007F2C2F"/>
    <w:rsid w:val="007F55FC"/>
    <w:rsid w:val="007F5665"/>
    <w:rsid w:val="00800112"/>
    <w:rsid w:val="00813348"/>
    <w:rsid w:val="008253BB"/>
    <w:rsid w:val="0083706E"/>
    <w:rsid w:val="008408F6"/>
    <w:rsid w:val="00841A05"/>
    <w:rsid w:val="008423A5"/>
    <w:rsid w:val="008437A9"/>
    <w:rsid w:val="00847117"/>
    <w:rsid w:val="00850625"/>
    <w:rsid w:val="00853718"/>
    <w:rsid w:val="00855221"/>
    <w:rsid w:val="00860645"/>
    <w:rsid w:val="00871F71"/>
    <w:rsid w:val="00872FD8"/>
    <w:rsid w:val="00885AF4"/>
    <w:rsid w:val="008939CD"/>
    <w:rsid w:val="008B09D9"/>
    <w:rsid w:val="008B768C"/>
    <w:rsid w:val="008C4DB1"/>
    <w:rsid w:val="008C4EAF"/>
    <w:rsid w:val="008C5176"/>
    <w:rsid w:val="008C7FD0"/>
    <w:rsid w:val="008E1DE7"/>
    <w:rsid w:val="008E707C"/>
    <w:rsid w:val="00900B08"/>
    <w:rsid w:val="00902155"/>
    <w:rsid w:val="00902FA3"/>
    <w:rsid w:val="00923564"/>
    <w:rsid w:val="0092392E"/>
    <w:rsid w:val="00925C50"/>
    <w:rsid w:val="009315F9"/>
    <w:rsid w:val="00933499"/>
    <w:rsid w:val="00935C98"/>
    <w:rsid w:val="009419AF"/>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2A4F"/>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E82"/>
    <w:rsid w:val="00A45BB7"/>
    <w:rsid w:val="00A56DF2"/>
    <w:rsid w:val="00A56E6E"/>
    <w:rsid w:val="00A570DA"/>
    <w:rsid w:val="00A67AB5"/>
    <w:rsid w:val="00A733B2"/>
    <w:rsid w:val="00A741C2"/>
    <w:rsid w:val="00A91760"/>
    <w:rsid w:val="00A93B00"/>
    <w:rsid w:val="00A93C21"/>
    <w:rsid w:val="00AB64C9"/>
    <w:rsid w:val="00AC3C6A"/>
    <w:rsid w:val="00AD5620"/>
    <w:rsid w:val="00AD656B"/>
    <w:rsid w:val="00AD7C1B"/>
    <w:rsid w:val="00AE16BA"/>
    <w:rsid w:val="00AE183B"/>
    <w:rsid w:val="00AE1EBE"/>
    <w:rsid w:val="00B03C9D"/>
    <w:rsid w:val="00B060AE"/>
    <w:rsid w:val="00B10517"/>
    <w:rsid w:val="00B13BE0"/>
    <w:rsid w:val="00B14E76"/>
    <w:rsid w:val="00B161B8"/>
    <w:rsid w:val="00B2048C"/>
    <w:rsid w:val="00B310B9"/>
    <w:rsid w:val="00B35F3F"/>
    <w:rsid w:val="00B36CBB"/>
    <w:rsid w:val="00B425E0"/>
    <w:rsid w:val="00B440AA"/>
    <w:rsid w:val="00B44B70"/>
    <w:rsid w:val="00B53C56"/>
    <w:rsid w:val="00B5415E"/>
    <w:rsid w:val="00B57DAF"/>
    <w:rsid w:val="00B77EA6"/>
    <w:rsid w:val="00B81598"/>
    <w:rsid w:val="00B841F1"/>
    <w:rsid w:val="00B944D6"/>
    <w:rsid w:val="00BB4DF0"/>
    <w:rsid w:val="00BC13DA"/>
    <w:rsid w:val="00BC289F"/>
    <w:rsid w:val="00BC2D50"/>
    <w:rsid w:val="00BC5361"/>
    <w:rsid w:val="00BC5460"/>
    <w:rsid w:val="00BC6B50"/>
    <w:rsid w:val="00BD0E25"/>
    <w:rsid w:val="00BF5BD6"/>
    <w:rsid w:val="00C03E31"/>
    <w:rsid w:val="00C33E72"/>
    <w:rsid w:val="00C354B2"/>
    <w:rsid w:val="00C35554"/>
    <w:rsid w:val="00C42709"/>
    <w:rsid w:val="00C45283"/>
    <w:rsid w:val="00C533CC"/>
    <w:rsid w:val="00C5751C"/>
    <w:rsid w:val="00C61BFC"/>
    <w:rsid w:val="00C62B85"/>
    <w:rsid w:val="00C65438"/>
    <w:rsid w:val="00C87FD8"/>
    <w:rsid w:val="00C91381"/>
    <w:rsid w:val="00C91CBB"/>
    <w:rsid w:val="00CA01FF"/>
    <w:rsid w:val="00CB4E70"/>
    <w:rsid w:val="00CC09B6"/>
    <w:rsid w:val="00CC666F"/>
    <w:rsid w:val="00CD0B30"/>
    <w:rsid w:val="00CD1E3F"/>
    <w:rsid w:val="00CE44F6"/>
    <w:rsid w:val="00CE49DA"/>
    <w:rsid w:val="00CE7B61"/>
    <w:rsid w:val="00CF7156"/>
    <w:rsid w:val="00D00095"/>
    <w:rsid w:val="00D114F0"/>
    <w:rsid w:val="00D14F0E"/>
    <w:rsid w:val="00D20620"/>
    <w:rsid w:val="00D254F7"/>
    <w:rsid w:val="00D26091"/>
    <w:rsid w:val="00D2685C"/>
    <w:rsid w:val="00D34E7C"/>
    <w:rsid w:val="00D35489"/>
    <w:rsid w:val="00D36AFE"/>
    <w:rsid w:val="00D51276"/>
    <w:rsid w:val="00D7035F"/>
    <w:rsid w:val="00DA634F"/>
    <w:rsid w:val="00DA65AC"/>
    <w:rsid w:val="00DB1913"/>
    <w:rsid w:val="00DC096D"/>
    <w:rsid w:val="00DC31E8"/>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649D2"/>
    <w:rsid w:val="00E727DA"/>
    <w:rsid w:val="00E82267"/>
    <w:rsid w:val="00E841AC"/>
    <w:rsid w:val="00E853CE"/>
    <w:rsid w:val="00E867B6"/>
    <w:rsid w:val="00EA010F"/>
    <w:rsid w:val="00ED1B63"/>
    <w:rsid w:val="00ED3C1F"/>
    <w:rsid w:val="00ED4085"/>
    <w:rsid w:val="00ED420E"/>
    <w:rsid w:val="00ED6FBE"/>
    <w:rsid w:val="00EE2F57"/>
    <w:rsid w:val="00EF4C34"/>
    <w:rsid w:val="00EF77C6"/>
    <w:rsid w:val="00F05438"/>
    <w:rsid w:val="00F1361C"/>
    <w:rsid w:val="00F149C1"/>
    <w:rsid w:val="00F156F0"/>
    <w:rsid w:val="00F160C7"/>
    <w:rsid w:val="00F2408F"/>
    <w:rsid w:val="00F240E9"/>
    <w:rsid w:val="00F36D8F"/>
    <w:rsid w:val="00F417B1"/>
    <w:rsid w:val="00F45853"/>
    <w:rsid w:val="00F602DF"/>
    <w:rsid w:val="00F64D04"/>
    <w:rsid w:val="00F754A1"/>
    <w:rsid w:val="00F81FD9"/>
    <w:rsid w:val="00F841AA"/>
    <w:rsid w:val="00F84A94"/>
    <w:rsid w:val="00F87E96"/>
    <w:rsid w:val="00FA23E8"/>
    <w:rsid w:val="00FC20D8"/>
    <w:rsid w:val="00FD3CC1"/>
    <w:rsid w:val="00FF1E02"/>
    <w:rsid w:val="00FF30B4"/>
    <w:rsid w:val="02126BC6"/>
    <w:rsid w:val="0322579A"/>
    <w:rsid w:val="03E931C1"/>
    <w:rsid w:val="084D7126"/>
    <w:rsid w:val="09427E2A"/>
    <w:rsid w:val="0A2032A3"/>
    <w:rsid w:val="0AB3379D"/>
    <w:rsid w:val="0B8A37D8"/>
    <w:rsid w:val="0CB6163C"/>
    <w:rsid w:val="0D1F336B"/>
    <w:rsid w:val="102B0279"/>
    <w:rsid w:val="108F6797"/>
    <w:rsid w:val="10C055FF"/>
    <w:rsid w:val="112B15F5"/>
    <w:rsid w:val="118107EC"/>
    <w:rsid w:val="11A42091"/>
    <w:rsid w:val="11BD3153"/>
    <w:rsid w:val="11DD6519"/>
    <w:rsid w:val="12A33946"/>
    <w:rsid w:val="134D470D"/>
    <w:rsid w:val="137837D5"/>
    <w:rsid w:val="14D40EDF"/>
    <w:rsid w:val="153C6FB3"/>
    <w:rsid w:val="15BF5E22"/>
    <w:rsid w:val="15CA4FA0"/>
    <w:rsid w:val="1612262A"/>
    <w:rsid w:val="16367531"/>
    <w:rsid w:val="16BB723D"/>
    <w:rsid w:val="17400AAE"/>
    <w:rsid w:val="18015F3F"/>
    <w:rsid w:val="1A4D313B"/>
    <w:rsid w:val="1A9611D4"/>
    <w:rsid w:val="1B4F48F1"/>
    <w:rsid w:val="1BE8440E"/>
    <w:rsid w:val="1C020CBF"/>
    <w:rsid w:val="1CAC44F0"/>
    <w:rsid w:val="1D155CEE"/>
    <w:rsid w:val="1DA95AA4"/>
    <w:rsid w:val="1DDF3A68"/>
    <w:rsid w:val="1E1962EB"/>
    <w:rsid w:val="1E1973D5"/>
    <w:rsid w:val="1EB83BDA"/>
    <w:rsid w:val="20F57F95"/>
    <w:rsid w:val="2107679C"/>
    <w:rsid w:val="2280506E"/>
    <w:rsid w:val="22895117"/>
    <w:rsid w:val="240371BF"/>
    <w:rsid w:val="25C741E6"/>
    <w:rsid w:val="26A338B2"/>
    <w:rsid w:val="27842671"/>
    <w:rsid w:val="294A2BB3"/>
    <w:rsid w:val="29FD04D3"/>
    <w:rsid w:val="2ABE7A3E"/>
    <w:rsid w:val="2B4D7AEF"/>
    <w:rsid w:val="2C4C35F9"/>
    <w:rsid w:val="2C9254AD"/>
    <w:rsid w:val="2EA54A99"/>
    <w:rsid w:val="2EFA178C"/>
    <w:rsid w:val="308912DA"/>
    <w:rsid w:val="309F63EE"/>
    <w:rsid w:val="30B46D73"/>
    <w:rsid w:val="319F7F4E"/>
    <w:rsid w:val="31C30439"/>
    <w:rsid w:val="32425CB4"/>
    <w:rsid w:val="33D04B10"/>
    <w:rsid w:val="355B33A2"/>
    <w:rsid w:val="3656729D"/>
    <w:rsid w:val="384653A1"/>
    <w:rsid w:val="385C4BC4"/>
    <w:rsid w:val="38606463"/>
    <w:rsid w:val="3885236D"/>
    <w:rsid w:val="39AE70AB"/>
    <w:rsid w:val="39E76C3E"/>
    <w:rsid w:val="3AFFDAD4"/>
    <w:rsid w:val="3C0C0783"/>
    <w:rsid w:val="3E2711EB"/>
    <w:rsid w:val="3E7F4A16"/>
    <w:rsid w:val="3ED6167F"/>
    <w:rsid w:val="3F3F12CA"/>
    <w:rsid w:val="3F795B0E"/>
    <w:rsid w:val="3F9F3A96"/>
    <w:rsid w:val="402744C7"/>
    <w:rsid w:val="40350D30"/>
    <w:rsid w:val="40510038"/>
    <w:rsid w:val="41E5786E"/>
    <w:rsid w:val="4267663F"/>
    <w:rsid w:val="42A27846"/>
    <w:rsid w:val="42B8554C"/>
    <w:rsid w:val="42D87A6C"/>
    <w:rsid w:val="444E3F5B"/>
    <w:rsid w:val="45473695"/>
    <w:rsid w:val="45950612"/>
    <w:rsid w:val="46067B28"/>
    <w:rsid w:val="46224C03"/>
    <w:rsid w:val="47434B02"/>
    <w:rsid w:val="47E04ECA"/>
    <w:rsid w:val="48E90BD6"/>
    <w:rsid w:val="48FC723A"/>
    <w:rsid w:val="493C27E9"/>
    <w:rsid w:val="49531B59"/>
    <w:rsid w:val="496F39ED"/>
    <w:rsid w:val="49DB4D4B"/>
    <w:rsid w:val="49FF41D3"/>
    <w:rsid w:val="4A185DC8"/>
    <w:rsid w:val="4B1264C9"/>
    <w:rsid w:val="4BC8790A"/>
    <w:rsid w:val="4BE068DB"/>
    <w:rsid w:val="4BF6002B"/>
    <w:rsid w:val="4ECE2238"/>
    <w:rsid w:val="51076A9A"/>
    <w:rsid w:val="510E6E2F"/>
    <w:rsid w:val="51273B6A"/>
    <w:rsid w:val="51DB4B86"/>
    <w:rsid w:val="51F85506"/>
    <w:rsid w:val="52B94C95"/>
    <w:rsid w:val="53FB6AE5"/>
    <w:rsid w:val="541E2C15"/>
    <w:rsid w:val="54F441BF"/>
    <w:rsid w:val="55333C3E"/>
    <w:rsid w:val="56F826DE"/>
    <w:rsid w:val="57B309C5"/>
    <w:rsid w:val="58602168"/>
    <w:rsid w:val="59ED6A1D"/>
    <w:rsid w:val="5AE058E3"/>
    <w:rsid w:val="5AFF90A7"/>
    <w:rsid w:val="5BBD5E39"/>
    <w:rsid w:val="5BD424E2"/>
    <w:rsid w:val="5C11169E"/>
    <w:rsid w:val="5DA84284"/>
    <w:rsid w:val="5E5D4E2A"/>
    <w:rsid w:val="5EA94F5B"/>
    <w:rsid w:val="5ED05841"/>
    <w:rsid w:val="5F60635F"/>
    <w:rsid w:val="60C63468"/>
    <w:rsid w:val="623B7B94"/>
    <w:rsid w:val="62606EDB"/>
    <w:rsid w:val="62FE185C"/>
    <w:rsid w:val="63060C76"/>
    <w:rsid w:val="64167E4C"/>
    <w:rsid w:val="64CA39A1"/>
    <w:rsid w:val="64D22426"/>
    <w:rsid w:val="6593581A"/>
    <w:rsid w:val="659C46CE"/>
    <w:rsid w:val="66653FA2"/>
    <w:rsid w:val="668C60C1"/>
    <w:rsid w:val="675039C2"/>
    <w:rsid w:val="67FF4E54"/>
    <w:rsid w:val="68FA5087"/>
    <w:rsid w:val="69DB5450"/>
    <w:rsid w:val="69EF5A9A"/>
    <w:rsid w:val="6A2829D5"/>
    <w:rsid w:val="6A7C6FAE"/>
    <w:rsid w:val="6C05033C"/>
    <w:rsid w:val="6C4A05C8"/>
    <w:rsid w:val="6E490C25"/>
    <w:rsid w:val="6EB14552"/>
    <w:rsid w:val="6F5548AE"/>
    <w:rsid w:val="6FFF57E4"/>
    <w:rsid w:val="705F4F81"/>
    <w:rsid w:val="706B3E82"/>
    <w:rsid w:val="722C2D3A"/>
    <w:rsid w:val="72734D90"/>
    <w:rsid w:val="72966949"/>
    <w:rsid w:val="73674370"/>
    <w:rsid w:val="754C32EF"/>
    <w:rsid w:val="75787C25"/>
    <w:rsid w:val="75AA6994"/>
    <w:rsid w:val="75CFE194"/>
    <w:rsid w:val="76A33BA3"/>
    <w:rsid w:val="76D025F8"/>
    <w:rsid w:val="78DC470F"/>
    <w:rsid w:val="79825532"/>
    <w:rsid w:val="79E7B28D"/>
    <w:rsid w:val="7AB631A2"/>
    <w:rsid w:val="7B212F1E"/>
    <w:rsid w:val="7BE83FF6"/>
    <w:rsid w:val="7C775BAB"/>
    <w:rsid w:val="7CBF42C6"/>
    <w:rsid w:val="7DA71A0B"/>
    <w:rsid w:val="7E507D18"/>
    <w:rsid w:val="7F154BF9"/>
    <w:rsid w:val="7F880848"/>
    <w:rsid w:val="7F8AC2D6"/>
    <w:rsid w:val="7F9F20EE"/>
    <w:rsid w:val="9E3A10E2"/>
    <w:rsid w:val="BFCD6E62"/>
    <w:rsid w:val="BFDB15D5"/>
    <w:rsid w:val="BFE7566A"/>
    <w:rsid w:val="CFCE44D0"/>
    <w:rsid w:val="CFFEEC18"/>
    <w:rsid w:val="DAFBACB6"/>
    <w:rsid w:val="EADFD67C"/>
    <w:rsid w:val="F2E1F9D4"/>
    <w:rsid w:val="F3F306C1"/>
    <w:rsid w:val="F5DA39BF"/>
    <w:rsid w:val="F7880819"/>
    <w:rsid w:val="FBBFEBFB"/>
    <w:rsid w:val="FF3FD9D6"/>
    <w:rsid w:val="FFDF62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400" w:leftChars="200" w:hanging="200" w:hangingChars="200"/>
    </w:pPr>
  </w:style>
  <w:style w:type="paragraph" w:styleId="6">
    <w:name w:val="index 5"/>
    <w:next w:val="1"/>
    <w:qFormat/>
    <w:uiPriority w:val="0"/>
    <w:pPr>
      <w:widowControl w:val="0"/>
      <w:spacing w:line="576" w:lineRule="exact"/>
      <w:ind w:firstLine="200" w:firstLineChars="200"/>
      <w:jc w:val="both"/>
    </w:pPr>
    <w:rPr>
      <w:rFonts w:ascii="仿宋_GB2312" w:hAnsi="AR PL UKai CN" w:eastAsia="仿宋_GB2312" w:cs="Times New Roman"/>
      <w:bCs/>
      <w:kern w:val="2"/>
      <w:sz w:val="32"/>
      <w:szCs w:val="32"/>
      <w:lang w:val="en-US" w:eastAsia="zh-CN" w:bidi="ar-SA"/>
    </w:rPr>
  </w:style>
  <w:style w:type="paragraph" w:styleId="7">
    <w:name w:val="Salutation"/>
    <w:basedOn w:val="1"/>
    <w:next w:val="1"/>
    <w:qFormat/>
    <w:uiPriority w:val="0"/>
    <w:rPr>
      <w:rFonts w:ascii="Times New Roman" w:hAnsi="Times New Roman" w:cs="Times New Roman"/>
    </w:rPr>
  </w:style>
  <w:style w:type="paragraph" w:styleId="8">
    <w:name w:val="Body Text"/>
    <w:basedOn w:val="1"/>
    <w:next w:val="1"/>
    <w:link w:val="28"/>
    <w:qFormat/>
    <w:uiPriority w:val="99"/>
    <w:pPr>
      <w:spacing w:beforeLines="30"/>
    </w:pPr>
    <w:rPr>
      <w:rFonts w:ascii="仿宋_GB2312" w:eastAsia="仿宋_GB2312"/>
      <w:kern w:val="0"/>
      <w:sz w:val="30"/>
    </w:rPr>
  </w:style>
  <w:style w:type="paragraph" w:styleId="9">
    <w:name w:val="Body Text Indent"/>
    <w:basedOn w:val="1"/>
    <w:next w:val="10"/>
    <w:qFormat/>
    <w:uiPriority w:val="0"/>
    <w:pPr>
      <w:ind w:left="200" w:leftChars="200"/>
    </w:pPr>
  </w:style>
  <w:style w:type="paragraph" w:styleId="10">
    <w:name w:val="Body Text First Indent 2"/>
    <w:basedOn w:val="9"/>
    <w:next w:val="1"/>
    <w:qFormat/>
    <w:uiPriority w:val="0"/>
    <w:pPr>
      <w:ind w:firstLine="420"/>
    </w:pPr>
  </w:style>
  <w:style w:type="paragraph" w:styleId="11">
    <w:name w:val="toc 3"/>
    <w:basedOn w:val="1"/>
    <w:next w:val="1"/>
    <w:unhideWhenUsed/>
    <w:qFormat/>
    <w:uiPriority w:val="39"/>
    <w:pPr>
      <w:tabs>
        <w:tab w:val="right" w:leader="dot" w:pos="8296"/>
      </w:tabs>
      <w:ind w:left="840" w:leftChars="400"/>
    </w:pPr>
  </w:style>
  <w:style w:type="paragraph" w:styleId="12">
    <w:name w:val="Balloon Text"/>
    <w:basedOn w:val="1"/>
    <w:link w:val="34"/>
    <w:semiHidden/>
    <w:unhideWhenUsed/>
    <w:qFormat/>
    <w:uiPriority w:val="99"/>
    <w:rPr>
      <w:sz w:val="18"/>
      <w:szCs w:val="18"/>
    </w:rPr>
  </w:style>
  <w:style w:type="paragraph" w:styleId="13">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20">
    <w:name w:val="Strong"/>
    <w:basedOn w:val="19"/>
    <w:qFormat/>
    <w:uiPriority w:val="99"/>
    <w:rPr>
      <w:b/>
    </w:rPr>
  </w:style>
  <w:style w:type="character" w:styleId="21">
    <w:name w:val="Hyperlink"/>
    <w:basedOn w:val="19"/>
    <w:unhideWhenUsed/>
    <w:qFormat/>
    <w:uiPriority w:val="99"/>
    <w:rPr>
      <w:color w:val="0000FF" w:themeColor="hyperlink"/>
      <w:u w:val="single"/>
      <w14:textFill>
        <w14:solidFill>
          <w14:schemeClr w14:val="hlink"/>
        </w14:solidFill>
      </w14:textFill>
    </w:rPr>
  </w:style>
  <w:style w:type="paragraph" w:customStyle="1" w:styleId="22">
    <w:name w:val="样式1"/>
    <w:basedOn w:val="1"/>
    <w:qFormat/>
    <w:uiPriority w:val="0"/>
    <w:rPr>
      <w:b/>
      <w:color w:val="538135"/>
      <w:sz w:val="28"/>
    </w:rPr>
  </w:style>
  <w:style w:type="character" w:customStyle="1" w:styleId="23">
    <w:name w:val="Header Char"/>
    <w:basedOn w:val="19"/>
    <w:semiHidden/>
    <w:qFormat/>
    <w:uiPriority w:val="99"/>
    <w:rPr>
      <w:rFonts w:ascii="Times New Roman" w:hAnsi="Times New Roman"/>
      <w:sz w:val="18"/>
      <w:szCs w:val="18"/>
    </w:rPr>
  </w:style>
  <w:style w:type="character" w:customStyle="1" w:styleId="24">
    <w:name w:val="页眉 Char"/>
    <w:link w:val="14"/>
    <w:semiHidden/>
    <w:qFormat/>
    <w:locked/>
    <w:uiPriority w:val="99"/>
    <w:rPr>
      <w:sz w:val="18"/>
    </w:rPr>
  </w:style>
  <w:style w:type="character" w:customStyle="1" w:styleId="25">
    <w:name w:val="Footer Char"/>
    <w:basedOn w:val="19"/>
    <w:semiHidden/>
    <w:qFormat/>
    <w:uiPriority w:val="99"/>
    <w:rPr>
      <w:rFonts w:ascii="Times New Roman" w:hAnsi="Times New Roman"/>
      <w:sz w:val="18"/>
      <w:szCs w:val="18"/>
    </w:rPr>
  </w:style>
  <w:style w:type="character" w:customStyle="1" w:styleId="26">
    <w:name w:val="页脚 Char"/>
    <w:link w:val="13"/>
    <w:qFormat/>
    <w:locked/>
    <w:uiPriority w:val="99"/>
    <w:rPr>
      <w:sz w:val="18"/>
    </w:rPr>
  </w:style>
  <w:style w:type="character" w:customStyle="1" w:styleId="27">
    <w:name w:val="Body Text Char"/>
    <w:basedOn w:val="19"/>
    <w:semiHidden/>
    <w:qFormat/>
    <w:uiPriority w:val="99"/>
    <w:rPr>
      <w:rFonts w:ascii="Times New Roman" w:hAnsi="Times New Roman"/>
      <w:szCs w:val="24"/>
    </w:rPr>
  </w:style>
  <w:style w:type="character" w:customStyle="1" w:styleId="28">
    <w:name w:val="正文文本 Char"/>
    <w:link w:val="8"/>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Char"/>
    <w:basedOn w:val="19"/>
    <w:link w:val="3"/>
    <w:qFormat/>
    <w:uiPriority w:val="9"/>
    <w:rPr>
      <w:rFonts w:ascii="Times New Roman" w:hAnsi="Times New Roman"/>
      <w:b/>
      <w:bCs/>
      <w:kern w:val="44"/>
      <w:sz w:val="44"/>
      <w:szCs w:val="44"/>
    </w:rPr>
  </w:style>
  <w:style w:type="character" w:customStyle="1" w:styleId="32">
    <w:name w:val="标题 2 Char"/>
    <w:basedOn w:val="19"/>
    <w:link w:val="4"/>
    <w:qFormat/>
    <w:uiPriority w:val="9"/>
    <w:rPr>
      <w:rFonts w:asciiTheme="majorHAnsi" w:hAnsiTheme="majorHAnsi" w:eastAsiaTheme="majorEastAsia" w:cstheme="majorBidi"/>
      <w:b/>
      <w:bCs/>
      <w:kern w:val="2"/>
      <w:sz w:val="32"/>
      <w:szCs w:val="32"/>
    </w:rPr>
  </w:style>
  <w:style w:type="paragraph" w:customStyle="1" w:styleId="33">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19"/>
    <w:link w:val="12"/>
    <w:semiHidden/>
    <w:qFormat/>
    <w:uiPriority w:val="99"/>
    <w:rPr>
      <w:rFonts w:ascii="Times New Roman" w:hAnsi="Times New Roman"/>
      <w:kern w:val="2"/>
      <w:sz w:val="18"/>
      <w:szCs w:val="18"/>
    </w:rPr>
  </w:style>
  <w:style w:type="character" w:customStyle="1" w:styleId="35">
    <w:name w:val="标题 3 Char"/>
    <w:basedOn w:val="19"/>
    <w:link w:val="5"/>
    <w:qFormat/>
    <w:uiPriority w:val="9"/>
    <w:rPr>
      <w:rFonts w:ascii="Times New Roman" w:hAnsi="Times New Roman"/>
      <w:b/>
      <w:bCs/>
      <w:kern w:val="2"/>
      <w:sz w:val="32"/>
      <w:szCs w:val="32"/>
    </w:rPr>
  </w:style>
  <w:style w:type="paragraph" w:customStyle="1" w:styleId="3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List Paragraph1"/>
    <w:basedOn w:val="1"/>
    <w:qFormat/>
    <w:uiPriority w:val="34"/>
    <w:pPr>
      <w:ind w:firstLine="420" w:firstLineChars="200"/>
    </w:pPr>
  </w:style>
  <w:style w:type="paragraph" w:customStyle="1" w:styleId="3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39">
    <w:name w:val="WPSOffice手动目录 1"/>
    <w:qFormat/>
    <w:uiPriority w:val="0"/>
    <w:pPr>
      <w:ind w:leftChars="0"/>
    </w:pPr>
    <w:rPr>
      <w:rFonts w:ascii="Times New Roman" w:hAnsi="Times New Roman" w:eastAsia="宋体" w:cs="Times New Roman"/>
      <w:sz w:val="20"/>
      <w:szCs w:val="20"/>
    </w:rPr>
  </w:style>
  <w:style w:type="paragraph" w:customStyle="1" w:styleId="40">
    <w:name w:val="WPSOffice手动目录 2"/>
    <w:qFormat/>
    <w:uiPriority w:val="0"/>
    <w:pPr>
      <w:ind w:leftChars="200"/>
    </w:pPr>
    <w:rPr>
      <w:rFonts w:ascii="Times New Roman" w:hAnsi="Times New Roman" w:eastAsia="宋体" w:cs="Times New Roman"/>
      <w:sz w:val="20"/>
      <w:szCs w:val="20"/>
    </w:rPr>
  </w:style>
  <w:style w:type="character" w:customStyle="1" w:styleId="41">
    <w:name w:val="15"/>
    <w:qFormat/>
    <w:uiPriority w:val="0"/>
    <w:rPr>
      <w:rFonts w:ascii="Calibri" w:hAnsi="Calibri" w:eastAsia="宋体" w:cs="Times New Roman"/>
      <w:lang w:bidi="ar-SA"/>
    </w:rPr>
  </w:style>
  <w:style w:type="paragraph" w:customStyle="1" w:styleId="42">
    <w:name w:val="No Spacing1"/>
    <w:qFormat/>
    <w:uiPriority w:val="0"/>
    <w:pPr>
      <w:widowControl w:val="0"/>
      <w:jc w:val="both"/>
    </w:pPr>
    <w:rPr>
      <w:rFonts w:ascii="Calibri" w:hAnsi="Calibri" w:eastAsia="宋体" w:cs="黑体"/>
      <w:kern w:val="2"/>
      <w:sz w:val="21"/>
      <w:szCs w:val="22"/>
      <w:lang w:val="en-US" w:eastAsia="zh-CN" w:bidi="ar-SA"/>
    </w:rPr>
  </w:style>
  <w:style w:type="character" w:customStyle="1" w:styleId="43">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emf"/><Relationship Id="rId15" Type="http://schemas.openxmlformats.org/officeDocument/2006/relationships/oleObject" Target="embeddings/oleObject4.bin"/><Relationship Id="rId14" Type="http://schemas.openxmlformats.org/officeDocument/2006/relationships/image" Target="media/image6.png"/><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3"/>
    <customShpInfo spid="_x0000_s2054"/>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58</Pages>
  <Words>23915</Words>
  <Characters>25207</Characters>
  <Lines>105</Lines>
  <Paragraphs>29</Paragraphs>
  <TotalTime>1</TotalTime>
  <ScaleCrop>false</ScaleCrop>
  <LinksUpToDate>false</LinksUpToDate>
  <CharactersWithSpaces>25719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2020-08-06T01:49:00Z</dcterms:created>
  <dc:creator>曹颖</dc:creator>
  <cp:lastModifiedBy>财务室:魏小丹</cp:lastModifiedBy>
  <cp:lastPrinted>2022-08-07T02:23:00Z</cp:lastPrinted>
  <dcterms:modified xsi:type="dcterms:W3CDTF">2023-10-12T07:57:07Z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7E58F68C89CA4FC7A68485CE121CB282_13</vt:lpwstr>
  </property>
</Properties>
</file>