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ascii="方正小标宋简体" w:hAnsi="宋体" w:eastAsia="方正小标宋简体"/>
          <w:color w:val="auto"/>
          <w:sz w:val="72"/>
          <w:szCs w:val="72"/>
          <w:highlight w:val="none"/>
        </w:rPr>
      </w:pPr>
      <w:bookmarkStart w:id="0" w:name="_Toc15378441"/>
      <w:bookmarkStart w:id="1" w:name="_Toc15377425"/>
      <w:bookmarkStart w:id="2" w:name="_Toc15396475"/>
      <w:bookmarkStart w:id="3" w:name="_Toc15306267"/>
      <w:bookmarkStart w:id="4" w:name="_Toc15377193"/>
      <w:bookmarkStart w:id="5" w:name="_Toc15396597"/>
      <w:bookmarkStart w:id="103" w:name="_GoBack"/>
      <w:bookmarkEnd w:id="103"/>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52"/>
          <w:szCs w:val="52"/>
          <w:highlight w:val="none"/>
          <w:lang w:val="en-US" w:eastAsia="zh-CN"/>
        </w:rPr>
      </w:pPr>
      <w:bookmarkStart w:id="6" w:name="_Toc21050"/>
      <w:r>
        <w:rPr>
          <w:rFonts w:hint="eastAsia" w:ascii="方正小标宋简体" w:hAnsi="方正小标宋简体" w:eastAsia="方正小标宋简体" w:cs="方正小标宋简体"/>
          <w:color w:val="auto"/>
          <w:sz w:val="52"/>
          <w:szCs w:val="52"/>
          <w:highlight w:val="none"/>
          <w:lang w:val="en-US" w:eastAsia="zh-CN"/>
        </w:rPr>
        <w:t>中国民主同盟广元市委员会</w:t>
      </w:r>
      <w:bookmarkEnd w:id="6"/>
    </w:p>
    <w:p>
      <w:pPr>
        <w:adjustRightInd w:val="0"/>
        <w:snapToGrid w:val="0"/>
        <w:spacing w:line="360" w:lineRule="auto"/>
        <w:jc w:val="center"/>
        <w:outlineLvl w:val="0"/>
        <w:rPr>
          <w:rFonts w:hint="default" w:ascii="方正小标宋简体" w:hAnsi="方正小标宋简体" w:eastAsia="方正小标宋简体" w:cs="方正小标宋简体"/>
          <w:color w:val="auto"/>
          <w:sz w:val="52"/>
          <w:szCs w:val="52"/>
          <w:highlight w:val="none"/>
          <w:lang w:val="en-US" w:eastAsia="zh-CN"/>
        </w:rPr>
      </w:pPr>
      <w:bookmarkStart w:id="7" w:name="_Toc10560"/>
      <w:r>
        <w:rPr>
          <w:rFonts w:hint="eastAsia" w:ascii="方正小标宋简体" w:hAnsi="方正小标宋简体" w:eastAsia="方正小标宋简体" w:cs="方正小标宋简体"/>
          <w:color w:val="auto"/>
          <w:sz w:val="52"/>
          <w:szCs w:val="52"/>
          <w:highlight w:val="none"/>
        </w:rPr>
        <w:t>20</w:t>
      </w:r>
      <w:r>
        <w:rPr>
          <w:rFonts w:hint="eastAsia" w:ascii="方正小标宋简体" w:hAnsi="方正小标宋简体" w:eastAsia="方正小标宋简体" w:cs="方正小标宋简体"/>
          <w:color w:val="auto"/>
          <w:sz w:val="52"/>
          <w:szCs w:val="52"/>
          <w:highlight w:val="none"/>
          <w:lang w:val="en-US" w:eastAsia="zh-CN"/>
        </w:rPr>
        <w:t>22</w:t>
      </w:r>
      <w:r>
        <w:rPr>
          <w:rFonts w:hint="eastAsia" w:ascii="方正小标宋简体" w:hAnsi="方正小标宋简体" w:eastAsia="方正小标宋简体" w:cs="方正小标宋简体"/>
          <w:color w:val="auto"/>
          <w:sz w:val="52"/>
          <w:szCs w:val="52"/>
          <w:highlight w:val="none"/>
        </w:rPr>
        <w:t>年度</w:t>
      </w:r>
      <w:bookmarkEnd w:id="0"/>
      <w:bookmarkEnd w:id="1"/>
      <w:bookmarkEnd w:id="2"/>
      <w:bookmarkEnd w:id="3"/>
      <w:bookmarkEnd w:id="4"/>
      <w:bookmarkEnd w:id="5"/>
      <w:bookmarkStart w:id="8" w:name="_Toc15377426"/>
      <w:bookmarkStart w:id="9" w:name="_Toc15378442"/>
      <w:bookmarkStart w:id="10" w:name="_Toc15396598"/>
      <w:bookmarkStart w:id="11" w:name="_Toc15396476"/>
      <w:bookmarkStart w:id="12" w:name="_Toc15306268"/>
      <w:bookmarkStart w:id="13" w:name="_Toc15377194"/>
      <w:r>
        <w:rPr>
          <w:rFonts w:hint="eastAsia" w:ascii="方正小标宋简体" w:hAnsi="方正小标宋简体" w:eastAsia="方正小标宋简体" w:cs="方正小标宋简体"/>
          <w:color w:val="auto"/>
          <w:sz w:val="52"/>
          <w:szCs w:val="52"/>
          <w:highlight w:val="none"/>
          <w:lang w:val="en-US" w:eastAsia="zh-CN"/>
        </w:rPr>
        <w:t>单位</w:t>
      </w:r>
      <w:r>
        <w:rPr>
          <w:rFonts w:hint="eastAsia" w:ascii="方正小标宋简体" w:hAnsi="方正小标宋简体" w:eastAsia="方正小标宋简体" w:cs="方正小标宋简体"/>
          <w:color w:val="auto"/>
          <w:sz w:val="52"/>
          <w:szCs w:val="52"/>
          <w:highlight w:val="none"/>
        </w:rPr>
        <w:t>决算</w:t>
      </w:r>
      <w:bookmarkEnd w:id="8"/>
      <w:bookmarkEnd w:id="9"/>
      <w:bookmarkEnd w:id="10"/>
      <w:bookmarkEnd w:id="11"/>
      <w:bookmarkEnd w:id="12"/>
      <w:bookmarkEnd w:id="13"/>
      <w:r>
        <w:rPr>
          <w:rFonts w:hint="eastAsia" w:ascii="方正小标宋简体" w:hAnsi="方正小标宋简体" w:eastAsia="方正小标宋简体" w:cs="方正小标宋简体"/>
          <w:color w:val="auto"/>
          <w:sz w:val="52"/>
          <w:szCs w:val="52"/>
          <w:highlight w:val="none"/>
          <w:lang w:val="en-US" w:eastAsia="zh-CN"/>
        </w:rPr>
        <w:t>公开编制说明</w:t>
      </w:r>
      <w:bookmarkEnd w:id="7"/>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bookmarkStart w:id="14" w:name="_Toc15377196"/>
      <w:bookmarkStart w:id="15" w:name="_Toc15396599"/>
      <w:r>
        <w:rPr>
          <w:rFonts w:hint="eastAsia" w:ascii="黑体" w:hAnsi="黑体" w:eastAsia="黑体"/>
          <w:color w:val="auto"/>
          <w:sz w:val="48"/>
          <w:szCs w:val="48"/>
          <w:highlight w:val="none"/>
        </w:rPr>
        <w:t>目</w:t>
      </w:r>
      <w:r>
        <w:rPr>
          <w:rFonts w:hint="eastAsia" w:ascii="黑体" w:hAnsi="黑体" w:eastAsia="黑体"/>
          <w:color w:val="auto"/>
          <w:sz w:val="48"/>
          <w:szCs w:val="48"/>
          <w:highlight w:val="none"/>
          <w:lang w:val="en-US" w:eastAsia="zh-CN"/>
        </w:rPr>
        <w:t xml:space="preserve">  </w:t>
      </w:r>
      <w:r>
        <w:rPr>
          <w:rFonts w:hint="eastAsia" w:ascii="黑体" w:hAnsi="黑体" w:eastAsia="黑体"/>
          <w:color w:val="auto"/>
          <w:sz w:val="48"/>
          <w:szCs w:val="48"/>
          <w:highlight w:val="none"/>
        </w:rPr>
        <w:t>录</w:t>
      </w:r>
    </w:p>
    <w:p>
      <w:pPr>
        <w:pStyle w:val="12"/>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default"/>
          <w:color w:val="auto"/>
          <w:highlight w:val="none"/>
        </w:rPr>
        <w:t>10</w:t>
      </w:r>
      <w:r>
        <w:rPr>
          <w:rFonts w:hint="eastAsia"/>
          <w:color w:val="auto"/>
          <w:highlight w:val="none"/>
        </w:rPr>
        <w:t>月</w:t>
      </w:r>
      <w:r>
        <w:rPr>
          <w:rFonts w:hint="default"/>
          <w:color w:val="auto"/>
          <w:highlight w:val="none"/>
          <w:lang w:val="en"/>
        </w:rPr>
        <w:t>10</w:t>
      </w:r>
      <w:r>
        <w:rPr>
          <w:rFonts w:hint="eastAsia"/>
          <w:color w:val="auto"/>
          <w:highlight w:val="none"/>
        </w:rPr>
        <w:t>日</w:t>
      </w:r>
    </w:p>
    <w:sdt>
      <w:sdtPr>
        <w:rPr>
          <w:rFonts w:ascii="宋体" w:hAnsi="宋体" w:eastAsia="宋体" w:cs="Times New Roman"/>
          <w:kern w:val="2"/>
          <w:sz w:val="21"/>
          <w:szCs w:val="24"/>
          <w:lang w:val="en-US" w:eastAsia="zh-CN" w:bidi="ar-SA"/>
        </w:rPr>
        <w:id w:val="147475744"/>
        <w15:color w:val="DBDBDB"/>
        <w:docPartObj>
          <w:docPartGallery w:val="Table of Contents"/>
          <w:docPartUnique/>
        </w:docPartObj>
      </w:sdtPr>
      <w:sdtEndPr>
        <w:rPr>
          <w:rFonts w:ascii="Times New Roman" w:hAnsi="Times New Roman" w:eastAsia="宋体" w:cs="Times New Roman"/>
          <w:b/>
          <w:color w:val="auto"/>
          <w:kern w:val="2"/>
          <w:sz w:val="21"/>
          <w:szCs w:val="24"/>
          <w:highlight w:val="none"/>
          <w:lang w:val="en-US" w:eastAsia="zh-CN" w:bidi="ar-SA"/>
        </w:rPr>
      </w:sdtEndPr>
      <w:sdtContent>
        <w:p>
          <w:pPr>
            <w:spacing w:before="0" w:beforeLines="0" w:after="0" w:afterLines="0" w:line="240" w:lineRule="auto"/>
            <w:ind w:left="0" w:leftChars="0" w:right="0" w:rightChars="0" w:firstLine="0" w:firstLineChars="0"/>
            <w:jc w:val="center"/>
            <w:rPr>
              <w:b/>
            </w:rPr>
          </w:pPr>
          <w:r>
            <w:rPr>
              <w:color w:val="auto"/>
              <w:highlight w:val="none"/>
            </w:rPr>
            <w:fldChar w:fldCharType="begin"/>
          </w:r>
          <w:r>
            <w:rPr>
              <w:color w:val="auto"/>
              <w:highlight w:val="none"/>
            </w:rPr>
            <w:instrText xml:space="preserve">TOC \o "1-2" \h \u </w:instrText>
          </w:r>
          <w:r>
            <w:rPr>
              <w:color w:val="auto"/>
              <w:highlight w:val="none"/>
            </w:rPr>
            <w:fldChar w:fldCharType="separate"/>
          </w:r>
        </w:p>
        <w:p>
          <w:pPr>
            <w:pStyle w:val="38"/>
            <w:tabs>
              <w:tab w:val="right" w:leader="dot" w:pos="8306"/>
            </w:tabs>
            <w:rPr>
              <w:b/>
            </w:rPr>
          </w:pPr>
          <w:r>
            <w:rPr>
              <w:b/>
              <w:color w:val="auto"/>
              <w:highlight w:val="none"/>
            </w:rPr>
            <w:fldChar w:fldCharType="begin"/>
          </w:r>
          <w:r>
            <w:rPr>
              <w:b/>
              <w:highlight w:val="none"/>
            </w:rPr>
            <w:instrText xml:space="preserve"> HYPERLINK \l _Toc31091 </w:instrText>
          </w:r>
          <w:r>
            <w:rPr>
              <w:b/>
              <w:highlight w:val="none"/>
            </w:rPr>
            <w:fldChar w:fldCharType="separate"/>
          </w:r>
          <w:r>
            <w:rPr>
              <w:rFonts w:hint="eastAsia" w:ascii="黑体" w:hAnsi="黑体" w:eastAsia="黑体"/>
              <w:b/>
              <w:bCs w:val="0"/>
            </w:rPr>
            <w:t xml:space="preserve">第一部分 </w:t>
          </w:r>
          <w:r>
            <w:rPr>
              <w:rFonts w:hint="eastAsia" w:ascii="黑体" w:hAnsi="黑体" w:eastAsia="黑体"/>
              <w:b/>
              <w:bCs w:val="0"/>
              <w:highlight w:val="none"/>
            </w:rPr>
            <w:t>部门概况</w:t>
          </w:r>
          <w:r>
            <w:rPr>
              <w:b/>
            </w:rPr>
            <w:tab/>
          </w:r>
          <w:r>
            <w:rPr>
              <w:b/>
            </w:rPr>
            <w:fldChar w:fldCharType="begin"/>
          </w:r>
          <w:r>
            <w:rPr>
              <w:b/>
            </w:rPr>
            <w:instrText xml:space="preserve"> PAGEREF _Toc31091 \h </w:instrText>
          </w:r>
          <w:r>
            <w:rPr>
              <w:b/>
            </w:rPr>
            <w:fldChar w:fldCharType="separate"/>
          </w:r>
          <w:r>
            <w:rPr>
              <w:b/>
            </w:rPr>
            <w:t>1</w:t>
          </w:r>
          <w:r>
            <w:rPr>
              <w:b/>
            </w:rPr>
            <w:fldChar w:fldCharType="end"/>
          </w:r>
          <w:r>
            <w:rPr>
              <w:b/>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_Toc14492 </w:instrText>
          </w:r>
          <w:r>
            <w:rPr>
              <w:highlight w:val="none"/>
            </w:rPr>
            <w:fldChar w:fldCharType="separate"/>
          </w:r>
          <w:r>
            <w:rPr>
              <w:rFonts w:hint="eastAsia"/>
              <w:lang w:eastAsia="zh-CN"/>
            </w:rPr>
            <w:t xml:space="preserve">一、 </w:t>
          </w:r>
          <w:r>
            <w:rPr>
              <w:rFonts w:hint="eastAsia" w:ascii="黑体" w:hAnsi="黑体" w:eastAsia="黑体"/>
              <w:highlight w:val="none"/>
              <w:lang w:eastAsia="zh-CN"/>
            </w:rPr>
            <w:t>部门职责</w:t>
          </w:r>
          <w:r>
            <w:tab/>
          </w:r>
          <w:r>
            <w:fldChar w:fldCharType="begin"/>
          </w:r>
          <w:r>
            <w:instrText xml:space="preserve"> PAGEREF _Toc14492 \h </w:instrText>
          </w:r>
          <w:r>
            <w:fldChar w:fldCharType="separate"/>
          </w:r>
          <w:r>
            <w:t>1</w:t>
          </w:r>
          <w: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_Toc14674 </w:instrText>
          </w:r>
          <w:r>
            <w:rPr>
              <w:highlight w:val="none"/>
            </w:rPr>
            <w:fldChar w:fldCharType="separate"/>
          </w:r>
          <w:r>
            <w:rPr>
              <w:rFonts w:hint="eastAsia" w:ascii="黑体" w:eastAsia="黑体"/>
              <w:highlight w:val="none"/>
            </w:rPr>
            <w:t>二、</w:t>
          </w:r>
          <w:r>
            <w:rPr>
              <w:rFonts w:hint="eastAsia" w:ascii="黑体" w:hAnsi="黑体" w:eastAsia="黑体"/>
              <w:highlight w:val="none"/>
            </w:rPr>
            <w:t>机</w:t>
          </w:r>
          <w:r>
            <w:rPr>
              <w:rFonts w:hint="eastAsia" w:ascii="黑体" w:hAnsi="黑体" w:eastAsia="黑体"/>
              <w:bCs w:val="0"/>
              <w:highlight w:val="none"/>
            </w:rPr>
            <w:t>构设置</w:t>
          </w:r>
          <w:r>
            <w:tab/>
          </w:r>
          <w:r>
            <w:fldChar w:fldCharType="begin"/>
          </w:r>
          <w:r>
            <w:instrText xml:space="preserve"> PAGEREF _Toc14674 \h </w:instrText>
          </w:r>
          <w:r>
            <w:fldChar w:fldCharType="separate"/>
          </w:r>
          <w:r>
            <w:t>2</w:t>
          </w:r>
          <w:r>
            <w:fldChar w:fldCharType="end"/>
          </w:r>
          <w:r>
            <w:rPr>
              <w:color w:val="auto"/>
              <w:highlight w:val="none"/>
            </w:rPr>
            <w:fldChar w:fldCharType="end"/>
          </w:r>
        </w:p>
        <w:p>
          <w:pPr>
            <w:pStyle w:val="38"/>
            <w:tabs>
              <w:tab w:val="right" w:leader="dot" w:pos="8306"/>
            </w:tabs>
            <w:rPr>
              <w:b/>
            </w:rPr>
          </w:pPr>
          <w:r>
            <w:rPr>
              <w:b/>
              <w:color w:val="auto"/>
              <w:highlight w:val="none"/>
            </w:rPr>
            <w:fldChar w:fldCharType="begin"/>
          </w:r>
          <w:r>
            <w:rPr>
              <w:b/>
              <w:highlight w:val="none"/>
            </w:rPr>
            <w:instrText xml:space="preserve"> HYPERLINK \l _Toc6860 </w:instrText>
          </w:r>
          <w:r>
            <w:rPr>
              <w:b/>
              <w:highlight w:val="none"/>
            </w:rPr>
            <w:fldChar w:fldCharType="separate"/>
          </w:r>
          <w:r>
            <w:rPr>
              <w:rFonts w:hint="eastAsia" w:ascii="黑体" w:hAnsi="黑体" w:eastAsia="黑体"/>
              <w:b/>
              <w:bCs/>
            </w:rPr>
            <w:t xml:space="preserve">第二部分 </w:t>
          </w:r>
          <w:r>
            <w:rPr>
              <w:rFonts w:hint="eastAsia" w:ascii="黑体" w:hAnsi="黑体" w:eastAsia="黑体"/>
              <w:b/>
              <w:bCs/>
              <w:highlight w:val="none"/>
              <w:lang w:val="en-US" w:eastAsia="zh-CN"/>
            </w:rPr>
            <w:t>2022年度</w:t>
          </w:r>
          <w:r>
            <w:rPr>
              <w:rFonts w:hint="eastAsia" w:ascii="黑体" w:hAnsi="黑体" w:eastAsia="黑体"/>
              <w:b/>
              <w:bCs/>
              <w:highlight w:val="none"/>
            </w:rPr>
            <w:t>部门决算情况说明</w:t>
          </w:r>
          <w:r>
            <w:rPr>
              <w:b/>
            </w:rPr>
            <w:tab/>
          </w:r>
          <w:r>
            <w:rPr>
              <w:b/>
            </w:rPr>
            <w:fldChar w:fldCharType="begin"/>
          </w:r>
          <w:r>
            <w:rPr>
              <w:b/>
            </w:rPr>
            <w:instrText xml:space="preserve"> PAGEREF _Toc6860 \h </w:instrText>
          </w:r>
          <w:r>
            <w:rPr>
              <w:b/>
            </w:rPr>
            <w:fldChar w:fldCharType="separate"/>
          </w:r>
          <w:r>
            <w:rPr>
              <w:b/>
            </w:rPr>
            <w:t>3</w:t>
          </w:r>
          <w:r>
            <w:rPr>
              <w:b/>
            </w:rPr>
            <w:fldChar w:fldCharType="end"/>
          </w:r>
          <w:r>
            <w:rPr>
              <w:b/>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_Toc12542 </w:instrText>
          </w:r>
          <w:r>
            <w:rPr>
              <w:highlight w:val="none"/>
            </w:rPr>
            <w:fldChar w:fldCharType="separate"/>
          </w:r>
          <w:r>
            <w:rPr>
              <w:rFonts w:hint="default" w:ascii="黑体" w:hAnsi="黑体" w:eastAsia="黑体"/>
            </w:rPr>
            <w:t xml:space="preserve">一、 </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_Toc12542 \h </w:instrText>
          </w:r>
          <w:r>
            <w:fldChar w:fldCharType="separate"/>
          </w:r>
          <w:r>
            <w:t>3</w:t>
          </w:r>
          <w: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_Toc20023 </w:instrText>
          </w:r>
          <w:r>
            <w:rPr>
              <w:highlight w:val="none"/>
            </w:rPr>
            <w:fldChar w:fldCharType="separate"/>
          </w:r>
          <w:r>
            <w:rPr>
              <w:rFonts w:hint="default" w:ascii="黑体" w:hAnsi="黑体" w:eastAsia="黑体"/>
            </w:rPr>
            <w:t xml:space="preserve">二、 </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_Toc20023 \h </w:instrText>
          </w:r>
          <w:r>
            <w:fldChar w:fldCharType="separate"/>
          </w:r>
          <w:r>
            <w:t>3</w:t>
          </w:r>
          <w: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_Toc21298 </w:instrText>
          </w:r>
          <w:r>
            <w:rPr>
              <w:highlight w:val="none"/>
            </w:rPr>
            <w:fldChar w:fldCharType="separate"/>
          </w:r>
          <w:r>
            <w:rPr>
              <w:rFonts w:hint="default" w:ascii="黑体" w:hAnsi="黑体" w:eastAsia="黑体"/>
            </w:rPr>
            <w:t xml:space="preserve">三、 </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_Toc21298 \h </w:instrText>
          </w:r>
          <w:r>
            <w:fldChar w:fldCharType="separate"/>
          </w:r>
          <w:r>
            <w:t>4</w:t>
          </w:r>
          <w: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_Toc9359 </w:instrText>
          </w:r>
          <w:r>
            <w:rPr>
              <w:highlight w:val="none"/>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_Toc9359 \h </w:instrText>
          </w:r>
          <w:r>
            <w:fldChar w:fldCharType="separate"/>
          </w:r>
          <w:r>
            <w:t>5</w:t>
          </w:r>
          <w: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_Toc4420 </w:instrText>
          </w:r>
          <w:r>
            <w:rPr>
              <w:highlight w:val="none"/>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_Toc4420 \h </w:instrText>
          </w:r>
          <w:r>
            <w:fldChar w:fldCharType="separate"/>
          </w:r>
          <w:r>
            <w:t>5</w:t>
          </w:r>
          <w: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_Toc15902 </w:instrText>
          </w:r>
          <w:r>
            <w:rPr>
              <w:highlight w:val="none"/>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_Toc15902 \h </w:instrText>
          </w:r>
          <w:r>
            <w:fldChar w:fldCharType="separate"/>
          </w:r>
          <w:r>
            <w:t>8</w:t>
          </w:r>
          <w: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_Toc13357 </w:instrText>
          </w:r>
          <w:r>
            <w:rPr>
              <w:highlight w:val="none"/>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_Toc13357 \h </w:instrText>
          </w:r>
          <w:r>
            <w:fldChar w:fldCharType="separate"/>
          </w:r>
          <w:r>
            <w:t>8</w:t>
          </w:r>
          <w: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_Toc4774 </w:instrText>
          </w:r>
          <w:r>
            <w:rPr>
              <w:highlight w:val="none"/>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_Toc4774 \h </w:instrText>
          </w:r>
          <w:r>
            <w:fldChar w:fldCharType="separate"/>
          </w:r>
          <w:r>
            <w:t>10</w:t>
          </w:r>
          <w: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_Toc12414 </w:instrText>
          </w:r>
          <w:r>
            <w:rPr>
              <w:highlight w:val="none"/>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_Toc12414 \h </w:instrText>
          </w:r>
          <w:r>
            <w:fldChar w:fldCharType="separate"/>
          </w:r>
          <w:r>
            <w:t>10</w:t>
          </w:r>
          <w: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_Toc31139 </w:instrText>
          </w:r>
          <w:r>
            <w:rPr>
              <w:highlight w:val="none"/>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_Toc31139 \h </w:instrText>
          </w:r>
          <w:r>
            <w:fldChar w:fldCharType="separate"/>
          </w:r>
          <w:r>
            <w:t>10</w:t>
          </w:r>
          <w:r>
            <w:fldChar w:fldCharType="end"/>
          </w:r>
          <w:r>
            <w:rPr>
              <w:color w:val="auto"/>
              <w:highlight w:val="none"/>
            </w:rPr>
            <w:fldChar w:fldCharType="end"/>
          </w:r>
        </w:p>
        <w:p>
          <w:pPr>
            <w:pStyle w:val="38"/>
            <w:tabs>
              <w:tab w:val="right" w:leader="dot" w:pos="8306"/>
            </w:tabs>
            <w:rPr>
              <w:b/>
              <w:color w:val="auto"/>
              <w:highlight w:val="none"/>
            </w:rPr>
          </w:pPr>
          <w:r>
            <w:rPr>
              <w:b/>
              <w:color w:val="auto"/>
              <w:highlight w:val="none"/>
            </w:rPr>
            <w:fldChar w:fldCharType="begin"/>
          </w:r>
          <w:r>
            <w:rPr>
              <w:b/>
              <w:highlight w:val="none"/>
            </w:rPr>
            <w:instrText xml:space="preserve"> HYPERLINK \l _Toc2779 </w:instrText>
          </w:r>
          <w:r>
            <w:rPr>
              <w:b/>
              <w:highlight w:val="none"/>
            </w:rPr>
            <w:fldChar w:fldCharType="separate"/>
          </w:r>
          <w:r>
            <w:rPr>
              <w:rFonts w:hint="eastAsia" w:ascii="黑体" w:hAnsi="黑体" w:eastAsia="黑体"/>
              <w:b/>
            </w:rPr>
            <w:t xml:space="preserve">第三部分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_Toc2779 \h </w:instrText>
          </w:r>
          <w:r>
            <w:rPr>
              <w:b/>
            </w:rPr>
            <w:fldChar w:fldCharType="separate"/>
          </w:r>
          <w:r>
            <w:rPr>
              <w:b/>
            </w:rPr>
            <w:t>12</w:t>
          </w:r>
          <w:r>
            <w:rPr>
              <w:b/>
            </w:rPr>
            <w:fldChar w:fldCharType="end"/>
          </w:r>
          <w:r>
            <w:rPr>
              <w:b/>
              <w:color w:val="auto"/>
              <w:highlight w:val="none"/>
            </w:rPr>
            <w:fldChar w:fldCharType="end"/>
          </w:r>
        </w:p>
        <w:p>
          <w:pPr>
            <w:pStyle w:val="38"/>
            <w:tabs>
              <w:tab w:val="right" w:leader="dot" w:pos="8306"/>
            </w:tabs>
            <w:rPr>
              <w:rFonts w:hint="eastAsia"/>
              <w:b/>
              <w:lang w:val="en-US" w:eastAsia="zh-CN"/>
            </w:rPr>
          </w:pPr>
          <w:r>
            <w:rPr>
              <w:rFonts w:hint="eastAsia"/>
              <w:b/>
              <w:color w:val="auto"/>
              <w:highlight w:val="none"/>
              <w:lang w:val="en" w:eastAsia="zh-CN"/>
            </w:rPr>
            <w:t>第四部分</w:t>
          </w:r>
          <w:r>
            <w:rPr>
              <w:rFonts w:hint="eastAsia"/>
              <w:b/>
              <w:color w:val="auto"/>
              <w:highlight w:val="none"/>
              <w:lang w:val="en-US" w:eastAsia="zh-CN"/>
            </w:rPr>
            <w:t xml:space="preserve"> </w:t>
          </w:r>
          <w:r>
            <w:rPr>
              <w:rFonts w:hint="eastAsia" w:ascii="黑体" w:hAnsi="黑体" w:eastAsia="黑体"/>
              <w:b/>
              <w:szCs w:val="44"/>
              <w:highlight w:val="none"/>
              <w:lang w:eastAsia="zh-CN"/>
            </w:rPr>
            <w:t>附件</w:t>
          </w:r>
          <w:r>
            <w:rPr>
              <w:b/>
            </w:rPr>
            <w:tab/>
          </w:r>
          <w:r>
            <w:rPr>
              <w:rFonts w:hint="eastAsia"/>
              <w:b/>
              <w:lang w:val="en-US" w:eastAsia="zh-CN"/>
            </w:rPr>
            <w:t>15</w:t>
          </w:r>
        </w:p>
        <w:p>
          <w:pPr>
            <w:pStyle w:val="38"/>
            <w:tabs>
              <w:tab w:val="right" w:leader="dot" w:pos="8306"/>
            </w:tabs>
            <w:rPr>
              <w:b/>
            </w:rPr>
          </w:pPr>
          <w:r>
            <w:rPr>
              <w:b/>
              <w:color w:val="auto"/>
              <w:highlight w:val="none"/>
            </w:rPr>
            <w:fldChar w:fldCharType="begin"/>
          </w:r>
          <w:r>
            <w:rPr>
              <w:b/>
              <w:highlight w:val="none"/>
            </w:rPr>
            <w:instrText xml:space="preserve"> HYPERLINK \l _Toc24486 </w:instrText>
          </w:r>
          <w:r>
            <w:rPr>
              <w:b/>
              <w:highlight w:val="none"/>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b/>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_Toc29552 </w:instrText>
          </w:r>
          <w:r>
            <w:rPr>
              <w:highlight w:val="none"/>
            </w:rP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_Toc26819 </w:instrText>
          </w:r>
          <w:r>
            <w:rPr>
              <w:highlight w:val="none"/>
            </w:rP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_Toc13352 </w:instrText>
          </w:r>
          <w:r>
            <w:rPr>
              <w:highlight w:val="none"/>
            </w:rP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_Toc22414 </w:instrText>
          </w:r>
          <w:r>
            <w:rPr>
              <w:highlight w:val="none"/>
            </w:rP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_Toc1419 </w:instrText>
          </w:r>
          <w:r>
            <w:rPr>
              <w:highlight w:val="none"/>
            </w:rP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_Toc30774 </w:instrText>
          </w:r>
          <w:r>
            <w:rPr>
              <w:highlight w:val="none"/>
            </w:rP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_Toc6848 </w:instrText>
          </w:r>
          <w:r>
            <w:rPr>
              <w:highlight w:val="none"/>
            </w:rP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_Toc12848 </w:instrText>
          </w:r>
          <w:r>
            <w:rPr>
              <w:highlight w:val="none"/>
            </w:rP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_Toc25260 </w:instrText>
          </w:r>
          <w:r>
            <w:rPr>
              <w:highlight w:val="none"/>
            </w:rP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_Toc20742 </w:instrText>
          </w:r>
          <w:r>
            <w:rPr>
              <w:highlight w:val="none"/>
            </w:rP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_Toc6653 </w:instrText>
          </w:r>
          <w:r>
            <w:rPr>
              <w:highlight w:val="none"/>
            </w:rP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_Toc2230 </w:instrText>
          </w:r>
          <w:r>
            <w:rPr>
              <w:highlight w:val="none"/>
            </w:rP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color w:val="auto"/>
              <w:highlight w:val="none"/>
            </w:rPr>
            <w:fldChar w:fldCharType="end"/>
          </w:r>
        </w:p>
        <w:p>
          <w:pPr>
            <w:pStyle w:val="39"/>
            <w:tabs>
              <w:tab w:val="right" w:leader="dot" w:pos="8306"/>
            </w:tabs>
          </w:pPr>
          <w:r>
            <w:rPr>
              <w:color w:val="auto"/>
              <w:highlight w:val="none"/>
            </w:rPr>
            <w:fldChar w:fldCharType="begin"/>
          </w:r>
          <w:r>
            <w:rPr>
              <w:highlight w:val="none"/>
            </w:rPr>
            <w:instrText xml:space="preserve"> HYPERLINK \l _Toc3743 </w:instrText>
          </w:r>
          <w:r>
            <w:rPr>
              <w:highlight w:val="none"/>
            </w:rP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rPr>
              <w:b/>
            </w:rPr>
            <w:fldChar w:fldCharType="begin"/>
          </w:r>
          <w:r>
            <w:rPr>
              <w:b/>
            </w:rPr>
            <w:instrText xml:space="preserve"> PAGEREF _Toc24486 \h </w:instrText>
          </w:r>
          <w:r>
            <w:rPr>
              <w:b/>
            </w:rPr>
            <w:fldChar w:fldCharType="separate"/>
          </w:r>
          <w:r>
            <w:rPr>
              <w:b/>
            </w:rPr>
            <w:t>1</w:t>
          </w:r>
          <w:r>
            <w:rPr>
              <w:rFonts w:hint="eastAsia"/>
              <w:b/>
              <w:lang w:val="en-US" w:eastAsia="zh-CN"/>
            </w:rPr>
            <w:t>6</w:t>
          </w:r>
          <w:r>
            <w:rPr>
              <w:b/>
            </w:rPr>
            <w:fldChar w:fldCharType="end"/>
          </w:r>
          <w:r>
            <w:rPr>
              <w:color w:val="auto"/>
              <w:highlight w:val="none"/>
            </w:rPr>
            <w:fldChar w:fldCharType="end"/>
          </w:r>
        </w:p>
        <w:p>
          <w:pPr>
            <w:rPr>
              <w:color w:val="auto"/>
              <w:highlight w:val="none"/>
            </w:rPr>
          </w:pPr>
          <w:r>
            <w:rPr>
              <w:b/>
              <w:color w:val="auto"/>
              <w:highlight w:val="none"/>
            </w:rPr>
            <w:fldChar w:fldCharType="end"/>
          </w:r>
        </w:p>
      </w:sdtContent>
    </w:sdt>
    <w:p>
      <w:pPr>
        <w:pStyle w:val="3"/>
        <w:numPr>
          <w:ilvl w:val="0"/>
          <w:numId w:val="1"/>
        </w:numPr>
        <w:jc w:val="center"/>
        <w:rPr>
          <w:rStyle w:val="20"/>
          <w:rFonts w:hint="eastAsia" w:ascii="黑体" w:hAnsi="黑体" w:eastAsia="黑体"/>
          <w:b w:val="0"/>
          <w:bCs w:val="0"/>
          <w:color w:val="000000" w:themeColor="text1"/>
          <w:highlight w:val="none"/>
          <w14:textFill>
            <w14:solidFill>
              <w14:schemeClr w14:val="tx1"/>
            </w14:solidFill>
          </w14:textFill>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6" w:name="_Toc31091"/>
    </w:p>
    <w:p>
      <w:pPr>
        <w:pStyle w:val="3"/>
        <w:numPr>
          <w:ilvl w:val="0"/>
          <w:numId w:val="1"/>
        </w:numPr>
        <w:jc w:val="center"/>
        <w:rPr>
          <w:rStyle w:val="20"/>
          <w:rFonts w:hint="eastAsia" w:ascii="黑体" w:hAnsi="黑体" w:eastAsia="黑体"/>
          <w:b w:val="0"/>
          <w:bCs w:val="0"/>
          <w:color w:val="000000" w:themeColor="text1"/>
          <w:highlight w:val="none"/>
          <w14:textFill>
            <w14:solidFill>
              <w14:schemeClr w14:val="tx1"/>
            </w14:solidFill>
          </w14:textFill>
        </w:rPr>
      </w:pPr>
      <w:r>
        <w:rPr>
          <w:rStyle w:val="20"/>
          <w:rFonts w:hint="eastAsia" w:ascii="黑体" w:hAnsi="黑体" w:eastAsia="黑体"/>
          <w:b w:val="0"/>
          <w:bCs w:val="0"/>
          <w:color w:val="000000" w:themeColor="text1"/>
          <w:highlight w:val="none"/>
          <w14:textFill>
            <w14:solidFill>
              <w14:schemeClr w14:val="tx1"/>
            </w14:solidFill>
          </w14:textFill>
        </w:rPr>
        <w:t>部门概况</w:t>
      </w:r>
      <w:bookmarkEnd w:id="14"/>
      <w:bookmarkEnd w:id="15"/>
      <w:bookmarkEnd w:id="16"/>
    </w:p>
    <w:p>
      <w:pPr>
        <w:numPr>
          <w:ilvl w:val="0"/>
          <w:numId w:val="0"/>
        </w:numPr>
        <w:rPr>
          <w:color w:val="000000" w:themeColor="text1"/>
          <w:highlight w:val="none"/>
          <w14:textFill>
            <w14:solidFill>
              <w14:schemeClr w14:val="tx1"/>
            </w14:solidFill>
          </w14:textFill>
        </w:rPr>
      </w:pPr>
    </w:p>
    <w:p>
      <w:pPr>
        <w:pStyle w:val="4"/>
        <w:numPr>
          <w:ilvl w:val="0"/>
          <w:numId w:val="2"/>
        </w:numPr>
        <w:rPr>
          <w:rFonts w:hint="eastAsia"/>
          <w:color w:val="000000" w:themeColor="text1"/>
          <w:highlight w:val="none"/>
          <w:lang w:eastAsia="zh-CN"/>
          <w14:textFill>
            <w14:solidFill>
              <w14:schemeClr w14:val="tx1"/>
            </w14:solidFill>
          </w14:textFill>
        </w:rPr>
      </w:pPr>
      <w:bookmarkStart w:id="17" w:name="_Toc14492"/>
      <w:r>
        <w:rPr>
          <w:rFonts w:hint="eastAsia" w:ascii="黑体" w:hAnsi="黑体" w:eastAsia="黑体"/>
          <w:b w:val="0"/>
          <w:color w:val="000000" w:themeColor="text1"/>
          <w:highlight w:val="none"/>
          <w:lang w:eastAsia="zh-CN"/>
          <w14:textFill>
            <w14:solidFill>
              <w14:schemeClr w14:val="tx1"/>
            </w14:solidFill>
          </w14:textFill>
        </w:rPr>
        <w:t>部门职责</w:t>
      </w:r>
      <w:bookmarkEnd w:id="17"/>
    </w:p>
    <w:p>
      <w:pPr>
        <w:spacing w:line="580" w:lineRule="exact"/>
        <w:ind w:firstLine="640" w:firstLineChars="200"/>
        <w:rPr>
          <w:rFonts w:hint="eastAsia" w:eastAsia="仿宋_GB2312"/>
          <w:sz w:val="32"/>
          <w:szCs w:val="32"/>
        </w:rPr>
      </w:pPr>
      <w:r>
        <w:rPr>
          <w:rFonts w:hint="eastAsia" w:eastAsia="仿宋_GB2312"/>
          <w:sz w:val="32"/>
          <w:szCs w:val="32"/>
        </w:rPr>
        <w:t>1.坚持中国共产党领导的多党合作和政治协商制度，  逐步完善参政党机制。结合党和政府的中心工作，开展调查研究，反映社情民意，畅通民主渠道，为促进国民经济持续、快速、健康发展和社会全面进步提出积极的建设性意见和建议。切实发挥参政议政和民主监督作用。</w:t>
      </w:r>
    </w:p>
    <w:p>
      <w:pPr>
        <w:spacing w:line="580" w:lineRule="exact"/>
        <w:rPr>
          <w:rFonts w:hint="eastAsia" w:eastAsia="仿宋_GB2312"/>
          <w:sz w:val="32"/>
          <w:szCs w:val="32"/>
        </w:rPr>
      </w:pPr>
      <w:r>
        <w:rPr>
          <w:rFonts w:hint="eastAsia" w:eastAsia="仿宋_GB2312"/>
          <w:sz w:val="32"/>
          <w:szCs w:val="32"/>
        </w:rPr>
        <w:t xml:space="preserve">    2.组织盟员学习、宣传党的方针、政策，统战理论及本党派的历史，增强政党意识，为巩固和发展安定团结的政治局面服务，为推进社会主义现代化建设和改革开放服务，为健全社会主义民主和法制服务，为促进“一国两制”、和平统一祖国服务。积极推进国际交往，促进世界的和平与发展。</w:t>
      </w:r>
    </w:p>
    <w:p>
      <w:pPr>
        <w:spacing w:line="580" w:lineRule="exact"/>
        <w:rPr>
          <w:rFonts w:hint="eastAsia" w:eastAsia="仿宋_GB2312"/>
          <w:sz w:val="32"/>
          <w:szCs w:val="32"/>
        </w:rPr>
      </w:pPr>
      <w:r>
        <w:rPr>
          <w:rFonts w:hint="eastAsia" w:eastAsia="仿宋_GB2312"/>
          <w:sz w:val="32"/>
          <w:szCs w:val="32"/>
        </w:rPr>
        <w:t xml:space="preserve">    3.在贯彻为经济建设服务总方针的过程中，坚持把教育放在优先发展的战略地位，加大精神文明建设的力度，为繁荣社会主义教育、科学文化事业，为提高全民族的素质做贡献。</w:t>
      </w:r>
    </w:p>
    <w:p>
      <w:pPr>
        <w:spacing w:line="580" w:lineRule="exact"/>
        <w:rPr>
          <w:rFonts w:hint="eastAsia" w:eastAsia="仿宋_GB2312"/>
          <w:sz w:val="32"/>
          <w:szCs w:val="32"/>
        </w:rPr>
      </w:pPr>
      <w:r>
        <w:rPr>
          <w:rFonts w:hint="eastAsia" w:eastAsia="仿宋_GB2312"/>
          <w:sz w:val="32"/>
          <w:szCs w:val="32"/>
        </w:rPr>
        <w:t xml:space="preserve">    4.依靠广大盟员不断加强思想建设、组织建设和领导班子建设。推动盟员学习马列主义、毛泽东思想和建设有中国特色社会主义理论，坚定社会主义信念。建立健全发现人才、  培养人才、举荐人才的组织机制，加强后备干部队伍建设，认真做好举荐优秀盟员担任政府及其工作部门行政领导职务，各级人大代表、政协委员和特约“四员</w:t>
      </w:r>
      <w:r>
        <w:rPr>
          <w:rFonts w:hint="default" w:eastAsia="仿宋_GB2312"/>
          <w:sz w:val="32"/>
          <w:szCs w:val="32"/>
          <w:lang w:val="en-US" w:eastAsia="zh-CN"/>
        </w:rPr>
        <w:t>”</w:t>
      </w:r>
      <w:r>
        <w:rPr>
          <w:rFonts w:hint="eastAsia" w:eastAsia="仿宋_GB2312"/>
          <w:sz w:val="32"/>
          <w:szCs w:val="32"/>
        </w:rPr>
        <w:t>工作。</w:t>
      </w:r>
    </w:p>
    <w:p>
      <w:pPr>
        <w:spacing w:line="580" w:lineRule="exact"/>
        <w:rPr>
          <w:rFonts w:hint="eastAsia" w:eastAsia="仿宋_GB2312"/>
          <w:sz w:val="32"/>
          <w:szCs w:val="32"/>
        </w:rPr>
      </w:pPr>
      <w:r>
        <w:rPr>
          <w:rFonts w:hint="eastAsia" w:eastAsia="仿宋_GB2312"/>
          <w:sz w:val="32"/>
          <w:szCs w:val="32"/>
        </w:rPr>
        <w:t xml:space="preserve">    5.切实加强基层组织建设。负责指导、推动各支部(组)的工作，及时总结、推广他们的经验，解决工作中存在的问题和困难。</w:t>
      </w:r>
    </w:p>
    <w:p>
      <w:pPr>
        <w:spacing w:line="560" w:lineRule="exact"/>
        <w:ind w:firstLine="640"/>
        <w:rPr>
          <w:rFonts w:hint="eastAsia" w:eastAsia="仿宋_GB2312"/>
          <w:sz w:val="32"/>
          <w:szCs w:val="32"/>
        </w:rPr>
      </w:pPr>
      <w:r>
        <w:rPr>
          <w:rFonts w:hint="eastAsia" w:eastAsia="仿宋_GB2312"/>
          <w:sz w:val="32"/>
          <w:szCs w:val="32"/>
        </w:rPr>
        <w:t>6.负责完成中共广元市委、市政府和上级盟组织交办的任务。</w:t>
      </w:r>
    </w:p>
    <w:p>
      <w:pPr>
        <w:pStyle w:val="6"/>
        <w:rPr>
          <w:rFonts w:hint="eastAsia"/>
          <w:lang w:eastAsia="zh-CN"/>
        </w:rPr>
      </w:pPr>
    </w:p>
    <w:p>
      <w:pPr>
        <w:pStyle w:val="4"/>
        <w:rPr>
          <w:rStyle w:val="21"/>
          <w:b w:val="0"/>
          <w:bCs w:val="0"/>
          <w:color w:val="000000" w:themeColor="text1"/>
          <w:highlight w:val="none"/>
          <w14:textFill>
            <w14:solidFill>
              <w14:schemeClr w14:val="tx1"/>
            </w14:solidFill>
          </w14:textFill>
        </w:rPr>
      </w:pPr>
      <w:bookmarkStart w:id="18" w:name="_Toc15377200"/>
      <w:bookmarkStart w:id="19" w:name="_Toc15396601"/>
      <w:bookmarkStart w:id="20" w:name="_Toc14674"/>
      <w:r>
        <w:rPr>
          <w:rFonts w:hint="eastAsia" w:ascii="黑体" w:eastAsia="黑体"/>
          <w:b w:val="0"/>
          <w:color w:val="000000" w:themeColor="text1"/>
          <w:highlight w:val="none"/>
          <w14:textFill>
            <w14:solidFill>
              <w14:schemeClr w14:val="tx1"/>
            </w14:solidFill>
          </w14:textFill>
        </w:rPr>
        <w:t>二、</w:t>
      </w:r>
      <w:r>
        <w:rPr>
          <w:rFonts w:hint="eastAsia" w:ascii="黑体" w:hAnsi="黑体" w:eastAsia="黑体"/>
          <w:b w:val="0"/>
          <w:color w:val="000000" w:themeColor="text1"/>
          <w:highlight w:val="none"/>
          <w14:textFill>
            <w14:solidFill>
              <w14:schemeClr w14:val="tx1"/>
            </w14:solidFill>
          </w14:textFill>
        </w:rPr>
        <w:t>机</w:t>
      </w:r>
      <w:r>
        <w:rPr>
          <w:rStyle w:val="21"/>
          <w:rFonts w:hint="eastAsia" w:ascii="黑体" w:hAnsi="黑体" w:eastAsia="黑体"/>
          <w:b w:val="0"/>
          <w:bCs w:val="0"/>
          <w:color w:val="000000" w:themeColor="text1"/>
          <w:highlight w:val="none"/>
          <w14:textFill>
            <w14:solidFill>
              <w14:schemeClr w14:val="tx1"/>
            </w14:solidFill>
          </w14:textFill>
        </w:rPr>
        <w:t>构设置</w:t>
      </w:r>
      <w:bookmarkEnd w:id="18"/>
      <w:bookmarkEnd w:id="19"/>
      <w:bookmarkEnd w:id="20"/>
    </w:p>
    <w:p>
      <w:pPr>
        <w:ind w:firstLine="800" w:firstLineChars="250"/>
        <w:rPr>
          <w:rFonts w:hint="eastAsia"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lang w:val="en-US" w:eastAsia="zh-CN"/>
          <w14:textFill>
            <w14:solidFill>
              <w14:schemeClr w14:val="tx1"/>
            </w14:solidFill>
          </w14:textFill>
        </w:rPr>
        <w:t>中国民主同盟广元市委员会</w:t>
      </w:r>
      <w:r>
        <w:rPr>
          <w:rFonts w:hint="eastAsia" w:ascii="仿宋" w:hAnsi="仿宋" w:eastAsia="仿宋"/>
          <w:color w:val="000000" w:themeColor="text1"/>
          <w:sz w:val="32"/>
          <w:szCs w:val="32"/>
          <w:highlight w:val="none"/>
          <w14:textFill>
            <w14:solidFill>
              <w14:schemeClr w14:val="tx1"/>
            </w14:solidFill>
          </w14:textFill>
        </w:rPr>
        <w:t>属</w:t>
      </w:r>
      <w:r>
        <w:rPr>
          <w:rFonts w:hint="default" w:ascii="仿宋" w:hAnsi="仿宋" w:eastAsia="仿宋"/>
          <w:color w:val="000000" w:themeColor="text1"/>
          <w:sz w:val="32"/>
          <w:szCs w:val="32"/>
          <w:highlight w:val="none"/>
          <w14:textFill>
            <w14:solidFill>
              <w14:schemeClr w14:val="tx1"/>
            </w14:solidFill>
          </w14:textFill>
        </w:rPr>
        <w:t>中国共产党广元市委员会统一战线工作部</w:t>
      </w:r>
      <w:r>
        <w:rPr>
          <w:rFonts w:hint="eastAsia" w:ascii="仿宋" w:hAnsi="仿宋" w:eastAsia="仿宋"/>
          <w:color w:val="000000" w:themeColor="text1"/>
          <w:sz w:val="32"/>
          <w:szCs w:val="32"/>
          <w:highlight w:val="none"/>
          <w14:textFill>
            <w14:solidFill>
              <w14:schemeClr w14:val="tx1"/>
            </w14:solidFill>
          </w14:textFill>
        </w:rPr>
        <w:t>二级</w:t>
      </w:r>
      <w:r>
        <w:rPr>
          <w:rFonts w:hint="eastAsia" w:ascii="仿宋" w:hAnsi="仿宋" w:eastAsia="仿宋"/>
          <w:color w:val="000000" w:themeColor="text1"/>
          <w:sz w:val="32"/>
          <w:szCs w:val="32"/>
          <w:highlight w:val="none"/>
          <w:lang w:eastAsia="zh-CN"/>
          <w14:textFill>
            <w14:solidFill>
              <w14:schemeClr w14:val="tx1"/>
            </w14:solidFill>
          </w14:textFill>
        </w:rPr>
        <w:t>预算</w:t>
      </w:r>
      <w:r>
        <w:rPr>
          <w:rFonts w:hint="eastAsia" w:ascii="仿宋" w:hAnsi="仿宋" w:eastAsia="仿宋"/>
          <w:color w:val="000000" w:themeColor="text1"/>
          <w:sz w:val="32"/>
          <w:szCs w:val="32"/>
          <w:highlight w:val="none"/>
          <w14:textFill>
            <w14:solidFill>
              <w14:schemeClr w14:val="tx1"/>
            </w14:solidFill>
          </w14:textFill>
        </w:rPr>
        <w:t>单位，其中行政单位</w:t>
      </w:r>
      <w:r>
        <w:rPr>
          <w:rFonts w:hint="default" w:ascii="仿宋" w:hAnsi="仿宋" w:eastAsia="仿宋"/>
          <w:color w:val="000000" w:themeColor="text1"/>
          <w:sz w:val="32"/>
          <w:szCs w:val="32"/>
          <w:highlight w:val="none"/>
          <w14:textFill>
            <w14:solidFill>
              <w14:schemeClr w14:val="tx1"/>
            </w14:solidFill>
          </w14:textFill>
        </w:rPr>
        <w:t>1</w:t>
      </w:r>
      <w:r>
        <w:rPr>
          <w:rFonts w:hint="eastAsia" w:ascii="仿宋" w:hAnsi="仿宋" w:eastAsia="仿宋"/>
          <w:color w:val="000000" w:themeColor="text1"/>
          <w:sz w:val="32"/>
          <w:szCs w:val="32"/>
          <w:highlight w:val="none"/>
          <w14:textFill>
            <w14:solidFill>
              <w14:schemeClr w14:val="tx1"/>
            </w14:solidFill>
          </w14:textFill>
        </w:rPr>
        <w:t>个，参照公务员法管理的事业单位</w:t>
      </w:r>
      <w:r>
        <w:rPr>
          <w:rFonts w:hint="eastAsia" w:ascii="仿宋" w:hAnsi="仿宋" w:eastAsia="仿宋"/>
          <w:bCs/>
          <w:color w:val="000000" w:themeColor="text1"/>
          <w:sz w:val="32"/>
          <w:szCs w:val="32"/>
          <w:highlight w:val="none"/>
          <w:lang w:val="en-US" w:eastAsia="zh-CN"/>
          <w14:textFill>
            <w14:solidFill>
              <w14:schemeClr w14:val="tx1"/>
            </w14:solidFill>
          </w14:textFill>
        </w:rPr>
        <w:t>0</w:t>
      </w:r>
      <w:r>
        <w:rPr>
          <w:rFonts w:hint="eastAsia" w:ascii="仿宋" w:hAnsi="仿宋" w:eastAsia="仿宋"/>
          <w:color w:val="000000" w:themeColor="text1"/>
          <w:sz w:val="32"/>
          <w:szCs w:val="32"/>
          <w:highlight w:val="none"/>
          <w14:textFill>
            <w14:solidFill>
              <w14:schemeClr w14:val="tx1"/>
            </w14:solidFill>
          </w14:textFill>
        </w:rPr>
        <w:t>个，其他事业单位</w:t>
      </w:r>
      <w:r>
        <w:rPr>
          <w:rFonts w:hint="eastAsia" w:ascii="仿宋" w:hAnsi="仿宋" w:eastAsia="仿宋"/>
          <w:color w:val="000000" w:themeColor="text1"/>
          <w:sz w:val="32"/>
          <w:szCs w:val="32"/>
          <w:highlight w:val="none"/>
          <w:lang w:val="en-US" w:eastAsia="zh-CN"/>
          <w14:textFill>
            <w14:solidFill>
              <w14:schemeClr w14:val="tx1"/>
            </w14:solidFill>
          </w14:textFill>
        </w:rPr>
        <w:t>0</w:t>
      </w:r>
      <w:r>
        <w:rPr>
          <w:rFonts w:hint="eastAsia" w:ascii="仿宋" w:hAnsi="仿宋" w:eastAsia="仿宋"/>
          <w:color w:val="000000" w:themeColor="text1"/>
          <w:sz w:val="32"/>
          <w:szCs w:val="32"/>
          <w:highlight w:val="none"/>
          <w14:textFill>
            <w14:solidFill>
              <w14:schemeClr w14:val="tx1"/>
            </w14:solidFill>
          </w14:textFill>
        </w:rPr>
        <w:t>个。</w:t>
      </w:r>
    </w:p>
    <w:p>
      <w:pPr>
        <w:pStyle w:val="6"/>
      </w:pPr>
    </w:p>
    <w:p>
      <w:pPr>
        <w:pStyle w:val="6"/>
      </w:pPr>
    </w:p>
    <w:p>
      <w:pPr>
        <w:pStyle w:val="6"/>
      </w:pPr>
    </w:p>
    <w:p>
      <w:pPr>
        <w:pStyle w:val="6"/>
      </w:pPr>
    </w:p>
    <w:p>
      <w:pPr>
        <w:pStyle w:val="6"/>
      </w:pPr>
    </w:p>
    <w:p>
      <w:pPr>
        <w:pStyle w:val="6"/>
      </w:pPr>
    </w:p>
    <w:p>
      <w:pPr>
        <w:pStyle w:val="6"/>
      </w:pPr>
    </w:p>
    <w:p>
      <w:pPr>
        <w:pStyle w:val="6"/>
      </w:pPr>
    </w:p>
    <w:p>
      <w:pPr>
        <w:pStyle w:val="6"/>
      </w:pPr>
    </w:p>
    <w:p>
      <w:pPr>
        <w:pStyle w:val="3"/>
        <w:numPr>
          <w:ilvl w:val="0"/>
          <w:numId w:val="1"/>
        </w:numPr>
        <w:ind w:left="0" w:leftChars="0" w:right="440" w:firstLine="0" w:firstLineChars="0"/>
        <w:jc w:val="center"/>
        <w:rPr>
          <w:rStyle w:val="20"/>
          <w:rFonts w:hint="eastAsia" w:ascii="黑体" w:hAnsi="黑体" w:eastAsia="黑体"/>
          <w:b w:val="0"/>
          <w:bCs/>
          <w:color w:val="auto"/>
          <w:highlight w:val="none"/>
        </w:rPr>
      </w:pPr>
      <w:bookmarkStart w:id="21" w:name="_Toc6860"/>
      <w:bookmarkStart w:id="22" w:name="_Toc15377204"/>
      <w:bookmarkStart w:id="23" w:name="_Toc15396602"/>
      <w:r>
        <w:rPr>
          <w:rFonts w:hint="eastAsia" w:ascii="黑体" w:hAnsi="黑体" w:eastAsia="黑体"/>
          <w:b w:val="0"/>
          <w:bCs/>
          <w:color w:val="auto"/>
          <w:highlight w:val="none"/>
          <w:lang w:val="en-US" w:eastAsia="zh-CN"/>
        </w:rPr>
        <w:t>2022年度</w:t>
      </w:r>
      <w:r>
        <w:rPr>
          <w:rStyle w:val="20"/>
          <w:rFonts w:hint="eastAsia" w:ascii="黑体" w:hAnsi="黑体" w:eastAsia="黑体"/>
          <w:b w:val="0"/>
          <w:bCs/>
          <w:color w:val="auto"/>
          <w:highlight w:val="none"/>
        </w:rPr>
        <w:t>部门决算情况说明</w:t>
      </w:r>
      <w:bookmarkEnd w:id="21"/>
      <w:bookmarkEnd w:id="22"/>
      <w:bookmarkEnd w:id="23"/>
    </w:p>
    <w:p>
      <w:pPr>
        <w:numPr>
          <w:ilvl w:val="0"/>
          <w:numId w:val="0"/>
        </w:numPr>
        <w:ind w:leftChars="0"/>
      </w:pPr>
    </w:p>
    <w:p>
      <w:pPr>
        <w:pStyle w:val="31"/>
        <w:numPr>
          <w:ilvl w:val="0"/>
          <w:numId w:val="3"/>
        </w:numPr>
        <w:spacing w:line="600" w:lineRule="exact"/>
        <w:ind w:firstLineChars="0"/>
        <w:outlineLvl w:val="1"/>
        <w:rPr>
          <w:rStyle w:val="21"/>
          <w:rFonts w:ascii="黑体" w:hAnsi="黑体" w:eastAsia="黑体"/>
          <w:b w:val="0"/>
          <w:color w:val="auto"/>
          <w:highlight w:val="none"/>
        </w:rPr>
      </w:pPr>
      <w:bookmarkStart w:id="24" w:name="_Toc12542"/>
      <w:bookmarkStart w:id="25" w:name="_Toc15396603"/>
      <w:bookmarkStart w:id="26" w:name="_Toc15377205"/>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入支出决算总体情况说明</w:t>
      </w:r>
      <w:bookmarkEnd w:id="24"/>
      <w:bookmarkEnd w:id="25"/>
      <w:bookmarkEnd w:id="26"/>
    </w:p>
    <w:p>
      <w:pPr>
        <w:autoSpaceDE w:val="0"/>
        <w:autoSpaceDN w:val="0"/>
        <w:adjustRightInd w:val="0"/>
        <w:spacing w:line="600" w:lineRule="exact"/>
        <w:ind w:firstLine="640" w:firstLineChars="200"/>
        <w:jc w:val="left"/>
        <w:outlineLvl w:val="2"/>
        <w:rPr>
          <w:rFonts w:hint="eastAsia" w:ascii="仿宋" w:hAnsi="仿宋" w:eastAsia="仿宋"/>
          <w:color w:val="auto"/>
          <w:sz w:val="32"/>
          <w:szCs w:val="32"/>
          <w:highlight w:val="none"/>
          <w:lang w:val="en-US" w:eastAsia="zh-CN"/>
        </w:rPr>
      </w:pPr>
      <w:r>
        <w:rPr>
          <w:rFonts w:hint="eastAsia" w:ascii="仿宋" w:hAnsi="仿宋" w:eastAsia="仿宋"/>
          <w:color w:val="000000" w:themeColor="text1"/>
          <w:sz w:val="32"/>
          <w:szCs w:val="32"/>
          <w:highlight w:val="none"/>
          <w14:textFill>
            <w14:solidFill>
              <w14:schemeClr w14:val="tx1"/>
            </w14:solidFill>
          </w14:textFill>
        </w:rPr>
        <w:t>20</w:t>
      </w:r>
      <w:r>
        <w:rPr>
          <w:rFonts w:hint="eastAsia" w:ascii="仿宋" w:hAnsi="仿宋" w:eastAsia="仿宋"/>
          <w:color w:val="000000" w:themeColor="text1"/>
          <w:sz w:val="32"/>
          <w:szCs w:val="32"/>
          <w:highlight w:val="none"/>
          <w:lang w:val="en-US" w:eastAsia="zh-CN"/>
          <w14:textFill>
            <w14:solidFill>
              <w14:schemeClr w14:val="tx1"/>
            </w14:solidFill>
          </w14:textFill>
        </w:rPr>
        <w:t>22</w:t>
      </w:r>
      <w:r>
        <w:rPr>
          <w:rFonts w:hint="eastAsia" w:ascii="仿宋" w:hAnsi="仿宋" w:eastAsia="仿宋"/>
          <w:color w:val="000000" w:themeColor="text1"/>
          <w:sz w:val="32"/>
          <w:szCs w:val="32"/>
          <w:highlight w:val="none"/>
          <w14:textFill>
            <w14:solidFill>
              <w14:schemeClr w14:val="tx1"/>
            </w14:solidFill>
          </w14:textFill>
        </w:rPr>
        <w:t>年度收、支总计82.52万元。与20</w:t>
      </w:r>
      <w:r>
        <w:rPr>
          <w:rFonts w:hint="eastAsia" w:ascii="仿宋" w:hAnsi="仿宋" w:eastAsia="仿宋"/>
          <w:color w:val="000000" w:themeColor="text1"/>
          <w:sz w:val="32"/>
          <w:szCs w:val="32"/>
          <w:highlight w:val="none"/>
          <w:lang w:val="en-US" w:eastAsia="zh-CN"/>
          <w14:textFill>
            <w14:solidFill>
              <w14:schemeClr w14:val="tx1"/>
            </w14:solidFill>
          </w14:textFill>
        </w:rPr>
        <w:t>21</w:t>
      </w:r>
      <w:r>
        <w:rPr>
          <w:rFonts w:hint="eastAsia" w:ascii="仿宋" w:hAnsi="仿宋" w:eastAsia="仿宋"/>
          <w:color w:val="000000" w:themeColor="text1"/>
          <w:sz w:val="32"/>
          <w:szCs w:val="32"/>
          <w:highlight w:val="none"/>
          <w14:textFill>
            <w14:solidFill>
              <w14:schemeClr w14:val="tx1"/>
            </w14:solidFill>
          </w14:textFill>
        </w:rPr>
        <w:t>年相比，收、支总计各</w:t>
      </w:r>
      <w:r>
        <w:rPr>
          <w:rFonts w:hint="eastAsia" w:ascii="仿宋" w:hAnsi="仿宋" w:eastAsia="仿宋"/>
          <w:color w:val="000000" w:themeColor="text1"/>
          <w:sz w:val="32"/>
          <w:szCs w:val="32"/>
          <w:highlight w:val="none"/>
          <w:lang w:eastAsia="zh-CN"/>
          <w14:textFill>
            <w14:solidFill>
              <w14:schemeClr w14:val="tx1"/>
            </w14:solidFill>
          </w14:textFill>
        </w:rPr>
        <w:t>减少</w:t>
      </w:r>
      <w:r>
        <w:rPr>
          <w:rFonts w:hint="eastAsia" w:ascii="仿宋" w:hAnsi="仿宋" w:eastAsia="仿宋"/>
          <w:color w:val="000000" w:themeColor="text1"/>
          <w:sz w:val="32"/>
          <w:szCs w:val="32"/>
          <w:highlight w:val="none"/>
          <w:lang w:val="en-US" w:eastAsia="zh-CN"/>
          <w14:textFill>
            <w14:solidFill>
              <w14:schemeClr w14:val="tx1"/>
            </w14:solidFill>
          </w14:textFill>
        </w:rPr>
        <w:t>1.04</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olor w:val="000000" w:themeColor="text1"/>
          <w:sz w:val="32"/>
          <w:szCs w:val="32"/>
          <w:highlight w:val="none"/>
          <w:lang w:eastAsia="zh-CN"/>
          <w14:textFill>
            <w14:solidFill>
              <w14:schemeClr w14:val="tx1"/>
            </w14:solidFill>
          </w14:textFill>
        </w:rPr>
        <w:t>降低</w:t>
      </w:r>
      <w:r>
        <w:rPr>
          <w:rFonts w:hint="eastAsia" w:ascii="仿宋" w:hAnsi="仿宋" w:eastAsia="仿宋"/>
          <w:color w:val="000000" w:themeColor="text1"/>
          <w:sz w:val="32"/>
          <w:szCs w:val="32"/>
          <w:highlight w:val="none"/>
          <w:lang w:val="en-US" w:eastAsia="zh-CN"/>
          <w14:textFill>
            <w14:solidFill>
              <w14:schemeClr w14:val="tx1"/>
            </w14:solidFill>
          </w14:textFill>
        </w:rPr>
        <w:t>1.24</w:t>
      </w: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。主要变动原因是</w:t>
      </w:r>
      <w:r>
        <w:rPr>
          <w:rFonts w:hint="eastAsia" w:ascii="仿宋_GB2312" w:hAnsi="仿宋_GB2312" w:eastAsia="仿宋_GB2312" w:cs="仿宋_GB2312"/>
          <w:color w:val="auto"/>
          <w:sz w:val="32"/>
          <w:szCs w:val="32"/>
          <w:highlight w:val="none"/>
          <w:lang w:eastAsia="zh-CN"/>
        </w:rPr>
        <w:t>严格落实市委、市政府关于过紧日子“十三条措施”。</w:t>
      </w:r>
    </w:p>
    <w:p>
      <w:pPr>
        <w:spacing w:line="600" w:lineRule="exact"/>
        <w:ind w:firstLine="640" w:firstLineChars="200"/>
        <w:rPr>
          <w:rFonts w:hint="eastAsia" w:ascii="仿宋" w:hAnsi="仿宋" w:eastAsia="仿宋"/>
          <w:color w:val="000000" w:themeColor="text1"/>
          <w:sz w:val="32"/>
          <w:szCs w:val="32"/>
          <w:highlight w:val="none"/>
          <w:lang w:eastAsia="zh-CN"/>
          <w14:textFill>
            <w14:solidFill>
              <w14:schemeClr w14:val="tx1"/>
            </w14:solidFill>
          </w14:textFill>
        </w:rPr>
      </w:pPr>
    </w:p>
    <w:p>
      <w:pPr>
        <w:pStyle w:val="6"/>
        <w:rPr>
          <w:rFonts w:hint="eastAsia" w:ascii="仿宋" w:hAnsi="仿宋" w:eastAsia="仿宋"/>
          <w:color w:val="000000" w:themeColor="text1"/>
          <w:sz w:val="32"/>
          <w:szCs w:val="32"/>
          <w:highlight w:val="none"/>
          <w:lang w:eastAsia="zh-CN"/>
          <w14:textFill>
            <w14:solidFill>
              <w14:schemeClr w14:val="tx1"/>
            </w14:solidFill>
          </w14:textFill>
        </w:rPr>
      </w:pPr>
      <w:r>
        <w:rPr>
          <w:rFonts w:hint="eastAsia" w:ascii="仿宋" w:hAnsi="仿宋" w:eastAsia="仿宋"/>
          <w:color w:val="000000" w:themeColor="text1"/>
          <w:sz w:val="32"/>
          <w:szCs w:val="32"/>
          <w:highlight w:val="none"/>
          <w:lang w:eastAsia="zh-CN"/>
          <w14:textFill>
            <w14:solidFill>
              <w14:schemeClr w14:val="tx1"/>
            </w14:solidFill>
          </w14:textFill>
        </w:rPr>
        <w:drawing>
          <wp:inline distT="0" distB="0" distL="114300" distR="114300">
            <wp:extent cx="5077460" cy="2798445"/>
            <wp:effectExtent l="4445" t="4445" r="23495" b="1651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jc w:val="center"/>
        <w:rPr>
          <w:rFonts w:ascii="仿宋" w:hAnsi="仿宋" w:eastAsia="仿宋"/>
          <w:color w:val="000000" w:themeColor="text1"/>
          <w:sz w:val="32"/>
          <w:szCs w:val="32"/>
          <w:highlight w:val="none"/>
          <w14:textFill>
            <w14:solidFill>
              <w14:schemeClr w14:val="tx1"/>
            </w14:solidFill>
          </w14:textFill>
        </w:rPr>
      </w:pPr>
      <w:r>
        <w:rPr>
          <w:rFonts w:hint="eastAsia" w:ascii="仿宋" w:hAnsi="仿宋" w:eastAsia="仿宋"/>
          <w:color w:val="000000" w:themeColor="text1"/>
          <w:sz w:val="32"/>
          <w:szCs w:val="32"/>
          <w:highlight w:val="none"/>
          <w14:textFill>
            <w14:solidFill>
              <w14:schemeClr w14:val="tx1"/>
            </w14:solidFill>
          </w14:textFill>
        </w:rPr>
        <w:t>（图</w:t>
      </w:r>
      <w:r>
        <w:rPr>
          <w:rFonts w:ascii="仿宋" w:hAnsi="仿宋" w:eastAsia="仿宋"/>
          <w:color w:val="000000" w:themeColor="text1"/>
          <w:sz w:val="32"/>
          <w:szCs w:val="32"/>
          <w:highlight w:val="none"/>
          <w14:textFill>
            <w14:solidFill>
              <w14:schemeClr w14:val="tx1"/>
            </w14:solidFill>
          </w14:textFill>
        </w:rPr>
        <w:t>1</w:t>
      </w:r>
      <w:r>
        <w:rPr>
          <w:rFonts w:hint="eastAsia" w:ascii="仿宋" w:hAnsi="仿宋" w:eastAsia="仿宋"/>
          <w:color w:val="000000" w:themeColor="text1"/>
          <w:sz w:val="32"/>
          <w:szCs w:val="32"/>
          <w:highlight w:val="none"/>
          <w14:textFill>
            <w14:solidFill>
              <w14:schemeClr w14:val="tx1"/>
            </w14:solidFill>
          </w14:textFill>
        </w:rPr>
        <w:t>：收、支决算总计变动情况图）</w:t>
      </w:r>
    </w:p>
    <w:p>
      <w:pPr>
        <w:spacing w:line="600" w:lineRule="exact"/>
        <w:ind w:firstLine="640" w:firstLineChars="200"/>
        <w:jc w:val="left"/>
        <w:rPr>
          <w:rFonts w:ascii="仿宋_GB2312" w:eastAsia="仿宋_GB2312"/>
          <w:color w:val="auto"/>
          <w:sz w:val="32"/>
          <w:szCs w:val="32"/>
          <w:highlight w:val="none"/>
        </w:rPr>
      </w:pPr>
    </w:p>
    <w:p>
      <w:pPr>
        <w:pStyle w:val="31"/>
        <w:numPr>
          <w:ilvl w:val="0"/>
          <w:numId w:val="3"/>
        </w:numPr>
        <w:spacing w:line="600" w:lineRule="exact"/>
        <w:ind w:firstLineChars="0"/>
        <w:outlineLvl w:val="1"/>
        <w:rPr>
          <w:rStyle w:val="21"/>
          <w:rFonts w:ascii="黑体" w:hAnsi="黑体" w:eastAsia="黑体"/>
          <w:b w:val="0"/>
          <w:color w:val="auto"/>
          <w:highlight w:val="none"/>
        </w:rPr>
      </w:pPr>
      <w:bookmarkStart w:id="27" w:name="_Toc20023"/>
      <w:bookmarkStart w:id="28" w:name="_Toc15377206"/>
      <w:bookmarkStart w:id="29" w:name="_Toc15396604"/>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入决算情况说明</w:t>
      </w:r>
      <w:bookmarkEnd w:id="27"/>
      <w:bookmarkEnd w:id="28"/>
      <w:bookmarkEnd w:id="29"/>
    </w:p>
    <w:p>
      <w:pPr>
        <w:spacing w:line="600" w:lineRule="exact"/>
        <w:ind w:firstLine="640" w:firstLineChars="200"/>
        <w:outlineLvl w:val="1"/>
        <w:rPr>
          <w:rFonts w:ascii="仿宋" w:hAnsi="仿宋" w:eastAsia="仿宋"/>
          <w:color w:val="auto"/>
          <w:sz w:val="32"/>
          <w:szCs w:val="32"/>
          <w:highlight w:val="none"/>
        </w:rPr>
      </w:pPr>
      <w:bookmarkStart w:id="30" w:name="_Toc26639"/>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年本年收入合计82.52万元，其中：一般公共预算财政拨款收入82.52万元，占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0"/>
    </w:p>
    <w:p>
      <w:pPr>
        <w:pStyle w:val="6"/>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031105" cy="2405380"/>
            <wp:effectExtent l="4445" t="4445" r="1270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pPr>
        <w:pStyle w:val="31"/>
        <w:numPr>
          <w:ilvl w:val="0"/>
          <w:numId w:val="3"/>
        </w:numPr>
        <w:spacing w:line="600" w:lineRule="exact"/>
        <w:ind w:firstLineChars="0"/>
        <w:outlineLvl w:val="1"/>
        <w:rPr>
          <w:rStyle w:val="21"/>
          <w:rFonts w:ascii="黑体" w:hAnsi="黑体" w:eastAsia="黑体"/>
          <w:b w:val="0"/>
          <w:color w:val="auto"/>
          <w:highlight w:val="none"/>
        </w:rPr>
      </w:pPr>
      <w:bookmarkStart w:id="31" w:name="_Toc15396605"/>
      <w:bookmarkStart w:id="32" w:name="_Toc21298"/>
      <w:bookmarkStart w:id="33" w:name="_Toc15377207"/>
      <w:r>
        <w:rPr>
          <w:rFonts w:hint="eastAsia" w:ascii="黑体" w:hAnsi="黑体" w:eastAsia="黑体"/>
          <w:color w:val="auto"/>
          <w:sz w:val="32"/>
          <w:szCs w:val="32"/>
          <w:highlight w:val="none"/>
        </w:rPr>
        <w:t>支</w:t>
      </w:r>
      <w:r>
        <w:rPr>
          <w:rStyle w:val="21"/>
          <w:rFonts w:hint="eastAsia" w:ascii="黑体" w:hAnsi="黑体" w:eastAsia="黑体"/>
          <w:b w:val="0"/>
          <w:color w:val="auto"/>
          <w:highlight w:val="none"/>
        </w:rPr>
        <w:t>出决算情况说明</w:t>
      </w:r>
      <w:bookmarkEnd w:id="31"/>
      <w:bookmarkEnd w:id="32"/>
      <w:bookmarkEnd w:id="33"/>
    </w:p>
    <w:p>
      <w:pPr>
        <w:spacing w:line="600" w:lineRule="exact"/>
        <w:ind w:firstLine="640" w:firstLineChars="200"/>
        <w:outlineLvl w:val="1"/>
        <w:rPr>
          <w:rFonts w:ascii="仿宋" w:hAnsi="仿宋" w:eastAsia="仿宋"/>
          <w:color w:val="auto"/>
          <w:sz w:val="32"/>
          <w:szCs w:val="32"/>
          <w:highlight w:val="none"/>
        </w:rPr>
      </w:pPr>
      <w:bookmarkStart w:id="34" w:name="_Toc55"/>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年本年支出合计82.52万元，其中：基本支出62.35万元，占</w:t>
      </w:r>
      <w:r>
        <w:rPr>
          <w:rFonts w:hint="eastAsia" w:ascii="仿宋" w:hAnsi="仿宋" w:eastAsia="仿宋"/>
          <w:color w:val="auto"/>
          <w:sz w:val="32"/>
          <w:szCs w:val="32"/>
          <w:highlight w:val="none"/>
          <w:lang w:val="en-US" w:eastAsia="zh-CN"/>
        </w:rPr>
        <w:t>75.56</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；项目支出20.17万元，占</w:t>
      </w:r>
      <w:r>
        <w:rPr>
          <w:rFonts w:hint="eastAsia" w:ascii="仿宋" w:hAnsi="仿宋" w:eastAsia="仿宋"/>
          <w:color w:val="auto"/>
          <w:sz w:val="32"/>
          <w:szCs w:val="32"/>
          <w:highlight w:val="none"/>
          <w:lang w:val="en-US" w:eastAsia="zh-CN"/>
        </w:rPr>
        <w:t>24.44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4"/>
    </w:p>
    <w:p>
      <w:pPr>
        <w:pStyle w:val="6"/>
        <w:rPr>
          <w:rFonts w:ascii="仿宋" w:hAnsi="仿宋" w:eastAsia="仿宋"/>
          <w:color w:val="auto"/>
          <w:sz w:val="32"/>
          <w:szCs w:val="32"/>
          <w:highlight w:val="none"/>
          <w:shd w:val="pct10" w:color="auto" w:fill="FFFFFF"/>
        </w:rPr>
      </w:pPr>
      <w:r>
        <w:rPr>
          <w:rFonts w:hint="eastAsia"/>
          <w:lang w:eastAsia="zh-CN"/>
        </w:rPr>
        <w:drawing>
          <wp:inline distT="0" distB="0" distL="114300" distR="114300">
            <wp:extent cx="4842510" cy="2858770"/>
            <wp:effectExtent l="4445" t="4445" r="10795" b="1333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pPr>
        <w:spacing w:line="600" w:lineRule="exact"/>
        <w:ind w:firstLine="640" w:firstLineChars="200"/>
        <w:outlineLvl w:val="1"/>
        <w:rPr>
          <w:rStyle w:val="21"/>
          <w:rFonts w:ascii="黑体" w:hAnsi="黑体" w:eastAsia="黑体"/>
          <w:b w:val="0"/>
          <w:color w:val="auto"/>
          <w:highlight w:val="none"/>
        </w:rPr>
      </w:pPr>
      <w:bookmarkStart w:id="35" w:name="_Toc15377208"/>
      <w:bookmarkStart w:id="36" w:name="_Toc9359"/>
      <w:bookmarkStart w:id="37" w:name="_Toc15396606"/>
      <w:r>
        <w:rPr>
          <w:rFonts w:hint="eastAsia" w:ascii="黑体" w:hAnsi="黑体" w:eastAsia="黑体"/>
          <w:color w:val="auto"/>
          <w:sz w:val="32"/>
          <w:szCs w:val="32"/>
          <w:highlight w:val="none"/>
        </w:rPr>
        <w:t>四、财</w:t>
      </w:r>
      <w:r>
        <w:rPr>
          <w:rStyle w:val="21"/>
          <w:rFonts w:hint="eastAsia" w:ascii="黑体" w:hAnsi="黑体" w:eastAsia="黑体"/>
          <w:b w:val="0"/>
          <w:color w:val="auto"/>
          <w:highlight w:val="none"/>
        </w:rPr>
        <w:t>政拨款收入支出决算总体情况说明</w:t>
      </w:r>
      <w:bookmarkEnd w:id="35"/>
      <w:bookmarkEnd w:id="36"/>
      <w:bookmarkEnd w:id="37"/>
    </w:p>
    <w:p>
      <w:pPr>
        <w:autoSpaceDE w:val="0"/>
        <w:autoSpaceDN w:val="0"/>
        <w:adjustRightInd w:val="0"/>
        <w:spacing w:line="600" w:lineRule="exact"/>
        <w:ind w:firstLine="640" w:firstLineChars="200"/>
        <w:jc w:val="left"/>
        <w:outlineLvl w:val="2"/>
        <w:rPr>
          <w:rFonts w:hint="eastAsia" w:ascii="仿宋" w:hAnsi="仿宋" w:eastAsia="仿宋"/>
          <w:color w:val="auto"/>
          <w:sz w:val="32"/>
          <w:szCs w:val="32"/>
          <w:highlight w:val="none"/>
        </w:rPr>
      </w:pPr>
      <w:r>
        <w:rPr>
          <w:rFonts w:ascii="仿宋" w:hAnsi="仿宋" w:eastAsia="仿宋"/>
          <w:color w:val="000000" w:themeColor="text1"/>
          <w:sz w:val="32"/>
          <w:szCs w:val="32"/>
          <w:highlight w:val="none"/>
          <w14:textFill>
            <w14:solidFill>
              <w14:schemeClr w14:val="tx1"/>
            </w14:solidFill>
          </w14:textFill>
        </w:rPr>
        <w:t>20</w:t>
      </w:r>
      <w:r>
        <w:rPr>
          <w:rFonts w:hint="eastAsia" w:ascii="仿宋" w:hAnsi="仿宋" w:eastAsia="仿宋"/>
          <w:color w:val="000000" w:themeColor="text1"/>
          <w:sz w:val="32"/>
          <w:szCs w:val="32"/>
          <w:highlight w:val="none"/>
          <w:lang w:val="en-US" w:eastAsia="zh-CN"/>
          <w14:textFill>
            <w14:solidFill>
              <w14:schemeClr w14:val="tx1"/>
            </w14:solidFill>
          </w14:textFill>
        </w:rPr>
        <w:t>22</w:t>
      </w:r>
      <w:r>
        <w:rPr>
          <w:rFonts w:hint="eastAsia" w:ascii="仿宋" w:hAnsi="仿宋" w:eastAsia="仿宋"/>
          <w:color w:val="000000" w:themeColor="text1"/>
          <w:sz w:val="32"/>
          <w:szCs w:val="32"/>
          <w:highlight w:val="none"/>
          <w14:textFill>
            <w14:solidFill>
              <w14:schemeClr w14:val="tx1"/>
            </w14:solidFill>
          </w14:textFill>
        </w:rPr>
        <w:t>年财政拨款收、支总计82.52万元。与</w:t>
      </w:r>
      <w:r>
        <w:rPr>
          <w:rFonts w:ascii="仿宋" w:hAnsi="仿宋" w:eastAsia="仿宋"/>
          <w:color w:val="000000" w:themeColor="text1"/>
          <w:sz w:val="32"/>
          <w:szCs w:val="32"/>
          <w:highlight w:val="none"/>
          <w14:textFill>
            <w14:solidFill>
              <w14:schemeClr w14:val="tx1"/>
            </w14:solidFill>
          </w14:textFill>
        </w:rPr>
        <w:t>20</w:t>
      </w:r>
      <w:r>
        <w:rPr>
          <w:rFonts w:hint="eastAsia" w:ascii="仿宋" w:hAnsi="仿宋" w:eastAsia="仿宋"/>
          <w:color w:val="000000" w:themeColor="text1"/>
          <w:sz w:val="32"/>
          <w:szCs w:val="32"/>
          <w:highlight w:val="none"/>
          <w:lang w:val="en-US" w:eastAsia="zh-CN"/>
          <w14:textFill>
            <w14:solidFill>
              <w14:schemeClr w14:val="tx1"/>
            </w14:solidFill>
          </w14:textFill>
        </w:rPr>
        <w:t>21</w:t>
      </w:r>
      <w:r>
        <w:rPr>
          <w:rFonts w:hint="eastAsia" w:ascii="仿宋" w:hAnsi="仿宋" w:eastAsia="仿宋"/>
          <w:color w:val="000000" w:themeColor="text1"/>
          <w:sz w:val="32"/>
          <w:szCs w:val="32"/>
          <w:highlight w:val="none"/>
          <w14:textFill>
            <w14:solidFill>
              <w14:schemeClr w14:val="tx1"/>
            </w14:solidFill>
          </w14:textFill>
        </w:rPr>
        <w:t>年相比，财政拨款收、支总计</w:t>
      </w:r>
      <w:r>
        <w:rPr>
          <w:rFonts w:hint="eastAsia" w:ascii="仿宋" w:hAnsi="仿宋" w:eastAsia="仿宋"/>
          <w:color w:val="000000" w:themeColor="text1"/>
          <w:sz w:val="32"/>
          <w:szCs w:val="32"/>
          <w:highlight w:val="none"/>
          <w:lang w:eastAsia="zh-CN"/>
          <w14:textFill>
            <w14:solidFill>
              <w14:schemeClr w14:val="tx1"/>
            </w14:solidFill>
          </w14:textFill>
        </w:rPr>
        <w:t>减少</w:t>
      </w:r>
      <w:r>
        <w:rPr>
          <w:rFonts w:hint="eastAsia" w:ascii="仿宋" w:hAnsi="仿宋" w:eastAsia="仿宋"/>
          <w:color w:val="000000" w:themeColor="text1"/>
          <w:sz w:val="32"/>
          <w:szCs w:val="32"/>
          <w:highlight w:val="none"/>
          <w:lang w:val="en-US" w:eastAsia="zh-CN"/>
          <w14:textFill>
            <w14:solidFill>
              <w14:schemeClr w14:val="tx1"/>
            </w14:solidFill>
          </w14:textFill>
        </w:rPr>
        <w:t>1.04</w:t>
      </w:r>
      <w:r>
        <w:rPr>
          <w:rFonts w:hint="eastAsia" w:ascii="仿宋" w:hAnsi="仿宋" w:eastAsia="仿宋"/>
          <w:color w:val="000000" w:themeColor="text1"/>
          <w:sz w:val="32"/>
          <w:szCs w:val="32"/>
          <w:highlight w:val="none"/>
          <w14:textFill>
            <w14:solidFill>
              <w14:schemeClr w14:val="tx1"/>
            </w14:solidFill>
          </w14:textFill>
        </w:rPr>
        <w:t>万元，</w:t>
      </w:r>
      <w:r>
        <w:rPr>
          <w:rFonts w:hint="eastAsia" w:ascii="仿宋" w:hAnsi="仿宋" w:eastAsia="仿宋"/>
          <w:color w:val="000000" w:themeColor="text1"/>
          <w:sz w:val="32"/>
          <w:szCs w:val="32"/>
          <w:highlight w:val="none"/>
          <w:lang w:eastAsia="zh-CN"/>
          <w14:textFill>
            <w14:solidFill>
              <w14:schemeClr w14:val="tx1"/>
            </w14:solidFill>
          </w14:textFill>
        </w:rPr>
        <w:t>降低</w:t>
      </w:r>
      <w:r>
        <w:rPr>
          <w:rFonts w:hint="eastAsia" w:ascii="仿宋" w:hAnsi="仿宋" w:eastAsia="仿宋"/>
          <w:color w:val="000000" w:themeColor="text1"/>
          <w:sz w:val="32"/>
          <w:szCs w:val="32"/>
          <w:highlight w:val="none"/>
          <w:lang w:val="en-US" w:eastAsia="zh-CN"/>
          <w14:textFill>
            <w14:solidFill>
              <w14:schemeClr w14:val="tx1"/>
            </w14:solidFill>
          </w14:textFill>
        </w:rPr>
        <w:t>1.24</w:t>
      </w: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。主要变动原因是</w:t>
      </w:r>
      <w:r>
        <w:rPr>
          <w:rFonts w:hint="eastAsia" w:ascii="仿宋_GB2312" w:hAnsi="仿宋_GB2312" w:eastAsia="仿宋_GB2312" w:cs="仿宋_GB2312"/>
          <w:color w:val="auto"/>
          <w:sz w:val="32"/>
          <w:szCs w:val="32"/>
          <w:highlight w:val="none"/>
          <w:lang w:eastAsia="zh-CN"/>
        </w:rPr>
        <w:t>严格落实市委、市政府关于过紧日子“十三条措施”。</w:t>
      </w:r>
    </w:p>
    <w:p>
      <w:pPr>
        <w:pStyle w:val="6"/>
        <w:rPr>
          <w:rFonts w:hint="eastAsia" w:ascii="仿宋" w:hAnsi="仿宋" w:eastAsia="仿宋"/>
          <w:color w:val="auto"/>
          <w:sz w:val="32"/>
          <w:szCs w:val="32"/>
          <w:highlight w:val="none"/>
        </w:rPr>
      </w:pPr>
      <w:r>
        <w:rPr>
          <w:rFonts w:hint="eastAsia" w:ascii="仿宋" w:hAnsi="仿宋" w:eastAsia="仿宋"/>
          <w:color w:val="000000" w:themeColor="text1"/>
          <w:sz w:val="32"/>
          <w:szCs w:val="32"/>
          <w:highlight w:val="none"/>
          <w:lang w:eastAsia="zh-CN"/>
          <w14:textFill>
            <w14:solidFill>
              <w14:schemeClr w14:val="tx1"/>
            </w14:solidFill>
          </w14:textFill>
        </w:rPr>
        <w:drawing>
          <wp:inline distT="0" distB="0" distL="114300" distR="114300">
            <wp:extent cx="4982845" cy="3180715"/>
            <wp:effectExtent l="4445" t="4445" r="22860" b="1524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6"/>
        <w:jc w:val="center"/>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w:t>
      </w:r>
    </w:p>
    <w:p>
      <w:pPr>
        <w:spacing w:line="600" w:lineRule="exact"/>
        <w:ind w:firstLine="640" w:firstLineChars="200"/>
        <w:outlineLvl w:val="1"/>
        <w:rPr>
          <w:rStyle w:val="21"/>
          <w:rFonts w:ascii="黑体" w:hAnsi="黑体" w:eastAsia="黑体"/>
          <w:b w:val="0"/>
          <w:color w:val="auto"/>
          <w:highlight w:val="none"/>
        </w:rPr>
      </w:pPr>
      <w:bookmarkStart w:id="38" w:name="_Toc15396607"/>
      <w:bookmarkStart w:id="39" w:name="_Toc15377209"/>
      <w:bookmarkStart w:id="40" w:name="_Toc4420"/>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般公共预算财政拨款支出决算情况说明</w:t>
      </w:r>
      <w:bookmarkEnd w:id="38"/>
      <w:bookmarkEnd w:id="39"/>
      <w:bookmarkEnd w:id="40"/>
    </w:p>
    <w:p>
      <w:pPr>
        <w:spacing w:line="600" w:lineRule="exact"/>
        <w:ind w:firstLine="643" w:firstLineChars="200"/>
        <w:outlineLvl w:val="2"/>
        <w:rPr>
          <w:rFonts w:ascii="仿宋" w:hAnsi="仿宋" w:eastAsia="仿宋"/>
          <w:b/>
          <w:color w:val="auto"/>
          <w:sz w:val="32"/>
          <w:szCs w:val="32"/>
          <w:highlight w:val="none"/>
        </w:rPr>
      </w:pPr>
      <w:bookmarkStart w:id="41" w:name="_Toc15377210"/>
      <w:r>
        <w:rPr>
          <w:rFonts w:hint="eastAsia" w:ascii="仿宋" w:hAnsi="仿宋" w:eastAsia="仿宋"/>
          <w:b/>
          <w:color w:val="auto"/>
          <w:sz w:val="32"/>
          <w:szCs w:val="32"/>
          <w:highlight w:val="none"/>
        </w:rPr>
        <w:t>（一）一般公共预算财政拨款支出决算总体情况</w:t>
      </w:r>
      <w:bookmarkEnd w:id="41"/>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000000" w:themeColor="text1"/>
          <w:sz w:val="32"/>
          <w:szCs w:val="32"/>
          <w:highlight w:val="none"/>
          <w14:textFill>
            <w14:solidFill>
              <w14:schemeClr w14:val="tx1"/>
            </w14:solidFill>
          </w14:textFill>
        </w:rPr>
        <w:t>82.52</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支出减少</w:t>
      </w:r>
      <w:r>
        <w:rPr>
          <w:rFonts w:hint="eastAsia" w:ascii="仿宋" w:hAnsi="仿宋" w:eastAsia="仿宋"/>
          <w:color w:val="000000" w:themeColor="text1"/>
          <w:sz w:val="32"/>
          <w:szCs w:val="32"/>
          <w:highlight w:val="none"/>
          <w:lang w:val="en-US" w:eastAsia="zh-CN"/>
          <w14:textFill>
            <w14:solidFill>
              <w14:schemeClr w14:val="tx1"/>
            </w14:solidFill>
          </w14:textFill>
        </w:rPr>
        <w:t>1.04</w:t>
      </w:r>
      <w:r>
        <w:rPr>
          <w:rFonts w:hint="eastAsia" w:ascii="仿宋" w:hAnsi="仿宋" w:eastAsia="仿宋"/>
          <w:color w:val="auto"/>
          <w:sz w:val="32"/>
          <w:szCs w:val="32"/>
          <w:highlight w:val="none"/>
        </w:rPr>
        <w:t>万元，</w:t>
      </w:r>
      <w:r>
        <w:rPr>
          <w:rFonts w:hint="eastAsia" w:ascii="仿宋" w:hAnsi="仿宋" w:eastAsia="仿宋"/>
          <w:color w:val="000000" w:themeColor="text1"/>
          <w:sz w:val="32"/>
          <w:szCs w:val="32"/>
          <w:highlight w:val="none"/>
          <w:lang w:eastAsia="zh-CN"/>
          <w14:textFill>
            <w14:solidFill>
              <w14:schemeClr w14:val="tx1"/>
            </w14:solidFill>
          </w14:textFill>
        </w:rPr>
        <w:t>降低</w:t>
      </w:r>
      <w:r>
        <w:rPr>
          <w:rFonts w:hint="eastAsia" w:ascii="仿宋" w:hAnsi="仿宋" w:eastAsia="仿宋"/>
          <w:color w:val="000000" w:themeColor="text1"/>
          <w:sz w:val="32"/>
          <w:szCs w:val="32"/>
          <w:highlight w:val="none"/>
          <w:lang w:val="en-US" w:eastAsia="zh-CN"/>
          <w14:textFill>
            <w14:solidFill>
              <w14:schemeClr w14:val="tx1"/>
            </w14:solidFill>
          </w14:textFill>
        </w:rPr>
        <w:t>1.24</w:t>
      </w: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。主要变动原因是</w:t>
      </w:r>
      <w:r>
        <w:rPr>
          <w:rFonts w:hint="eastAsia" w:ascii="仿宋_GB2312" w:hAnsi="仿宋_GB2312" w:eastAsia="仿宋_GB2312" w:cs="仿宋_GB2312"/>
          <w:color w:val="auto"/>
          <w:sz w:val="32"/>
          <w:szCs w:val="32"/>
          <w:highlight w:val="none"/>
          <w:lang w:eastAsia="zh-CN"/>
        </w:rPr>
        <w:t>严格落实市委、市政府关于过紧日子“十三条措施”。</w:t>
      </w:r>
    </w:p>
    <w:p>
      <w:pPr>
        <w:pStyle w:val="6"/>
        <w:rPr>
          <w:rFonts w:hint="eastAsia" w:ascii="仿宋_GB2312" w:hAnsi="仿宋_GB2312" w:eastAsia="仿宋_GB2312" w:cs="仿宋_GB2312"/>
          <w:color w:val="auto"/>
          <w:sz w:val="32"/>
          <w:szCs w:val="32"/>
          <w:highlight w:val="none"/>
          <w:lang w:eastAsia="zh-CN"/>
        </w:rPr>
      </w:pPr>
    </w:p>
    <w:p>
      <w:pPr>
        <w:pStyle w:val="6"/>
        <w:rPr>
          <w:rFonts w:hint="eastAsia" w:ascii="仿宋_GB2312" w:hAnsi="仿宋_GB2312" w:eastAsia="仿宋_GB2312" w:cs="仿宋_GB2312"/>
          <w:color w:val="auto"/>
          <w:sz w:val="32"/>
          <w:szCs w:val="32"/>
          <w:highlight w:val="none"/>
          <w:lang w:eastAsia="zh-CN"/>
        </w:rPr>
      </w:pPr>
      <w:r>
        <w:rPr>
          <w:rFonts w:hint="eastAsia" w:ascii="仿宋" w:hAnsi="仿宋" w:eastAsia="仿宋"/>
          <w:color w:val="000000" w:themeColor="text1"/>
          <w:sz w:val="32"/>
          <w:szCs w:val="32"/>
          <w:highlight w:val="none"/>
          <w:lang w:eastAsia="zh-CN"/>
          <w14:textFill>
            <w14:solidFill>
              <w14:schemeClr w14:val="tx1"/>
            </w14:solidFill>
          </w14:textFill>
        </w:rPr>
        <w:drawing>
          <wp:anchor distT="0" distB="0" distL="114300" distR="114300" simplePos="0" relativeHeight="251660288" behindDoc="0" locked="0" layoutInCell="1" allowOverlap="1">
            <wp:simplePos x="0" y="0"/>
            <wp:positionH relativeFrom="column">
              <wp:posOffset>339090</wp:posOffset>
            </wp:positionH>
            <wp:positionV relativeFrom="paragraph">
              <wp:posOffset>164465</wp:posOffset>
            </wp:positionV>
            <wp:extent cx="4339590" cy="2156460"/>
            <wp:effectExtent l="4445" t="4445" r="18415" b="10795"/>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6"/>
        <w:rPr>
          <w:rFonts w:hint="eastAsia" w:ascii="仿宋_GB2312" w:hAnsi="仿宋_GB2312" w:eastAsia="仿宋_GB2312" w:cs="仿宋_GB2312"/>
          <w:color w:val="auto"/>
          <w:sz w:val="32"/>
          <w:szCs w:val="32"/>
          <w:highlight w:val="none"/>
          <w:lang w:eastAsia="zh-CN"/>
        </w:rPr>
      </w:pPr>
    </w:p>
    <w:p>
      <w:pPr>
        <w:pStyle w:val="6"/>
        <w:rPr>
          <w:rFonts w:hint="eastAsia" w:ascii="仿宋_GB2312" w:hAnsi="仿宋_GB2312" w:eastAsia="仿宋_GB2312" w:cs="仿宋_GB2312"/>
          <w:color w:val="auto"/>
          <w:sz w:val="32"/>
          <w:szCs w:val="32"/>
          <w:highlight w:val="none"/>
          <w:lang w:eastAsia="zh-CN"/>
        </w:rPr>
      </w:pPr>
    </w:p>
    <w:p>
      <w:pPr>
        <w:pStyle w:val="6"/>
        <w:rPr>
          <w:rFonts w:hint="eastAsia" w:ascii="仿宋_GB2312" w:hAnsi="仿宋_GB2312" w:eastAsia="仿宋_GB2312" w:cs="仿宋_GB2312"/>
          <w:color w:val="auto"/>
          <w:sz w:val="32"/>
          <w:szCs w:val="32"/>
          <w:highlight w:val="none"/>
          <w:lang w:eastAsia="zh-CN"/>
        </w:rPr>
      </w:pPr>
    </w:p>
    <w:p>
      <w:pPr>
        <w:spacing w:line="600" w:lineRule="exact"/>
        <w:rPr>
          <w:rFonts w:hint="eastAsia" w:ascii="仿宋" w:hAnsi="仿宋" w:eastAsia="仿宋"/>
          <w:color w:val="auto"/>
          <w:sz w:val="32"/>
          <w:szCs w:val="32"/>
          <w:highlight w:val="none"/>
        </w:rPr>
      </w:pPr>
    </w:p>
    <w:p>
      <w:pPr>
        <w:pStyle w:val="15"/>
        <w:rPr>
          <w:rFonts w:hint="eastAsia"/>
        </w:rPr>
      </w:pPr>
    </w:p>
    <w:p>
      <w:pPr>
        <w:spacing w:line="600" w:lineRule="exact"/>
        <w:rPr>
          <w:rFonts w:hint="eastAsia" w:ascii="仿宋" w:hAnsi="仿宋" w:eastAsia="仿宋"/>
          <w:color w:val="auto"/>
          <w:sz w:val="32"/>
          <w:szCs w:val="32"/>
          <w:highlight w:val="none"/>
        </w:rPr>
      </w:pP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spacing w:line="600" w:lineRule="exact"/>
        <w:ind w:firstLine="643" w:firstLineChars="200"/>
        <w:outlineLvl w:val="2"/>
        <w:rPr>
          <w:rFonts w:ascii="仿宋" w:hAnsi="仿宋" w:eastAsia="仿宋"/>
          <w:b/>
          <w:color w:val="auto"/>
          <w:sz w:val="32"/>
          <w:szCs w:val="32"/>
          <w:highlight w:val="none"/>
        </w:rPr>
      </w:pPr>
      <w:bookmarkStart w:id="42" w:name="_Toc15377211"/>
      <w:r>
        <w:rPr>
          <w:rFonts w:hint="eastAsia" w:ascii="仿宋" w:hAnsi="仿宋" w:eastAsia="仿宋"/>
          <w:b/>
          <w:color w:val="auto"/>
          <w:sz w:val="32"/>
          <w:szCs w:val="32"/>
          <w:highlight w:val="none"/>
        </w:rPr>
        <w:t>（二）一般公共预算财政拨款支出决算结构情况</w:t>
      </w:r>
      <w:bookmarkEnd w:id="42"/>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年一般公共预算财政拨款支出82.52万元，主要用于以下方面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rPr>
        <w:t>70.26万元，占</w:t>
      </w:r>
      <w:r>
        <w:rPr>
          <w:rFonts w:hint="eastAsia" w:ascii="仿宋" w:hAnsi="仿宋" w:eastAsia="仿宋"/>
          <w:color w:val="auto"/>
          <w:sz w:val="32"/>
          <w:szCs w:val="32"/>
          <w:highlight w:val="none"/>
          <w:lang w:val="en-US" w:eastAsia="zh-CN"/>
        </w:rPr>
        <w:t>85.14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rPr>
        <w:t>6.61万元，占</w:t>
      </w:r>
      <w:r>
        <w:rPr>
          <w:rFonts w:hint="eastAsia" w:ascii="仿宋" w:hAnsi="仿宋" w:eastAsia="仿宋"/>
          <w:color w:val="auto"/>
          <w:sz w:val="32"/>
          <w:szCs w:val="32"/>
          <w:highlight w:val="none"/>
          <w:lang w:val="en-US" w:eastAsia="zh-CN"/>
        </w:rPr>
        <w:t>8.01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rPr>
        <w:t>1.80万元，占</w:t>
      </w:r>
      <w:r>
        <w:rPr>
          <w:rFonts w:hint="eastAsia" w:ascii="仿宋" w:hAnsi="仿宋" w:eastAsia="仿宋"/>
          <w:color w:val="auto"/>
          <w:sz w:val="32"/>
          <w:szCs w:val="32"/>
          <w:highlight w:val="none"/>
          <w:lang w:val="en-US" w:eastAsia="zh-CN"/>
        </w:rPr>
        <w:t>2.18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rPr>
        <w:t>3.85万元，占</w:t>
      </w:r>
      <w:r>
        <w:rPr>
          <w:rFonts w:hint="eastAsia" w:ascii="仿宋" w:hAnsi="仿宋" w:eastAsia="仿宋"/>
          <w:color w:val="auto"/>
          <w:sz w:val="32"/>
          <w:szCs w:val="32"/>
          <w:highlight w:val="none"/>
          <w:lang w:val="en-US" w:eastAsia="zh-CN"/>
        </w:rPr>
        <w:t>4.67</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6"/>
        <w:jc w:val="center"/>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3863975" cy="2285365"/>
            <wp:effectExtent l="4445" t="4445" r="17780" b="1524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3" w:firstLineChars="200"/>
        <w:outlineLvl w:val="2"/>
        <w:rPr>
          <w:rFonts w:ascii="仿宋" w:hAnsi="仿宋" w:eastAsia="仿宋"/>
          <w:b/>
          <w:color w:val="auto"/>
          <w:sz w:val="32"/>
          <w:szCs w:val="32"/>
          <w:highlight w:val="none"/>
        </w:rPr>
      </w:pPr>
      <w:bookmarkStart w:id="43" w:name="_Toc15377212"/>
      <w:r>
        <w:rPr>
          <w:rFonts w:hint="eastAsia" w:ascii="仿宋" w:hAnsi="仿宋" w:eastAsia="仿宋"/>
          <w:b/>
          <w:color w:val="auto"/>
          <w:sz w:val="32"/>
          <w:szCs w:val="32"/>
          <w:highlight w:val="none"/>
        </w:rPr>
        <w:t>（三）一般公共预算财政拨款支出决算具体情况</w:t>
      </w:r>
      <w:bookmarkEnd w:id="43"/>
    </w:p>
    <w:p>
      <w:pPr>
        <w:spacing w:line="600" w:lineRule="exact"/>
        <w:ind w:firstLine="643" w:firstLineChars="200"/>
        <w:outlineLvl w:val="1"/>
        <w:rPr>
          <w:rFonts w:ascii="仿宋" w:hAnsi="仿宋" w:eastAsia="仿宋"/>
          <w:color w:val="auto"/>
          <w:sz w:val="32"/>
          <w:szCs w:val="32"/>
          <w:highlight w:val="none"/>
        </w:rPr>
      </w:pPr>
      <w:bookmarkStart w:id="44" w:name="_Toc15378460"/>
      <w:bookmarkStart w:id="45" w:name="_Toc27163"/>
      <w:bookmarkStart w:id="46" w:name="_Toc15377444"/>
      <w:bookmarkStart w:id="47"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般公共预算支出决算数为82.52</w:t>
      </w:r>
      <w:r>
        <w:rPr>
          <w:rFonts w:hint="eastAsia" w:ascii="仿宋" w:hAnsi="仿宋" w:eastAsia="仿宋"/>
          <w:color w:val="auto"/>
          <w:sz w:val="32"/>
          <w:szCs w:val="32"/>
          <w:highlight w:val="none"/>
        </w:rPr>
        <w:t>，</w:t>
      </w:r>
      <w:r>
        <w:rPr>
          <w:rStyle w:val="18"/>
          <w:rFonts w:hint="eastAsia" w:ascii="仿宋" w:hAnsi="仿宋" w:eastAsia="仿宋"/>
          <w:bCs/>
          <w:color w:val="auto"/>
          <w:sz w:val="32"/>
          <w:szCs w:val="32"/>
          <w:highlight w:val="none"/>
        </w:rPr>
        <w:t>完成预算</w:t>
      </w:r>
      <w:r>
        <w:rPr>
          <w:rStyle w:val="18"/>
          <w:rFonts w:hint="eastAsia" w:ascii="仿宋" w:hAnsi="仿宋" w:eastAsia="仿宋"/>
          <w:bCs/>
          <w:color w:val="auto"/>
          <w:sz w:val="32"/>
          <w:szCs w:val="32"/>
          <w:highlight w:val="none"/>
          <w:lang w:val="en-US" w:eastAsia="zh-CN"/>
        </w:rPr>
        <w:t>100</w:t>
      </w:r>
      <w:r>
        <w:rPr>
          <w:rStyle w:val="18"/>
          <w:rFonts w:ascii="仿宋" w:hAnsi="仿宋" w:eastAsia="仿宋"/>
          <w:bCs/>
          <w:color w:val="auto"/>
          <w:sz w:val="32"/>
          <w:szCs w:val="32"/>
          <w:highlight w:val="none"/>
        </w:rPr>
        <w:t>%</w:t>
      </w:r>
      <w:r>
        <w:rPr>
          <w:rStyle w:val="18"/>
          <w:rFonts w:hint="eastAsia" w:ascii="仿宋" w:hAnsi="仿宋" w:eastAsia="仿宋"/>
          <w:bCs/>
          <w:color w:val="auto"/>
          <w:sz w:val="32"/>
          <w:szCs w:val="32"/>
          <w:highlight w:val="none"/>
        </w:rPr>
        <w:t>。其中：</w:t>
      </w:r>
      <w:bookmarkEnd w:id="44"/>
      <w:bookmarkEnd w:id="45"/>
      <w:bookmarkEnd w:id="46"/>
      <w:bookmarkEnd w:id="47"/>
    </w:p>
    <w:p>
      <w:pPr>
        <w:numPr>
          <w:ilvl w:val="0"/>
          <w:numId w:val="4"/>
        </w:numPr>
        <w:spacing w:line="600" w:lineRule="exact"/>
        <w:ind w:left="0" w:leftChars="0" w:firstLine="400" w:firstLineChars="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rPr>
        <w:t>一般公共服务（类）民主党派及工商联事务（款）行政运行（项）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支出决算为50.09万元，完成预算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，决算数与预算数持平</w:t>
      </w:r>
      <w:r>
        <w:rPr>
          <w:rStyle w:val="18"/>
          <w:rFonts w:hint="eastAsia" w:ascii="仿宋" w:hAnsi="仿宋" w:eastAsia="仿宋"/>
          <w:b w:val="0"/>
          <w:bCs/>
          <w:color w:val="auto"/>
          <w:sz w:val="32"/>
          <w:szCs w:val="32"/>
          <w:highlight w:val="none"/>
        </w:rPr>
        <w:t>。</w:t>
      </w:r>
    </w:p>
    <w:p>
      <w:pPr>
        <w:numPr>
          <w:ilvl w:val="0"/>
          <w:numId w:val="4"/>
        </w:numPr>
        <w:spacing w:line="600" w:lineRule="exact"/>
        <w:ind w:left="0" w:leftChars="0" w:firstLine="400" w:firstLineChars="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rPr>
        <w:t>一般公共服务（类）民主党派及工商联事务（款）一般行政管理事务（项）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支出决算为15.17万元，完成预算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，决算数与预算数持平</w:t>
      </w:r>
      <w:r>
        <w:rPr>
          <w:rStyle w:val="18"/>
          <w:rFonts w:hint="eastAsia" w:ascii="仿宋" w:hAnsi="仿宋" w:eastAsia="仿宋"/>
          <w:b w:val="0"/>
          <w:bCs/>
          <w:color w:val="auto"/>
          <w:sz w:val="32"/>
          <w:szCs w:val="32"/>
          <w:highlight w:val="none"/>
        </w:rPr>
        <w:t>。</w:t>
      </w:r>
    </w:p>
    <w:p>
      <w:pPr>
        <w:numPr>
          <w:ilvl w:val="0"/>
          <w:numId w:val="4"/>
        </w:numPr>
        <w:spacing w:line="600" w:lineRule="exact"/>
        <w:ind w:left="0" w:leftChars="0" w:firstLine="400" w:firstLineChars="0"/>
        <w:rPr>
          <w:rStyle w:val="18"/>
          <w:rFonts w:hint="eastAsia" w:ascii="仿宋" w:hAnsi="仿宋" w:eastAsia="仿宋"/>
          <w:bCs/>
          <w:color w:val="auto"/>
          <w:sz w:val="32"/>
          <w:szCs w:val="32"/>
          <w:highlight w:val="none"/>
        </w:rPr>
      </w:pPr>
      <w:r>
        <w:rPr>
          <w:rStyle w:val="18"/>
          <w:rFonts w:hint="eastAsia" w:ascii="仿宋" w:hAnsi="仿宋" w:eastAsia="仿宋"/>
          <w:bCs/>
          <w:color w:val="auto"/>
          <w:sz w:val="32"/>
          <w:szCs w:val="32"/>
          <w:highlight w:val="none"/>
        </w:rPr>
        <w:t xml:space="preserve">8.一般公共服务（类）民主党派及工商联事务（款）参政议政（项）: </w:t>
      </w:r>
      <w:r>
        <w:rPr>
          <w:rStyle w:val="18"/>
          <w:rFonts w:hint="eastAsia" w:ascii="仿宋" w:hAnsi="仿宋" w:eastAsia="仿宋"/>
          <w:b w:val="0"/>
          <w:bCs w:val="0"/>
          <w:color w:val="auto"/>
          <w:sz w:val="32"/>
          <w:szCs w:val="32"/>
          <w:highlight w:val="none"/>
        </w:rPr>
        <w:t>支出决算为5.00万元，完成预算100%，决算数与预算数持平。</w:t>
      </w:r>
    </w:p>
    <w:p>
      <w:pPr>
        <w:numPr>
          <w:ilvl w:val="0"/>
          <w:numId w:val="4"/>
        </w:numPr>
        <w:spacing w:line="600" w:lineRule="exact"/>
        <w:ind w:left="0" w:leftChars="0" w:firstLine="400" w:firstLineChars="0"/>
        <w:rPr>
          <w:rStyle w:val="18"/>
          <w:rFonts w:ascii="仿宋" w:hAnsi="仿宋" w:eastAsia="仿宋"/>
          <w:bCs/>
          <w:color w:val="auto"/>
          <w:sz w:val="32"/>
          <w:szCs w:val="32"/>
          <w:highlight w:val="none"/>
        </w:rPr>
      </w:pPr>
      <w:r>
        <w:rPr>
          <w:rStyle w:val="18"/>
          <w:rFonts w:hint="eastAsia" w:ascii="仿宋" w:hAnsi="仿宋" w:eastAsia="仿宋"/>
          <w:bCs/>
          <w:color w:val="auto"/>
          <w:sz w:val="32"/>
          <w:szCs w:val="32"/>
          <w:highlight w:val="none"/>
        </w:rPr>
        <w:t>社会保障和就业支出（类）行政事业单位养老支出（款）  行政单位离退休（项）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支出决算为2.90万元，完成预算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，决算数与预算数持平</w:t>
      </w:r>
      <w:r>
        <w:rPr>
          <w:rStyle w:val="18"/>
          <w:rFonts w:hint="eastAsia" w:ascii="仿宋" w:hAnsi="仿宋" w:eastAsia="仿宋"/>
          <w:b w:val="0"/>
          <w:bCs/>
          <w:color w:val="auto"/>
          <w:sz w:val="32"/>
          <w:szCs w:val="32"/>
          <w:highlight w:val="none"/>
        </w:rPr>
        <w:t>。</w:t>
      </w:r>
    </w:p>
    <w:p>
      <w:pPr>
        <w:numPr>
          <w:ilvl w:val="0"/>
          <w:numId w:val="4"/>
        </w:numPr>
        <w:spacing w:line="600" w:lineRule="exact"/>
        <w:ind w:left="0" w:leftChars="0" w:firstLine="400" w:firstLineChars="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rPr>
        <w:t>社会保障和就业支出（类）行政事业单位养老支出（款）机关事业单位基本养老保险缴费支出（项）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支出决算为3.60万元，完成预算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，决算数与预算数持平</w:t>
      </w:r>
      <w:r>
        <w:rPr>
          <w:rStyle w:val="18"/>
          <w:rFonts w:hint="eastAsia" w:ascii="仿宋" w:hAnsi="仿宋" w:eastAsia="仿宋"/>
          <w:b w:val="0"/>
          <w:bCs/>
          <w:color w:val="auto"/>
          <w:sz w:val="32"/>
          <w:szCs w:val="32"/>
          <w:highlight w:val="none"/>
        </w:rPr>
        <w:t>。</w:t>
      </w:r>
    </w:p>
    <w:p>
      <w:pPr>
        <w:numPr>
          <w:ilvl w:val="0"/>
          <w:numId w:val="4"/>
        </w:numPr>
        <w:spacing w:line="600" w:lineRule="exact"/>
        <w:ind w:left="0" w:leftChars="0" w:firstLine="400" w:firstLineChars="0"/>
        <w:rPr>
          <w:rStyle w:val="18"/>
          <w:rFonts w:ascii="仿宋" w:hAnsi="仿宋" w:eastAsia="仿宋"/>
          <w:bCs/>
          <w:color w:val="auto"/>
          <w:sz w:val="32"/>
          <w:szCs w:val="32"/>
          <w:highlight w:val="none"/>
        </w:rPr>
      </w:pPr>
      <w:r>
        <w:rPr>
          <w:rStyle w:val="18"/>
          <w:rFonts w:hint="eastAsia" w:ascii="仿宋" w:hAnsi="仿宋" w:eastAsia="仿宋"/>
          <w:bCs/>
          <w:color w:val="auto"/>
          <w:sz w:val="32"/>
          <w:szCs w:val="32"/>
          <w:highlight w:val="none"/>
        </w:rPr>
        <w:t>社会保障和就业支出（类）其他社会保障和就业支出（款）  其他社会保障和就业支出（项）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支出决算为0.11万元，完成预算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，决算数与预算数持平</w:t>
      </w:r>
      <w:r>
        <w:rPr>
          <w:rStyle w:val="18"/>
          <w:rFonts w:hint="eastAsia" w:ascii="仿宋" w:hAnsi="仿宋" w:eastAsia="仿宋"/>
          <w:b w:val="0"/>
          <w:bCs/>
          <w:color w:val="auto"/>
          <w:sz w:val="32"/>
          <w:szCs w:val="32"/>
          <w:highlight w:val="none"/>
        </w:rPr>
        <w:t>。</w:t>
      </w:r>
    </w:p>
    <w:p>
      <w:pPr>
        <w:numPr>
          <w:ilvl w:val="0"/>
          <w:numId w:val="4"/>
        </w:numPr>
        <w:spacing w:line="600" w:lineRule="exact"/>
        <w:ind w:left="0" w:leftChars="0" w:firstLine="400" w:firstLineChars="0"/>
        <w:rPr>
          <w:rFonts w:ascii="仿宋" w:hAnsi="仿宋" w:eastAsia="仿宋"/>
          <w:b/>
          <w:color w:val="auto"/>
          <w:sz w:val="32"/>
          <w:szCs w:val="32"/>
          <w:highlight w:val="none"/>
        </w:rPr>
      </w:pPr>
      <w:r>
        <w:rPr>
          <w:rStyle w:val="18"/>
          <w:rFonts w:hint="eastAsia" w:ascii="仿宋" w:hAnsi="仿宋" w:eastAsia="仿宋"/>
          <w:bCs/>
          <w:color w:val="auto"/>
          <w:sz w:val="32"/>
          <w:szCs w:val="32"/>
          <w:highlight w:val="none"/>
        </w:rPr>
        <w:t>卫生健康支出（类）行政事业单位医疗（款）行政单位医疗（项）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支出决算为1.80万元，完成预算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，决算数与预算数持平</w:t>
      </w:r>
      <w:r>
        <w:rPr>
          <w:rStyle w:val="18"/>
          <w:rFonts w:hint="eastAsia" w:ascii="仿宋" w:hAnsi="仿宋" w:eastAsia="仿宋"/>
          <w:b w:val="0"/>
          <w:bCs/>
          <w:color w:val="auto"/>
          <w:sz w:val="32"/>
          <w:szCs w:val="32"/>
          <w:highlight w:val="none"/>
        </w:rPr>
        <w:t>。</w:t>
      </w:r>
    </w:p>
    <w:p>
      <w:pPr>
        <w:numPr>
          <w:ilvl w:val="0"/>
          <w:numId w:val="4"/>
        </w:numPr>
        <w:spacing w:line="600" w:lineRule="exact"/>
        <w:ind w:left="0" w:leftChars="0" w:firstLine="400" w:firstLineChars="0"/>
        <w:rPr>
          <w:rStyle w:val="18"/>
          <w:rFonts w:hint="eastAsia" w:ascii="仿宋" w:hAnsi="仿宋" w:eastAsia="仿宋"/>
          <w:b w:val="0"/>
          <w:bCs/>
          <w:color w:val="auto"/>
          <w:sz w:val="32"/>
          <w:szCs w:val="32"/>
          <w:highlight w:val="none"/>
        </w:rPr>
      </w:pPr>
      <w:r>
        <w:rPr>
          <w:rStyle w:val="18"/>
          <w:rFonts w:hint="eastAsia" w:ascii="仿宋" w:hAnsi="仿宋" w:eastAsia="仿宋"/>
          <w:bCs/>
          <w:color w:val="auto"/>
          <w:sz w:val="32"/>
          <w:szCs w:val="32"/>
          <w:highlight w:val="none"/>
        </w:rPr>
        <w:t>住房保障支出（类）住房改革支出（款）住房公积金（项）</w:t>
      </w:r>
      <w:r>
        <w:rPr>
          <w:rStyle w:val="18"/>
          <w:rFonts w:ascii="仿宋" w:hAnsi="仿宋" w:eastAsia="仿宋"/>
          <w:bCs/>
          <w:color w:val="auto"/>
          <w:sz w:val="32"/>
          <w:szCs w:val="32"/>
          <w:highlight w:val="none"/>
        </w:rPr>
        <w:t>:</w:t>
      </w:r>
      <w:r>
        <w:rPr>
          <w:rStyle w:val="18"/>
          <w:rFonts w:ascii="仿宋" w:hAnsi="仿宋" w:eastAsia="仿宋"/>
          <w:b w:val="0"/>
          <w:bCs/>
          <w:color w:val="auto"/>
          <w:sz w:val="32"/>
          <w:szCs w:val="32"/>
          <w:highlight w:val="none"/>
        </w:rPr>
        <w:t xml:space="preserve"> </w:t>
      </w:r>
      <w:r>
        <w:rPr>
          <w:rStyle w:val="18"/>
          <w:rFonts w:hint="eastAsia" w:ascii="仿宋" w:hAnsi="仿宋" w:eastAsia="仿宋"/>
          <w:b w:val="0"/>
          <w:bCs/>
          <w:color w:val="auto"/>
          <w:sz w:val="32"/>
          <w:szCs w:val="32"/>
          <w:highlight w:val="none"/>
        </w:rPr>
        <w:t>支出决算为3.85万元，完成预算</w:t>
      </w:r>
      <w:r>
        <w:rPr>
          <w:rStyle w:val="18"/>
          <w:rFonts w:hint="eastAsia" w:ascii="仿宋" w:hAnsi="仿宋" w:eastAsia="仿宋"/>
          <w:b w:val="0"/>
          <w:bCs/>
          <w:color w:val="auto"/>
          <w:sz w:val="32"/>
          <w:szCs w:val="32"/>
          <w:highlight w:val="none"/>
          <w:lang w:val="en-US" w:eastAsia="zh-CN"/>
        </w:rPr>
        <w:t>100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lang w:eastAsia="zh-CN"/>
        </w:rPr>
        <w:t>，决算数与预算数持平</w:t>
      </w:r>
      <w:r>
        <w:rPr>
          <w:rStyle w:val="18"/>
          <w:rFonts w:hint="eastAsia" w:ascii="仿宋" w:hAnsi="仿宋" w:eastAsia="仿宋"/>
          <w:b w:val="0"/>
          <w:bCs/>
          <w:color w:val="auto"/>
          <w:sz w:val="32"/>
          <w:szCs w:val="32"/>
          <w:highlight w:val="none"/>
        </w:rPr>
        <w:t>。</w:t>
      </w:r>
    </w:p>
    <w:p>
      <w:pPr>
        <w:tabs>
          <w:tab w:val="right" w:pos="8306"/>
        </w:tabs>
        <w:spacing w:line="600" w:lineRule="exact"/>
        <w:ind w:firstLine="640"/>
        <w:outlineLvl w:val="1"/>
        <w:rPr>
          <w:rStyle w:val="21"/>
          <w:color w:val="auto"/>
          <w:highlight w:val="none"/>
        </w:rPr>
      </w:pPr>
      <w:bookmarkStart w:id="48" w:name="_Toc15902"/>
      <w:bookmarkStart w:id="49" w:name="_Toc15396608"/>
      <w:bookmarkStart w:id="50"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般公共预算财政拨款基本支出决算情况说明</w:t>
      </w:r>
      <w:bookmarkEnd w:id="48"/>
      <w:bookmarkEnd w:id="49"/>
      <w:bookmarkEnd w:id="50"/>
      <w:r>
        <w:rPr>
          <w:rStyle w:val="21"/>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年一般公共预算财政拨款基本支出62.35万元，其中：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53.97</w:t>
      </w:r>
      <w:r>
        <w:rPr>
          <w:rFonts w:hint="eastAsia" w:ascii="仿宋" w:hAnsi="仿宋" w:eastAsia="仿宋"/>
          <w:color w:val="auto"/>
          <w:sz w:val="32"/>
          <w:szCs w:val="32"/>
          <w:highlight w:val="none"/>
        </w:rPr>
        <w:t>万元，主要包括：基本工资、津贴补贴、奖金、机关事业单位基本养老保险缴费、职工基本医疗保险缴费、</w:t>
      </w:r>
      <w:r>
        <w:rPr>
          <w:rFonts w:hint="eastAsia" w:ascii="仿宋" w:hAnsi="仿宋" w:eastAsia="仿宋"/>
          <w:color w:val="auto"/>
          <w:sz w:val="32"/>
          <w:szCs w:val="32"/>
          <w:highlight w:val="none"/>
          <w:lang w:eastAsia="zh-CN"/>
        </w:rPr>
        <w:t>其他社会保障缴费</w:t>
      </w:r>
      <w:r>
        <w:rPr>
          <w:rFonts w:hint="eastAsia" w:ascii="仿宋" w:hAnsi="仿宋" w:eastAsia="仿宋"/>
          <w:color w:val="auto"/>
          <w:sz w:val="32"/>
          <w:szCs w:val="32"/>
          <w:highlight w:val="none"/>
        </w:rPr>
        <w:t>等</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住房公积金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生活补助。</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公用经费8.38万元，主要包括：办公费、印刷费、水费、电费、物业管理费、差旅费、</w:t>
      </w:r>
      <w:r>
        <w:rPr>
          <w:rFonts w:hint="eastAsia" w:ascii="仿宋" w:hAnsi="仿宋" w:eastAsia="仿宋"/>
          <w:color w:val="auto"/>
          <w:sz w:val="32"/>
          <w:szCs w:val="32"/>
          <w:highlight w:val="none"/>
          <w:lang w:eastAsia="zh-CN"/>
        </w:rPr>
        <w:t>会议费、</w:t>
      </w:r>
      <w:r>
        <w:rPr>
          <w:rFonts w:hint="eastAsia" w:ascii="仿宋" w:hAnsi="仿宋" w:eastAsia="仿宋"/>
          <w:color w:val="auto"/>
          <w:sz w:val="32"/>
          <w:szCs w:val="32"/>
          <w:highlight w:val="none"/>
        </w:rPr>
        <w:t>公务接待费、工会经费、福利费</w:t>
      </w:r>
      <w:r>
        <w:rPr>
          <w:rFonts w:hint="eastAsia" w:ascii="仿宋" w:hAnsi="仿宋" w:eastAsia="仿宋"/>
          <w:color w:val="auto"/>
          <w:sz w:val="32"/>
          <w:szCs w:val="32"/>
          <w:highlight w:val="none"/>
          <w:lang w:eastAsia="zh-CN"/>
        </w:rPr>
        <w:t>、其他交通费用、</w:t>
      </w:r>
      <w:r>
        <w:rPr>
          <w:rFonts w:hint="eastAsia" w:ascii="仿宋" w:hAnsi="仿宋" w:eastAsia="仿宋"/>
          <w:color w:val="auto"/>
          <w:sz w:val="32"/>
          <w:szCs w:val="32"/>
          <w:highlight w:val="none"/>
        </w:rPr>
        <w:t>其他商品和服务支出。</w:t>
      </w:r>
    </w:p>
    <w:p>
      <w:pPr>
        <w:spacing w:line="600" w:lineRule="exact"/>
        <w:ind w:firstLine="640"/>
        <w:outlineLvl w:val="1"/>
        <w:rPr>
          <w:rStyle w:val="21"/>
          <w:rFonts w:ascii="黑体" w:hAnsi="黑体" w:eastAsia="黑体"/>
          <w:b w:val="0"/>
          <w:color w:val="auto"/>
          <w:highlight w:val="none"/>
        </w:rPr>
      </w:pPr>
      <w:bookmarkStart w:id="51" w:name="_Toc13357"/>
      <w:bookmarkStart w:id="52" w:name="_Toc15377215"/>
      <w:bookmarkStart w:id="53" w:name="_Toc15396609"/>
      <w:r>
        <w:rPr>
          <w:rFonts w:hint="eastAsia" w:ascii="黑体" w:eastAsia="黑体"/>
          <w:color w:val="auto"/>
          <w:sz w:val="32"/>
          <w:szCs w:val="32"/>
          <w:highlight w:val="none"/>
        </w:rPr>
        <w:t>七、</w:t>
      </w:r>
      <w:r>
        <w:rPr>
          <w:rStyle w:val="21"/>
          <w:rFonts w:hint="eastAsia" w:ascii="黑体" w:hAnsi="黑体" w:eastAsia="黑体"/>
          <w:b w:val="0"/>
          <w:color w:val="auto"/>
          <w:highlight w:val="none"/>
        </w:rPr>
        <w:t>财政拨款</w:t>
      </w:r>
      <w:r>
        <w:rPr>
          <w:rStyle w:val="21"/>
          <w:rFonts w:hint="eastAsia" w:ascii="黑体" w:hAnsi="黑体" w:eastAsia="黑体"/>
          <w:color w:val="auto"/>
          <w:highlight w:val="none"/>
        </w:rPr>
        <w:t>“</w:t>
      </w:r>
      <w:r>
        <w:rPr>
          <w:rStyle w:val="21"/>
          <w:rFonts w:hint="eastAsia" w:ascii="黑体" w:hAnsi="黑体" w:eastAsia="黑体"/>
          <w:b w:val="0"/>
          <w:color w:val="auto"/>
          <w:highlight w:val="none"/>
        </w:rPr>
        <w:t>三公”经费支出决算情况说明</w:t>
      </w:r>
      <w:bookmarkEnd w:id="51"/>
      <w:bookmarkEnd w:id="52"/>
      <w:bookmarkEnd w:id="53"/>
    </w:p>
    <w:p>
      <w:pPr>
        <w:spacing w:line="600" w:lineRule="exact"/>
        <w:ind w:firstLine="640"/>
        <w:outlineLvl w:val="2"/>
        <w:rPr>
          <w:rFonts w:ascii="仿宋" w:hAnsi="仿宋" w:eastAsia="仿宋"/>
          <w:b/>
          <w:color w:val="auto"/>
          <w:sz w:val="32"/>
          <w:szCs w:val="32"/>
          <w:highlight w:val="none"/>
        </w:rPr>
      </w:pPr>
      <w:bookmarkStart w:id="54" w:name="_Toc15377216"/>
      <w:r>
        <w:rPr>
          <w:rFonts w:hint="eastAsia" w:ascii="仿宋" w:hAnsi="仿宋" w:eastAsia="仿宋"/>
          <w:b/>
          <w:color w:val="auto"/>
          <w:sz w:val="32"/>
          <w:szCs w:val="32"/>
          <w:highlight w:val="none"/>
        </w:rPr>
        <w:t>（一）“三公”经费财政拨款支出决算总体情况说明</w:t>
      </w:r>
      <w:bookmarkEnd w:id="54"/>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年“三公”经费财政拨款支出决算为0.35万元，完成预算</w:t>
      </w:r>
      <w:r>
        <w:rPr>
          <w:rFonts w:hint="eastAsia" w:ascii="仿宋" w:hAnsi="仿宋" w:eastAsia="仿宋"/>
          <w:color w:val="auto"/>
          <w:sz w:val="32"/>
          <w:szCs w:val="32"/>
          <w:highlight w:val="none"/>
          <w:lang w:val="en-US" w:eastAsia="zh-CN"/>
        </w:rPr>
        <w:t>87.5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增加0.05万元，增长16.67%。</w:t>
      </w:r>
      <w:r>
        <w:rPr>
          <w:rFonts w:hint="eastAsia" w:ascii="仿宋" w:hAnsi="仿宋" w:eastAsia="仿宋"/>
          <w:color w:val="auto"/>
          <w:sz w:val="32"/>
          <w:szCs w:val="32"/>
          <w:highlight w:val="none"/>
        </w:rPr>
        <w:t>决算数</w:t>
      </w:r>
      <w:r>
        <w:rPr>
          <w:rFonts w:hint="eastAsia" w:ascii="仿宋" w:hAnsi="仿宋" w:eastAsia="仿宋"/>
          <w:color w:val="auto"/>
          <w:sz w:val="32"/>
          <w:szCs w:val="32"/>
          <w:highlight w:val="none"/>
          <w:lang w:eastAsia="zh-CN"/>
        </w:rPr>
        <w:t>小于预算数原因是厉行节约。</w:t>
      </w:r>
    </w:p>
    <w:p>
      <w:pPr>
        <w:spacing w:line="600" w:lineRule="exact"/>
        <w:ind w:firstLine="640"/>
        <w:outlineLvl w:val="2"/>
        <w:rPr>
          <w:rFonts w:ascii="仿宋" w:hAnsi="仿宋" w:eastAsia="仿宋"/>
          <w:b/>
          <w:color w:val="auto"/>
          <w:sz w:val="32"/>
          <w:szCs w:val="32"/>
          <w:highlight w:val="none"/>
        </w:rPr>
      </w:pPr>
      <w:bookmarkStart w:id="55" w:name="_Toc15377217"/>
      <w:r>
        <w:rPr>
          <w:rFonts w:hint="eastAsia" w:ascii="仿宋" w:hAnsi="仿宋" w:eastAsia="仿宋"/>
          <w:b/>
          <w:color w:val="auto"/>
          <w:sz w:val="32"/>
          <w:szCs w:val="32"/>
          <w:highlight w:val="none"/>
        </w:rPr>
        <w:t>（二）“三公”经费财政拨款支出决算具体情况说明</w:t>
      </w:r>
      <w:bookmarkEnd w:id="55"/>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；公务接待费支出决算0.35万元，占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6"/>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5240"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lang w:eastAsia="zh-CN"/>
        </w:rPr>
        <w:t>年初未安排预算</w:t>
      </w:r>
      <w:r>
        <w:rPr>
          <w:rStyle w:val="18"/>
          <w:rFonts w:hint="default" w:ascii="仿宋" w:hAnsi="仿宋" w:eastAsia="仿宋"/>
          <w:b w:val="0"/>
          <w:bCs/>
          <w:color w:val="auto"/>
          <w:sz w:val="32"/>
          <w:szCs w:val="32"/>
          <w:highlight w:val="none"/>
          <w:lang w:eastAsia="zh-CN"/>
        </w:rPr>
        <w:t>，较上年无变化</w:t>
      </w:r>
      <w:r>
        <w:rPr>
          <w:rFonts w:hint="eastAsia" w:ascii="仿宋_GB2312" w:eastAsia="仿宋_GB2312"/>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lang w:eastAsia="zh-CN"/>
        </w:rPr>
        <w:t>年初未安排预算</w:t>
      </w:r>
      <w:r>
        <w:rPr>
          <w:rStyle w:val="18"/>
          <w:rFonts w:hint="default" w:ascii="仿宋" w:hAnsi="仿宋" w:eastAsia="仿宋"/>
          <w:b w:val="0"/>
          <w:bCs/>
          <w:color w:val="auto"/>
          <w:sz w:val="32"/>
          <w:szCs w:val="32"/>
          <w:highlight w:val="none"/>
          <w:lang w:eastAsia="zh-CN"/>
        </w:rPr>
        <w:t>，较上年无变化</w:t>
      </w:r>
      <w:r>
        <w:rPr>
          <w:rFonts w:hint="eastAsia" w:ascii="仿宋_GB2312" w:eastAsia="仿宋_GB2312"/>
          <w:color w:val="auto"/>
          <w:sz w:val="32"/>
          <w:szCs w:val="32"/>
          <w:highlight w:val="none"/>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 w:hAnsi="仿宋" w:eastAsia="仿宋"/>
          <w:color w:val="auto"/>
          <w:sz w:val="32"/>
          <w:szCs w:val="32"/>
          <w:highlight w:val="none"/>
        </w:rPr>
        <w:t>0.35</w:t>
      </w:r>
      <w:r>
        <w:rPr>
          <w:rFonts w:hint="eastAsia" w:ascii="仿宋_GB2312" w:eastAsia="仿宋_GB2312"/>
          <w:color w:val="auto"/>
          <w:sz w:val="32"/>
          <w:szCs w:val="32"/>
          <w:highlight w:val="none"/>
        </w:rPr>
        <w:t>万元，</w:t>
      </w:r>
      <w:r>
        <w:rPr>
          <w:rStyle w:val="18"/>
          <w:rFonts w:hint="eastAsia" w:ascii="仿宋" w:hAnsi="仿宋" w:eastAsia="仿宋"/>
          <w:b w:val="0"/>
          <w:bCs/>
          <w:color w:val="auto"/>
          <w:sz w:val="32"/>
          <w:szCs w:val="32"/>
          <w:highlight w:val="none"/>
        </w:rPr>
        <w:t>完成预算</w:t>
      </w:r>
      <w:r>
        <w:rPr>
          <w:rStyle w:val="18"/>
          <w:rFonts w:hint="eastAsia" w:ascii="仿宋" w:hAnsi="仿宋" w:eastAsia="仿宋"/>
          <w:b w:val="0"/>
          <w:bCs/>
          <w:color w:val="auto"/>
          <w:sz w:val="32"/>
          <w:szCs w:val="32"/>
          <w:highlight w:val="none"/>
          <w:lang w:val="en-US" w:eastAsia="zh-CN"/>
        </w:rPr>
        <w:t>40</w:t>
      </w:r>
      <w:r>
        <w:rPr>
          <w:rStyle w:val="18"/>
          <w:rFonts w:ascii="仿宋" w:hAnsi="仿宋" w:eastAsia="仿宋"/>
          <w:b w:val="0"/>
          <w:bCs/>
          <w:color w:val="auto"/>
          <w:sz w:val="32"/>
          <w:szCs w:val="32"/>
          <w:highlight w:val="none"/>
        </w:rPr>
        <w:t>%</w:t>
      </w:r>
      <w:r>
        <w:rPr>
          <w:rStyle w:val="18"/>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0.11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下降30.86</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厉行节约</w:t>
      </w:r>
      <w:r>
        <w:rPr>
          <w:rFonts w:hint="eastAsia" w:ascii="仿宋_GB2312" w:eastAsia="仿宋_GB2312"/>
          <w:color w:val="auto"/>
          <w:sz w:val="32"/>
          <w:szCs w:val="32"/>
          <w:highlight w:val="none"/>
        </w:rPr>
        <w:t>。其中：</w:t>
      </w:r>
    </w:p>
    <w:p>
      <w:pPr>
        <w:spacing w:line="600" w:lineRule="exact"/>
        <w:ind w:firstLine="640"/>
        <w:rPr>
          <w:rFonts w:hint="default" w:ascii="仿宋_GB2312" w:eastAsia="仿宋_GB2312"/>
          <w:color w:val="auto"/>
          <w:sz w:val="32"/>
          <w:szCs w:val="32"/>
          <w:highlight w:val="none"/>
          <w:lang w:val="en-US"/>
        </w:rPr>
      </w:pPr>
      <w:r>
        <w:rPr>
          <w:rFonts w:hint="eastAsia" w:ascii="仿宋" w:hAnsi="仿宋" w:eastAsia="仿宋"/>
          <w:b/>
          <w:color w:val="000000" w:themeColor="text1"/>
          <w:sz w:val="32"/>
          <w:szCs w:val="32"/>
          <w:highlight w:val="none"/>
          <w14:textFill>
            <w14:solidFill>
              <w14:schemeClr w14:val="tx1"/>
            </w14:solidFill>
          </w14:textFill>
        </w:rPr>
        <w:t>国内公务接待支出</w:t>
      </w:r>
      <w:r>
        <w:rPr>
          <w:rFonts w:hint="eastAsia" w:ascii="仿宋" w:hAnsi="仿宋" w:eastAsia="仿宋"/>
          <w:color w:val="auto"/>
          <w:sz w:val="32"/>
          <w:szCs w:val="32"/>
          <w:highlight w:val="none"/>
        </w:rPr>
        <w:t>0.35</w:t>
      </w:r>
      <w:r>
        <w:rPr>
          <w:rFonts w:hint="eastAsia" w:ascii="仿宋_GB2312" w:eastAsia="仿宋_GB2312"/>
          <w:color w:val="000000" w:themeColor="text1"/>
          <w:sz w:val="32"/>
          <w:szCs w:val="32"/>
          <w:highlight w:val="none"/>
          <w14:textFill>
            <w14:solidFill>
              <w14:schemeClr w14:val="tx1"/>
            </w14:solidFill>
          </w14:textFill>
        </w:rPr>
        <w:t>万元，主要用于执行公务、开展业</w:t>
      </w:r>
      <w:r>
        <w:rPr>
          <w:rFonts w:hint="eastAsia" w:ascii="仿宋_GB2312" w:eastAsia="仿宋_GB2312"/>
          <w:color w:val="auto"/>
          <w:sz w:val="32"/>
          <w:szCs w:val="32"/>
          <w:highlight w:val="none"/>
        </w:rPr>
        <w:t>务活动开支的交通费、住宿费、用餐费等。国内公务接待</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42</w:t>
      </w:r>
      <w:r>
        <w:rPr>
          <w:rFonts w:hint="eastAsia" w:ascii="仿宋_GB2312" w:eastAsia="仿宋_GB2312"/>
          <w:color w:val="auto"/>
          <w:sz w:val="32"/>
          <w:szCs w:val="32"/>
          <w:highlight w:val="none"/>
        </w:rPr>
        <w:t>人次（不包括陪同人员），共计支出</w:t>
      </w:r>
      <w:r>
        <w:rPr>
          <w:rFonts w:hint="eastAsia" w:ascii="仿宋" w:hAnsi="仿宋" w:eastAsia="仿宋"/>
          <w:color w:val="auto"/>
          <w:sz w:val="32"/>
          <w:szCs w:val="32"/>
          <w:highlight w:val="none"/>
        </w:rPr>
        <w:t>0.35</w:t>
      </w:r>
      <w:r>
        <w:rPr>
          <w:rFonts w:hint="eastAsia" w:ascii="仿宋_GB2312" w:eastAsia="仿宋_GB2312"/>
          <w:color w:val="auto"/>
          <w:sz w:val="32"/>
          <w:szCs w:val="32"/>
          <w:highlight w:val="none"/>
        </w:rPr>
        <w:t>万元，具体内容包括：</w:t>
      </w:r>
      <w:r>
        <w:rPr>
          <w:rFonts w:hint="eastAsia" w:ascii="仿宋_GB2312" w:eastAsia="仿宋_GB2312"/>
          <w:color w:val="auto"/>
          <w:sz w:val="32"/>
          <w:szCs w:val="32"/>
          <w:highlight w:val="none"/>
          <w:lang w:val="en-US" w:eastAsia="zh-CN"/>
        </w:rPr>
        <w:t>民盟广元市委领导班子届中调整时接待民盟省委领导来广进行组织考察费用880元、民盟广安市委来广考察组织建设工作费用1370元、民盟省委“关于脱贫攻坚与乡村振兴战略衔接研究”课题调研组来广调研费用1250元。</w:t>
      </w:r>
    </w:p>
    <w:p>
      <w:pPr>
        <w:spacing w:line="600" w:lineRule="exact"/>
        <w:ind w:firstLine="643" w:firstLineChars="200"/>
        <w:rPr>
          <w:rFonts w:ascii="黑体" w:eastAsia="黑体"/>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bookmarkStart w:id="56" w:name="_Toc15377218"/>
      <w:bookmarkStart w:id="57" w:name="_Toc15396610"/>
    </w:p>
    <w:p>
      <w:pPr>
        <w:spacing w:line="600" w:lineRule="exact"/>
        <w:ind w:firstLine="640"/>
        <w:outlineLvl w:val="1"/>
        <w:rPr>
          <w:rStyle w:val="21"/>
          <w:rFonts w:ascii="黑体" w:hAnsi="黑体" w:eastAsia="黑体"/>
          <w:color w:val="auto"/>
          <w:highlight w:val="none"/>
        </w:rPr>
      </w:pPr>
      <w:bookmarkStart w:id="58" w:name="_Toc4774"/>
      <w:r>
        <w:rPr>
          <w:rFonts w:hint="eastAsia" w:ascii="黑体" w:eastAsia="黑体"/>
          <w:color w:val="auto"/>
          <w:sz w:val="32"/>
          <w:szCs w:val="32"/>
          <w:highlight w:val="none"/>
        </w:rPr>
        <w:t>八、</w:t>
      </w:r>
      <w:r>
        <w:rPr>
          <w:rStyle w:val="21"/>
          <w:rFonts w:hint="eastAsia" w:ascii="黑体" w:hAnsi="黑体" w:eastAsia="黑体"/>
          <w:b w:val="0"/>
          <w:color w:val="auto"/>
          <w:highlight w:val="none"/>
        </w:rPr>
        <w:t>政府性基金预算支出决算情况说明</w:t>
      </w:r>
      <w:bookmarkEnd w:id="56"/>
      <w:bookmarkEnd w:id="57"/>
      <w:bookmarkEnd w:id="58"/>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5"/>
        </w:numPr>
        <w:spacing w:line="600" w:lineRule="exact"/>
        <w:ind w:firstLine="640"/>
        <w:outlineLvl w:val="1"/>
        <w:rPr>
          <w:rStyle w:val="21"/>
          <w:rFonts w:ascii="黑体" w:hAnsi="黑体" w:eastAsia="黑体"/>
          <w:b w:val="0"/>
          <w:color w:val="auto"/>
          <w:highlight w:val="none"/>
        </w:rPr>
      </w:pPr>
      <w:bookmarkStart w:id="59" w:name="_Toc12414"/>
      <w:bookmarkStart w:id="60" w:name="_Toc15396611"/>
      <w:bookmarkStart w:id="61" w:name="_Toc15377219"/>
      <w:r>
        <w:rPr>
          <w:rStyle w:val="21"/>
          <w:rFonts w:hint="eastAsia" w:ascii="黑体" w:hAnsi="黑体" w:eastAsia="黑体"/>
          <w:b w:val="0"/>
          <w:color w:val="auto"/>
          <w:highlight w:val="none"/>
        </w:rPr>
        <w:t>国有资本经营预算支出决算情况说明</w:t>
      </w:r>
      <w:bookmarkEnd w:id="59"/>
      <w:bookmarkEnd w:id="60"/>
      <w:bookmarkEnd w:id="61"/>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5"/>
        </w:numPr>
        <w:spacing w:line="600" w:lineRule="exact"/>
        <w:ind w:firstLine="640"/>
        <w:outlineLvl w:val="1"/>
        <w:rPr>
          <w:rStyle w:val="21"/>
          <w:rFonts w:hint="eastAsia" w:ascii="黑体" w:hAnsi="黑体" w:eastAsia="黑体"/>
          <w:b w:val="0"/>
          <w:color w:val="auto"/>
          <w:highlight w:val="none"/>
        </w:rPr>
      </w:pPr>
      <w:bookmarkStart w:id="62" w:name="_Toc15377221"/>
      <w:bookmarkStart w:id="63" w:name="_Toc31139"/>
      <w:bookmarkStart w:id="64" w:name="_Toc15396612"/>
      <w:r>
        <w:rPr>
          <w:rStyle w:val="21"/>
          <w:rFonts w:hint="eastAsia" w:ascii="黑体" w:hAnsi="黑体" w:eastAsia="黑体"/>
          <w:b w:val="0"/>
          <w:color w:val="auto"/>
          <w:highlight w:val="none"/>
        </w:rPr>
        <w:t>其他重要事项的情况说明</w:t>
      </w:r>
      <w:bookmarkEnd w:id="62"/>
      <w:bookmarkEnd w:id="63"/>
      <w:bookmarkEnd w:id="64"/>
    </w:p>
    <w:p>
      <w:pPr>
        <w:spacing w:line="600" w:lineRule="exact"/>
        <w:ind w:firstLine="643" w:firstLineChars="200"/>
        <w:outlineLvl w:val="2"/>
        <w:rPr>
          <w:rFonts w:ascii="仿宋" w:hAnsi="仿宋" w:eastAsia="仿宋"/>
          <w:color w:val="auto"/>
          <w:sz w:val="32"/>
          <w:szCs w:val="32"/>
          <w:highlight w:val="none"/>
        </w:rPr>
      </w:pPr>
      <w:bookmarkStart w:id="65" w:name="_Toc15377222"/>
      <w:r>
        <w:rPr>
          <w:rFonts w:hint="eastAsia" w:ascii="仿宋" w:hAnsi="仿宋" w:eastAsia="仿宋"/>
          <w:b/>
          <w:color w:val="auto"/>
          <w:sz w:val="32"/>
          <w:szCs w:val="32"/>
          <w:highlight w:val="none"/>
        </w:rPr>
        <w:t>（一）机关运行经费支出情况</w:t>
      </w:r>
      <w:bookmarkEnd w:id="65"/>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年，机关运行经费支出8.38万元，比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增加</w:t>
      </w:r>
      <w:r>
        <w:rPr>
          <w:rFonts w:hint="eastAsia" w:ascii="仿宋_GB2312" w:eastAsia="仿宋_GB2312"/>
          <w:color w:val="auto"/>
          <w:sz w:val="32"/>
          <w:szCs w:val="32"/>
          <w:highlight w:val="none"/>
        </w:rPr>
        <w:t>2.41万元，</w:t>
      </w:r>
      <w:r>
        <w:rPr>
          <w:rFonts w:hint="eastAsia" w:ascii="仿宋_GB2312" w:eastAsia="仿宋_GB2312"/>
          <w:color w:val="auto"/>
          <w:sz w:val="32"/>
          <w:szCs w:val="32"/>
          <w:highlight w:val="none"/>
          <w:lang w:eastAsia="zh-CN"/>
        </w:rPr>
        <w:t>增长</w:t>
      </w:r>
      <w:r>
        <w:rPr>
          <w:rFonts w:hint="eastAsia" w:ascii="仿宋_GB2312" w:eastAsia="仿宋_GB2312"/>
          <w:color w:val="auto"/>
          <w:sz w:val="32"/>
          <w:szCs w:val="32"/>
          <w:highlight w:val="none"/>
        </w:rPr>
        <w:t>40.36</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办公经费增加。</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6" w:name="_Toc15377223"/>
      <w:r>
        <w:rPr>
          <w:rFonts w:hint="eastAsia" w:ascii="仿宋" w:hAnsi="仿宋" w:eastAsia="仿宋"/>
          <w:b/>
          <w:color w:val="auto"/>
          <w:sz w:val="32"/>
          <w:szCs w:val="32"/>
          <w:highlight w:val="none"/>
        </w:rPr>
        <w:t>（二）政府采购支出情况</w:t>
      </w:r>
      <w:bookmarkEnd w:id="66"/>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7" w:name="_Toc15377224"/>
      <w:r>
        <w:rPr>
          <w:rFonts w:hint="eastAsia" w:ascii="仿宋" w:hAnsi="仿宋" w:eastAsia="仿宋"/>
          <w:b/>
          <w:color w:val="auto"/>
          <w:sz w:val="32"/>
          <w:szCs w:val="32"/>
          <w:highlight w:val="none"/>
        </w:rPr>
        <w:t>（三）国有资产占有使用情况</w:t>
      </w:r>
      <w:bookmarkEnd w:id="67"/>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（四）预算绩效管理情况</w:t>
      </w:r>
    </w:p>
    <w:p>
      <w:pPr>
        <w:widowControl/>
        <w:ind w:firstLine="640" w:firstLineChars="200"/>
        <w:jc w:val="left"/>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根据预算绩效管理要求，本部门在202</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年度预算编制阶段，组织对调研工作</w:t>
      </w:r>
      <w:r>
        <w:rPr>
          <w:rFonts w:hint="eastAsia" w:ascii="仿宋_GB2312" w:hAnsi="仿宋_GB2312" w:eastAsia="仿宋_GB2312" w:cs="仿宋_GB2312"/>
          <w:color w:val="auto"/>
          <w:sz w:val="32"/>
          <w:szCs w:val="32"/>
          <w:highlight w:val="none"/>
          <w:lang w:eastAsia="zh-CN"/>
        </w:rPr>
        <w:t>、社会服务工作、民盟市委直属支部活动、参政议政工作经费</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个项目开展了预算事前绩效评估，对</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个项目开展绩效监控</w:t>
      </w:r>
      <w:r>
        <w:rPr>
          <w:rFonts w:hint="default"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部门预算项目支出绩效自评表</w:t>
      </w:r>
      <w:r>
        <w:rPr>
          <w:rFonts w:hint="eastAsia" w:ascii="仿宋_GB2312" w:hAnsi="仿宋_GB2312" w:eastAsia="仿宋_GB2312" w:cs="仿宋_GB2312"/>
          <w:color w:val="auto"/>
          <w:sz w:val="32"/>
          <w:szCs w:val="32"/>
          <w:highlight w:val="none"/>
          <w:lang w:eastAsia="zh-CN"/>
        </w:rPr>
        <w:t>见附件。</w:t>
      </w:r>
      <w:r>
        <w:rPr>
          <w:rFonts w:hint="eastAsia" w:ascii="仿宋_GB2312" w:hAnsi="仿宋_GB2312" w:eastAsia="仿宋_GB2312" w:cs="仿宋_GB2312"/>
          <w:color w:val="auto"/>
          <w:sz w:val="32"/>
          <w:szCs w:val="32"/>
          <w:highlight w:val="none"/>
          <w:lang w:eastAsia="zh-CN"/>
        </w:rPr>
        <w:br w:type="page"/>
      </w:r>
    </w:p>
    <w:p>
      <w:pPr>
        <w:numPr>
          <w:ilvl w:val="0"/>
          <w:numId w:val="6"/>
        </w:numPr>
        <w:spacing w:line="600" w:lineRule="exact"/>
        <w:ind w:firstLine="660" w:firstLineChars="150"/>
        <w:jc w:val="center"/>
        <w:outlineLvl w:val="0"/>
        <w:rPr>
          <w:rStyle w:val="20"/>
          <w:rFonts w:ascii="黑体" w:hAnsi="黑体" w:eastAsia="黑体"/>
          <w:b w:val="0"/>
          <w:color w:val="auto"/>
          <w:highlight w:val="none"/>
        </w:rPr>
      </w:pPr>
      <w:bookmarkStart w:id="68" w:name="_Toc15396613"/>
      <w:bookmarkStart w:id="69" w:name="_Toc15377225"/>
      <w:bookmarkStart w:id="70" w:name="_Toc2779"/>
      <w:r>
        <w:rPr>
          <w:rFonts w:hint="eastAsia" w:ascii="黑体" w:hAnsi="黑体" w:eastAsia="黑体"/>
          <w:color w:val="auto"/>
          <w:sz w:val="44"/>
          <w:szCs w:val="44"/>
          <w:highlight w:val="none"/>
        </w:rPr>
        <w:t>名</w:t>
      </w:r>
      <w:r>
        <w:rPr>
          <w:rStyle w:val="20"/>
          <w:rFonts w:hint="eastAsia" w:ascii="黑体" w:hAnsi="黑体" w:eastAsia="黑体"/>
          <w:b w:val="0"/>
          <w:color w:val="auto"/>
          <w:highlight w:val="none"/>
        </w:rPr>
        <w:t>词解释</w:t>
      </w:r>
      <w:bookmarkEnd w:id="68"/>
      <w:bookmarkEnd w:id="69"/>
      <w:bookmarkEnd w:id="70"/>
    </w:p>
    <w:p>
      <w:pPr>
        <w:keepNext w:val="0"/>
        <w:keepLines w:val="0"/>
        <w:pageBreakBefore w:val="0"/>
        <w:widowControl w:val="0"/>
        <w:kinsoku/>
        <w:wordWrap/>
        <w:overflowPunct/>
        <w:topLinePunct w:val="0"/>
        <w:bidi w:val="0"/>
        <w:snapToGrid/>
        <w:spacing w:line="560" w:lineRule="exact"/>
        <w:jc w:val="left"/>
        <w:textAlignment w:val="auto"/>
        <w:rPr>
          <w:rFonts w:ascii="宋体"/>
          <w:b/>
          <w:color w:val="auto"/>
          <w:sz w:val="44"/>
          <w:szCs w:val="44"/>
          <w:highlight w:val="none"/>
        </w:rPr>
      </w:pPr>
    </w:p>
    <w:p>
      <w:pPr>
        <w:pStyle w:val="30"/>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outlineLvl w:val="1"/>
        <w:rPr>
          <w:rFonts w:hAnsi="仿宋" w:eastAsia="仿宋_GB2312" w:cs="Times New Roman"/>
          <w:sz w:val="32"/>
          <w:szCs w:val="32"/>
        </w:rPr>
      </w:pPr>
      <w:bookmarkStart w:id="71" w:name="_Toc21291"/>
      <w:bookmarkStart w:id="72" w:name="_Toc15377226"/>
      <w:r>
        <w:rPr>
          <w:rFonts w:hint="default" w:hAnsi="仿宋" w:eastAsia="仿宋_GB2312"/>
          <w:sz w:val="32"/>
          <w:szCs w:val="32"/>
          <w:lang w:val="en"/>
        </w:rPr>
        <w:t>1.</w:t>
      </w:r>
      <w:r>
        <w:rPr>
          <w:rFonts w:hint="eastAsia" w:hAnsi="仿宋" w:eastAsia="仿宋_GB2312"/>
          <w:sz w:val="32"/>
          <w:szCs w:val="32"/>
        </w:rPr>
        <w:t>财政拨款收入：指单位从同级财政部门取得的财政预算资金。</w:t>
      </w:r>
      <w:bookmarkEnd w:id="71"/>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hint="eastAsia" w:ascii="仿宋" w:hAnsi="仿宋" w:eastAsia="仿宋_GB2312" w:cs="仿宋"/>
          <w:color w:val="000000"/>
          <w:sz w:val="32"/>
          <w:szCs w:val="32"/>
        </w:rPr>
      </w:pPr>
      <w:r>
        <w:rPr>
          <w:rStyle w:val="18"/>
          <w:rFonts w:hint="default" w:ascii="仿宋" w:hAnsi="仿宋" w:eastAsia="仿宋_GB2312" w:cs="仿宋"/>
          <w:b w:val="0"/>
          <w:color w:val="000000"/>
          <w:sz w:val="32"/>
          <w:szCs w:val="32"/>
          <w:lang w:val="en"/>
        </w:rPr>
        <w:t>2.</w:t>
      </w:r>
      <w:r>
        <w:rPr>
          <w:rStyle w:val="18"/>
          <w:rFonts w:hint="eastAsia" w:ascii="仿宋" w:hAnsi="仿宋" w:eastAsia="仿宋_GB2312" w:cs="仿宋"/>
          <w:b w:val="0"/>
          <w:color w:val="000000"/>
          <w:sz w:val="32"/>
          <w:szCs w:val="32"/>
        </w:rPr>
        <w:t>一般公共服务（类）民主党派及工商联事务（款）行政运行（项）：</w:t>
      </w:r>
      <w:r>
        <w:rPr>
          <w:rFonts w:hint="eastAsia" w:ascii="仿宋" w:hAnsi="仿宋" w:eastAsia="仿宋_GB2312" w:cs="仿宋"/>
          <w:color w:val="000000"/>
          <w:sz w:val="32"/>
          <w:szCs w:val="32"/>
        </w:rPr>
        <w:t>指反映行政单位（包括实行公务员管理的事业单位）的基本支出。</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hint="eastAsia" w:ascii="宋体" w:hAnsi="宋体" w:eastAsia="仿宋_GB2312" w:cs="仿宋"/>
          <w:color w:val="000000"/>
          <w:kern w:val="2"/>
          <w:sz w:val="32"/>
          <w:szCs w:val="32"/>
          <w:lang w:val="en-US" w:eastAsia="zh-CN" w:bidi="ar-SA"/>
        </w:rPr>
      </w:pPr>
      <w:r>
        <w:rPr>
          <w:rFonts w:hint="default" w:ascii="宋体" w:hAnsi="宋体" w:eastAsia="仿宋_GB2312" w:cs="仿宋"/>
          <w:color w:val="000000"/>
          <w:kern w:val="2"/>
          <w:sz w:val="32"/>
          <w:szCs w:val="32"/>
          <w:lang w:val="en" w:eastAsia="zh-CN" w:bidi="ar-SA"/>
        </w:rPr>
        <w:t>3.</w:t>
      </w:r>
      <w:r>
        <w:rPr>
          <w:rFonts w:hint="eastAsia" w:ascii="宋体" w:hAnsi="宋体" w:eastAsia="仿宋_GB2312" w:cs="仿宋"/>
          <w:color w:val="000000"/>
          <w:kern w:val="2"/>
          <w:sz w:val="32"/>
          <w:szCs w:val="32"/>
          <w:lang w:val="en-US" w:eastAsia="zh-CN" w:bidi="ar-SA"/>
        </w:rPr>
        <w:t>一般公共服务（类）民主党派及工商联事务（款）  一般行政管理事务（项）：指反映行政单位（包括实行公务员管理的事业单位）未单独设置项级科目的其他项目支出。</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hint="eastAsia" w:ascii="宋体" w:hAnsi="宋体" w:eastAsia="仿宋_GB2312" w:cs="仿宋"/>
          <w:color w:val="000000"/>
          <w:kern w:val="2"/>
          <w:sz w:val="32"/>
          <w:szCs w:val="32"/>
          <w:lang w:val="en-US" w:eastAsia="zh-CN" w:bidi="ar-SA"/>
        </w:rPr>
      </w:pPr>
      <w:r>
        <w:rPr>
          <w:rFonts w:hint="default" w:ascii="宋体" w:hAnsi="宋体" w:eastAsia="仿宋_GB2312" w:cs="仿宋"/>
          <w:color w:val="000000"/>
          <w:kern w:val="2"/>
          <w:sz w:val="32"/>
          <w:szCs w:val="32"/>
          <w:lang w:val="en" w:eastAsia="zh-CN" w:bidi="ar-SA"/>
        </w:rPr>
        <w:t>4.</w:t>
      </w:r>
      <w:r>
        <w:rPr>
          <w:rFonts w:hint="eastAsia" w:ascii="宋体" w:hAnsi="宋体" w:eastAsia="仿宋_GB2312" w:cs="仿宋"/>
          <w:color w:val="000000"/>
          <w:kern w:val="2"/>
          <w:sz w:val="32"/>
          <w:szCs w:val="32"/>
          <w:lang w:val="en-US" w:eastAsia="zh-CN" w:bidi="ar-SA"/>
        </w:rPr>
        <w:t>一般公共服务（类）民主党派及工商联事务（款）参政议政（项）：指反映各民主党派为参政议政进行的调研、会议、检查等方面的支出。</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hint="eastAsia" w:ascii="宋体" w:hAnsi="宋体" w:eastAsia="仿宋_GB2312" w:cs="仿宋"/>
          <w:color w:val="000000"/>
          <w:kern w:val="2"/>
          <w:sz w:val="32"/>
          <w:szCs w:val="32"/>
          <w:lang w:val="en-US" w:eastAsia="zh-CN" w:bidi="ar-SA"/>
        </w:rPr>
      </w:pPr>
      <w:r>
        <w:rPr>
          <w:rStyle w:val="18"/>
          <w:rFonts w:hint="default" w:ascii="仿宋" w:hAnsi="仿宋" w:eastAsia="仿宋_GB2312" w:cs="仿宋"/>
          <w:b w:val="0"/>
          <w:color w:val="000000"/>
          <w:sz w:val="32"/>
          <w:szCs w:val="32"/>
          <w:lang w:val="en"/>
        </w:rPr>
        <w:t>5.</w:t>
      </w:r>
      <w:r>
        <w:rPr>
          <w:rStyle w:val="18"/>
          <w:rFonts w:hint="eastAsia" w:ascii="仿宋" w:hAnsi="仿宋" w:eastAsia="仿宋_GB2312" w:cs="仿宋"/>
          <w:b w:val="0"/>
          <w:color w:val="000000"/>
          <w:sz w:val="32"/>
          <w:szCs w:val="32"/>
        </w:rPr>
        <w:t>社</w:t>
      </w:r>
      <w:r>
        <w:rPr>
          <w:rStyle w:val="18"/>
          <w:rFonts w:hint="eastAsia" w:ascii="仿宋" w:hAnsi="仿宋" w:eastAsia="仿宋_GB2312" w:cs="仿宋"/>
          <w:b w:val="0"/>
          <w:color w:val="auto"/>
          <w:sz w:val="32"/>
          <w:szCs w:val="32"/>
        </w:rPr>
        <w:t>会保障和就业（类）行政事业单位养老支出（款）机关事业单位基本养老保险缴费支出（项）：</w:t>
      </w:r>
      <w:r>
        <w:rPr>
          <w:rFonts w:hint="eastAsia" w:ascii="仿宋" w:hAnsi="仿宋" w:eastAsia="仿宋_GB2312" w:cs="仿宋"/>
          <w:color w:val="auto"/>
          <w:sz w:val="32"/>
          <w:szCs w:val="32"/>
        </w:rPr>
        <w:t>指反映机关事业</w:t>
      </w:r>
      <w:r>
        <w:rPr>
          <w:rFonts w:hint="eastAsia" w:ascii="宋体" w:hAnsi="宋体" w:eastAsia="仿宋_GB2312" w:cs="仿宋"/>
          <w:color w:val="000000"/>
          <w:kern w:val="2"/>
          <w:sz w:val="32"/>
          <w:szCs w:val="32"/>
          <w:lang w:val="en-US" w:eastAsia="zh-CN" w:bidi="ar-SA"/>
        </w:rPr>
        <w:t>单位实施养老保险制度由单位缴纳的基本养老保险费支出。</w:t>
      </w:r>
    </w:p>
    <w:p>
      <w:pPr>
        <w:pStyle w:val="15"/>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hint="eastAsia" w:ascii="宋体" w:hAnsi="宋体" w:eastAsia="仿宋_GB2312" w:cs="仿宋"/>
          <w:color w:val="000000"/>
          <w:kern w:val="2"/>
          <w:sz w:val="32"/>
          <w:szCs w:val="32"/>
          <w:lang w:val="en-US" w:eastAsia="zh-CN" w:bidi="ar-SA"/>
        </w:rPr>
      </w:pPr>
      <w:r>
        <w:rPr>
          <w:rFonts w:hint="default" w:ascii="宋体" w:hAnsi="宋体" w:eastAsia="仿宋_GB2312" w:cs="仿宋"/>
          <w:color w:val="000000"/>
          <w:kern w:val="2"/>
          <w:sz w:val="32"/>
          <w:szCs w:val="32"/>
          <w:lang w:val="en" w:eastAsia="zh-CN" w:bidi="ar-SA"/>
        </w:rPr>
        <w:t>6.</w:t>
      </w:r>
      <w:r>
        <w:rPr>
          <w:rFonts w:hint="eastAsia" w:ascii="宋体" w:hAnsi="宋体" w:eastAsia="仿宋_GB2312" w:cs="仿宋"/>
          <w:color w:val="000000"/>
          <w:kern w:val="2"/>
          <w:sz w:val="32"/>
          <w:szCs w:val="32"/>
          <w:lang w:val="en-US" w:eastAsia="zh-CN" w:bidi="ar-SA"/>
        </w:rPr>
        <w:t xml:space="preserve">社会保障和就业支出（类）行政事业单位养老支出（款） </w:t>
      </w:r>
      <w:r>
        <w:rPr>
          <w:rFonts w:hint="default" w:ascii="宋体" w:hAnsi="宋体" w:eastAsia="仿宋_GB2312" w:cs="仿宋"/>
          <w:color w:val="000000"/>
          <w:kern w:val="2"/>
          <w:sz w:val="32"/>
          <w:szCs w:val="32"/>
          <w:lang w:val="en-US" w:eastAsia="zh-CN" w:bidi="ar-SA"/>
        </w:rPr>
        <w:t>行政单位离退休</w:t>
      </w:r>
      <w:r>
        <w:rPr>
          <w:rFonts w:hint="eastAsia" w:ascii="宋体" w:hAnsi="宋体" w:eastAsia="仿宋_GB2312" w:cs="仿宋"/>
          <w:color w:val="000000"/>
          <w:kern w:val="2"/>
          <w:sz w:val="32"/>
          <w:szCs w:val="32"/>
          <w:lang w:val="en-US" w:eastAsia="zh-CN" w:bidi="ar-SA"/>
        </w:rPr>
        <w:t>（项）：指反映行政单位（包括实行公务员管理的事业单位）开支的离退休经费。</w:t>
      </w:r>
    </w:p>
    <w:p>
      <w:pPr>
        <w:keepNext w:val="0"/>
        <w:keepLines w:val="0"/>
        <w:pageBreakBefore w:val="0"/>
        <w:widowControl w:val="0"/>
        <w:numPr>
          <w:ilvl w:val="0"/>
          <w:numId w:val="0"/>
        </w:numPr>
        <w:shd w:val="clear"/>
        <w:kinsoku/>
        <w:wordWrap/>
        <w:overflowPunct/>
        <w:topLinePunct w:val="0"/>
        <w:bidi w:val="0"/>
        <w:snapToGrid/>
        <w:spacing w:line="560" w:lineRule="exact"/>
        <w:ind w:firstLine="640" w:firstLineChars="200"/>
        <w:textAlignment w:val="auto"/>
        <w:rPr>
          <w:rFonts w:hint="eastAsia" w:ascii="宋体" w:hAnsi="宋体" w:eastAsia="仿宋_GB2312" w:cs="仿宋"/>
          <w:color w:val="000000"/>
          <w:kern w:val="2"/>
          <w:sz w:val="32"/>
          <w:szCs w:val="32"/>
          <w:lang w:val="en-US" w:eastAsia="zh-CN" w:bidi="ar-SA"/>
        </w:rPr>
      </w:pPr>
      <w:r>
        <w:rPr>
          <w:rFonts w:hint="default" w:ascii="宋体" w:hAnsi="宋体" w:eastAsia="仿宋_GB2312" w:cs="仿宋"/>
          <w:color w:val="000000"/>
          <w:kern w:val="2"/>
          <w:sz w:val="32"/>
          <w:szCs w:val="32"/>
          <w:lang w:val="en" w:eastAsia="zh-CN" w:bidi="ar-SA"/>
        </w:rPr>
        <w:t>7.</w:t>
      </w:r>
      <w:r>
        <w:rPr>
          <w:rFonts w:hint="eastAsia" w:ascii="宋体" w:hAnsi="宋体" w:eastAsia="仿宋_GB2312" w:cs="仿宋"/>
          <w:color w:val="000000"/>
          <w:kern w:val="2"/>
          <w:sz w:val="32"/>
          <w:szCs w:val="32"/>
          <w:lang w:val="en-US" w:eastAsia="zh-CN" w:bidi="ar-SA"/>
        </w:rPr>
        <w:t>社会保障和就业支出（类）</w:t>
      </w:r>
      <w:r>
        <w:rPr>
          <w:rFonts w:hint="default" w:ascii="宋体" w:hAnsi="宋体" w:eastAsia="仿宋_GB2312" w:cs="仿宋"/>
          <w:color w:val="000000"/>
          <w:kern w:val="2"/>
          <w:sz w:val="32"/>
          <w:szCs w:val="32"/>
          <w:lang w:val="en-US" w:eastAsia="zh-CN" w:bidi="ar-SA"/>
        </w:rPr>
        <w:t>其他社会和保障就业支出（款）其他社会和保障就业支出（项）</w:t>
      </w:r>
      <w:r>
        <w:rPr>
          <w:rFonts w:hint="default" w:ascii="宋体" w:hAnsi="宋体" w:eastAsia="仿宋_GB2312" w:cs="仿宋"/>
          <w:color w:val="000000"/>
          <w:kern w:val="2"/>
          <w:sz w:val="32"/>
          <w:szCs w:val="32"/>
          <w:lang w:val="en" w:eastAsia="zh-CN" w:bidi="ar-SA"/>
        </w:rPr>
        <w:t>:</w:t>
      </w:r>
      <w:r>
        <w:rPr>
          <w:rFonts w:hint="eastAsia" w:ascii="宋体" w:hAnsi="宋体" w:eastAsia="仿宋_GB2312" w:cs="仿宋"/>
          <w:color w:val="000000"/>
          <w:kern w:val="2"/>
          <w:sz w:val="32"/>
          <w:szCs w:val="32"/>
          <w:lang w:val="en-US" w:eastAsia="zh-CN" w:bidi="ar-SA"/>
        </w:rPr>
        <w:t>指反映除上述项目以外其他用于社会保障和就业方面的支出。</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ascii="仿宋" w:hAnsi="仿宋" w:eastAsia="仿宋_GB2312"/>
          <w:color w:val="000000"/>
          <w:sz w:val="32"/>
          <w:szCs w:val="32"/>
        </w:rPr>
      </w:pPr>
      <w:r>
        <w:rPr>
          <w:rStyle w:val="18"/>
          <w:rFonts w:hint="default" w:ascii="仿宋" w:hAnsi="仿宋" w:eastAsia="仿宋_GB2312" w:cs="仿宋"/>
          <w:b w:val="0"/>
          <w:color w:val="000000"/>
          <w:sz w:val="32"/>
          <w:szCs w:val="32"/>
          <w:lang w:val="en"/>
        </w:rPr>
        <w:t>8.</w:t>
      </w:r>
      <w:r>
        <w:rPr>
          <w:rStyle w:val="18"/>
          <w:rFonts w:hint="eastAsia" w:ascii="仿宋" w:hAnsi="仿宋" w:eastAsia="仿宋_GB2312" w:cs="仿宋"/>
          <w:b w:val="0"/>
          <w:color w:val="000000"/>
          <w:sz w:val="32"/>
          <w:szCs w:val="32"/>
        </w:rPr>
        <w:t>卫生健康支出（类）行政事业单位医疗（款）</w:t>
      </w:r>
      <w:r>
        <w:rPr>
          <w:rStyle w:val="18"/>
          <w:rFonts w:hint="eastAsia" w:ascii="仿宋" w:hAnsi="仿宋" w:eastAsia="仿宋_GB2312" w:cs="仿宋"/>
          <w:b w:val="0"/>
          <w:color w:val="000000"/>
          <w:sz w:val="32"/>
          <w:szCs w:val="32"/>
          <w:lang w:val="en-US" w:eastAsia="zh-CN"/>
        </w:rPr>
        <w:t>行政</w:t>
      </w:r>
      <w:r>
        <w:rPr>
          <w:rStyle w:val="18"/>
          <w:rFonts w:hint="eastAsia" w:ascii="仿宋" w:hAnsi="仿宋" w:eastAsia="仿宋_GB2312" w:cs="仿宋"/>
          <w:b w:val="0"/>
          <w:color w:val="000000"/>
          <w:sz w:val="32"/>
          <w:szCs w:val="32"/>
        </w:rPr>
        <w:t>单位医疗（项）：</w:t>
      </w:r>
      <w:r>
        <w:rPr>
          <w:rFonts w:hint="eastAsia" w:ascii="仿宋" w:hAnsi="仿宋" w:eastAsia="仿宋_GB2312" w:cs="仿宋"/>
          <w:color w:val="000000"/>
          <w:sz w:val="32"/>
          <w:szCs w:val="32"/>
        </w:rPr>
        <w:t>指反映财政部门集中安排的</w:t>
      </w:r>
      <w:r>
        <w:rPr>
          <w:rFonts w:hint="eastAsia" w:ascii="仿宋" w:hAnsi="仿宋" w:eastAsia="仿宋_GB2312" w:cs="仿宋"/>
          <w:color w:val="000000"/>
          <w:sz w:val="32"/>
          <w:szCs w:val="32"/>
          <w:lang w:val="en-US" w:eastAsia="zh-CN"/>
        </w:rPr>
        <w:t>行政</w:t>
      </w:r>
      <w:r>
        <w:rPr>
          <w:rFonts w:hint="eastAsia" w:ascii="仿宋" w:hAnsi="仿宋" w:eastAsia="仿宋_GB2312" w:cs="仿宋"/>
          <w:color w:val="000000"/>
          <w:sz w:val="32"/>
          <w:szCs w:val="32"/>
        </w:rPr>
        <w:t>单位基本医疗保险缴费经费，未参加医疗保险的行政单位的公费医疗经费，按国家规定享受离休人员待遇的医疗经费。</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hint="eastAsia" w:ascii="仿宋" w:hAnsi="仿宋" w:eastAsia="仿宋_GB2312" w:cs="仿宋"/>
          <w:color w:val="000000"/>
          <w:sz w:val="32"/>
          <w:szCs w:val="32"/>
        </w:rPr>
      </w:pPr>
      <w:r>
        <w:rPr>
          <w:rStyle w:val="18"/>
          <w:rFonts w:hint="default" w:ascii="仿宋" w:hAnsi="仿宋" w:eastAsia="仿宋_GB2312" w:cs="仿宋"/>
          <w:b w:val="0"/>
          <w:color w:val="000000"/>
          <w:sz w:val="32"/>
          <w:szCs w:val="32"/>
          <w:lang w:val="en"/>
        </w:rPr>
        <w:t>9.</w:t>
      </w:r>
      <w:r>
        <w:rPr>
          <w:rStyle w:val="18"/>
          <w:rFonts w:hint="eastAsia" w:ascii="仿宋" w:hAnsi="仿宋" w:eastAsia="仿宋_GB2312" w:cs="仿宋"/>
          <w:b w:val="0"/>
          <w:color w:val="000000"/>
          <w:sz w:val="32"/>
          <w:szCs w:val="32"/>
        </w:rPr>
        <w:t>住房保障支出（类）住房改革支出（款）住房公积金（项）：</w:t>
      </w:r>
      <w:r>
        <w:rPr>
          <w:rFonts w:hint="eastAsia" w:ascii="仿宋" w:hAnsi="仿宋" w:eastAsia="仿宋_GB2312" w:cs="仿宋"/>
          <w:color w:val="000000"/>
          <w:sz w:val="32"/>
          <w:szCs w:val="32"/>
        </w:rPr>
        <w:t>指反映行政事业单位按人力资源和社会保障部、财政部规定的基本工资和津贴补贴以及规定比例为职工缴纳的住房公积金。</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ascii="仿宋" w:hAnsi="仿宋" w:eastAsia="仿宋_GB2312"/>
          <w:color w:val="000000"/>
          <w:sz w:val="32"/>
          <w:szCs w:val="32"/>
        </w:rPr>
      </w:pPr>
      <w:r>
        <w:rPr>
          <w:rFonts w:hint="default" w:ascii="仿宋" w:hAnsi="仿宋" w:eastAsia="仿宋_GB2312" w:cs="仿宋"/>
          <w:color w:val="000000"/>
          <w:sz w:val="32"/>
          <w:szCs w:val="32"/>
          <w:lang w:val="en"/>
        </w:rPr>
        <w:t>10.</w:t>
      </w:r>
      <w:r>
        <w:rPr>
          <w:rFonts w:hint="eastAsia" w:ascii="仿宋" w:hAnsi="仿宋" w:eastAsia="仿宋_GB2312" w:cs="仿宋"/>
          <w:color w:val="000000"/>
          <w:sz w:val="32"/>
          <w:szCs w:val="32"/>
        </w:rPr>
        <w:t>基本支出：指为保障机构正常运转、完成日常工作任务而发生的人员支出和公用支出。</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ascii="仿宋" w:hAnsi="仿宋" w:eastAsia="仿宋_GB2312"/>
          <w:color w:val="000000"/>
          <w:sz w:val="32"/>
          <w:szCs w:val="32"/>
        </w:rPr>
      </w:pPr>
      <w:r>
        <w:rPr>
          <w:rFonts w:hint="default" w:ascii="仿宋" w:hAnsi="仿宋" w:eastAsia="仿宋_GB2312" w:cs="仿宋"/>
          <w:color w:val="000000"/>
          <w:sz w:val="32"/>
          <w:szCs w:val="32"/>
          <w:lang w:val="en"/>
        </w:rPr>
        <w:t>11.</w:t>
      </w:r>
      <w:r>
        <w:rPr>
          <w:rFonts w:hint="eastAsia" w:ascii="仿宋" w:hAnsi="仿宋" w:eastAsia="仿宋_GB2312" w:cs="仿宋"/>
          <w:color w:val="000000"/>
          <w:sz w:val="32"/>
          <w:szCs w:val="32"/>
        </w:rPr>
        <w:t>项目支出：指在基本支出之外为完成特定行政任务和事业发展目标所发生的支出。</w:t>
      </w:r>
    </w:p>
    <w:p>
      <w:pPr>
        <w:pStyle w:val="30"/>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hAnsi="仿宋" w:eastAsia="仿宋_GB2312" w:cs="Times New Roman"/>
          <w:sz w:val="32"/>
          <w:szCs w:val="32"/>
        </w:rPr>
      </w:pPr>
      <w:r>
        <w:rPr>
          <w:rFonts w:hint="default" w:hAnsi="仿宋" w:eastAsia="仿宋_GB2312"/>
          <w:sz w:val="32"/>
          <w:szCs w:val="32"/>
          <w:lang w:val="en"/>
        </w:rPr>
        <w:t>12.</w:t>
      </w:r>
      <w:r>
        <w:rPr>
          <w:rFonts w:hint="eastAsia" w:hAnsi="仿宋" w:eastAsia="仿宋_GB2312"/>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0"/>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hint="eastAsia" w:hAnsi="仿宋" w:eastAsia="仿宋_GB2312"/>
          <w:sz w:val="32"/>
          <w:szCs w:val="32"/>
        </w:rPr>
      </w:pPr>
      <w:r>
        <w:rPr>
          <w:rFonts w:hint="default" w:hAnsi="仿宋" w:eastAsia="仿宋_GB2312"/>
          <w:sz w:val="32"/>
          <w:szCs w:val="32"/>
          <w:lang w:val="en"/>
        </w:rPr>
        <w:t>13.</w:t>
      </w:r>
      <w:r>
        <w:rPr>
          <w:rFonts w:hint="eastAsia" w:hAnsi="仿宋"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0"/>
          <w:rFonts w:hint="eastAsia" w:ascii="黑体" w:hAnsi="黑体" w:eastAsia="黑体"/>
          <w:b w:val="0"/>
          <w:color w:val="FF0000"/>
          <w:highlight w:val="none"/>
          <w:lang w:eastAsia="zh-CN"/>
        </w:rPr>
      </w:pPr>
      <w:bookmarkStart w:id="73" w:name="_Toc128"/>
      <w:r>
        <w:rPr>
          <w:rFonts w:ascii="宋体"/>
          <w:b/>
          <w:color w:val="auto"/>
          <w:sz w:val="44"/>
          <w:szCs w:val="44"/>
          <w:highlight w:val="none"/>
        </w:rPr>
        <w:br w:type="page"/>
      </w:r>
      <w:bookmarkStart w:id="74" w:name="_Toc15396614"/>
      <w:r>
        <w:rPr>
          <w:rFonts w:hint="eastAsia" w:ascii="方正小标宋简体" w:hAnsi="方正小标宋简体" w:eastAsia="方正小标宋简体" w:cs="方正小标宋简体"/>
          <w:color w:val="auto"/>
          <w:sz w:val="44"/>
          <w:szCs w:val="44"/>
          <w:highlight w:val="none"/>
        </w:rPr>
        <w:t>第</w:t>
      </w:r>
      <w:r>
        <w:rPr>
          <w:rStyle w:val="20"/>
          <w:rFonts w:hint="eastAsia" w:ascii="方正小标宋简体" w:hAnsi="方正小标宋简体" w:eastAsia="方正小标宋简体" w:cs="方正小标宋简体"/>
          <w:b w:val="0"/>
          <w:color w:val="auto"/>
          <w:highlight w:val="none"/>
        </w:rPr>
        <w:t>四部分 附件</w:t>
      </w:r>
      <w:bookmarkEnd w:id="73"/>
      <w:bookmarkEnd w:id="74"/>
    </w:p>
    <w:p>
      <w:pPr>
        <w:widowControl/>
        <w:adjustRightInd w:val="0"/>
        <w:snapToGrid w:val="0"/>
        <w:spacing w:line="580" w:lineRule="exact"/>
        <w:contextualSpacing/>
        <w:jc w:val="left"/>
        <w:rPr>
          <w:rFonts w:hint="default" w:ascii="仿宋_GB2312" w:hAnsi="宋体" w:cs="宋体"/>
          <w:color w:val="auto"/>
          <w:kern w:val="0"/>
          <w:szCs w:val="32"/>
          <w:shd w:val="clear" w:color="auto" w:fill="FFFFFF"/>
          <w:lang w:val="en-US" w:eastAsia="zh-CN"/>
        </w:rPr>
      </w:pPr>
    </w:p>
    <w:p>
      <w:pPr>
        <w:pStyle w:val="2"/>
        <w:rPr>
          <w:rFonts w:hint="default" w:ascii="仿宋_GB2312" w:hAnsi="宋体" w:cs="宋体"/>
          <w:color w:val="auto"/>
          <w:kern w:val="0"/>
          <w:szCs w:val="32"/>
          <w:shd w:val="clear" w:color="auto" w:fill="FFFFFF"/>
          <w:lang w:val="en-US" w:eastAsia="zh-CN"/>
        </w:rPr>
      </w:pPr>
    </w:p>
    <w:p>
      <w:pPr>
        <w:ind w:firstLine="640" w:firstLineChars="200"/>
        <w:rPr>
          <w:rFonts w:hint="default"/>
          <w:lang w:val="en-US" w:eastAsia="zh-CN"/>
        </w:rPr>
      </w:pPr>
      <w:r>
        <w:rPr>
          <w:rFonts w:hint="eastAsia" w:ascii="仿宋_GB2312" w:hAnsi="仿宋_GB2312" w:eastAsia="仿宋_GB2312" w:cs="仿宋_GB2312"/>
          <w:sz w:val="32"/>
          <w:szCs w:val="32"/>
          <w:lang w:val="en-US" w:eastAsia="zh-CN"/>
        </w:rPr>
        <w:t>部门预算项目支出绩效自评表（2022年度）</w:t>
      </w:r>
      <w:r>
        <w:rPr>
          <w:rFonts w:hint="default" w:ascii="仿宋_GB2312" w:hAnsi="仿宋_GB2312" w:eastAsia="仿宋_GB2312" w:cs="仿宋_GB2312"/>
          <w:sz w:val="32"/>
          <w:szCs w:val="32"/>
          <w:lang w:eastAsia="zh-CN"/>
        </w:rPr>
        <w:t>见附件。</w:t>
      </w:r>
    </w:p>
    <w:p>
      <w:pPr>
        <w:pStyle w:val="15"/>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FF0000"/>
          <w:w w:val="100"/>
          <w:sz w:val="32"/>
          <w:szCs w:val="32"/>
          <w:highlight w:val="none"/>
          <w:lang w:val="zh-CN" w:eastAsia="zh-CN"/>
        </w:rPr>
      </w:pPr>
    </w:p>
    <w:p>
      <w:pPr>
        <w:pStyle w:val="15"/>
        <w:keepNext w:val="0"/>
        <w:keepLines w:val="0"/>
        <w:pageBreakBefore w:val="0"/>
        <w:numPr>
          <w:ilvl w:val="0"/>
          <w:numId w:val="0"/>
        </w:numPr>
        <w:kinsoku/>
        <w:wordWrap/>
        <w:overflowPunct/>
        <w:topLinePunct w:val="0"/>
        <w:autoSpaceDE/>
        <w:autoSpaceDN/>
        <w:bidi w:val="0"/>
        <w:spacing w:line="560" w:lineRule="exact"/>
        <w:textAlignment w:val="auto"/>
        <w:rPr>
          <w:rFonts w:hint="eastAsia" w:hAnsi="Times New Roman" w:cs="Times New Roman"/>
          <w:color w:val="FF0000"/>
          <w:w w:val="100"/>
          <w:sz w:val="32"/>
          <w:szCs w:val="32"/>
          <w:highlight w:val="none"/>
          <w:lang w:val="zh-CN" w:eastAsia="zh-CN"/>
        </w:rPr>
      </w:pPr>
    </w:p>
    <w:p>
      <w:pPr>
        <w:pStyle w:val="6"/>
        <w:rPr>
          <w:rFonts w:hint="eastAsia" w:hAnsi="宋体" w:cs="宋体"/>
          <w:color w:val="FF0000"/>
          <w:w w:val="100"/>
          <w:kern w:val="0"/>
          <w:sz w:val="32"/>
          <w:szCs w:val="32"/>
          <w:highlight w:val="none"/>
          <w:shd w:val="clear" w:color="auto" w:fill="FFFFFF"/>
          <w:lang w:val="zh-CN"/>
        </w:rPr>
      </w:pPr>
    </w:p>
    <w:p>
      <w:pPr>
        <w:pStyle w:val="6"/>
        <w:rPr>
          <w:rFonts w:hint="eastAsia" w:hAnsi="宋体" w:cs="宋体"/>
          <w:color w:val="FF0000"/>
          <w:w w:val="100"/>
          <w:kern w:val="0"/>
          <w:sz w:val="32"/>
          <w:szCs w:val="32"/>
          <w:highlight w:val="none"/>
          <w:shd w:val="clear" w:color="auto" w:fill="FFFFFF"/>
          <w:lang w:val="zh-CN"/>
        </w:rPr>
      </w:pPr>
    </w:p>
    <w:p>
      <w:pPr>
        <w:pStyle w:val="6"/>
        <w:rPr>
          <w:rFonts w:hint="eastAsia" w:hAnsi="宋体" w:cs="宋体"/>
          <w:color w:val="FF0000"/>
          <w:w w:val="100"/>
          <w:kern w:val="0"/>
          <w:sz w:val="32"/>
          <w:szCs w:val="32"/>
          <w:highlight w:val="none"/>
          <w:shd w:val="clear" w:color="auto" w:fill="FFFFFF"/>
          <w:lang w:val="zh-CN"/>
        </w:rPr>
      </w:pPr>
    </w:p>
    <w:p>
      <w:pPr>
        <w:pStyle w:val="6"/>
        <w:rPr>
          <w:rFonts w:hint="eastAsia" w:hAnsi="宋体" w:cs="宋体"/>
          <w:color w:val="FF0000"/>
          <w:w w:val="100"/>
          <w:kern w:val="0"/>
          <w:sz w:val="32"/>
          <w:szCs w:val="32"/>
          <w:highlight w:val="none"/>
          <w:shd w:val="clear" w:color="auto" w:fill="FFFFFF"/>
          <w:lang w:val="zh-CN"/>
        </w:rPr>
      </w:pPr>
    </w:p>
    <w:p>
      <w:pPr>
        <w:pStyle w:val="6"/>
        <w:rPr>
          <w:rFonts w:hint="eastAsia" w:hAnsi="宋体" w:cs="宋体"/>
          <w:color w:val="FF0000"/>
          <w:w w:val="100"/>
          <w:kern w:val="0"/>
          <w:sz w:val="32"/>
          <w:szCs w:val="32"/>
          <w:highlight w:val="none"/>
          <w:shd w:val="clear" w:color="auto" w:fill="FFFFFF"/>
          <w:lang w:val="zh-CN"/>
        </w:rPr>
      </w:pPr>
    </w:p>
    <w:p>
      <w:pPr>
        <w:spacing w:line="580" w:lineRule="exact"/>
        <w:rPr>
          <w:rStyle w:val="20"/>
          <w:rFonts w:ascii="黑体" w:hAnsi="黑体" w:eastAsia="黑体"/>
          <w:b w:val="0"/>
          <w:color w:val="FF0000"/>
          <w:highlight w:val="none"/>
        </w:rPr>
      </w:pPr>
    </w:p>
    <w:p>
      <w:pPr>
        <w:widowControl/>
        <w:jc w:val="left"/>
        <w:rPr>
          <w:rStyle w:val="20"/>
          <w:rFonts w:ascii="黑体" w:hAnsi="黑体" w:eastAsia="黑体"/>
          <w:b w:val="0"/>
          <w:color w:val="FF0000"/>
          <w:highlight w:val="none"/>
        </w:rPr>
      </w:pPr>
      <w:r>
        <w:rPr>
          <w:rStyle w:val="20"/>
          <w:rFonts w:ascii="黑体" w:hAnsi="黑体" w:eastAsia="黑体"/>
          <w:b w:val="0"/>
          <w:color w:val="FF0000"/>
          <w:highlight w:val="none"/>
        </w:rPr>
        <w:br w:type="page"/>
      </w:r>
    </w:p>
    <w:p>
      <w:pPr>
        <w:spacing w:line="600" w:lineRule="exact"/>
        <w:jc w:val="center"/>
        <w:outlineLvl w:val="0"/>
        <w:rPr>
          <w:rFonts w:hint="eastAsia" w:ascii="仿宋" w:hAnsi="仿宋" w:eastAsia="仿宋"/>
          <w:b w:val="0"/>
          <w:color w:val="auto"/>
          <w:highlight w:val="none"/>
        </w:rPr>
      </w:pPr>
      <w:bookmarkStart w:id="75" w:name="_Toc15396618"/>
      <w:bookmarkStart w:id="76" w:name="_Toc24486"/>
      <w:r>
        <w:rPr>
          <w:rFonts w:hint="eastAsia" w:ascii="黑体" w:hAnsi="黑体" w:eastAsia="黑体"/>
          <w:color w:val="auto"/>
          <w:sz w:val="44"/>
          <w:szCs w:val="44"/>
          <w:highlight w:val="none"/>
        </w:rPr>
        <w:t>第</w:t>
      </w:r>
      <w:r>
        <w:rPr>
          <w:rStyle w:val="20"/>
          <w:rFonts w:hint="eastAsia" w:ascii="黑体" w:hAnsi="黑体" w:eastAsia="黑体"/>
          <w:b w:val="0"/>
          <w:color w:val="auto"/>
          <w:highlight w:val="none"/>
        </w:rPr>
        <w:t>五部分 附表</w:t>
      </w:r>
      <w:bookmarkEnd w:id="72"/>
      <w:bookmarkEnd w:id="75"/>
      <w:bookmarkEnd w:id="76"/>
      <w:bookmarkStart w:id="77" w:name="_Toc15396619"/>
    </w:p>
    <w:p>
      <w:pPr>
        <w:pStyle w:val="4"/>
        <w:rPr>
          <w:rFonts w:ascii="仿宋" w:hAnsi="仿宋" w:eastAsia="仿宋"/>
          <w:color w:val="auto"/>
          <w:highlight w:val="none"/>
        </w:rPr>
      </w:pPr>
      <w:bookmarkStart w:id="78" w:name="_Toc29552"/>
      <w:r>
        <w:rPr>
          <w:rFonts w:hint="eastAsia" w:ascii="仿宋" w:hAnsi="仿宋" w:eastAsia="仿宋"/>
          <w:b w:val="0"/>
          <w:color w:val="auto"/>
          <w:highlight w:val="none"/>
        </w:rPr>
        <w:t>一、收</w:t>
      </w:r>
      <w:r>
        <w:rPr>
          <w:rStyle w:val="21"/>
          <w:rFonts w:hint="eastAsia" w:ascii="仿宋" w:hAnsi="仿宋" w:eastAsia="仿宋"/>
          <w:b w:val="0"/>
          <w:bCs w:val="0"/>
          <w:color w:val="auto"/>
          <w:highlight w:val="none"/>
        </w:rPr>
        <w:t>入支出决算总表</w:t>
      </w:r>
      <w:bookmarkEnd w:id="77"/>
      <w:bookmarkEnd w:id="78"/>
    </w:p>
    <w:p>
      <w:pPr>
        <w:pStyle w:val="4"/>
        <w:rPr>
          <w:rFonts w:ascii="仿宋" w:hAnsi="仿宋" w:eastAsia="仿宋"/>
          <w:color w:val="auto"/>
          <w:highlight w:val="none"/>
        </w:rPr>
      </w:pPr>
      <w:bookmarkStart w:id="79" w:name="_Toc15396620"/>
      <w:bookmarkStart w:id="80" w:name="_Toc26819"/>
      <w:r>
        <w:rPr>
          <w:rFonts w:hint="eastAsia" w:ascii="仿宋" w:hAnsi="仿宋" w:eastAsia="仿宋"/>
          <w:b w:val="0"/>
          <w:color w:val="auto"/>
          <w:highlight w:val="none"/>
        </w:rPr>
        <w:t>二、收</w:t>
      </w:r>
      <w:r>
        <w:rPr>
          <w:rStyle w:val="21"/>
          <w:rFonts w:hint="eastAsia" w:ascii="仿宋" w:hAnsi="仿宋" w:eastAsia="仿宋"/>
          <w:b w:val="0"/>
          <w:bCs w:val="0"/>
          <w:color w:val="auto"/>
          <w:highlight w:val="none"/>
        </w:rPr>
        <w:t>入决算表</w:t>
      </w:r>
      <w:bookmarkEnd w:id="79"/>
      <w:bookmarkEnd w:id="80"/>
    </w:p>
    <w:p>
      <w:pPr>
        <w:pStyle w:val="4"/>
        <w:rPr>
          <w:rFonts w:ascii="仿宋" w:hAnsi="仿宋" w:eastAsia="仿宋"/>
          <w:color w:val="auto"/>
          <w:highlight w:val="none"/>
        </w:rPr>
      </w:pPr>
      <w:bookmarkStart w:id="81" w:name="_Toc15396621"/>
      <w:bookmarkStart w:id="82" w:name="_Toc13352"/>
      <w:r>
        <w:rPr>
          <w:rStyle w:val="21"/>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1"/>
          <w:rFonts w:hint="eastAsia" w:ascii="仿宋" w:hAnsi="仿宋" w:eastAsia="仿宋"/>
          <w:b w:val="0"/>
          <w:bCs w:val="0"/>
          <w:color w:val="auto"/>
          <w:highlight w:val="none"/>
        </w:rPr>
        <w:t>出决算表</w:t>
      </w:r>
      <w:bookmarkEnd w:id="81"/>
      <w:bookmarkEnd w:id="82"/>
    </w:p>
    <w:p>
      <w:pPr>
        <w:pStyle w:val="4"/>
        <w:rPr>
          <w:rFonts w:ascii="仿宋" w:hAnsi="仿宋" w:eastAsia="仿宋"/>
          <w:b w:val="0"/>
          <w:color w:val="auto"/>
          <w:highlight w:val="none"/>
        </w:rPr>
      </w:pPr>
      <w:bookmarkStart w:id="83" w:name="_Toc15396622"/>
      <w:bookmarkStart w:id="84" w:name="_Toc22414"/>
      <w:r>
        <w:rPr>
          <w:rStyle w:val="21"/>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1"/>
          <w:rFonts w:hint="eastAsia" w:ascii="仿宋" w:hAnsi="仿宋" w:eastAsia="仿宋"/>
          <w:b w:val="0"/>
          <w:bCs w:val="0"/>
          <w:color w:val="auto"/>
          <w:highlight w:val="none"/>
        </w:rPr>
        <w:t>政拨款收入支出决算总表</w:t>
      </w:r>
      <w:bookmarkEnd w:id="83"/>
      <w:bookmarkEnd w:id="84"/>
    </w:p>
    <w:p>
      <w:pPr>
        <w:pStyle w:val="4"/>
        <w:rPr>
          <w:rStyle w:val="21"/>
          <w:rFonts w:ascii="仿宋" w:hAnsi="仿宋" w:eastAsia="仿宋"/>
          <w:b w:val="0"/>
          <w:bCs w:val="0"/>
          <w:color w:val="auto"/>
          <w:highlight w:val="none"/>
        </w:rPr>
      </w:pPr>
      <w:bookmarkStart w:id="85" w:name="_Toc15396623"/>
      <w:bookmarkStart w:id="86" w:name="_Toc1419"/>
      <w:r>
        <w:rPr>
          <w:rStyle w:val="21"/>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1"/>
          <w:rFonts w:hint="eastAsia" w:ascii="仿宋" w:hAnsi="仿宋" w:eastAsia="仿宋"/>
          <w:b w:val="0"/>
          <w:bCs w:val="0"/>
          <w:color w:val="auto"/>
          <w:highlight w:val="none"/>
        </w:rPr>
        <w:t>政拨款支出决算明细表</w:t>
      </w:r>
      <w:bookmarkEnd w:id="85"/>
      <w:bookmarkEnd w:id="86"/>
      <w:bookmarkStart w:id="87" w:name="_Toc15396624"/>
    </w:p>
    <w:p>
      <w:pPr>
        <w:pStyle w:val="4"/>
        <w:rPr>
          <w:rFonts w:ascii="仿宋" w:hAnsi="仿宋" w:eastAsia="仿宋"/>
          <w:color w:val="auto"/>
          <w:highlight w:val="none"/>
        </w:rPr>
      </w:pPr>
      <w:bookmarkStart w:id="88" w:name="_Toc30774"/>
      <w:r>
        <w:rPr>
          <w:rStyle w:val="21"/>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般公共预算财政拨款支出决算表</w:t>
      </w:r>
      <w:bookmarkEnd w:id="87"/>
      <w:bookmarkEnd w:id="88"/>
    </w:p>
    <w:p>
      <w:pPr>
        <w:pStyle w:val="4"/>
        <w:rPr>
          <w:rFonts w:ascii="仿宋" w:hAnsi="仿宋" w:eastAsia="仿宋"/>
          <w:color w:val="auto"/>
          <w:highlight w:val="none"/>
        </w:rPr>
      </w:pPr>
      <w:bookmarkStart w:id="89" w:name="_Toc6848"/>
      <w:bookmarkStart w:id="90" w:name="_Toc15396625"/>
      <w:r>
        <w:rPr>
          <w:rStyle w:val="21"/>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般公共预算财政拨款支出决算明细表</w:t>
      </w:r>
      <w:bookmarkEnd w:id="89"/>
      <w:bookmarkEnd w:id="90"/>
    </w:p>
    <w:p>
      <w:pPr>
        <w:pStyle w:val="4"/>
        <w:rPr>
          <w:rFonts w:ascii="仿宋" w:hAnsi="仿宋" w:eastAsia="仿宋"/>
          <w:color w:val="auto"/>
          <w:highlight w:val="none"/>
        </w:rPr>
      </w:pPr>
      <w:bookmarkStart w:id="91" w:name="_Toc15396626"/>
      <w:bookmarkStart w:id="92" w:name="_Toc12848"/>
      <w:r>
        <w:rPr>
          <w:rStyle w:val="21"/>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般公共预算财政拨款基本支出决算表</w:t>
      </w:r>
      <w:bookmarkEnd w:id="91"/>
      <w:bookmarkEnd w:id="92"/>
    </w:p>
    <w:p>
      <w:pPr>
        <w:pStyle w:val="4"/>
        <w:rPr>
          <w:rFonts w:ascii="仿宋" w:hAnsi="仿宋" w:eastAsia="仿宋"/>
          <w:color w:val="auto"/>
          <w:highlight w:val="none"/>
        </w:rPr>
      </w:pPr>
      <w:bookmarkStart w:id="93" w:name="_Toc15396627"/>
      <w:bookmarkStart w:id="94" w:name="_Toc25260"/>
      <w:r>
        <w:rPr>
          <w:rStyle w:val="21"/>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1"/>
          <w:rFonts w:hint="eastAsia" w:ascii="仿宋" w:hAnsi="仿宋" w:eastAsia="仿宋"/>
          <w:b w:val="0"/>
          <w:bCs w:val="0"/>
          <w:color w:val="auto"/>
          <w:highlight w:val="none"/>
        </w:rPr>
        <w:t>般公共预算财政拨款项目支出决算表</w:t>
      </w:r>
      <w:bookmarkEnd w:id="93"/>
      <w:bookmarkEnd w:id="94"/>
    </w:p>
    <w:p>
      <w:pPr>
        <w:pStyle w:val="4"/>
        <w:rPr>
          <w:rFonts w:ascii="仿宋" w:hAnsi="仿宋" w:eastAsia="仿宋"/>
          <w:color w:val="auto"/>
          <w:highlight w:val="none"/>
        </w:rPr>
      </w:pPr>
      <w:bookmarkStart w:id="95" w:name="_Toc15396628"/>
      <w:bookmarkStart w:id="96" w:name="_Toc20742"/>
      <w:r>
        <w:rPr>
          <w:rStyle w:val="21"/>
          <w:rFonts w:hint="eastAsia" w:ascii="仿宋" w:hAnsi="仿宋" w:eastAsia="仿宋"/>
          <w:b w:val="0"/>
          <w:bCs w:val="0"/>
          <w:color w:val="auto"/>
          <w:highlight w:val="none"/>
        </w:rPr>
        <w:t>十、</w:t>
      </w:r>
      <w:bookmarkEnd w:id="95"/>
      <w:r>
        <w:rPr>
          <w:rFonts w:hint="eastAsia" w:ascii="仿宋" w:hAnsi="仿宋" w:eastAsia="仿宋"/>
          <w:b w:val="0"/>
          <w:color w:val="auto"/>
          <w:highlight w:val="none"/>
        </w:rPr>
        <w:t>政</w:t>
      </w:r>
      <w:r>
        <w:rPr>
          <w:rStyle w:val="21"/>
          <w:rFonts w:hint="eastAsia" w:ascii="仿宋" w:hAnsi="仿宋" w:eastAsia="仿宋"/>
          <w:b w:val="0"/>
          <w:bCs w:val="0"/>
          <w:color w:val="auto"/>
          <w:highlight w:val="none"/>
        </w:rPr>
        <w:t>府性基金预算财政拨款收入支出决算表</w:t>
      </w:r>
      <w:bookmarkEnd w:id="96"/>
    </w:p>
    <w:p>
      <w:pPr>
        <w:pStyle w:val="4"/>
        <w:rPr>
          <w:rFonts w:ascii="仿宋" w:hAnsi="仿宋" w:eastAsia="仿宋"/>
          <w:color w:val="auto"/>
          <w:highlight w:val="none"/>
        </w:rPr>
      </w:pPr>
      <w:bookmarkStart w:id="97" w:name="_Toc15396629"/>
      <w:bookmarkStart w:id="98" w:name="_Toc6653"/>
      <w:r>
        <w:rPr>
          <w:rStyle w:val="21"/>
          <w:rFonts w:hint="eastAsia" w:ascii="仿宋" w:hAnsi="仿宋" w:eastAsia="仿宋"/>
          <w:b w:val="0"/>
          <w:bCs w:val="0"/>
          <w:color w:val="auto"/>
          <w:highlight w:val="none"/>
        </w:rPr>
        <w:t>十一、</w:t>
      </w:r>
      <w:bookmarkEnd w:id="97"/>
      <w:r>
        <w:rPr>
          <w:rFonts w:hint="eastAsia" w:ascii="仿宋" w:hAnsi="仿宋" w:eastAsia="仿宋"/>
          <w:b w:val="0"/>
          <w:color w:val="auto"/>
          <w:highlight w:val="none"/>
        </w:rPr>
        <w:t>国</w:t>
      </w:r>
      <w:r>
        <w:rPr>
          <w:rStyle w:val="21"/>
          <w:rFonts w:hint="eastAsia" w:ascii="仿宋" w:hAnsi="仿宋" w:eastAsia="仿宋"/>
          <w:b w:val="0"/>
          <w:bCs w:val="0"/>
          <w:color w:val="auto"/>
          <w:highlight w:val="none"/>
        </w:rPr>
        <w:t>有资本经营预算</w:t>
      </w:r>
      <w:r>
        <w:rPr>
          <w:rStyle w:val="21"/>
          <w:rFonts w:hint="eastAsia" w:ascii="仿宋" w:hAnsi="仿宋" w:eastAsia="仿宋"/>
          <w:b w:val="0"/>
          <w:bCs w:val="0"/>
          <w:color w:val="auto"/>
          <w:highlight w:val="none"/>
          <w:lang w:eastAsia="zh-CN"/>
        </w:rPr>
        <w:t>财政拨款收入</w:t>
      </w:r>
      <w:r>
        <w:rPr>
          <w:rStyle w:val="21"/>
          <w:rFonts w:hint="eastAsia" w:ascii="仿宋" w:hAnsi="仿宋" w:eastAsia="仿宋"/>
          <w:b w:val="0"/>
          <w:bCs w:val="0"/>
          <w:color w:val="auto"/>
          <w:highlight w:val="none"/>
        </w:rPr>
        <w:t>支出决算表</w:t>
      </w:r>
      <w:bookmarkEnd w:id="98"/>
    </w:p>
    <w:p>
      <w:pPr>
        <w:pStyle w:val="4"/>
        <w:rPr>
          <w:rFonts w:ascii="仿宋" w:hAnsi="仿宋" w:eastAsia="仿宋"/>
          <w:color w:val="auto"/>
          <w:highlight w:val="none"/>
        </w:rPr>
      </w:pPr>
      <w:bookmarkStart w:id="99" w:name="_Toc15396630"/>
      <w:bookmarkStart w:id="100" w:name="_Toc2230"/>
      <w:r>
        <w:rPr>
          <w:rStyle w:val="21"/>
          <w:rFonts w:hint="eastAsia" w:ascii="仿宋" w:hAnsi="仿宋" w:eastAsia="仿宋"/>
          <w:b w:val="0"/>
          <w:bCs w:val="0"/>
          <w:color w:val="auto"/>
          <w:highlight w:val="none"/>
        </w:rPr>
        <w:t>十二、</w:t>
      </w:r>
      <w:bookmarkEnd w:id="99"/>
      <w:r>
        <w:rPr>
          <w:rStyle w:val="21"/>
          <w:rFonts w:hint="eastAsia" w:ascii="仿宋" w:hAnsi="仿宋" w:eastAsia="仿宋"/>
          <w:b w:val="0"/>
          <w:bCs w:val="0"/>
          <w:color w:val="auto"/>
          <w:highlight w:val="none"/>
          <w:lang w:eastAsia="zh-CN"/>
        </w:rPr>
        <w:t>国有资本经营预算财政拨款支出决算表</w:t>
      </w:r>
      <w:bookmarkEnd w:id="100"/>
    </w:p>
    <w:p>
      <w:pPr>
        <w:pStyle w:val="4"/>
        <w:rPr>
          <w:rFonts w:hint="eastAsia" w:eastAsia="仿宋"/>
          <w:color w:val="auto"/>
          <w:highlight w:val="none"/>
          <w:lang w:eastAsia="zh-CN"/>
        </w:rPr>
      </w:pPr>
      <w:bookmarkStart w:id="101" w:name="_Toc15396631"/>
      <w:bookmarkStart w:id="102" w:name="_Toc3743"/>
      <w:r>
        <w:rPr>
          <w:rStyle w:val="21"/>
          <w:rFonts w:hint="eastAsia" w:ascii="仿宋" w:hAnsi="仿宋" w:eastAsia="仿宋"/>
          <w:b w:val="0"/>
          <w:bCs w:val="0"/>
          <w:color w:val="auto"/>
          <w:highlight w:val="none"/>
        </w:rPr>
        <w:t>十三、</w:t>
      </w:r>
      <w:bookmarkEnd w:id="101"/>
      <w:r>
        <w:rPr>
          <w:rStyle w:val="21"/>
          <w:rFonts w:hint="eastAsia" w:ascii="仿宋" w:hAnsi="仿宋" w:eastAsia="仿宋"/>
          <w:b w:val="0"/>
          <w:bCs w:val="0"/>
          <w:color w:val="auto"/>
          <w:highlight w:val="none"/>
          <w:lang w:eastAsia="zh-CN"/>
        </w:rPr>
        <w:t>财政拨款“三公”经费支出决算表</w:t>
      </w:r>
      <w:bookmarkEnd w:id="102"/>
    </w:p>
    <w:sectPr>
      <w:footerReference r:id="rId5" w:type="first"/>
      <w:footerReference r:id="rId4" w:type="default"/>
      <w:pgSz w:w="11906" w:h="16838"/>
      <w:pgMar w:top="2098" w:right="1474" w:bottom="1984" w:left="1587" w:header="851" w:footer="992" w:gutter="0"/>
      <w:pgNumType w:fmt="decimal"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00000000000000000"/>
    <w:charset w:val="86"/>
    <w:family w:val="script"/>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7638D9"/>
    <w:multiLevelType w:val="singleLevel"/>
    <w:tmpl w:val="A87638D9"/>
    <w:lvl w:ilvl="0" w:tentative="0">
      <w:start w:val="1"/>
      <w:numFmt w:val="chineseCounting"/>
      <w:suff w:val="nothing"/>
      <w:lvlText w:val="%1、"/>
      <w:lvlJc w:val="left"/>
      <w:rPr>
        <w:rFonts w:hint="eastAsia"/>
      </w:rPr>
    </w:lvl>
  </w:abstractNum>
  <w:abstractNum w:abstractNumId="1">
    <w:nsid w:val="CC11A82B"/>
    <w:multiLevelType w:val="singleLevel"/>
    <w:tmpl w:val="CC11A82B"/>
    <w:lvl w:ilvl="0" w:tentative="0">
      <w:start w:val="1"/>
      <w:numFmt w:val="chineseCounting"/>
      <w:suff w:val="space"/>
      <w:lvlText w:val="第%1部分"/>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FF1A4763"/>
    <w:multiLevelType w:val="singleLevel"/>
    <w:tmpl w:val="FF1A4763"/>
    <w:lvl w:ilvl="0" w:tentative="0">
      <w:start w:val="1"/>
      <w:numFmt w:val="decimal"/>
      <w:suff w:val="nothing"/>
      <w:lvlText w:val="%1．"/>
      <w:lvlJc w:val="left"/>
      <w:pPr>
        <w:ind w:left="0" w:firstLine="400"/>
      </w:pPr>
      <w:rPr>
        <w:rFonts w:hint="default"/>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039F4"/>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4B08FF"/>
    <w:rsid w:val="015975B8"/>
    <w:rsid w:val="01AA7149"/>
    <w:rsid w:val="02143E91"/>
    <w:rsid w:val="02D7069C"/>
    <w:rsid w:val="066E0107"/>
    <w:rsid w:val="07996F6E"/>
    <w:rsid w:val="0A2032A3"/>
    <w:rsid w:val="0F98263C"/>
    <w:rsid w:val="101860EC"/>
    <w:rsid w:val="108F5D13"/>
    <w:rsid w:val="10C055FF"/>
    <w:rsid w:val="118107EC"/>
    <w:rsid w:val="1194225C"/>
    <w:rsid w:val="12EF37E0"/>
    <w:rsid w:val="136A5EDF"/>
    <w:rsid w:val="138C102F"/>
    <w:rsid w:val="13D50BC4"/>
    <w:rsid w:val="16BB723D"/>
    <w:rsid w:val="1BE8440E"/>
    <w:rsid w:val="1D155CEE"/>
    <w:rsid w:val="1FF35744"/>
    <w:rsid w:val="23860B96"/>
    <w:rsid w:val="240371BF"/>
    <w:rsid w:val="26C26CF7"/>
    <w:rsid w:val="29DD3F3B"/>
    <w:rsid w:val="29FD04D3"/>
    <w:rsid w:val="2AED757D"/>
    <w:rsid w:val="2C8A61B5"/>
    <w:rsid w:val="2DF04E50"/>
    <w:rsid w:val="2E7F3812"/>
    <w:rsid w:val="2F040D46"/>
    <w:rsid w:val="300679BF"/>
    <w:rsid w:val="306D4B10"/>
    <w:rsid w:val="314740CF"/>
    <w:rsid w:val="319F7F4E"/>
    <w:rsid w:val="32A9493D"/>
    <w:rsid w:val="3304709D"/>
    <w:rsid w:val="36AA5135"/>
    <w:rsid w:val="36D04132"/>
    <w:rsid w:val="376D39B2"/>
    <w:rsid w:val="37E16F03"/>
    <w:rsid w:val="38D469F0"/>
    <w:rsid w:val="38F8FB81"/>
    <w:rsid w:val="3D98207C"/>
    <w:rsid w:val="3E78745D"/>
    <w:rsid w:val="3EBD0E90"/>
    <w:rsid w:val="3FCA68B7"/>
    <w:rsid w:val="3FF7FFF2"/>
    <w:rsid w:val="43DB72E5"/>
    <w:rsid w:val="44E268DA"/>
    <w:rsid w:val="45934B33"/>
    <w:rsid w:val="4A627F82"/>
    <w:rsid w:val="4B0E749A"/>
    <w:rsid w:val="4B4F25DA"/>
    <w:rsid w:val="4BE068DB"/>
    <w:rsid w:val="4D53256B"/>
    <w:rsid w:val="4D577224"/>
    <w:rsid w:val="4EAB630A"/>
    <w:rsid w:val="4ECE2238"/>
    <w:rsid w:val="50334005"/>
    <w:rsid w:val="537E6D0A"/>
    <w:rsid w:val="57117A69"/>
    <w:rsid w:val="5AF92295"/>
    <w:rsid w:val="5CD71FC4"/>
    <w:rsid w:val="5E5203D9"/>
    <w:rsid w:val="60BD3BA3"/>
    <w:rsid w:val="664B7CEA"/>
    <w:rsid w:val="69DA7573"/>
    <w:rsid w:val="6A773014"/>
    <w:rsid w:val="6B916358"/>
    <w:rsid w:val="6C4A05C8"/>
    <w:rsid w:val="6D93725E"/>
    <w:rsid w:val="6E7E3605"/>
    <w:rsid w:val="6EE3511C"/>
    <w:rsid w:val="6F2B261F"/>
    <w:rsid w:val="6F9319A0"/>
    <w:rsid w:val="6FF5CC65"/>
    <w:rsid w:val="6FF78A16"/>
    <w:rsid w:val="709D12FB"/>
    <w:rsid w:val="715C0E4B"/>
    <w:rsid w:val="72281098"/>
    <w:rsid w:val="72734D90"/>
    <w:rsid w:val="72C232B3"/>
    <w:rsid w:val="72C7F839"/>
    <w:rsid w:val="72F8695C"/>
    <w:rsid w:val="738E673D"/>
    <w:rsid w:val="73AD73D5"/>
    <w:rsid w:val="73B6EB34"/>
    <w:rsid w:val="744731E5"/>
    <w:rsid w:val="76E3355F"/>
    <w:rsid w:val="778769C8"/>
    <w:rsid w:val="77FBE9A3"/>
    <w:rsid w:val="79EE5BA4"/>
    <w:rsid w:val="7A894339"/>
    <w:rsid w:val="7B002BB2"/>
    <w:rsid w:val="7D796C4C"/>
    <w:rsid w:val="7EEF11D3"/>
    <w:rsid w:val="7FA30C79"/>
    <w:rsid w:val="7FB7269E"/>
    <w:rsid w:val="7FC96657"/>
    <w:rsid w:val="BF770896"/>
    <w:rsid w:val="BFCB1333"/>
    <w:rsid w:val="C3A7B7C9"/>
    <w:rsid w:val="D8D6DB89"/>
    <w:rsid w:val="D8FB7ED3"/>
    <w:rsid w:val="DB6F4CAB"/>
    <w:rsid w:val="DC7F50B1"/>
    <w:rsid w:val="DF6F9789"/>
    <w:rsid w:val="DFDE4AF9"/>
    <w:rsid w:val="E7EF1D47"/>
    <w:rsid w:val="E7EFF47B"/>
    <w:rsid w:val="ECF9CBD3"/>
    <w:rsid w:val="F4FA1397"/>
    <w:rsid w:val="F8F7EEEA"/>
    <w:rsid w:val="FF77E946"/>
    <w:rsid w:val="FF7D72ED"/>
    <w:rsid w:val="FFFFBC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2"/>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6">
    <w:name w:val="Body Text"/>
    <w:basedOn w:val="1"/>
    <w:link w:val="29"/>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3"/>
    <w:semiHidden/>
    <w:unhideWhenUsed/>
    <w:qFormat/>
    <w:uiPriority w:val="99"/>
    <w:rPr>
      <w:sz w:val="18"/>
      <w:szCs w:val="18"/>
    </w:rPr>
  </w:style>
  <w:style w:type="paragraph" w:styleId="10">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标题 1 Char"/>
    <w:basedOn w:val="17"/>
    <w:link w:val="3"/>
    <w:qFormat/>
    <w:uiPriority w:val="9"/>
    <w:rPr>
      <w:rFonts w:ascii="Times New Roman" w:hAnsi="Times New Roman"/>
      <w:b/>
      <w:bCs/>
      <w:kern w:val="44"/>
      <w:sz w:val="44"/>
      <w:szCs w:val="44"/>
    </w:rPr>
  </w:style>
  <w:style w:type="character" w:customStyle="1" w:styleId="21">
    <w:name w:val="标题 2 Char"/>
    <w:basedOn w:val="17"/>
    <w:link w:val="4"/>
    <w:qFormat/>
    <w:uiPriority w:val="9"/>
    <w:rPr>
      <w:rFonts w:asciiTheme="majorHAnsi" w:hAnsiTheme="majorHAnsi" w:eastAsiaTheme="majorEastAsia" w:cstheme="majorBidi"/>
      <w:b/>
      <w:bCs/>
      <w:kern w:val="2"/>
      <w:sz w:val="32"/>
      <w:szCs w:val="32"/>
    </w:rPr>
  </w:style>
  <w:style w:type="character" w:customStyle="1" w:styleId="22">
    <w:name w:val="标题 3 Char"/>
    <w:basedOn w:val="17"/>
    <w:link w:val="5"/>
    <w:qFormat/>
    <w:uiPriority w:val="9"/>
    <w:rPr>
      <w:rFonts w:ascii="Times New Roman" w:hAnsi="Times New Roman"/>
      <w:b/>
      <w:bCs/>
      <w:kern w:val="2"/>
      <w:sz w:val="32"/>
      <w:szCs w:val="32"/>
    </w:rPr>
  </w:style>
  <w:style w:type="paragraph" w:customStyle="1" w:styleId="23">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4">
    <w:name w:val="Header Char"/>
    <w:basedOn w:val="17"/>
    <w:semiHidden/>
    <w:qFormat/>
    <w:uiPriority w:val="99"/>
    <w:rPr>
      <w:rFonts w:ascii="Times New Roman" w:hAnsi="Times New Roman"/>
      <w:sz w:val="18"/>
      <w:szCs w:val="18"/>
    </w:rPr>
  </w:style>
  <w:style w:type="character" w:customStyle="1" w:styleId="25">
    <w:name w:val="页眉 Char"/>
    <w:link w:val="11"/>
    <w:semiHidden/>
    <w:qFormat/>
    <w:locked/>
    <w:uiPriority w:val="99"/>
    <w:rPr>
      <w:sz w:val="18"/>
    </w:rPr>
  </w:style>
  <w:style w:type="character" w:customStyle="1" w:styleId="26">
    <w:name w:val="Footer Char"/>
    <w:basedOn w:val="17"/>
    <w:semiHidden/>
    <w:qFormat/>
    <w:uiPriority w:val="99"/>
    <w:rPr>
      <w:rFonts w:ascii="Times New Roman" w:hAnsi="Times New Roman"/>
      <w:sz w:val="18"/>
      <w:szCs w:val="18"/>
    </w:rPr>
  </w:style>
  <w:style w:type="character" w:customStyle="1" w:styleId="27">
    <w:name w:val="页脚 Char"/>
    <w:link w:val="10"/>
    <w:qFormat/>
    <w:locked/>
    <w:uiPriority w:val="99"/>
    <w:rPr>
      <w:sz w:val="18"/>
    </w:rPr>
  </w:style>
  <w:style w:type="character" w:customStyle="1" w:styleId="28">
    <w:name w:val="Body Text Char"/>
    <w:basedOn w:val="17"/>
    <w:semiHidden/>
    <w:qFormat/>
    <w:uiPriority w:val="99"/>
    <w:rPr>
      <w:rFonts w:ascii="Times New Roman" w:hAnsi="Times New Roman"/>
      <w:szCs w:val="24"/>
    </w:rPr>
  </w:style>
  <w:style w:type="character" w:customStyle="1" w:styleId="29">
    <w:name w:val="正文文本 Char"/>
    <w:link w:val="6"/>
    <w:qFormat/>
    <w:locked/>
    <w:uiPriority w:val="99"/>
    <w:rPr>
      <w:rFonts w:ascii="仿宋_GB2312" w:hAnsi="Times New Roman" w:eastAsia="仿宋_GB2312"/>
      <w:sz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List Paragraph"/>
    <w:basedOn w:val="1"/>
    <w:qFormat/>
    <w:uiPriority w:val="34"/>
    <w:pPr>
      <w:ind w:firstLine="420" w:firstLineChars="200"/>
    </w:p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7"/>
    <w:link w:val="9"/>
    <w:semiHidden/>
    <w:qFormat/>
    <w:uiPriority w:val="99"/>
    <w:rPr>
      <w:rFonts w:ascii="Times New Roman" w:hAnsi="Times New Roman"/>
      <w:kern w:val="2"/>
      <w:sz w:val="18"/>
      <w:szCs w:val="18"/>
    </w:rPr>
  </w:style>
  <w:style w:type="paragraph" w:customStyle="1" w:styleId="34">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6">
    <w:name w:val="正文-啊"/>
    <w:basedOn w:val="1"/>
    <w:qFormat/>
    <w:uiPriority w:val="0"/>
    <w:pPr>
      <w:spacing w:beforeLines="100" w:line="276" w:lineRule="auto"/>
      <w:ind w:left="210" w:right="210" w:firstLine="600"/>
      <w:contextualSpacing/>
    </w:pPr>
    <w:rPr>
      <w:rFonts w:ascii="微软雅黑" w:hAnsi="微软雅黑"/>
      <w:color w:val="000000"/>
      <w:sz w:val="24"/>
      <w:szCs w:val="21"/>
    </w:rPr>
  </w:style>
  <w:style w:type="character" w:customStyle="1" w:styleId="37">
    <w:name w:val="font51"/>
    <w:basedOn w:val="17"/>
    <w:qFormat/>
    <w:uiPriority w:val="0"/>
    <w:rPr>
      <w:rFonts w:hint="eastAsia" w:ascii="宋体" w:hAnsi="宋体" w:eastAsia="宋体" w:cs="宋体"/>
      <w:color w:val="000000"/>
      <w:sz w:val="18"/>
      <w:szCs w:val="18"/>
      <w:u w:val="none"/>
    </w:rPr>
  </w:style>
  <w:style w:type="paragraph" w:customStyle="1" w:styleId="38">
    <w:name w:val="WPSOffice手动目录 1"/>
    <w:qFormat/>
    <w:uiPriority w:val="0"/>
    <w:pPr>
      <w:ind w:leftChars="0"/>
    </w:pPr>
    <w:rPr>
      <w:rFonts w:ascii="Times New Roman" w:hAnsi="Times New Roman" w:eastAsia="宋体" w:cs="Times New Roman"/>
      <w:sz w:val="20"/>
      <w:szCs w:val="20"/>
    </w:rPr>
  </w:style>
  <w:style w:type="paragraph" w:customStyle="1" w:styleId="3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64232116058029"/>
          <c:y val="0.0698888132516451"/>
          <c:w val="0.899499749874937"/>
          <c:h val="0.737553891536192"/>
        </c:manualLayout>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delete val="1"/>
          </c:dLbls>
          <c:cat>
            <c:strRef>
              <c:f>Sheet1!$A$2</c:f>
              <c:strCache>
                <c:ptCount val="1"/>
                <c:pt idx="0">
                  <c:v>收支总计</c:v>
                </c:pt>
              </c:strCache>
            </c:strRef>
          </c:cat>
          <c:val>
            <c:numRef>
              <c:f>Sheet1!$B$2</c:f>
              <c:numCache>
                <c:formatCode>General</c:formatCode>
                <c:ptCount val="1"/>
                <c:pt idx="0">
                  <c:v>83.56</c:v>
                </c:pt>
              </c:numCache>
            </c:numRef>
          </c:val>
        </c:ser>
        <c:ser>
          <c:idx val="1"/>
          <c:order val="1"/>
          <c:tx>
            <c:strRef>
              <c:f>Sheet1!$C$1</c:f>
              <c:strCache>
                <c:ptCount val="1"/>
                <c:pt idx="0">
                  <c:v>2022年</c:v>
                </c:pt>
              </c:strCache>
            </c:strRef>
          </c:tx>
          <c:spPr>
            <a:solidFill>
              <a:schemeClr val="accent2"/>
            </a:solidFill>
            <a:ln>
              <a:noFill/>
            </a:ln>
            <a:effectLst/>
          </c:spPr>
          <c:invertIfNegative val="0"/>
          <c:dLbls>
            <c:delete val="1"/>
          </c:dLbls>
          <c:cat>
            <c:strRef>
              <c:f>Sheet1!$A$2</c:f>
              <c:strCache>
                <c:ptCount val="1"/>
                <c:pt idx="0">
                  <c:v>收支总计</c:v>
                </c:pt>
              </c:strCache>
            </c:strRef>
          </c:cat>
          <c:val>
            <c:numRef>
              <c:f>Sheet1!$C$2</c:f>
              <c:numCache>
                <c:formatCode>General</c:formatCode>
                <c:ptCount val="1"/>
                <c:pt idx="0">
                  <c:v>82.52</c:v>
                </c:pt>
              </c:numCache>
            </c:numRef>
          </c:val>
        </c:ser>
        <c:dLbls>
          <c:showLegendKey val="0"/>
          <c:showVal val="0"/>
          <c:showCatName val="0"/>
          <c:showSerName val="0"/>
          <c:showPercent val="0"/>
          <c:showBubbleSize val="0"/>
        </c:dLbls>
        <c:gapWidth val="246"/>
        <c:overlap val="-28"/>
        <c:axId val="10067534"/>
        <c:axId val="955218704"/>
      </c:barChart>
      <c:catAx>
        <c:axId val="1006753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55218704"/>
        <c:crosses val="autoZero"/>
        <c:auto val="1"/>
        <c:lblAlgn val="ctr"/>
        <c:lblOffset val="100"/>
        <c:noMultiLvlLbl val="0"/>
      </c:catAx>
      <c:valAx>
        <c:axId val="955218704"/>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6753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一般公共预算财政拨款收入</a:t>
                    </a:r>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100</a:t>
                    </a:r>
                    <a:r>
                      <a:t>%</a:t>
                    </a:r>
                  </a:p>
                </c:rich>
              </c:tx>
              <c:dLblPos val="inEnd"/>
              <c:showLegendKey val="0"/>
              <c:showVal val="0"/>
              <c:showCatName val="1"/>
              <c:showSerName val="0"/>
              <c:showPercent val="1"/>
              <c:showBubbleSize val="0"/>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General</c:formatCode>
                <c:ptCount val="1"/>
                <c:pt idx="0">
                  <c:v>100</c:v>
                </c:pt>
              </c:numCache>
            </c:numRef>
          </c:val>
        </c:ser>
        <c:dLbls>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列2</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16477478221134"/>
                  <c:y val="-0.06876814314058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216912816516522"/>
                  <c:y val="0.10575495305306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0.7556</c:v>
                </c:pt>
                <c:pt idx="1">
                  <c:v>0.2444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38084215787276"/>
          <c:y val="0.0320793907223633"/>
          <c:w val="0.899499749874937"/>
          <c:h val="0.737553891536192"/>
        </c:manualLayout>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财政拨款收、支决算总计</c:v>
                </c:pt>
              </c:strCache>
            </c:strRef>
          </c:cat>
          <c:val>
            <c:numRef>
              <c:f>Sheet1!$B$2</c:f>
              <c:numCache>
                <c:formatCode>General</c:formatCode>
                <c:ptCount val="1"/>
                <c:pt idx="0">
                  <c:v>83.56</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财政拨款收、支决算总计</c:v>
                </c:pt>
              </c:strCache>
            </c:strRef>
          </c:cat>
          <c:val>
            <c:numRef>
              <c:f>Sheet1!$C$2</c:f>
              <c:numCache>
                <c:formatCode>General</c:formatCode>
                <c:ptCount val="1"/>
                <c:pt idx="0">
                  <c:v>82.52</c:v>
                </c:pt>
              </c:numCache>
            </c:numRef>
          </c:val>
        </c:ser>
        <c:dLbls>
          <c:showLegendKey val="0"/>
          <c:showVal val="1"/>
          <c:showCatName val="0"/>
          <c:showSerName val="0"/>
          <c:showPercent val="0"/>
          <c:showBubbleSize val="0"/>
        </c:dLbls>
        <c:gapWidth val="246"/>
        <c:overlap val="-28"/>
        <c:axId val="10067534"/>
        <c:axId val="955218704"/>
      </c:barChart>
      <c:catAx>
        <c:axId val="1006753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55218704"/>
        <c:crosses val="autoZero"/>
        <c:auto val="1"/>
        <c:lblAlgn val="ctr"/>
        <c:lblOffset val="100"/>
        <c:noMultiLvlLbl val="0"/>
      </c:catAx>
      <c:valAx>
        <c:axId val="955218704"/>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6753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938084215787276"/>
          <c:y val="0.0320793907223633"/>
          <c:w val="0.899499749874937"/>
          <c:h val="0.737553891536192"/>
        </c:manualLayout>
      </c:layout>
      <c:barChart>
        <c:barDir val="col"/>
        <c:grouping val="clustered"/>
        <c:varyColors val="0"/>
        <c:ser>
          <c:idx val="0"/>
          <c:order val="0"/>
          <c:tx>
            <c:strRef>
              <c:f>Sheet1!$B$1</c:f>
              <c:strCache>
                <c:ptCount val="1"/>
                <c:pt idx="0">
                  <c:v>2021年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General</c:formatCode>
                <c:ptCount val="1"/>
                <c:pt idx="0">
                  <c:v>83.56</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82.52</c:v>
                </c:pt>
              </c:numCache>
            </c:numRef>
          </c:val>
        </c:ser>
        <c:dLbls>
          <c:showLegendKey val="0"/>
          <c:showVal val="1"/>
          <c:showCatName val="0"/>
          <c:showSerName val="0"/>
          <c:showPercent val="0"/>
          <c:showBubbleSize val="0"/>
        </c:dLbls>
        <c:gapWidth val="246"/>
        <c:overlap val="-28"/>
        <c:axId val="10067534"/>
        <c:axId val="955218704"/>
      </c:barChart>
      <c:catAx>
        <c:axId val="1006753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55218704"/>
        <c:crosses val="autoZero"/>
        <c:auto val="1"/>
        <c:lblAlgn val="ctr"/>
        <c:lblOffset val="100"/>
        <c:noMultiLvlLbl val="0"/>
      </c:catAx>
      <c:valAx>
        <c:axId val="955218704"/>
        <c:scaling>
          <c:orientation val="minMax"/>
        </c:scaling>
        <c:delete val="0"/>
        <c:axPos val="l"/>
        <c:majorGridlines>
          <c:spPr>
            <a:ln w="9525" cap="flat" cmpd="sng" algn="ctr">
              <a:solidFill>
                <a:schemeClr val="bg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6753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一般公共服务支出</c:v>
                </c:pt>
                <c:pt idx="1">
                  <c:v>社会保障和就业支出</c:v>
                </c:pt>
                <c:pt idx="2">
                  <c:v>卫生健康支出</c:v>
                </c:pt>
                <c:pt idx="3">
                  <c:v>住房保障支出</c:v>
                </c:pt>
              </c:strCache>
            </c:strRef>
          </c:cat>
          <c:val>
            <c:numRef>
              <c:f>Sheet1!$B$2:$B$6</c:f>
              <c:numCache>
                <c:formatCode>0.00%</c:formatCode>
                <c:ptCount val="5"/>
                <c:pt idx="0">
                  <c:v>0.8514</c:v>
                </c:pt>
                <c:pt idx="1">
                  <c:v>0.0801</c:v>
                </c:pt>
                <c:pt idx="2">
                  <c:v>0.0218</c:v>
                </c:pt>
                <c:pt idx="3">
                  <c:v>0.0467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Lbls>
            <c:dLbl>
              <c:idx val="0"/>
              <c:layout>
                <c:manualLayout>
                  <c:x val="-0.0271812030407686"/>
                  <c:y val="-0.289749383693138"/>
                </c:manualLayout>
              </c:layout>
              <c:dLblPos val="bestFit"/>
              <c:showLegendKey val="0"/>
              <c:showVal val="1"/>
              <c:showCatName val="0"/>
              <c:showSerName val="0"/>
              <c:showPercent val="0"/>
              <c:showBubbleSize val="0"/>
              <c:extLst>
                <c:ext xmlns:c15="http://schemas.microsoft.com/office/drawing/2012/chart" uri="{CE6537A1-D6FC-4f65-9D91-7224C49458BB}">
                  <c15:layout>
                    <c:manualLayout>
                      <c:w val="0.143029717323025"/>
                      <c:h val="0.136634084147896"/>
                    </c:manualLayout>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公务接待费支出</c:v>
                </c:pt>
              </c:strCache>
            </c:strRef>
          </c:cat>
          <c:val>
            <c:numRef>
              <c:f>Sheet1!$B$2</c:f>
              <c:numCache>
                <c:formatCode>0%</c:formatCode>
                <c:ptCount val="1"/>
                <c:pt idx="0">
                  <c:v>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0</TotalTime>
  <ScaleCrop>false</ScaleCrop>
  <LinksUpToDate>false</LinksUpToDate>
  <CharactersWithSpaces>8692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2020-08-06T01:49:00Z</dcterms:created>
  <dc:creator>曹颖</dc:creator>
  <cp:lastModifiedBy>Administrator</cp:lastModifiedBy>
  <cp:lastPrinted>2023-08-01T02:35:00Z</cp:lastPrinted>
  <dcterms:modified xsi:type="dcterms:W3CDTF">2023-10-17T04:38:24Z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4B15FB2ACFF34E18B992BDA72BEE8321_13</vt:lpwstr>
  </property>
</Properties>
</file>