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7193"/>
      <w:bookmarkStart w:id="3" w:name="_Toc15396475"/>
      <w:bookmarkStart w:id="4" w:name="_Toc15396597"/>
      <w:bookmarkStart w:id="5" w:name="_Toc30843"/>
      <w:bookmarkStart w:id="6"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5378442"/>
      <w:bookmarkStart w:id="9" w:name="_Toc26123"/>
      <w:bookmarkStart w:id="10" w:name="_Toc15396476"/>
      <w:bookmarkStart w:id="11" w:name="_Toc15396598"/>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教育技术与电化教育中心单位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shd w:val="clear"/>
        <w:adjustRightInd w:val="0"/>
        <w:snapToGrid w:val="0"/>
        <w:spacing w:line="440" w:lineRule="exact"/>
        <w:ind w:firstLine="1980" w:firstLineChars="550"/>
        <w:jc w:val="left"/>
        <w:rPr>
          <w:rFonts w:ascii="方正小标宋简体" w:hAnsi="宋体" w:eastAsia="方正小标宋简体"/>
          <w:color w:val="auto"/>
          <w:sz w:val="36"/>
          <w:szCs w:val="36"/>
          <w:highlight w:val="none"/>
        </w:rPr>
      </w:pPr>
      <w:r>
        <w:rPr>
          <w:rFonts w:ascii="方正小标宋简体" w:hAnsi="宋体" w:eastAsia="方正小标宋简体"/>
          <w:color w:val="auto"/>
          <w:sz w:val="36"/>
          <w:szCs w:val="36"/>
          <w:highlight w:val="none"/>
        </w:rPr>
        <w:br w:type="page"/>
      </w:r>
    </w:p>
    <w:sdt>
      <w:sdtPr>
        <w:rPr>
          <w:rFonts w:hint="eastAsia" w:ascii="黑体" w:hAnsi="黑体" w:eastAsia="黑体" w:cs="黑体"/>
          <w:kern w:val="2"/>
          <w:sz w:val="48"/>
          <w:szCs w:val="48"/>
          <w:highlight w:val="none"/>
          <w:lang w:val="en-US" w:eastAsia="zh-CN" w:bidi="ar-SA"/>
        </w:rPr>
        <w:id w:val="147460707"/>
        <w15:color w:val="DBDBDB"/>
        <w:docPartObj>
          <w:docPartGallery w:val="Table of Contents"/>
          <w:docPartUnique/>
        </w:docPartObj>
      </w:sdtPr>
      <w:sdtEndPr>
        <w:rPr>
          <w:rFonts w:hint="eastAsia" w:ascii="方正小标宋简体" w:hAnsi="宋体" w:eastAsia="方正小标宋简体" w:cs="Times New Roman"/>
          <w:b/>
          <w:color w:val="auto"/>
          <w:kern w:val="0"/>
          <w:sz w:val="30"/>
          <w:szCs w:val="36"/>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rFonts w:hint="eastAsia"/>
              <w:highlight w:val="none"/>
              <w:lang w:val="en-US" w:eastAsia="zh-CN"/>
            </w:rPr>
          </w:pPr>
          <w:r>
            <w:rPr>
              <w:rFonts w:hint="eastAsia" w:ascii="黑体" w:hAnsi="黑体" w:eastAsia="黑体" w:cs="黑体"/>
              <w:kern w:val="2"/>
              <w:sz w:val="48"/>
              <w:szCs w:val="48"/>
              <w:highlight w:val="none"/>
              <w:lang w:val="en-US" w:eastAsia="zh-CN" w:bidi="ar-SA"/>
            </w:rPr>
            <w:t>目录</w:t>
          </w:r>
        </w:p>
        <w:p>
          <w:pPr>
            <w:pStyle w:val="2"/>
            <w:shd w:val="clear"/>
            <w:jc w:val="center"/>
            <w:rPr>
              <w:rFonts w:hint="eastAsia"/>
              <w:color w:val="auto"/>
              <w:highlight w:val="none"/>
              <w:lang w:val="en-US" w:eastAsia="zh-CN"/>
            </w:rPr>
          </w:pPr>
          <w:r>
            <w:rPr>
              <w:rFonts w:hint="eastAsia" w:ascii="仿宋" w:hAnsi="仿宋" w:eastAsia="仿宋" w:cs="仿宋"/>
              <w:color w:val="auto"/>
              <w:sz w:val="28"/>
              <w:szCs w:val="28"/>
              <w:highlight w:val="none"/>
            </w:rPr>
            <w:t>公开时间：20</w:t>
          </w:r>
          <w:r>
            <w:rPr>
              <w:rFonts w:hint="eastAsia" w:ascii="仿宋" w:hAnsi="仿宋" w:eastAsia="仿宋" w:cs="仿宋"/>
              <w:color w:val="auto"/>
              <w:sz w:val="28"/>
              <w:szCs w:val="28"/>
              <w:highlight w:val="none"/>
              <w:lang w:val="en-US" w:eastAsia="zh-CN"/>
            </w:rPr>
            <w:t>23</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16</w:t>
          </w:r>
          <w:r>
            <w:rPr>
              <w:rFonts w:hint="eastAsia" w:ascii="仿宋" w:hAnsi="仿宋" w:eastAsia="仿宋" w:cs="仿宋"/>
              <w:color w:val="auto"/>
              <w:sz w:val="28"/>
              <w:szCs w:val="28"/>
              <w:highlight w:val="none"/>
            </w:rPr>
            <w:t>日</w:t>
          </w:r>
          <w:bookmarkStart w:id="101" w:name="_GoBack"/>
          <w:bookmarkEnd w:id="101"/>
        </w:p>
        <w:p>
          <w:pPr>
            <w:pStyle w:val="31"/>
            <w:shd w:val="clear"/>
            <w:tabs>
              <w:tab w:val="right" w:leader="dot" w:pos="8306"/>
            </w:tabs>
            <w:rPr>
              <w:b/>
              <w:highlight w:val="none"/>
            </w:rPr>
          </w:pPr>
          <w:r>
            <w:rPr>
              <w:rFonts w:ascii="方正小标宋简体" w:hAnsi="宋体" w:eastAsia="方正小标宋简体"/>
              <w:color w:val="auto"/>
              <w:sz w:val="36"/>
              <w:szCs w:val="36"/>
              <w:highlight w:val="none"/>
            </w:rPr>
            <w:fldChar w:fldCharType="begin"/>
          </w:r>
          <w:r>
            <w:rPr>
              <w:rFonts w:ascii="方正小标宋简体" w:hAnsi="宋体" w:eastAsia="方正小标宋简体"/>
              <w:color w:val="auto"/>
              <w:sz w:val="36"/>
              <w:szCs w:val="36"/>
              <w:highlight w:val="none"/>
            </w:rPr>
            <w:instrText xml:space="preserve">TOC \o "1-2" \h \u </w:instrText>
          </w:r>
          <w:r>
            <w:rPr>
              <w:rFonts w:ascii="方正小标宋简体" w:hAnsi="宋体" w:eastAsia="方正小标宋简体"/>
              <w:color w:val="auto"/>
              <w:sz w:val="36"/>
              <w:szCs w:val="36"/>
              <w:highlight w:val="none"/>
            </w:rPr>
            <w:fldChar w:fldCharType="separate"/>
          </w:r>
        </w:p>
        <w:p>
          <w:pPr>
            <w:pStyle w:val="31"/>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b/>
              <w:sz w:val="28"/>
              <w:szCs w:val="28"/>
              <w:highlight w:val="none"/>
            </w:rPr>
          </w:pPr>
          <w:r>
            <w:rPr>
              <w:rFonts w:ascii="方正小标宋简体" w:hAnsi="宋体" w:eastAsia="方正小标宋简体"/>
              <w:b/>
              <w:color w:val="auto"/>
              <w:sz w:val="28"/>
              <w:szCs w:val="28"/>
              <w:highlight w:val="none"/>
            </w:rPr>
            <w:fldChar w:fldCharType="begin"/>
          </w:r>
          <w:r>
            <w:rPr>
              <w:rFonts w:ascii="方正小标宋简体" w:hAnsi="宋体" w:eastAsia="方正小标宋简体"/>
              <w:b/>
              <w:sz w:val="28"/>
              <w:szCs w:val="28"/>
              <w:highlight w:val="none"/>
            </w:rPr>
            <w:instrText xml:space="preserve"> HYPERLINK \l _Toc16133 </w:instrText>
          </w:r>
          <w:r>
            <w:rPr>
              <w:rFonts w:ascii="方正小标宋简体" w:hAnsi="宋体" w:eastAsia="方正小标宋简体"/>
              <w:b/>
              <w:sz w:val="28"/>
              <w:szCs w:val="28"/>
              <w:highlight w:val="none"/>
            </w:rPr>
            <w:fldChar w:fldCharType="separate"/>
          </w:r>
          <w:r>
            <w:rPr>
              <w:rFonts w:hint="eastAsia" w:ascii="黑体" w:hAnsi="黑体" w:eastAsia="黑体"/>
              <w:b/>
              <w:sz w:val="28"/>
              <w:szCs w:val="28"/>
              <w:highlight w:val="none"/>
            </w:rPr>
            <w:t xml:space="preserve">第一部分 </w:t>
          </w:r>
          <w:r>
            <w:rPr>
              <w:rFonts w:hint="eastAsia" w:ascii="黑体" w:hAnsi="黑体" w:eastAsia="黑体"/>
              <w:b/>
              <w:sz w:val="28"/>
              <w:szCs w:val="28"/>
              <w:highlight w:val="none"/>
              <w:lang w:eastAsia="zh-CN"/>
            </w:rPr>
            <w:t>单位</w:t>
          </w:r>
          <w:r>
            <w:rPr>
              <w:rFonts w:hint="eastAsia" w:ascii="黑体" w:hAnsi="黑体" w:eastAsia="黑体"/>
              <w:b/>
              <w:bCs w:val="0"/>
              <w:sz w:val="28"/>
              <w:szCs w:val="28"/>
              <w:highlight w:val="none"/>
            </w:rPr>
            <w:t>概况</w:t>
          </w:r>
          <w:r>
            <w:rPr>
              <w:b/>
              <w:sz w:val="28"/>
              <w:szCs w:val="28"/>
              <w:highlight w:val="none"/>
            </w:rPr>
            <w:tab/>
          </w:r>
          <w:r>
            <w:rPr>
              <w:b/>
              <w:sz w:val="28"/>
              <w:szCs w:val="28"/>
              <w:highlight w:val="none"/>
            </w:rPr>
            <w:fldChar w:fldCharType="begin"/>
          </w:r>
          <w:r>
            <w:rPr>
              <w:b/>
              <w:sz w:val="28"/>
              <w:szCs w:val="28"/>
              <w:highlight w:val="none"/>
            </w:rPr>
            <w:instrText xml:space="preserve"> PAGEREF _Toc16133 \h </w:instrText>
          </w:r>
          <w:r>
            <w:rPr>
              <w:b/>
              <w:sz w:val="28"/>
              <w:szCs w:val="28"/>
              <w:highlight w:val="none"/>
            </w:rPr>
            <w:fldChar w:fldCharType="separate"/>
          </w:r>
          <w:r>
            <w:rPr>
              <w:b/>
              <w:sz w:val="28"/>
              <w:szCs w:val="28"/>
              <w:highlight w:val="none"/>
            </w:rPr>
            <w:t>1</w:t>
          </w:r>
          <w:r>
            <w:rPr>
              <w:b/>
              <w:sz w:val="28"/>
              <w:szCs w:val="28"/>
              <w:highlight w:val="none"/>
            </w:rPr>
            <w:fldChar w:fldCharType="end"/>
          </w:r>
          <w:r>
            <w:rPr>
              <w:rFonts w:ascii="方正小标宋简体" w:hAnsi="宋体" w:eastAsia="方正小标宋简体"/>
              <w:b/>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_Toc30473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lang w:eastAsia="zh-CN"/>
            </w:rPr>
            <w:t>一、主要职责</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_Toc30473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1</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_Toc20048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_Toc20048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1</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1"/>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b/>
              <w:sz w:val="28"/>
              <w:szCs w:val="28"/>
              <w:highlight w:val="none"/>
            </w:rPr>
          </w:pPr>
          <w:r>
            <w:rPr>
              <w:rFonts w:ascii="方正小标宋简体" w:hAnsi="宋体" w:eastAsia="方正小标宋简体"/>
              <w:b/>
              <w:color w:val="auto"/>
              <w:sz w:val="28"/>
              <w:szCs w:val="28"/>
              <w:highlight w:val="none"/>
            </w:rPr>
            <w:fldChar w:fldCharType="begin"/>
          </w:r>
          <w:r>
            <w:rPr>
              <w:rFonts w:ascii="方正小标宋简体" w:hAnsi="宋体" w:eastAsia="方正小标宋简体"/>
              <w:b/>
              <w:sz w:val="28"/>
              <w:szCs w:val="28"/>
              <w:highlight w:val="none"/>
            </w:rPr>
            <w:instrText xml:space="preserve"> HYPERLINK \l _Toc12787 </w:instrText>
          </w:r>
          <w:r>
            <w:rPr>
              <w:rFonts w:ascii="方正小标宋简体" w:hAnsi="宋体" w:eastAsia="方正小标宋简体"/>
              <w:b/>
              <w:sz w:val="28"/>
              <w:szCs w:val="28"/>
              <w:highlight w:val="none"/>
            </w:rPr>
            <w:fldChar w:fldCharType="separate"/>
          </w:r>
          <w:r>
            <w:rPr>
              <w:rFonts w:hint="eastAsia" w:ascii="黑体" w:hAnsi="黑体" w:eastAsia="黑体"/>
              <w:b/>
              <w:bCs/>
              <w:sz w:val="28"/>
              <w:szCs w:val="28"/>
              <w:highlight w:val="none"/>
            </w:rPr>
            <w:t xml:space="preserve">第二部分 </w:t>
          </w:r>
          <w:r>
            <w:rPr>
              <w:rFonts w:hint="eastAsia" w:ascii="黑体" w:hAnsi="黑体" w:eastAsia="黑体"/>
              <w:b/>
              <w:bCs/>
              <w:sz w:val="28"/>
              <w:szCs w:val="28"/>
              <w:highlight w:val="none"/>
              <w:lang w:val="en-US" w:eastAsia="zh-CN"/>
            </w:rPr>
            <w:t>2022年度</w:t>
          </w:r>
          <w:r>
            <w:rPr>
              <w:rFonts w:hint="eastAsia" w:ascii="黑体" w:hAnsi="黑体" w:eastAsia="黑体"/>
              <w:b/>
              <w:bCs/>
              <w:sz w:val="28"/>
              <w:szCs w:val="28"/>
              <w:highlight w:val="none"/>
              <w:lang w:eastAsia="zh-CN"/>
            </w:rPr>
            <w:t>单位</w:t>
          </w:r>
          <w:r>
            <w:rPr>
              <w:rFonts w:hint="eastAsia" w:ascii="黑体" w:hAnsi="黑体" w:eastAsia="黑体"/>
              <w:b/>
              <w:bCs/>
              <w:sz w:val="28"/>
              <w:szCs w:val="28"/>
              <w:highlight w:val="none"/>
            </w:rPr>
            <w:t>决算情况说明</w:t>
          </w:r>
          <w:r>
            <w:rPr>
              <w:b/>
              <w:sz w:val="28"/>
              <w:szCs w:val="28"/>
              <w:highlight w:val="none"/>
            </w:rPr>
            <w:tab/>
          </w:r>
          <w:r>
            <w:rPr>
              <w:b/>
              <w:sz w:val="28"/>
              <w:szCs w:val="28"/>
              <w:highlight w:val="none"/>
            </w:rPr>
            <w:fldChar w:fldCharType="begin"/>
          </w:r>
          <w:r>
            <w:rPr>
              <w:b/>
              <w:sz w:val="28"/>
              <w:szCs w:val="28"/>
              <w:highlight w:val="none"/>
            </w:rPr>
            <w:instrText xml:space="preserve"> PAGEREF _Toc12787 \h </w:instrText>
          </w:r>
          <w:r>
            <w:rPr>
              <w:b/>
              <w:sz w:val="28"/>
              <w:szCs w:val="28"/>
              <w:highlight w:val="none"/>
            </w:rPr>
            <w:fldChar w:fldCharType="separate"/>
          </w:r>
          <w:r>
            <w:rPr>
              <w:b/>
              <w:sz w:val="28"/>
              <w:szCs w:val="28"/>
              <w:highlight w:val="none"/>
            </w:rPr>
            <w:t>2</w:t>
          </w:r>
          <w:r>
            <w:rPr>
              <w:b/>
              <w:sz w:val="28"/>
              <w:szCs w:val="28"/>
              <w:highlight w:val="none"/>
            </w:rPr>
            <w:fldChar w:fldCharType="end"/>
          </w:r>
          <w:r>
            <w:rPr>
              <w:rFonts w:ascii="方正小标宋简体" w:hAnsi="宋体" w:eastAsia="方正小标宋简体"/>
              <w:b/>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_Toc21591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一、收入支出决算总体情况说明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_Toc21591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2</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_Toc10294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二、收入决算情况说明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_Toc10294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2</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_Toc7076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三、支出决算情况说明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_Toc7076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3</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_Toc18588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_Toc18588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4</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_Toc15001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_Toc15001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4</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_Toc14994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_Toc14994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7</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_Toc141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_Toc141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7</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_Toc17884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_Toc17884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9</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_Toc13664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九、国有资本经营预算支出决算情况说明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_Toc13664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9</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_Toc22767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十、其他重要事项的情况说明</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_Toc22767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9</w:t>
          </w:r>
          <w:r>
            <w:rPr>
              <w:rFonts w:hint="eastAsia" w:ascii="仿宋" w:hAnsi="仿宋" w:eastAsia="仿宋" w:cs="仿宋"/>
              <w:sz w:val="28"/>
              <w:szCs w:val="28"/>
              <w:highlight w:val="none"/>
            </w:rPr>
            <w:fldChar w:fldCharType="end"/>
          </w:r>
          <w:r>
            <w:rPr>
              <w:rFonts w:hint="eastAsia" w:ascii="仿宋" w:hAnsi="仿宋" w:eastAsia="仿宋" w:cs="仿宋"/>
              <w:color w:val="auto"/>
              <w:sz w:val="28"/>
              <w:szCs w:val="28"/>
              <w:highlight w:val="none"/>
            </w:rPr>
            <w:fldChar w:fldCharType="end"/>
          </w:r>
        </w:p>
        <w:p>
          <w:pPr>
            <w:pStyle w:val="31"/>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b/>
              <w:sz w:val="28"/>
              <w:szCs w:val="28"/>
              <w:highlight w:val="none"/>
            </w:rPr>
          </w:pPr>
          <w:r>
            <w:rPr>
              <w:rFonts w:ascii="方正小标宋简体" w:hAnsi="宋体" w:eastAsia="方正小标宋简体"/>
              <w:b/>
              <w:color w:val="auto"/>
              <w:sz w:val="28"/>
              <w:szCs w:val="28"/>
              <w:highlight w:val="none"/>
            </w:rPr>
            <w:fldChar w:fldCharType="begin"/>
          </w:r>
          <w:r>
            <w:rPr>
              <w:rFonts w:ascii="方正小标宋简体" w:hAnsi="宋体" w:eastAsia="方正小标宋简体"/>
              <w:b/>
              <w:sz w:val="28"/>
              <w:szCs w:val="28"/>
              <w:highlight w:val="none"/>
            </w:rPr>
            <w:instrText xml:space="preserve"> HYPERLINK \l _Toc18077 </w:instrText>
          </w:r>
          <w:r>
            <w:rPr>
              <w:rFonts w:ascii="方正小标宋简体" w:hAnsi="宋体" w:eastAsia="方正小标宋简体"/>
              <w:b/>
              <w:sz w:val="28"/>
              <w:szCs w:val="28"/>
              <w:highlight w:val="none"/>
            </w:rPr>
            <w:fldChar w:fldCharType="separate"/>
          </w:r>
          <w:r>
            <w:rPr>
              <w:rFonts w:hint="eastAsia" w:ascii="黑体" w:hAnsi="黑体" w:eastAsia="黑体" w:cs="黑体"/>
              <w:b/>
              <w:sz w:val="28"/>
              <w:szCs w:val="28"/>
              <w:highlight w:val="none"/>
            </w:rPr>
            <w:t xml:space="preserve">第三部分 </w:t>
          </w:r>
          <w:r>
            <w:rPr>
              <w:rFonts w:hint="eastAsia" w:ascii="黑体" w:hAnsi="黑体" w:eastAsia="黑体"/>
              <w:b/>
              <w:sz w:val="28"/>
              <w:szCs w:val="28"/>
              <w:highlight w:val="none"/>
            </w:rPr>
            <w:t>名词解释</w:t>
          </w:r>
          <w:r>
            <w:rPr>
              <w:b/>
              <w:sz w:val="28"/>
              <w:szCs w:val="28"/>
              <w:highlight w:val="none"/>
            </w:rPr>
            <w:tab/>
          </w:r>
          <w:r>
            <w:rPr>
              <w:b/>
              <w:sz w:val="28"/>
              <w:szCs w:val="28"/>
              <w:highlight w:val="none"/>
            </w:rPr>
            <w:fldChar w:fldCharType="begin"/>
          </w:r>
          <w:r>
            <w:rPr>
              <w:b/>
              <w:sz w:val="28"/>
              <w:szCs w:val="28"/>
              <w:highlight w:val="none"/>
            </w:rPr>
            <w:instrText xml:space="preserve"> PAGEREF _Toc18077 \h </w:instrText>
          </w:r>
          <w:r>
            <w:rPr>
              <w:b/>
              <w:sz w:val="28"/>
              <w:szCs w:val="28"/>
              <w:highlight w:val="none"/>
            </w:rPr>
            <w:fldChar w:fldCharType="separate"/>
          </w:r>
          <w:r>
            <w:rPr>
              <w:b/>
              <w:sz w:val="28"/>
              <w:szCs w:val="28"/>
              <w:highlight w:val="none"/>
            </w:rPr>
            <w:t>11</w:t>
          </w:r>
          <w:r>
            <w:rPr>
              <w:b/>
              <w:sz w:val="28"/>
              <w:szCs w:val="28"/>
              <w:highlight w:val="none"/>
            </w:rPr>
            <w:fldChar w:fldCharType="end"/>
          </w:r>
          <w:r>
            <w:rPr>
              <w:rFonts w:ascii="方正小标宋简体" w:hAnsi="宋体" w:eastAsia="方正小标宋简体"/>
              <w:b/>
              <w:color w:val="auto"/>
              <w:sz w:val="28"/>
              <w:szCs w:val="28"/>
              <w:highlight w:val="none"/>
            </w:rPr>
            <w:fldChar w:fldCharType="end"/>
          </w:r>
        </w:p>
        <w:p>
          <w:pPr>
            <w:pStyle w:val="31"/>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b/>
              <w:sz w:val="28"/>
              <w:szCs w:val="28"/>
              <w:highlight w:val="none"/>
            </w:rPr>
          </w:pPr>
          <w:r>
            <w:rPr>
              <w:rFonts w:ascii="方正小标宋简体" w:hAnsi="宋体" w:eastAsia="方正小标宋简体"/>
              <w:b/>
              <w:color w:val="auto"/>
              <w:sz w:val="28"/>
              <w:szCs w:val="28"/>
              <w:highlight w:val="none"/>
            </w:rPr>
            <w:fldChar w:fldCharType="begin"/>
          </w:r>
          <w:r>
            <w:rPr>
              <w:rFonts w:ascii="方正小标宋简体" w:hAnsi="宋体" w:eastAsia="方正小标宋简体"/>
              <w:b/>
              <w:sz w:val="28"/>
              <w:szCs w:val="28"/>
              <w:highlight w:val="none"/>
            </w:rPr>
            <w:instrText xml:space="preserve"> HYPERLINK \l _Toc10352 </w:instrText>
          </w:r>
          <w:r>
            <w:rPr>
              <w:rFonts w:ascii="方正小标宋简体" w:hAnsi="宋体" w:eastAsia="方正小标宋简体"/>
              <w:b/>
              <w:sz w:val="28"/>
              <w:szCs w:val="28"/>
              <w:highlight w:val="none"/>
            </w:rPr>
            <w:fldChar w:fldCharType="separate"/>
          </w:r>
          <w:r>
            <w:rPr>
              <w:rFonts w:hint="eastAsia" w:ascii="黑体" w:hAnsi="黑体" w:eastAsia="黑体"/>
              <w:b/>
              <w:sz w:val="28"/>
              <w:szCs w:val="28"/>
              <w:highlight w:val="none"/>
            </w:rPr>
            <w:t>第四部分 附件</w:t>
          </w:r>
          <w:r>
            <w:rPr>
              <w:b/>
              <w:sz w:val="28"/>
              <w:szCs w:val="28"/>
              <w:highlight w:val="none"/>
            </w:rPr>
            <w:tab/>
          </w:r>
          <w:r>
            <w:rPr>
              <w:b/>
              <w:sz w:val="28"/>
              <w:szCs w:val="28"/>
              <w:highlight w:val="none"/>
            </w:rPr>
            <w:fldChar w:fldCharType="begin"/>
          </w:r>
          <w:r>
            <w:rPr>
              <w:b/>
              <w:sz w:val="28"/>
              <w:szCs w:val="28"/>
              <w:highlight w:val="none"/>
            </w:rPr>
            <w:instrText xml:space="preserve"> PAGEREF _Toc10352 \h </w:instrText>
          </w:r>
          <w:r>
            <w:rPr>
              <w:b/>
              <w:sz w:val="28"/>
              <w:szCs w:val="28"/>
              <w:highlight w:val="none"/>
            </w:rPr>
            <w:fldChar w:fldCharType="separate"/>
          </w:r>
          <w:r>
            <w:rPr>
              <w:b/>
              <w:sz w:val="28"/>
              <w:szCs w:val="28"/>
              <w:highlight w:val="none"/>
            </w:rPr>
            <w:t>13</w:t>
          </w:r>
          <w:r>
            <w:rPr>
              <w:b/>
              <w:sz w:val="28"/>
              <w:szCs w:val="28"/>
              <w:highlight w:val="none"/>
            </w:rPr>
            <w:fldChar w:fldCharType="end"/>
          </w:r>
          <w:r>
            <w:rPr>
              <w:rFonts w:ascii="方正小标宋简体" w:hAnsi="宋体" w:eastAsia="方正小标宋简体"/>
              <w:b/>
              <w:color w:val="auto"/>
              <w:sz w:val="28"/>
              <w:szCs w:val="28"/>
              <w:highlight w:val="none"/>
            </w:rPr>
            <w:fldChar w:fldCharType="end"/>
          </w:r>
        </w:p>
        <w:p>
          <w:pPr>
            <w:pStyle w:val="31"/>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b/>
              <w:sz w:val="28"/>
              <w:szCs w:val="28"/>
              <w:highlight w:val="none"/>
            </w:rPr>
          </w:pPr>
          <w:r>
            <w:rPr>
              <w:rFonts w:ascii="方正小标宋简体" w:hAnsi="宋体" w:eastAsia="方正小标宋简体"/>
              <w:b/>
              <w:color w:val="auto"/>
              <w:sz w:val="28"/>
              <w:szCs w:val="28"/>
              <w:highlight w:val="none"/>
            </w:rPr>
            <w:fldChar w:fldCharType="begin"/>
          </w:r>
          <w:r>
            <w:rPr>
              <w:rFonts w:ascii="方正小标宋简体" w:hAnsi="宋体" w:eastAsia="方正小标宋简体"/>
              <w:b/>
              <w:sz w:val="28"/>
              <w:szCs w:val="28"/>
              <w:highlight w:val="none"/>
            </w:rPr>
            <w:instrText xml:space="preserve"> HYPERLINK \l _Toc9878 </w:instrText>
          </w:r>
          <w:r>
            <w:rPr>
              <w:rFonts w:ascii="方正小标宋简体" w:hAnsi="宋体" w:eastAsia="方正小标宋简体"/>
              <w:b/>
              <w:sz w:val="28"/>
              <w:szCs w:val="28"/>
              <w:highlight w:val="none"/>
            </w:rPr>
            <w:fldChar w:fldCharType="separate"/>
          </w:r>
          <w:r>
            <w:rPr>
              <w:rFonts w:hint="eastAsia" w:ascii="黑体" w:hAnsi="黑体" w:eastAsia="黑体"/>
              <w:b/>
              <w:sz w:val="28"/>
              <w:szCs w:val="28"/>
              <w:highlight w:val="none"/>
            </w:rPr>
            <w:t>第五部分 附表</w:t>
          </w:r>
          <w:r>
            <w:rPr>
              <w:b/>
              <w:sz w:val="28"/>
              <w:szCs w:val="28"/>
              <w:highlight w:val="none"/>
            </w:rPr>
            <w:tab/>
          </w:r>
          <w:r>
            <w:rPr>
              <w:b/>
              <w:sz w:val="28"/>
              <w:szCs w:val="28"/>
              <w:highlight w:val="none"/>
            </w:rPr>
            <w:fldChar w:fldCharType="begin"/>
          </w:r>
          <w:r>
            <w:rPr>
              <w:b/>
              <w:sz w:val="28"/>
              <w:szCs w:val="28"/>
              <w:highlight w:val="none"/>
            </w:rPr>
            <w:instrText xml:space="preserve"> PAGEREF _Toc9878 \h </w:instrText>
          </w:r>
          <w:r>
            <w:rPr>
              <w:b/>
              <w:sz w:val="28"/>
              <w:szCs w:val="28"/>
              <w:highlight w:val="none"/>
            </w:rPr>
            <w:fldChar w:fldCharType="separate"/>
          </w:r>
          <w:r>
            <w:rPr>
              <w:b/>
              <w:sz w:val="28"/>
              <w:szCs w:val="28"/>
              <w:highlight w:val="none"/>
            </w:rPr>
            <w:t>26</w:t>
          </w:r>
          <w:r>
            <w:rPr>
              <w:b/>
              <w:sz w:val="28"/>
              <w:szCs w:val="28"/>
              <w:highlight w:val="none"/>
            </w:rPr>
            <w:fldChar w:fldCharType="end"/>
          </w:r>
          <w:r>
            <w:rPr>
              <w:rFonts w:ascii="方正小标宋简体" w:hAnsi="宋体" w:eastAsia="方正小标宋简体"/>
              <w:b/>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_Toc5305 </w:instrText>
          </w:r>
          <w:r>
            <w:rPr>
              <w:rFonts w:ascii="方正小标宋简体" w:hAnsi="宋体" w:eastAsia="方正小标宋简体"/>
              <w:sz w:val="28"/>
              <w:szCs w:val="28"/>
              <w:highlight w:val="none"/>
            </w:rPr>
            <w:fldChar w:fldCharType="separate"/>
          </w:r>
          <w:r>
            <w:rPr>
              <w:rFonts w:hint="eastAsia" w:ascii="仿宋" w:hAnsi="仿宋" w:eastAsia="仿宋"/>
              <w:sz w:val="28"/>
              <w:szCs w:val="28"/>
              <w:highlight w:val="none"/>
            </w:rPr>
            <w:t>一、收</w:t>
          </w:r>
          <w:r>
            <w:rPr>
              <w:rFonts w:hint="eastAsia" w:ascii="仿宋" w:hAnsi="仿宋" w:eastAsia="仿宋"/>
              <w:bCs w:val="0"/>
              <w:sz w:val="28"/>
              <w:szCs w:val="28"/>
              <w:highlight w:val="none"/>
            </w:rPr>
            <w:t>入支出决算总表</w:t>
          </w:r>
          <w:r>
            <w:rPr>
              <w:sz w:val="28"/>
              <w:szCs w:val="28"/>
              <w:highlight w:val="none"/>
            </w:rPr>
            <w:tab/>
          </w:r>
          <w:r>
            <w:rPr>
              <w:sz w:val="28"/>
              <w:szCs w:val="28"/>
              <w:highlight w:val="none"/>
            </w:rPr>
            <w:fldChar w:fldCharType="begin"/>
          </w:r>
          <w:r>
            <w:rPr>
              <w:sz w:val="28"/>
              <w:szCs w:val="28"/>
              <w:highlight w:val="none"/>
            </w:rPr>
            <w:instrText xml:space="preserve"> PAGEREF _Toc5305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_Toc22077 </w:instrText>
          </w:r>
          <w:r>
            <w:rPr>
              <w:rFonts w:ascii="方正小标宋简体" w:hAnsi="宋体" w:eastAsia="方正小标宋简体"/>
              <w:sz w:val="28"/>
              <w:szCs w:val="28"/>
              <w:highlight w:val="none"/>
            </w:rPr>
            <w:fldChar w:fldCharType="separate"/>
          </w:r>
          <w:r>
            <w:rPr>
              <w:rFonts w:hint="eastAsia" w:ascii="仿宋" w:hAnsi="仿宋" w:eastAsia="仿宋"/>
              <w:sz w:val="28"/>
              <w:szCs w:val="28"/>
              <w:highlight w:val="none"/>
            </w:rPr>
            <w:t>二、收</w:t>
          </w:r>
          <w:r>
            <w:rPr>
              <w:rFonts w:hint="eastAsia" w:ascii="仿宋" w:hAnsi="仿宋" w:eastAsia="仿宋"/>
              <w:bCs w:val="0"/>
              <w:sz w:val="28"/>
              <w:szCs w:val="28"/>
              <w:highlight w:val="none"/>
            </w:rPr>
            <w:t>入决算表</w:t>
          </w:r>
          <w:r>
            <w:rPr>
              <w:sz w:val="28"/>
              <w:szCs w:val="28"/>
              <w:highlight w:val="none"/>
            </w:rPr>
            <w:tab/>
          </w:r>
          <w:r>
            <w:rPr>
              <w:sz w:val="28"/>
              <w:szCs w:val="28"/>
              <w:highlight w:val="none"/>
            </w:rPr>
            <w:fldChar w:fldCharType="begin"/>
          </w:r>
          <w:r>
            <w:rPr>
              <w:sz w:val="28"/>
              <w:szCs w:val="28"/>
              <w:highlight w:val="none"/>
            </w:rPr>
            <w:instrText xml:space="preserve"> PAGEREF _Toc22077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_Toc23766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三、</w:t>
          </w:r>
          <w:r>
            <w:rPr>
              <w:rFonts w:hint="eastAsia" w:ascii="仿宋" w:hAnsi="仿宋" w:eastAsia="仿宋"/>
              <w:sz w:val="28"/>
              <w:szCs w:val="28"/>
              <w:highlight w:val="none"/>
            </w:rPr>
            <w:t>支</w:t>
          </w:r>
          <w:r>
            <w:rPr>
              <w:rFonts w:hint="eastAsia" w:ascii="仿宋" w:hAnsi="仿宋" w:eastAsia="仿宋"/>
              <w:bCs w:val="0"/>
              <w:sz w:val="28"/>
              <w:szCs w:val="28"/>
              <w:highlight w:val="none"/>
            </w:rPr>
            <w:t>出决算表</w:t>
          </w:r>
          <w:r>
            <w:rPr>
              <w:sz w:val="28"/>
              <w:szCs w:val="28"/>
              <w:highlight w:val="none"/>
            </w:rPr>
            <w:tab/>
          </w:r>
          <w:r>
            <w:rPr>
              <w:sz w:val="28"/>
              <w:szCs w:val="28"/>
              <w:highlight w:val="none"/>
            </w:rPr>
            <w:fldChar w:fldCharType="begin"/>
          </w:r>
          <w:r>
            <w:rPr>
              <w:sz w:val="28"/>
              <w:szCs w:val="28"/>
              <w:highlight w:val="none"/>
            </w:rPr>
            <w:instrText xml:space="preserve"> PAGEREF _Toc23766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_Toc23250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四、</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政拨款收入支出决算总表</w:t>
          </w:r>
          <w:r>
            <w:rPr>
              <w:sz w:val="28"/>
              <w:szCs w:val="28"/>
              <w:highlight w:val="none"/>
            </w:rPr>
            <w:tab/>
          </w:r>
          <w:r>
            <w:rPr>
              <w:sz w:val="28"/>
              <w:szCs w:val="28"/>
              <w:highlight w:val="none"/>
            </w:rPr>
            <w:fldChar w:fldCharType="begin"/>
          </w:r>
          <w:r>
            <w:rPr>
              <w:sz w:val="28"/>
              <w:szCs w:val="28"/>
              <w:highlight w:val="none"/>
            </w:rPr>
            <w:instrText xml:space="preserve"> PAGEREF _Toc23250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_Toc4599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五、</w:t>
          </w:r>
          <w:r>
            <w:rPr>
              <w:rFonts w:hint="eastAsia" w:ascii="仿宋" w:hAnsi="仿宋" w:eastAsia="仿宋"/>
              <w:sz w:val="28"/>
              <w:szCs w:val="28"/>
              <w:highlight w:val="none"/>
            </w:rPr>
            <w:t>财</w:t>
          </w:r>
          <w:r>
            <w:rPr>
              <w:rFonts w:hint="eastAsia" w:ascii="仿宋" w:hAnsi="仿宋" w:eastAsia="仿宋"/>
              <w:bCs w:val="0"/>
              <w:sz w:val="28"/>
              <w:szCs w:val="28"/>
              <w:highlight w:val="none"/>
            </w:rPr>
            <w:t>政拨款支出决算明细表</w:t>
          </w:r>
          <w:r>
            <w:rPr>
              <w:sz w:val="28"/>
              <w:szCs w:val="28"/>
              <w:highlight w:val="none"/>
            </w:rPr>
            <w:tab/>
          </w:r>
          <w:r>
            <w:rPr>
              <w:sz w:val="28"/>
              <w:szCs w:val="28"/>
              <w:highlight w:val="none"/>
            </w:rPr>
            <w:fldChar w:fldCharType="begin"/>
          </w:r>
          <w:r>
            <w:rPr>
              <w:sz w:val="28"/>
              <w:szCs w:val="28"/>
              <w:highlight w:val="none"/>
            </w:rPr>
            <w:instrText xml:space="preserve"> PAGEREF _Toc4599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_Toc26086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六、</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般公共预算财政拨款支出决算表</w:t>
          </w:r>
          <w:r>
            <w:rPr>
              <w:sz w:val="28"/>
              <w:szCs w:val="28"/>
              <w:highlight w:val="none"/>
            </w:rPr>
            <w:tab/>
          </w:r>
          <w:r>
            <w:rPr>
              <w:sz w:val="28"/>
              <w:szCs w:val="28"/>
              <w:highlight w:val="none"/>
            </w:rPr>
            <w:fldChar w:fldCharType="begin"/>
          </w:r>
          <w:r>
            <w:rPr>
              <w:sz w:val="28"/>
              <w:szCs w:val="28"/>
              <w:highlight w:val="none"/>
            </w:rPr>
            <w:instrText xml:space="preserve"> PAGEREF _Toc26086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_Toc6128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七、</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般公共预算财政拨款支出决算明细表</w:t>
          </w:r>
          <w:r>
            <w:rPr>
              <w:sz w:val="28"/>
              <w:szCs w:val="28"/>
              <w:highlight w:val="none"/>
            </w:rPr>
            <w:tab/>
          </w:r>
          <w:r>
            <w:rPr>
              <w:sz w:val="28"/>
              <w:szCs w:val="28"/>
              <w:highlight w:val="none"/>
            </w:rPr>
            <w:fldChar w:fldCharType="begin"/>
          </w:r>
          <w:r>
            <w:rPr>
              <w:sz w:val="28"/>
              <w:szCs w:val="28"/>
              <w:highlight w:val="none"/>
            </w:rPr>
            <w:instrText xml:space="preserve"> PAGEREF _Toc6128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_Toc27263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八、</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般公共预算财政拨款基本支出决算表</w:t>
          </w:r>
          <w:r>
            <w:rPr>
              <w:sz w:val="28"/>
              <w:szCs w:val="28"/>
              <w:highlight w:val="none"/>
            </w:rPr>
            <w:tab/>
          </w:r>
          <w:r>
            <w:rPr>
              <w:sz w:val="28"/>
              <w:szCs w:val="28"/>
              <w:highlight w:val="none"/>
            </w:rPr>
            <w:fldChar w:fldCharType="begin"/>
          </w:r>
          <w:r>
            <w:rPr>
              <w:sz w:val="28"/>
              <w:szCs w:val="28"/>
              <w:highlight w:val="none"/>
            </w:rPr>
            <w:instrText xml:space="preserve"> PAGEREF _Toc27263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_Toc8768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九、</w:t>
          </w:r>
          <w:r>
            <w:rPr>
              <w:rFonts w:hint="eastAsia" w:ascii="仿宋" w:hAnsi="仿宋" w:eastAsia="仿宋"/>
              <w:sz w:val="28"/>
              <w:szCs w:val="28"/>
              <w:highlight w:val="none"/>
            </w:rPr>
            <w:t>一</w:t>
          </w:r>
          <w:r>
            <w:rPr>
              <w:rFonts w:hint="eastAsia" w:ascii="仿宋" w:hAnsi="仿宋" w:eastAsia="仿宋"/>
              <w:bCs w:val="0"/>
              <w:sz w:val="28"/>
              <w:szCs w:val="28"/>
              <w:highlight w:val="none"/>
            </w:rPr>
            <w:t>般公共预算财政拨款项目支出决算表</w:t>
          </w:r>
          <w:r>
            <w:rPr>
              <w:sz w:val="28"/>
              <w:szCs w:val="28"/>
              <w:highlight w:val="none"/>
            </w:rPr>
            <w:tab/>
          </w:r>
          <w:r>
            <w:rPr>
              <w:sz w:val="28"/>
              <w:szCs w:val="28"/>
              <w:highlight w:val="none"/>
            </w:rPr>
            <w:fldChar w:fldCharType="begin"/>
          </w:r>
          <w:r>
            <w:rPr>
              <w:sz w:val="28"/>
              <w:szCs w:val="28"/>
              <w:highlight w:val="none"/>
            </w:rPr>
            <w:instrText xml:space="preserve"> PAGEREF _Toc8768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_Toc28773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十、</w:t>
          </w:r>
          <w:r>
            <w:rPr>
              <w:rFonts w:hint="eastAsia" w:ascii="仿宋" w:hAnsi="仿宋" w:eastAsia="仿宋"/>
              <w:sz w:val="28"/>
              <w:szCs w:val="28"/>
              <w:highlight w:val="none"/>
            </w:rPr>
            <w:t>政</w:t>
          </w:r>
          <w:r>
            <w:rPr>
              <w:rFonts w:hint="eastAsia" w:ascii="仿宋" w:hAnsi="仿宋" w:eastAsia="仿宋"/>
              <w:bCs w:val="0"/>
              <w:sz w:val="28"/>
              <w:szCs w:val="28"/>
              <w:highlight w:val="none"/>
            </w:rPr>
            <w:t>府性基金预算财政拨款收入支出决算表</w:t>
          </w:r>
          <w:r>
            <w:rPr>
              <w:sz w:val="28"/>
              <w:szCs w:val="28"/>
              <w:highlight w:val="none"/>
            </w:rPr>
            <w:tab/>
          </w:r>
          <w:r>
            <w:rPr>
              <w:sz w:val="28"/>
              <w:szCs w:val="28"/>
              <w:highlight w:val="none"/>
            </w:rPr>
            <w:fldChar w:fldCharType="begin"/>
          </w:r>
          <w:r>
            <w:rPr>
              <w:sz w:val="28"/>
              <w:szCs w:val="28"/>
              <w:highlight w:val="none"/>
            </w:rPr>
            <w:instrText xml:space="preserve"> PAGEREF _Toc28773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_Toc23211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十一、</w:t>
          </w:r>
          <w:r>
            <w:rPr>
              <w:rFonts w:hint="eastAsia" w:ascii="仿宋" w:hAnsi="仿宋" w:eastAsia="仿宋"/>
              <w:sz w:val="28"/>
              <w:szCs w:val="28"/>
              <w:highlight w:val="none"/>
            </w:rPr>
            <w:t>国</w:t>
          </w:r>
          <w:r>
            <w:rPr>
              <w:rFonts w:hint="eastAsia" w:ascii="仿宋" w:hAnsi="仿宋" w:eastAsia="仿宋"/>
              <w:bCs w:val="0"/>
              <w:sz w:val="28"/>
              <w:szCs w:val="28"/>
              <w:highlight w:val="none"/>
            </w:rPr>
            <w:t>有资本经营预算</w:t>
          </w:r>
          <w:r>
            <w:rPr>
              <w:rFonts w:hint="eastAsia" w:ascii="仿宋" w:hAnsi="仿宋" w:eastAsia="仿宋"/>
              <w:bCs w:val="0"/>
              <w:sz w:val="28"/>
              <w:szCs w:val="28"/>
              <w:highlight w:val="none"/>
              <w:lang w:eastAsia="zh-CN"/>
            </w:rPr>
            <w:t>财政拨款收入</w:t>
          </w:r>
          <w:r>
            <w:rPr>
              <w:rFonts w:hint="eastAsia" w:ascii="仿宋" w:hAnsi="仿宋" w:eastAsia="仿宋"/>
              <w:bCs w:val="0"/>
              <w:sz w:val="28"/>
              <w:szCs w:val="28"/>
              <w:highlight w:val="none"/>
            </w:rPr>
            <w:t>支出决算表</w:t>
          </w:r>
          <w:r>
            <w:rPr>
              <w:sz w:val="28"/>
              <w:szCs w:val="28"/>
              <w:highlight w:val="none"/>
            </w:rPr>
            <w:tab/>
          </w:r>
          <w:r>
            <w:rPr>
              <w:sz w:val="28"/>
              <w:szCs w:val="28"/>
              <w:highlight w:val="none"/>
            </w:rPr>
            <w:fldChar w:fldCharType="begin"/>
          </w:r>
          <w:r>
            <w:rPr>
              <w:sz w:val="28"/>
              <w:szCs w:val="28"/>
              <w:highlight w:val="none"/>
            </w:rPr>
            <w:instrText xml:space="preserve"> PAGEREF _Toc23211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sz w:val="28"/>
              <w:szCs w:val="28"/>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_Toc16103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十二、</w:t>
          </w:r>
          <w:r>
            <w:rPr>
              <w:rFonts w:hint="eastAsia" w:ascii="仿宋" w:hAnsi="仿宋" w:eastAsia="仿宋"/>
              <w:bCs w:val="0"/>
              <w:sz w:val="28"/>
              <w:szCs w:val="28"/>
              <w:highlight w:val="none"/>
              <w:lang w:eastAsia="zh-CN"/>
            </w:rPr>
            <w:t>国有资本经营预算财政拨款支出决算表</w:t>
          </w:r>
          <w:r>
            <w:rPr>
              <w:sz w:val="28"/>
              <w:szCs w:val="28"/>
              <w:highlight w:val="none"/>
            </w:rPr>
            <w:tab/>
          </w:r>
          <w:r>
            <w:rPr>
              <w:sz w:val="28"/>
              <w:szCs w:val="28"/>
              <w:highlight w:val="none"/>
            </w:rPr>
            <w:fldChar w:fldCharType="begin"/>
          </w:r>
          <w:r>
            <w:rPr>
              <w:sz w:val="28"/>
              <w:szCs w:val="28"/>
              <w:highlight w:val="none"/>
            </w:rPr>
            <w:instrText xml:space="preserve"> PAGEREF _Toc16103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32"/>
            <w:keepNext w:val="0"/>
            <w:keepLines w:val="0"/>
            <w:pageBreakBefore w:val="0"/>
            <w:widowControl/>
            <w:shd w:val="clear"/>
            <w:tabs>
              <w:tab w:val="right" w:leader="dot" w:pos="8306"/>
            </w:tabs>
            <w:kinsoku/>
            <w:wordWrap/>
            <w:overflowPunct/>
            <w:topLinePunct w:val="0"/>
            <w:autoSpaceDE/>
            <w:autoSpaceDN/>
            <w:bidi w:val="0"/>
            <w:adjustRightInd/>
            <w:snapToGrid/>
            <w:spacing w:line="440" w:lineRule="exact"/>
            <w:textAlignment w:val="auto"/>
            <w:rPr>
              <w:highlight w:val="none"/>
            </w:rPr>
          </w:pPr>
          <w:r>
            <w:rPr>
              <w:rFonts w:ascii="方正小标宋简体" w:hAnsi="宋体" w:eastAsia="方正小标宋简体"/>
              <w:color w:val="auto"/>
              <w:sz w:val="28"/>
              <w:szCs w:val="28"/>
              <w:highlight w:val="none"/>
            </w:rPr>
            <w:fldChar w:fldCharType="begin"/>
          </w:r>
          <w:r>
            <w:rPr>
              <w:rFonts w:ascii="方正小标宋简体" w:hAnsi="宋体" w:eastAsia="方正小标宋简体"/>
              <w:sz w:val="28"/>
              <w:szCs w:val="28"/>
              <w:highlight w:val="none"/>
            </w:rPr>
            <w:instrText xml:space="preserve"> HYPERLINK \l _Toc1404 </w:instrText>
          </w:r>
          <w:r>
            <w:rPr>
              <w:rFonts w:ascii="方正小标宋简体" w:hAnsi="宋体" w:eastAsia="方正小标宋简体"/>
              <w:sz w:val="28"/>
              <w:szCs w:val="28"/>
              <w:highlight w:val="none"/>
            </w:rPr>
            <w:fldChar w:fldCharType="separate"/>
          </w:r>
          <w:r>
            <w:rPr>
              <w:rFonts w:hint="eastAsia" w:ascii="仿宋" w:hAnsi="仿宋" w:eastAsia="仿宋"/>
              <w:bCs w:val="0"/>
              <w:sz w:val="28"/>
              <w:szCs w:val="28"/>
              <w:highlight w:val="none"/>
            </w:rPr>
            <w:t>十三、</w:t>
          </w:r>
          <w:r>
            <w:rPr>
              <w:rFonts w:hint="eastAsia" w:ascii="仿宋" w:hAnsi="仿宋" w:eastAsia="仿宋"/>
              <w:bCs w:val="0"/>
              <w:sz w:val="28"/>
              <w:szCs w:val="28"/>
              <w:highlight w:val="none"/>
              <w:lang w:eastAsia="zh-CN"/>
            </w:rPr>
            <w:t>财政拨款“三公”经费支出决算表</w:t>
          </w:r>
          <w:r>
            <w:rPr>
              <w:sz w:val="28"/>
              <w:szCs w:val="28"/>
              <w:highlight w:val="none"/>
            </w:rPr>
            <w:tab/>
          </w:r>
          <w:r>
            <w:rPr>
              <w:sz w:val="28"/>
              <w:szCs w:val="28"/>
              <w:highlight w:val="none"/>
            </w:rPr>
            <w:fldChar w:fldCharType="begin"/>
          </w:r>
          <w:r>
            <w:rPr>
              <w:sz w:val="28"/>
              <w:szCs w:val="28"/>
              <w:highlight w:val="none"/>
            </w:rPr>
            <w:instrText xml:space="preserve"> PAGEREF _Toc1404 \h </w:instrText>
          </w:r>
          <w:r>
            <w:rPr>
              <w:sz w:val="28"/>
              <w:szCs w:val="28"/>
              <w:highlight w:val="none"/>
            </w:rPr>
            <w:fldChar w:fldCharType="separate"/>
          </w:r>
          <w:r>
            <w:rPr>
              <w:sz w:val="28"/>
              <w:szCs w:val="28"/>
              <w:highlight w:val="none"/>
            </w:rPr>
            <w:t>26</w:t>
          </w:r>
          <w:r>
            <w:rPr>
              <w:sz w:val="28"/>
              <w:szCs w:val="28"/>
              <w:highlight w:val="none"/>
            </w:rPr>
            <w:fldChar w:fldCharType="end"/>
          </w:r>
          <w:r>
            <w:rPr>
              <w:rFonts w:ascii="方正小标宋简体" w:hAnsi="宋体" w:eastAsia="方正小标宋简体"/>
              <w:color w:val="auto"/>
              <w:sz w:val="28"/>
              <w:szCs w:val="28"/>
              <w:highlight w:val="none"/>
            </w:rPr>
            <w:fldChar w:fldCharType="end"/>
          </w:r>
        </w:p>
        <w:p>
          <w:pPr>
            <w:pStyle w:val="2"/>
            <w:shd w:val="clear"/>
            <w:rPr>
              <w:rFonts w:ascii="方正小标宋简体" w:hAnsi="宋体" w:eastAsia="方正小标宋简体"/>
              <w:color w:val="auto"/>
              <w:sz w:val="36"/>
              <w:szCs w:val="36"/>
              <w:highlight w:val="none"/>
            </w:rPr>
          </w:pPr>
          <w:r>
            <w:rPr>
              <w:rFonts w:ascii="方正小标宋简体" w:hAnsi="宋体" w:eastAsia="方正小标宋简体"/>
              <w:b/>
              <w:color w:val="auto"/>
              <w:szCs w:val="36"/>
              <w:highlight w:val="none"/>
            </w:rPr>
            <w:fldChar w:fldCharType="end"/>
          </w:r>
        </w:p>
      </w:sdtContent>
    </w:sdt>
    <w:p>
      <w:pPr>
        <w:pStyle w:val="3"/>
        <w:shd w:val="clear"/>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5377196"/>
      <w:bookmarkStart w:id="15" w:name="_Toc15396599"/>
      <w:bookmarkStart w:id="16" w:name="_Toc16133"/>
    </w:p>
    <w:p>
      <w:pPr>
        <w:pStyle w:val="3"/>
        <w:shd w:val="clear"/>
        <w:jc w:val="center"/>
        <w:rPr>
          <w:rStyle w:val="17"/>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widowControl/>
        <w:shd w:val="clear"/>
        <w:jc w:val="left"/>
        <w:rPr>
          <w:rFonts w:ascii="黑体" w:eastAsia="黑体"/>
          <w:color w:val="auto"/>
          <w:sz w:val="32"/>
          <w:szCs w:val="32"/>
          <w:highlight w:val="none"/>
        </w:rPr>
      </w:pPr>
    </w:p>
    <w:p>
      <w:pPr>
        <w:pStyle w:val="4"/>
        <w:numPr>
          <w:ilvl w:val="0"/>
          <w:numId w:val="1"/>
        </w:numPr>
        <w:shd w:val="clear"/>
        <w:rPr>
          <w:rStyle w:val="18"/>
          <w:rFonts w:hint="eastAsia" w:ascii="黑体" w:hAnsi="黑体" w:eastAsia="黑体"/>
          <w:b w:val="0"/>
          <w:bCs w:val="0"/>
          <w:color w:val="auto"/>
          <w:highlight w:val="none"/>
          <w:lang w:eastAsia="zh-CN"/>
        </w:rPr>
      </w:pPr>
      <w:bookmarkStart w:id="17" w:name="_Toc30473"/>
      <w:bookmarkStart w:id="18" w:name="_Toc15396600"/>
      <w:bookmarkStart w:id="19" w:name="_Toc15377197"/>
      <w:r>
        <w:rPr>
          <w:rStyle w:val="18"/>
          <w:rFonts w:hint="eastAsia" w:ascii="黑体" w:hAnsi="黑体" w:eastAsia="黑体"/>
          <w:b w:val="0"/>
          <w:bCs w:val="0"/>
          <w:color w:val="auto"/>
          <w:highlight w:val="none"/>
          <w:lang w:eastAsia="zh-CN"/>
        </w:rPr>
        <w:t>主要职责</w:t>
      </w:r>
      <w:bookmarkEnd w:id="17"/>
    </w:p>
    <w:p>
      <w:pPr>
        <w:shd w:val="clear"/>
        <w:ind w:firstLine="640" w:firstLineChars="200"/>
        <w:rPr>
          <w:rFonts w:hint="eastAsia" w:ascii="仿宋" w:hAnsi="仿宋" w:eastAsia="仿宋" w:cs="仿宋"/>
          <w:kern w:val="0"/>
          <w:sz w:val="32"/>
          <w:szCs w:val="32"/>
          <w:highlight w:val="none"/>
          <w:shd w:val="clear" w:color="auto" w:fill="FFFFFF"/>
          <w:lang w:bidi="ar"/>
        </w:rPr>
      </w:pPr>
      <w:r>
        <w:rPr>
          <w:rFonts w:hint="eastAsia" w:ascii="仿宋" w:hAnsi="仿宋" w:eastAsia="仿宋" w:cs="仿宋"/>
          <w:kern w:val="0"/>
          <w:sz w:val="32"/>
          <w:szCs w:val="32"/>
          <w:highlight w:val="none"/>
          <w:shd w:val="clear" w:color="auto" w:fill="FFFFFF"/>
          <w:lang w:bidi="ar"/>
        </w:rPr>
        <w:t>广元市教育技术与电化教育中心负责全市教育技术装备及教育信息化规划、建设、管理、指导和应用工作；负责全市电化教育、智慧教育、实验教学、劳动实践教育、创客教育、网络教育的课题研究、应用研究、业务培训及成果经验推广；负责全市中小学教育资源建设与应用指导；负责开展教师信息技术应用能力提升培训、现代教育技术装备应用培训等。</w:t>
      </w:r>
    </w:p>
    <w:p>
      <w:pPr>
        <w:shd w:val="clear"/>
        <w:rPr>
          <w:rFonts w:hint="eastAsia"/>
          <w:highlight w:val="none"/>
          <w:lang w:eastAsia="zh-CN"/>
        </w:rPr>
      </w:pPr>
    </w:p>
    <w:p>
      <w:pPr>
        <w:pStyle w:val="4"/>
        <w:numPr>
          <w:ilvl w:val="0"/>
          <w:numId w:val="0"/>
        </w:numPr>
        <w:shd w:val="clear"/>
        <w:rPr>
          <w:rFonts w:hint="eastAsia" w:ascii="黑体" w:hAnsi="黑体" w:eastAsia="黑体"/>
          <w:b w:val="0"/>
          <w:color w:val="auto"/>
          <w:highlight w:val="none"/>
          <w:lang w:val="en-US" w:eastAsia="zh-CN"/>
        </w:rPr>
      </w:pPr>
      <w:bookmarkStart w:id="20" w:name="_Toc20048"/>
      <w:r>
        <w:rPr>
          <w:rFonts w:hint="eastAsia" w:ascii="黑体" w:hAnsi="黑体" w:eastAsia="黑体"/>
          <w:b w:val="0"/>
          <w:color w:val="auto"/>
          <w:highlight w:val="none"/>
          <w:lang w:val="en-US" w:eastAsia="zh-CN"/>
        </w:rPr>
        <w:t>二、机构设置</w:t>
      </w:r>
      <w:bookmarkEnd w:id="20"/>
    </w:p>
    <w:bookmarkEnd w:id="18"/>
    <w:bookmarkEnd w:id="19"/>
    <w:p>
      <w:pPr>
        <w:shd w:val="clear"/>
        <w:ind w:firstLine="640" w:firstLineChars="200"/>
        <w:rPr>
          <w:rFonts w:hint="eastAsia" w:ascii="仿宋" w:hAnsi="仿宋" w:eastAsia="仿宋" w:cs="仿宋"/>
          <w:kern w:val="0"/>
          <w:sz w:val="32"/>
          <w:szCs w:val="32"/>
          <w:highlight w:val="none"/>
          <w:shd w:val="clear" w:color="auto" w:fill="FFFFFF"/>
          <w:lang w:bidi="ar"/>
        </w:rPr>
      </w:pPr>
      <w:r>
        <w:rPr>
          <w:rFonts w:hint="eastAsia" w:ascii="仿宋" w:hAnsi="仿宋" w:eastAsia="仿宋" w:cs="仿宋"/>
          <w:kern w:val="0"/>
          <w:sz w:val="32"/>
          <w:szCs w:val="32"/>
          <w:highlight w:val="none"/>
          <w:shd w:val="clear" w:color="auto" w:fill="FFFFFF"/>
          <w:lang w:bidi="ar"/>
        </w:rPr>
        <w:t>广元市教育技术与电化教育中心</w:t>
      </w:r>
      <w:r>
        <w:rPr>
          <w:rFonts w:hint="eastAsia" w:ascii="仿宋" w:hAnsi="仿宋" w:eastAsia="仿宋" w:cs="仿宋"/>
          <w:kern w:val="0"/>
          <w:sz w:val="32"/>
          <w:szCs w:val="32"/>
          <w:highlight w:val="none"/>
          <w:shd w:val="clear" w:color="auto" w:fill="FFFFFF"/>
          <w:lang w:val="en-US" w:eastAsia="zh-CN" w:bidi="ar"/>
        </w:rPr>
        <w:t>属于广元市教育局下属的二级预算单位，下设独立编制机构0个，其中行政机关0个，参照公务员法管理的事业机构0个，其他事业机构0个。</w:t>
      </w:r>
    </w:p>
    <w:p>
      <w:pPr>
        <w:pStyle w:val="3"/>
        <w:shd w:val="clear"/>
        <w:ind w:right="440"/>
        <w:jc w:val="both"/>
        <w:rPr>
          <w:rFonts w:hint="eastAsia" w:ascii="黑体" w:hAnsi="黑体" w:eastAsia="黑体"/>
          <w:b w:val="0"/>
          <w:bCs/>
          <w:color w:val="auto"/>
          <w:highlight w:val="none"/>
        </w:rPr>
      </w:pPr>
      <w:bookmarkStart w:id="21" w:name="_Toc15377204"/>
      <w:bookmarkStart w:id="22" w:name="_Toc12787"/>
      <w:bookmarkStart w:id="23" w:name="_Toc15396602"/>
    </w:p>
    <w:p>
      <w:pPr>
        <w:shd w:val="clear"/>
        <w:rPr>
          <w:rFonts w:hint="eastAsia"/>
          <w:highlight w:val="none"/>
        </w:rPr>
      </w:pPr>
    </w:p>
    <w:p>
      <w:pPr>
        <w:pStyle w:val="3"/>
        <w:shd w:val="clear"/>
        <w:ind w:right="440"/>
        <w:jc w:val="center"/>
        <w:rPr>
          <w:rStyle w:val="17"/>
          <w:rFonts w:ascii="黑体" w:hAnsi="黑体" w:eastAsia="黑体"/>
          <w:b w:val="0"/>
          <w:bCs/>
          <w:color w:val="auto"/>
          <w:highlight w:val="none"/>
        </w:rPr>
      </w:pP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shd w:val="clear"/>
        <w:rPr>
          <w:color w:val="auto"/>
          <w:highlight w:val="none"/>
        </w:rPr>
      </w:pP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24" w:name="_Toc15377205"/>
      <w:bookmarkStart w:id="25" w:name="_Toc15396603"/>
      <w:bookmarkStart w:id="26" w:name="_Toc21591"/>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shd w:val="clea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514.03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169.56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32.99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2022年新增3个项目，共计180.17万元</w:t>
      </w:r>
      <w:r>
        <w:rPr>
          <w:rFonts w:hint="eastAsia" w:ascii="仿宋" w:hAnsi="仿宋" w:eastAsia="仿宋"/>
          <w:color w:val="auto"/>
          <w:sz w:val="32"/>
          <w:szCs w:val="32"/>
          <w:highlight w:val="none"/>
          <w:lang w:eastAsia="zh-CN"/>
        </w:rPr>
        <w:t>。</w:t>
      </w:r>
    </w:p>
    <w:p>
      <w:pPr>
        <w:pStyle w:val="2"/>
        <w:shd w:val="clear"/>
        <w:jc w:val="center"/>
        <w:rPr>
          <w:rFonts w:hint="eastAsia"/>
          <w:highlight w:val="none"/>
          <w:lang w:eastAsia="zh-CN"/>
        </w:rPr>
      </w:pPr>
      <w:r>
        <w:rPr>
          <w:highlight w:val="none"/>
        </w:rPr>
        <w:drawing>
          <wp:inline distT="0" distB="0" distL="114300" distR="114300">
            <wp:extent cx="4610100" cy="2736215"/>
            <wp:effectExtent l="5080" t="4445" r="13970" b="215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hd w:val="clear"/>
        <w:spacing w:line="600" w:lineRule="exact"/>
        <w:ind w:firstLine="640" w:firstLineChars="200"/>
        <w:rPr>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hd w:val="clear"/>
        <w:spacing w:line="600" w:lineRule="exact"/>
        <w:ind w:firstLine="640" w:firstLineChars="200"/>
        <w:jc w:val="left"/>
        <w:rPr>
          <w:rFonts w:ascii="仿宋_GB2312" w:eastAsia="仿宋_GB2312"/>
          <w:color w:val="auto"/>
          <w:sz w:val="32"/>
          <w:szCs w:val="32"/>
          <w:highlight w:val="none"/>
        </w:rPr>
      </w:pP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27" w:name="_Toc15377206"/>
      <w:bookmarkStart w:id="28" w:name="_Toc10294"/>
      <w:bookmarkStart w:id="29" w:name="_Toc1539660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shd w:val="clear"/>
        <w:spacing w:line="600" w:lineRule="exact"/>
        <w:ind w:firstLine="640" w:firstLineChars="200"/>
        <w:outlineLvl w:val="1"/>
        <w:rPr>
          <w:rFonts w:ascii="仿宋" w:hAnsi="仿宋" w:eastAsia="仿宋"/>
          <w:color w:val="auto"/>
          <w:sz w:val="32"/>
          <w:szCs w:val="32"/>
          <w:highlight w:val="none"/>
        </w:rPr>
      </w:pPr>
      <w:bookmarkStart w:id="30" w:name="_Toc2115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485.74</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476.04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98.00</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9.70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hd w:val="clear"/>
        <w:spacing w:line="600" w:lineRule="exact"/>
        <w:ind w:firstLine="640" w:firstLineChars="200"/>
        <w:outlineLvl w:val="9"/>
        <w:rPr>
          <w:rFonts w:ascii="仿宋" w:hAnsi="仿宋" w:eastAsia="仿宋"/>
          <w:color w:val="auto"/>
          <w:sz w:val="32"/>
          <w:szCs w:val="32"/>
          <w:highlight w:val="none"/>
        </w:rPr>
      </w:pPr>
    </w:p>
    <w:p>
      <w:pPr>
        <w:pStyle w:val="2"/>
        <w:shd w:val="clear"/>
        <w:rPr>
          <w:rFonts w:ascii="仿宋" w:hAnsi="仿宋" w:eastAsia="仿宋"/>
          <w:color w:val="auto"/>
          <w:sz w:val="32"/>
          <w:szCs w:val="32"/>
          <w:highlight w:val="none"/>
        </w:rPr>
      </w:pPr>
    </w:p>
    <w:p>
      <w:pPr>
        <w:pStyle w:val="2"/>
        <w:shd w:val="clear"/>
        <w:jc w:val="center"/>
        <w:rPr>
          <w:rFonts w:ascii="仿宋" w:hAnsi="仿宋" w:eastAsia="仿宋"/>
          <w:color w:val="auto"/>
          <w:sz w:val="32"/>
          <w:szCs w:val="32"/>
          <w:highlight w:val="none"/>
        </w:rPr>
      </w:pPr>
      <w:r>
        <w:rPr>
          <w:highlight w:val="none"/>
        </w:rPr>
        <w:drawing>
          <wp:inline distT="0" distB="0" distL="114300" distR="114300">
            <wp:extent cx="4848225" cy="2743200"/>
            <wp:effectExtent l="4445" t="4445" r="5080" b="1460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hd w:val="clea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hd w:val="clear"/>
        <w:spacing w:line="600" w:lineRule="exact"/>
        <w:ind w:firstLine="640" w:firstLineChars="200"/>
        <w:rPr>
          <w:rFonts w:ascii="仿宋_GB2312" w:eastAsia="仿宋_GB2312"/>
          <w:color w:val="auto"/>
          <w:sz w:val="32"/>
          <w:szCs w:val="32"/>
          <w:highlight w:val="none"/>
        </w:rPr>
      </w:pP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31" w:name="_Toc7076"/>
      <w:bookmarkStart w:id="32" w:name="_Toc15396605"/>
      <w:bookmarkStart w:id="33" w:name="_Toc1537720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shd w:val="clear"/>
        <w:spacing w:line="600" w:lineRule="exact"/>
        <w:ind w:firstLine="640" w:firstLineChars="200"/>
        <w:outlineLvl w:val="1"/>
        <w:rPr>
          <w:rFonts w:ascii="仿宋" w:hAnsi="仿宋" w:eastAsia="仿宋"/>
          <w:color w:val="auto"/>
          <w:sz w:val="32"/>
          <w:szCs w:val="32"/>
          <w:highlight w:val="none"/>
          <w:shd w:val="pct10" w:color="auto" w:fill="FFFFFF"/>
        </w:rPr>
      </w:pPr>
      <w:bookmarkStart w:id="34" w:name="_Toc3083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514.03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333.86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64.95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180.17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35.05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pStyle w:val="2"/>
        <w:shd w:val="clear"/>
        <w:jc w:val="center"/>
        <w:rPr>
          <w:rFonts w:ascii="仿宋" w:hAnsi="仿宋" w:eastAsia="仿宋"/>
          <w:color w:val="auto"/>
          <w:sz w:val="32"/>
          <w:szCs w:val="32"/>
          <w:highlight w:val="none"/>
          <w:shd w:val="pct10" w:color="auto" w:fill="FFFFFF"/>
        </w:rPr>
      </w:pPr>
      <w:r>
        <w:rPr>
          <w:highlight w:val="none"/>
        </w:rPr>
        <w:drawing>
          <wp:inline distT="0" distB="0" distL="114300" distR="114300">
            <wp:extent cx="4848225" cy="2743200"/>
            <wp:effectExtent l="4445" t="4445" r="5080" b="146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shd w:val="clear"/>
        <w:jc w:val="center"/>
        <w:rPr>
          <w:highlight w:val="none"/>
        </w:rPr>
      </w:pPr>
      <w:r>
        <w:rPr>
          <w:rFonts w:hint="eastAsia" w:ascii="仿宋" w:hAnsi="仿宋" w:eastAsia="仿宋"/>
          <w:color w:val="auto"/>
          <w:sz w:val="32"/>
          <w:szCs w:val="32"/>
          <w:highlight w:val="none"/>
        </w:rPr>
        <w:t>（图3：支出决算结构图）（饼状图）</w:t>
      </w:r>
    </w:p>
    <w:p>
      <w:pPr>
        <w:shd w:val="clear"/>
        <w:spacing w:line="600" w:lineRule="exact"/>
        <w:ind w:firstLine="640" w:firstLineChars="200"/>
        <w:rPr>
          <w:rFonts w:ascii="仿宋_GB2312" w:eastAsia="仿宋_GB2312"/>
          <w:color w:val="auto"/>
          <w:sz w:val="32"/>
          <w:szCs w:val="32"/>
          <w:highlight w:val="none"/>
        </w:rPr>
      </w:pPr>
    </w:p>
    <w:p>
      <w:pPr>
        <w:pStyle w:val="2"/>
        <w:shd w:val="clear"/>
        <w:rPr>
          <w:highlight w:val="none"/>
        </w:rPr>
      </w:pPr>
    </w:p>
    <w:p>
      <w:pPr>
        <w:shd w:val="clear"/>
        <w:spacing w:line="600" w:lineRule="exact"/>
        <w:ind w:firstLine="640" w:firstLineChars="200"/>
        <w:outlineLvl w:val="1"/>
        <w:rPr>
          <w:rStyle w:val="18"/>
          <w:rFonts w:ascii="黑体" w:hAnsi="黑体" w:eastAsia="黑体"/>
          <w:b w:val="0"/>
          <w:color w:val="auto"/>
          <w:highlight w:val="none"/>
        </w:rPr>
      </w:pPr>
      <w:bookmarkStart w:id="35" w:name="_Toc15396606"/>
      <w:bookmarkStart w:id="36" w:name="_Toc15377208"/>
      <w:bookmarkStart w:id="37" w:name="_Toc18588"/>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5"/>
      <w:bookmarkEnd w:id="36"/>
      <w:bookmarkEnd w:id="37"/>
    </w:p>
    <w:p>
      <w:pPr>
        <w:shd w:val="clea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504.32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173.80</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34.46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lang w:val="en-US" w:eastAsia="zh-CN"/>
        </w:rPr>
        <w:t>2022年新增3个项目，共计180.17万元</w:t>
      </w:r>
      <w:r>
        <w:rPr>
          <w:rFonts w:hint="eastAsia" w:ascii="仿宋" w:hAnsi="仿宋" w:eastAsia="仿宋"/>
          <w:color w:val="auto"/>
          <w:sz w:val="32"/>
          <w:szCs w:val="32"/>
          <w:highlight w:val="none"/>
          <w:lang w:eastAsia="zh-CN"/>
        </w:rPr>
        <w:t>。</w:t>
      </w:r>
    </w:p>
    <w:p>
      <w:pPr>
        <w:pStyle w:val="2"/>
        <w:shd w:val="clear"/>
        <w:jc w:val="center"/>
        <w:rPr>
          <w:rFonts w:ascii="仿宋" w:hAnsi="仿宋" w:eastAsia="仿宋"/>
          <w:color w:val="auto"/>
          <w:sz w:val="32"/>
          <w:szCs w:val="32"/>
          <w:highlight w:val="none"/>
        </w:rPr>
      </w:pPr>
      <w:r>
        <w:rPr>
          <w:highlight w:val="none"/>
        </w:rPr>
        <w:drawing>
          <wp:inline distT="0" distB="0" distL="114300" distR="114300">
            <wp:extent cx="4572000" cy="2743200"/>
            <wp:effectExtent l="4445" t="4445" r="14605" b="1460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2"/>
        <w:shd w:val="clear"/>
        <w:rPr>
          <w:highlight w:val="none"/>
        </w:rPr>
      </w:pPr>
    </w:p>
    <w:p>
      <w:pPr>
        <w:shd w:val="clear"/>
        <w:spacing w:line="600" w:lineRule="exact"/>
        <w:ind w:firstLine="640" w:firstLineChars="200"/>
        <w:outlineLvl w:val="1"/>
        <w:rPr>
          <w:rStyle w:val="18"/>
          <w:rFonts w:ascii="黑体" w:hAnsi="黑体" w:eastAsia="黑体"/>
          <w:b w:val="0"/>
          <w:color w:val="auto"/>
          <w:highlight w:val="none"/>
        </w:rPr>
      </w:pPr>
      <w:bookmarkStart w:id="38" w:name="_Toc15396607"/>
      <w:bookmarkStart w:id="39" w:name="_Toc15377209"/>
      <w:bookmarkStart w:id="40" w:name="_Toc1500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8"/>
      <w:bookmarkEnd w:id="39"/>
      <w:bookmarkEnd w:id="40"/>
    </w:p>
    <w:p>
      <w:pPr>
        <w:shd w:val="clear"/>
        <w:spacing w:line="600" w:lineRule="exact"/>
        <w:ind w:firstLine="643"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hd w:val="clea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504.32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98.11</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173.81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52.59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olor w:val="auto"/>
          <w:sz w:val="32"/>
          <w:szCs w:val="32"/>
          <w:highlight w:val="none"/>
          <w:lang w:val="en-US" w:eastAsia="zh-CN"/>
        </w:rPr>
        <w:t>2022年新增3个项目，共计180.17万元</w:t>
      </w:r>
      <w:r>
        <w:rPr>
          <w:rFonts w:hint="eastAsia" w:ascii="仿宋" w:hAnsi="仿宋" w:eastAsia="仿宋"/>
          <w:color w:val="auto"/>
          <w:sz w:val="32"/>
          <w:szCs w:val="32"/>
          <w:highlight w:val="none"/>
          <w:lang w:eastAsia="zh-CN"/>
        </w:rPr>
        <w:t>。</w:t>
      </w:r>
    </w:p>
    <w:p>
      <w:pPr>
        <w:shd w:val="clear"/>
        <w:spacing w:line="600" w:lineRule="exact"/>
        <w:ind w:firstLine="640" w:firstLineChars="200"/>
        <w:rPr>
          <w:rFonts w:ascii="仿宋" w:hAnsi="仿宋" w:eastAsia="仿宋"/>
          <w:color w:val="auto"/>
          <w:sz w:val="32"/>
          <w:szCs w:val="32"/>
          <w:highlight w:val="none"/>
        </w:rPr>
      </w:pPr>
    </w:p>
    <w:p>
      <w:pPr>
        <w:pStyle w:val="2"/>
        <w:shd w:val="clear"/>
        <w:rPr>
          <w:rFonts w:ascii="仿宋" w:hAnsi="仿宋" w:eastAsia="仿宋"/>
          <w:color w:val="auto"/>
          <w:sz w:val="32"/>
          <w:szCs w:val="32"/>
          <w:highlight w:val="none"/>
        </w:rPr>
      </w:pPr>
    </w:p>
    <w:p>
      <w:pPr>
        <w:pStyle w:val="2"/>
        <w:shd w:val="clear"/>
        <w:jc w:val="center"/>
        <w:rPr>
          <w:rFonts w:ascii="仿宋" w:hAnsi="仿宋" w:eastAsia="仿宋"/>
          <w:color w:val="auto"/>
          <w:sz w:val="32"/>
          <w:szCs w:val="32"/>
          <w:highlight w:val="none"/>
        </w:rPr>
      </w:pPr>
    </w:p>
    <w:p>
      <w:pPr>
        <w:pStyle w:val="2"/>
        <w:shd w:val="clear"/>
        <w:jc w:val="center"/>
        <w:rPr>
          <w:rFonts w:ascii="仿宋" w:hAnsi="仿宋" w:eastAsia="仿宋"/>
          <w:color w:val="auto"/>
          <w:sz w:val="32"/>
          <w:szCs w:val="32"/>
          <w:highlight w:val="none"/>
        </w:rPr>
      </w:pPr>
      <w:r>
        <w:rPr>
          <w:highlight w:val="none"/>
        </w:rPr>
        <w:drawing>
          <wp:inline distT="0" distB="0" distL="114300" distR="114300">
            <wp:extent cx="4572000" cy="2743200"/>
            <wp:effectExtent l="4445" t="4445" r="14605" b="14605"/>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jc w:val="left"/>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hd w:val="clear"/>
        <w:spacing w:line="600" w:lineRule="exact"/>
        <w:ind w:firstLine="643"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hd w:val="clea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504.32</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rPr>
        <w:t>312.86万元，占</w:t>
      </w:r>
      <w:r>
        <w:rPr>
          <w:rFonts w:hint="eastAsia" w:ascii="仿宋" w:hAnsi="仿宋" w:eastAsia="仿宋"/>
          <w:color w:val="auto"/>
          <w:sz w:val="32"/>
          <w:szCs w:val="32"/>
          <w:highlight w:val="none"/>
          <w:lang w:val="en-US" w:eastAsia="zh-CN"/>
        </w:rPr>
        <w:t>62.04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21.6</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4.29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10.88万元，占</w:t>
      </w:r>
      <w:r>
        <w:rPr>
          <w:rFonts w:hint="eastAsia" w:ascii="仿宋" w:hAnsi="仿宋" w:eastAsia="仿宋"/>
          <w:color w:val="auto"/>
          <w:sz w:val="32"/>
          <w:szCs w:val="32"/>
          <w:highlight w:val="none"/>
          <w:lang w:val="en-US" w:eastAsia="zh-CN"/>
        </w:rPr>
        <w:t>2.16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29.4</w:t>
      </w:r>
      <w:r>
        <w:rPr>
          <w:rFonts w:hint="eastAsia" w:ascii="仿宋" w:hAnsi="仿宋" w:eastAsia="仿宋"/>
          <w:color w:val="auto"/>
          <w:sz w:val="32"/>
          <w:szCs w:val="32"/>
          <w:highlight w:val="none"/>
          <w:lang w:val="en-US" w:eastAsia="zh-CN"/>
        </w:rPr>
        <w:t>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5.85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eastAsia="zh-CN"/>
        </w:rPr>
        <w:t>其他</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129.48万元，占</w:t>
      </w:r>
      <w:r>
        <w:rPr>
          <w:rFonts w:hint="eastAsia" w:ascii="仿宋" w:hAnsi="仿宋" w:eastAsia="仿宋"/>
          <w:color w:val="auto"/>
          <w:sz w:val="32"/>
          <w:szCs w:val="32"/>
          <w:highlight w:val="none"/>
          <w:lang w:val="en-US" w:eastAsia="zh-CN"/>
        </w:rPr>
        <w:t>25.66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shd w:val="clear"/>
        <w:jc w:val="center"/>
        <w:rPr>
          <w:rFonts w:ascii="仿宋" w:hAnsi="仿宋" w:eastAsia="仿宋"/>
          <w:color w:val="auto"/>
          <w:sz w:val="32"/>
          <w:szCs w:val="32"/>
          <w:highlight w:val="none"/>
        </w:rPr>
      </w:pPr>
      <w:r>
        <w:rPr>
          <w:highlight w:val="none"/>
        </w:rPr>
        <w:drawing>
          <wp:inline distT="0" distB="0" distL="114300" distR="114300">
            <wp:extent cx="5041265" cy="2910840"/>
            <wp:effectExtent l="4445" t="4445" r="21590" b="18415"/>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hd w:val="clear"/>
        <w:spacing w:line="600" w:lineRule="exact"/>
        <w:ind w:firstLine="640" w:firstLineChars="200"/>
        <w:outlineLvl w:val="2"/>
        <w:rPr>
          <w:rFonts w:hint="eastAsia" w:ascii="仿宋" w:hAnsi="仿宋" w:eastAsia="仿宋"/>
          <w:color w:val="auto"/>
          <w:sz w:val="32"/>
          <w:szCs w:val="32"/>
          <w:highlight w:val="none"/>
        </w:rPr>
      </w:pPr>
      <w:bookmarkStart w:id="43" w:name="_Toc15377212"/>
      <w:r>
        <w:rPr>
          <w:rFonts w:hint="eastAsia" w:ascii="仿宋" w:hAnsi="仿宋" w:eastAsia="仿宋"/>
          <w:color w:val="auto"/>
          <w:sz w:val="32"/>
          <w:szCs w:val="32"/>
          <w:highlight w:val="none"/>
        </w:rPr>
        <w:t>（图6：一般公共预算财政拨款支出决算结构）（饼状图）</w:t>
      </w:r>
    </w:p>
    <w:p>
      <w:pPr>
        <w:shd w:val="clea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43"/>
    </w:p>
    <w:p>
      <w:pPr>
        <w:shd w:val="clear"/>
        <w:spacing w:line="600" w:lineRule="exact"/>
        <w:ind w:firstLine="643" w:firstLineChars="200"/>
        <w:outlineLvl w:val="2"/>
        <w:rPr>
          <w:rFonts w:ascii="仿宋" w:hAnsi="仿宋" w:eastAsia="仿宋"/>
          <w:color w:val="auto"/>
          <w:sz w:val="32"/>
          <w:szCs w:val="32"/>
          <w:highlight w:val="none"/>
        </w:rPr>
      </w:pPr>
      <w:bookmarkStart w:id="44" w:name="_Toc15378460"/>
      <w:bookmarkStart w:id="45" w:name="_Toc15377213"/>
      <w:bookmarkStart w:id="46"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color w:val="auto"/>
          <w:sz w:val="32"/>
          <w:szCs w:val="32"/>
          <w:highlight w:val="none"/>
          <w:lang w:val="en-US" w:eastAsia="zh-CN"/>
        </w:rPr>
        <w:t>504.32万元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4"/>
      <w:bookmarkEnd w:id="45"/>
      <w:bookmarkEnd w:id="46"/>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教育支出（类）教育管理事务（款）其他教育管理事务支出（项）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165.10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rPr>
        <w:t>教育支出（类）普通教育（款）初中教育（项）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支出决算为147.76万元，完成预算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3.</w:t>
      </w:r>
      <w:r>
        <w:rPr>
          <w:rStyle w:val="15"/>
          <w:rFonts w:hint="eastAsia" w:ascii="仿宋" w:hAnsi="仿宋" w:eastAsia="仿宋"/>
          <w:bCs/>
          <w:color w:val="auto"/>
          <w:sz w:val="32"/>
          <w:szCs w:val="32"/>
          <w:highlight w:val="none"/>
        </w:rPr>
        <w:t>社会保障和就业支出（类）行政事业单位养老支出（款）机关事业单位基本养老保险缴费支出（项）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支出决算为20.8</w:t>
      </w:r>
      <w:r>
        <w:rPr>
          <w:rStyle w:val="15"/>
          <w:rFonts w:hint="eastAsia" w:ascii="仿宋" w:hAnsi="仿宋" w:eastAsia="仿宋"/>
          <w:b w:val="0"/>
          <w:bCs/>
          <w:color w:val="auto"/>
          <w:sz w:val="32"/>
          <w:szCs w:val="32"/>
          <w:highlight w:val="none"/>
          <w:lang w:val="en-US" w:eastAsia="zh-CN"/>
        </w:rPr>
        <w:t>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4</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Cs/>
          <w:color w:val="auto"/>
          <w:sz w:val="32"/>
          <w:szCs w:val="32"/>
          <w:highlight w:val="none"/>
        </w:rPr>
        <w:t>社会保障和就业支出（类）行政事业单位养老支出（款）机关事业单位职业年金缴费支出（项）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0.81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5.</w:t>
      </w:r>
      <w:r>
        <w:rPr>
          <w:rStyle w:val="15"/>
          <w:rFonts w:hint="eastAsia" w:ascii="仿宋" w:hAnsi="仿宋" w:eastAsia="仿宋"/>
          <w:bCs/>
          <w:color w:val="auto"/>
          <w:sz w:val="32"/>
          <w:szCs w:val="32"/>
          <w:highlight w:val="none"/>
        </w:rPr>
        <w:t>卫生健康支出（类）行政事业单位医疗（款）事业单位医疗（项）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支出决算为10.88万元，完成预算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6.</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（类）住房改革支出（款）住房公积金（项）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29.49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7</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其他支出</w:t>
      </w:r>
      <w:r>
        <w:rPr>
          <w:rStyle w:val="15"/>
          <w:rFonts w:hint="eastAsia" w:ascii="仿宋" w:hAnsi="仿宋" w:eastAsia="仿宋"/>
          <w:bCs/>
          <w:color w:val="auto"/>
          <w:sz w:val="32"/>
          <w:szCs w:val="32"/>
          <w:highlight w:val="none"/>
        </w:rPr>
        <w:t>（类）其他支出（款）其他支出（项）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129.48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hd w:val="clear"/>
        <w:tabs>
          <w:tab w:val="right" w:pos="8306"/>
        </w:tabs>
        <w:spacing w:line="600" w:lineRule="exact"/>
        <w:ind w:firstLine="640"/>
        <w:outlineLvl w:val="1"/>
        <w:rPr>
          <w:rStyle w:val="18"/>
          <w:color w:val="auto"/>
          <w:highlight w:val="none"/>
        </w:rPr>
      </w:pPr>
      <w:bookmarkStart w:id="47" w:name="_Toc14994"/>
      <w:bookmarkStart w:id="48" w:name="_Toc15377214"/>
      <w:bookmarkStart w:id="49"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7"/>
      <w:bookmarkEnd w:id="48"/>
      <w:bookmarkEnd w:id="49"/>
      <w:r>
        <w:rPr>
          <w:rStyle w:val="18"/>
          <w:rFonts w:ascii="黑体" w:hAnsi="黑体" w:eastAsia="黑体"/>
          <w:b w:val="0"/>
          <w:color w:val="auto"/>
          <w:highlight w:val="none"/>
        </w:rPr>
        <w:tab/>
      </w:r>
    </w:p>
    <w:p>
      <w:pPr>
        <w:shd w:val="clea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324.15</w:t>
      </w:r>
      <w:r>
        <w:rPr>
          <w:rFonts w:hint="eastAsia" w:ascii="仿宋" w:hAnsi="仿宋" w:eastAsia="仿宋"/>
          <w:color w:val="auto"/>
          <w:sz w:val="32"/>
          <w:szCs w:val="32"/>
          <w:highlight w:val="none"/>
        </w:rPr>
        <w:t>万元，其中：</w:t>
      </w:r>
    </w:p>
    <w:p>
      <w:pPr>
        <w:shd w:val="clea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301.36</w:t>
      </w:r>
      <w:r>
        <w:rPr>
          <w:rFonts w:hint="eastAsia" w:ascii="仿宋" w:hAnsi="仿宋" w:eastAsia="仿宋"/>
          <w:color w:val="auto"/>
          <w:sz w:val="32"/>
          <w:szCs w:val="32"/>
          <w:highlight w:val="none"/>
        </w:rPr>
        <w:t>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其他社会保障缴费、住房公积金、生活补助、奖励金。</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22.79</w:t>
      </w:r>
      <w:r>
        <w:rPr>
          <w:rFonts w:hint="eastAsia" w:ascii="仿宋" w:hAnsi="仿宋" w:eastAsia="仿宋"/>
          <w:color w:val="auto"/>
          <w:sz w:val="32"/>
          <w:szCs w:val="32"/>
          <w:highlight w:val="none"/>
        </w:rPr>
        <w:t>万元，主要包括：办公费、印刷费、水费、邮电费、差旅费、会议费、培训费、公务接待费、劳务费、工会经费、福利费、其他交通费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、其他商品和服务支出、办公设备购置。</w:t>
      </w:r>
    </w:p>
    <w:p>
      <w:pPr>
        <w:shd w:val="clear"/>
        <w:spacing w:line="600" w:lineRule="exact"/>
        <w:ind w:firstLine="640"/>
        <w:outlineLvl w:val="1"/>
        <w:rPr>
          <w:rStyle w:val="18"/>
          <w:rFonts w:ascii="黑体" w:hAnsi="黑体" w:eastAsia="黑体"/>
          <w:b w:val="0"/>
          <w:color w:val="auto"/>
          <w:highlight w:val="none"/>
        </w:rPr>
      </w:pPr>
      <w:bookmarkStart w:id="50" w:name="_Toc141"/>
      <w:bookmarkStart w:id="51" w:name="_Toc15396609"/>
      <w:bookmarkStart w:id="52" w:name="_Toc1537721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0"/>
      <w:bookmarkEnd w:id="51"/>
      <w:bookmarkEnd w:id="52"/>
    </w:p>
    <w:p>
      <w:pPr>
        <w:shd w:val="clear"/>
        <w:spacing w:line="600" w:lineRule="exact"/>
        <w:ind w:firstLine="640"/>
        <w:outlineLvl w:val="2"/>
        <w:rPr>
          <w:rFonts w:ascii="仿宋" w:hAnsi="仿宋" w:eastAsia="仿宋"/>
          <w:b/>
          <w:color w:val="auto"/>
          <w:sz w:val="32"/>
          <w:szCs w:val="32"/>
          <w:highlight w:val="none"/>
        </w:rPr>
      </w:pPr>
      <w:bookmarkStart w:id="53" w:name="_Toc15377216"/>
      <w:r>
        <w:rPr>
          <w:rFonts w:hint="eastAsia" w:ascii="仿宋" w:hAnsi="仿宋" w:eastAsia="仿宋"/>
          <w:b/>
          <w:color w:val="auto"/>
          <w:sz w:val="32"/>
          <w:szCs w:val="32"/>
          <w:highlight w:val="none"/>
        </w:rPr>
        <w:t>（一）“三公”经费财政拨款支出决算总体情况说明</w:t>
      </w:r>
      <w:bookmarkEnd w:id="53"/>
    </w:p>
    <w:p>
      <w:pPr>
        <w:shd w:val="clea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50.00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0.1万元，</w:t>
      </w:r>
      <w:r>
        <w:rPr>
          <w:rFonts w:hint="eastAsia" w:ascii="仿宋" w:hAnsi="仿宋" w:eastAsia="仿宋"/>
          <w:color w:val="auto"/>
          <w:sz w:val="32"/>
          <w:szCs w:val="32"/>
          <w:highlight w:val="none"/>
        </w:rPr>
        <w:t>决算数小于预算数的主要原因是</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单位厉行节约，严控经费支出，减少公务接待。</w:t>
      </w:r>
    </w:p>
    <w:p>
      <w:pPr>
        <w:shd w:val="clear"/>
        <w:spacing w:line="600" w:lineRule="exact"/>
        <w:ind w:firstLine="640"/>
        <w:outlineLvl w:val="2"/>
        <w:rPr>
          <w:rFonts w:ascii="仿宋" w:hAnsi="仿宋" w:eastAsia="仿宋"/>
          <w:b/>
          <w:color w:val="auto"/>
          <w:sz w:val="32"/>
          <w:szCs w:val="32"/>
          <w:highlight w:val="none"/>
        </w:rPr>
      </w:pPr>
      <w:bookmarkStart w:id="54" w:name="_Toc15377217"/>
      <w:r>
        <w:rPr>
          <w:rFonts w:hint="eastAsia" w:ascii="仿宋" w:hAnsi="仿宋" w:eastAsia="仿宋"/>
          <w:b/>
          <w:color w:val="auto"/>
          <w:sz w:val="32"/>
          <w:szCs w:val="32"/>
          <w:highlight w:val="none"/>
        </w:rPr>
        <w:t>（二）“三公”经费财政拨款支出决算具体情况说明</w:t>
      </w:r>
      <w:bookmarkEnd w:id="54"/>
    </w:p>
    <w:p>
      <w:pPr>
        <w:shd w:val="clea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shd w:val="clear"/>
        <w:jc w:val="center"/>
        <w:rPr>
          <w:rFonts w:hint="eastAsia" w:ascii="仿宋" w:hAnsi="仿宋" w:eastAsia="仿宋"/>
          <w:color w:val="auto"/>
          <w:sz w:val="32"/>
          <w:szCs w:val="32"/>
          <w:highlight w:val="none"/>
        </w:rPr>
      </w:pPr>
      <w:r>
        <w:rPr>
          <w:highlight w:val="none"/>
        </w:rPr>
        <w:drawing>
          <wp:inline distT="0" distB="0" distL="114300" distR="114300">
            <wp:extent cx="5257800" cy="2847340"/>
            <wp:effectExtent l="4445" t="4445" r="14605" b="571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hd w:val="clear"/>
        <w:spacing w:line="600" w:lineRule="exact"/>
        <w:ind w:firstLine="640"/>
        <w:rPr>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万元，年初未安排预算，因公出国（境）支出决算较2021年无变化。</w:t>
      </w:r>
    </w:p>
    <w:p>
      <w:pPr>
        <w:shd w:val="clea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万元， 全年按规定更新购置公务用车0辆，公务用车购置支出决算</w:t>
      </w:r>
      <w:r>
        <w:rPr>
          <w:rFonts w:hint="eastAsia" w:ascii="宋体" w:hAnsi="宋体" w:eastAsia="宋体" w:cs="宋体"/>
          <w:i w:val="0"/>
          <w:iCs w:val="0"/>
          <w:caps w:val="0"/>
          <w:color w:val="000000"/>
          <w:spacing w:val="0"/>
          <w:kern w:val="0"/>
          <w:sz w:val="32"/>
          <w:szCs w:val="32"/>
          <w:highlight w:val="none"/>
          <w:shd w:val="clear" w:fill="FFFFFF"/>
          <w:lang w:val="en-US" w:eastAsia="zh-CN" w:bidi="ar"/>
        </w:rPr>
        <w:t>较</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2021年无变化。本单位无公务用车保有量，与上年数相比无变化。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640"/>
        <w:jc w:val="left"/>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全年按规定更新购置公务用车0辆，本单位无公务用车保有量，与上年数相比无变化。</w:t>
      </w:r>
    </w:p>
    <w:p>
      <w:pPr>
        <w:shd w:val="clear"/>
        <w:spacing w:line="600" w:lineRule="exact"/>
        <w:ind w:firstLine="640"/>
        <w:rPr>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hd w:val="clea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50.00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0.1</w:t>
      </w:r>
      <w:r>
        <w:rPr>
          <w:rFonts w:hint="eastAsia" w:ascii="仿宋_GB2312" w:eastAsia="仿宋_GB2312"/>
          <w:color w:val="auto"/>
          <w:sz w:val="32"/>
          <w:szCs w:val="32"/>
          <w:highlight w:val="none"/>
        </w:rPr>
        <w:t>万元。其中：</w:t>
      </w:r>
    </w:p>
    <w:p>
      <w:pPr>
        <w:shd w:val="clea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接待省就业指导中心考察组工作餐和接待省教厅调研组工作餐</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接待省就业指导中心考察组工作餐</w:t>
      </w:r>
      <w:r>
        <w:rPr>
          <w:rFonts w:hint="eastAsia" w:ascii="仿宋_GB2312" w:eastAsia="仿宋_GB2312"/>
          <w:color w:val="auto"/>
          <w:sz w:val="32"/>
          <w:szCs w:val="32"/>
          <w:highlight w:val="none"/>
          <w:lang w:val="en-US" w:eastAsia="zh-CN"/>
        </w:rPr>
        <w:t>248元，</w:t>
      </w:r>
      <w:r>
        <w:rPr>
          <w:rFonts w:hint="eastAsia" w:ascii="仿宋_GB2312" w:eastAsia="仿宋_GB2312"/>
          <w:color w:val="auto"/>
          <w:sz w:val="32"/>
          <w:szCs w:val="32"/>
          <w:highlight w:val="none"/>
          <w:lang w:eastAsia="zh-CN"/>
        </w:rPr>
        <w:t>接待省教厅调研组工作餐</w:t>
      </w:r>
      <w:r>
        <w:rPr>
          <w:rFonts w:hint="eastAsia" w:ascii="仿宋_GB2312" w:eastAsia="仿宋_GB2312"/>
          <w:color w:val="auto"/>
          <w:sz w:val="32"/>
          <w:szCs w:val="32"/>
          <w:highlight w:val="none"/>
          <w:lang w:val="en-US" w:eastAsia="zh-CN"/>
        </w:rPr>
        <w:t>730元。</w:t>
      </w:r>
    </w:p>
    <w:p>
      <w:pPr>
        <w:shd w:val="clear"/>
        <w:spacing w:line="600" w:lineRule="exact"/>
        <w:ind w:firstLine="643" w:firstLineChars="200"/>
        <w:rPr>
          <w:rFonts w:hint="eastAsia"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bookmarkStart w:id="55" w:name="_Toc15377218"/>
      <w:bookmarkStart w:id="56" w:name="_Toc15396610"/>
    </w:p>
    <w:p>
      <w:pPr>
        <w:shd w:val="clear"/>
        <w:spacing w:line="600" w:lineRule="exact"/>
        <w:ind w:firstLine="640"/>
        <w:outlineLvl w:val="1"/>
        <w:rPr>
          <w:rStyle w:val="18"/>
          <w:rFonts w:ascii="黑体" w:hAnsi="黑体" w:eastAsia="黑体"/>
          <w:color w:val="auto"/>
          <w:highlight w:val="none"/>
        </w:rPr>
      </w:pPr>
      <w:bookmarkStart w:id="57" w:name="_Toc17884"/>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5"/>
      <w:bookmarkEnd w:id="56"/>
      <w:bookmarkEnd w:id="57"/>
    </w:p>
    <w:p>
      <w:pPr>
        <w:shd w:val="clea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hd w:val="clear"/>
        <w:spacing w:line="600" w:lineRule="exact"/>
        <w:ind w:firstLine="640"/>
        <w:outlineLvl w:val="1"/>
        <w:rPr>
          <w:rStyle w:val="18"/>
          <w:rFonts w:ascii="黑体" w:hAnsi="黑体" w:eastAsia="黑体"/>
          <w:b w:val="0"/>
          <w:color w:val="auto"/>
          <w:highlight w:val="none"/>
        </w:rPr>
      </w:pPr>
      <w:bookmarkStart w:id="58" w:name="_Toc15377219"/>
      <w:bookmarkStart w:id="59" w:name="_Toc13664"/>
      <w:bookmarkStart w:id="60" w:name="_Toc15396611"/>
      <w:r>
        <w:rPr>
          <w:rStyle w:val="18"/>
          <w:rFonts w:hint="eastAsia" w:ascii="黑体" w:hAnsi="黑体" w:eastAsia="黑体"/>
          <w:b w:val="0"/>
          <w:color w:val="auto"/>
          <w:highlight w:val="none"/>
        </w:rPr>
        <w:t>国有资本经营预算支出决算情况说明</w:t>
      </w:r>
      <w:bookmarkEnd w:id="58"/>
      <w:bookmarkEnd w:id="59"/>
      <w:bookmarkEnd w:id="60"/>
    </w:p>
    <w:p>
      <w:pPr>
        <w:shd w:val="clea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hd w:val="clear"/>
        <w:spacing w:line="600" w:lineRule="exact"/>
        <w:ind w:firstLine="640"/>
        <w:outlineLvl w:val="1"/>
        <w:rPr>
          <w:rStyle w:val="18"/>
          <w:rFonts w:hint="eastAsia" w:ascii="黑体" w:hAnsi="黑体" w:eastAsia="黑体"/>
          <w:b w:val="0"/>
          <w:color w:val="auto"/>
          <w:highlight w:val="none"/>
        </w:rPr>
      </w:pPr>
      <w:bookmarkStart w:id="61" w:name="_Toc15377221"/>
      <w:bookmarkStart w:id="62" w:name="_Toc22767"/>
      <w:bookmarkStart w:id="63" w:name="_Toc15396612"/>
      <w:r>
        <w:rPr>
          <w:rStyle w:val="18"/>
          <w:rFonts w:hint="eastAsia" w:ascii="黑体" w:hAnsi="黑体" w:eastAsia="黑体"/>
          <w:b w:val="0"/>
          <w:color w:val="auto"/>
          <w:highlight w:val="none"/>
        </w:rPr>
        <w:t>其他重要事项的情况说明</w:t>
      </w:r>
      <w:bookmarkEnd w:id="61"/>
      <w:bookmarkEnd w:id="62"/>
      <w:bookmarkEnd w:id="63"/>
    </w:p>
    <w:p>
      <w:pPr>
        <w:shd w:val="clear"/>
        <w:spacing w:line="600" w:lineRule="exact"/>
        <w:ind w:firstLine="643" w:firstLineChars="200"/>
        <w:outlineLvl w:val="2"/>
        <w:rPr>
          <w:rFonts w:ascii="仿宋" w:hAnsi="仿宋" w:eastAsia="仿宋"/>
          <w:color w:val="auto"/>
          <w:sz w:val="32"/>
          <w:szCs w:val="32"/>
          <w:highlight w:val="none"/>
        </w:rPr>
      </w:pPr>
      <w:bookmarkStart w:id="64" w:name="_Toc15377222"/>
      <w:r>
        <w:rPr>
          <w:rFonts w:hint="eastAsia" w:ascii="仿宋" w:hAnsi="仿宋" w:eastAsia="仿宋"/>
          <w:b/>
          <w:color w:val="auto"/>
          <w:sz w:val="32"/>
          <w:szCs w:val="32"/>
          <w:highlight w:val="none"/>
        </w:rPr>
        <w:t>（一）机关运行经费支出情况</w:t>
      </w:r>
      <w:bookmarkEnd w:id="64"/>
    </w:p>
    <w:p>
      <w:pPr>
        <w:shd w:val="clear"/>
        <w:spacing w:line="600" w:lineRule="exact"/>
        <w:ind w:firstLine="640" w:firstLineChars="200"/>
        <w:rPr>
          <w:rFonts w:hint="eastAsia"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val="en-US" w:eastAsia="zh-CN"/>
        </w:rPr>
        <w:t>。</w:t>
      </w:r>
    </w:p>
    <w:p>
      <w:pPr>
        <w:shd w:val="clea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5" w:name="_Toc15377223"/>
      <w:r>
        <w:rPr>
          <w:rFonts w:hint="eastAsia" w:ascii="仿宋" w:hAnsi="仿宋" w:eastAsia="仿宋"/>
          <w:b/>
          <w:color w:val="auto"/>
          <w:sz w:val="32"/>
          <w:szCs w:val="32"/>
          <w:highlight w:val="none"/>
        </w:rPr>
        <w:t>（二）政府采购支出情况</w:t>
      </w:r>
      <w:bookmarkEnd w:id="65"/>
    </w:p>
    <w:p>
      <w:pPr>
        <w:shd w:val="clea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147.76</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147.76</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市直属学校教室护眼灯改造项目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184.71</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shd w:val="clea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6" w:name="_Toc15377224"/>
      <w:r>
        <w:rPr>
          <w:rFonts w:hint="eastAsia" w:ascii="仿宋" w:hAnsi="仿宋" w:eastAsia="仿宋"/>
          <w:b/>
          <w:color w:val="auto"/>
          <w:sz w:val="32"/>
          <w:szCs w:val="32"/>
          <w:highlight w:val="none"/>
        </w:rPr>
        <w:t>（三）国有资产占有使用情况</w:t>
      </w:r>
      <w:bookmarkEnd w:id="66"/>
    </w:p>
    <w:p>
      <w:pPr>
        <w:shd w:val="clea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辆，目前实际车辆保有量为0辆，本单位无公务车辆。单价100万元以上专用设备0台/套。</w:t>
      </w:r>
    </w:p>
    <w:p>
      <w:pPr>
        <w:shd w:val="clea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shd w:val="clea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全市会考工作经费、2021年市级教育专项经费-教育视界,信息化总机房电费、市直属学校教室护眼灯改造项目、教学大比武经费</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hd w:val="clear"/>
        <w:spacing w:line="600" w:lineRule="exact"/>
        <w:ind w:firstLine="660" w:firstLineChars="150"/>
        <w:jc w:val="center"/>
        <w:outlineLvl w:val="0"/>
        <w:rPr>
          <w:rStyle w:val="17"/>
          <w:rFonts w:ascii="黑体" w:hAnsi="黑体" w:eastAsia="黑体"/>
          <w:b w:val="0"/>
          <w:color w:val="auto"/>
          <w:highlight w:val="none"/>
        </w:rPr>
      </w:pPr>
      <w:bookmarkStart w:id="67" w:name="_Toc15377225"/>
      <w:bookmarkStart w:id="68" w:name="_Toc18077"/>
      <w:bookmarkStart w:id="69" w:name="_Toc15396613"/>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7"/>
      <w:bookmarkEnd w:id="68"/>
      <w:bookmarkEnd w:id="69"/>
    </w:p>
    <w:p>
      <w:pPr>
        <w:shd w:val="clear"/>
        <w:spacing w:line="600" w:lineRule="exact"/>
        <w:jc w:val="left"/>
        <w:rPr>
          <w:rFonts w:ascii="宋体"/>
          <w:b/>
          <w:color w:val="auto"/>
          <w:sz w:val="44"/>
          <w:szCs w:val="44"/>
          <w:highlight w:val="none"/>
        </w:rPr>
      </w:pPr>
    </w:p>
    <w:p>
      <w:pPr>
        <w:pStyle w:val="26"/>
        <w:numPr>
          <w:ilvl w:val="0"/>
          <w:numId w:val="5"/>
        </w:numPr>
        <w:shd w:val="clea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pStyle w:val="12"/>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rPr>
          <w:rFonts w:hint="eastAsia" w:ascii="仿宋_GB2312" w:hAnsi="Helvetica" w:eastAsia="仿宋_GB2312" w:cs="仿宋_GB2312"/>
          <w:i w:val="0"/>
          <w:iCs w:val="0"/>
          <w:caps w:val="0"/>
          <w:color w:val="000000"/>
          <w:spacing w:val="0"/>
          <w:sz w:val="32"/>
          <w:szCs w:val="32"/>
          <w:highlight w:val="none"/>
          <w:shd w:val="clear" w:fill="FFFFFF"/>
        </w:rPr>
      </w:pPr>
      <w:r>
        <w:rPr>
          <w:rFonts w:hint="eastAsia" w:ascii="仿宋_GB2312" w:eastAsia="仿宋_GB2312"/>
          <w:color w:val="auto"/>
          <w:sz w:val="32"/>
          <w:szCs w:val="32"/>
          <w:highlight w:val="none"/>
        </w:rPr>
        <w:t>事业收入：指事业单位开展专业业务活动及辅助活动取得的收入。</w:t>
      </w:r>
      <w:r>
        <w:rPr>
          <w:rFonts w:hint="eastAsia" w:ascii="仿宋_GB2312" w:hAnsi="Helvetica" w:eastAsia="仿宋_GB2312" w:cs="仿宋_GB2312"/>
          <w:i w:val="0"/>
          <w:iCs w:val="0"/>
          <w:caps w:val="0"/>
          <w:color w:val="000000"/>
          <w:spacing w:val="0"/>
          <w:sz w:val="32"/>
          <w:szCs w:val="32"/>
          <w:highlight w:val="none"/>
          <w:shd w:val="clear" w:fill="FFFFFF"/>
        </w:rPr>
        <w:t>如教育行政事业性收费收入考试考务费。</w:t>
      </w:r>
    </w:p>
    <w:p>
      <w:pPr>
        <w:pStyle w:val="12"/>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rPr>
          <w:rFonts w:hint="eastAsia" w:ascii="仿宋_GB2312" w:hAnsi="Helvetica" w:eastAsia="仿宋_GB2312" w:cs="仿宋_GB2312"/>
          <w:i w:val="0"/>
          <w:iCs w:val="0"/>
          <w:caps w:val="0"/>
          <w:color w:val="000000"/>
          <w:spacing w:val="0"/>
          <w:sz w:val="32"/>
          <w:szCs w:val="32"/>
          <w:highlight w:val="none"/>
          <w:shd w:val="clear" w:fill="FFFFFF"/>
          <w:lang w:eastAsia="zh-CN"/>
        </w:rPr>
      </w:pPr>
      <w:r>
        <w:rPr>
          <w:rFonts w:hint="eastAsia" w:ascii="仿宋_GB2312" w:hAnsi="Helvetica" w:eastAsia="仿宋_GB2312" w:cs="仿宋_GB2312"/>
          <w:i w:val="0"/>
          <w:iCs w:val="0"/>
          <w:caps w:val="0"/>
          <w:color w:val="000000"/>
          <w:spacing w:val="0"/>
          <w:sz w:val="32"/>
          <w:szCs w:val="32"/>
          <w:highlight w:val="none"/>
          <w:shd w:val="clear" w:fill="FFFFFF"/>
          <w:lang w:eastAsia="zh-CN"/>
        </w:rPr>
        <w:t>年初结转和结余：指以前年度尚未完成、结转到本年按有关规定继续使用的资金。</w:t>
      </w:r>
    </w:p>
    <w:p>
      <w:pPr>
        <w:numPr>
          <w:ilvl w:val="0"/>
          <w:numId w:val="5"/>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教育支出（类）教育管理事务（款）其他教育管理事务支出（项）：指</w:t>
      </w:r>
      <w:r>
        <w:rPr>
          <w:rFonts w:hint="eastAsia" w:ascii="仿宋_GB2312" w:eastAsia="仿宋_GB2312"/>
          <w:color w:val="auto"/>
          <w:sz w:val="32"/>
          <w:szCs w:val="32"/>
          <w:highlight w:val="none"/>
          <w:lang w:eastAsia="zh-CN"/>
        </w:rPr>
        <w:t>其他用于教育管理事务方面的支出</w:t>
      </w:r>
      <w:r>
        <w:rPr>
          <w:rFonts w:hint="eastAsia" w:ascii="仿宋_GB2312" w:eastAsia="仿宋_GB2312"/>
          <w:color w:val="auto"/>
          <w:sz w:val="32"/>
          <w:szCs w:val="32"/>
          <w:highlight w:val="none"/>
        </w:rPr>
        <w:t>。</w:t>
      </w:r>
    </w:p>
    <w:p>
      <w:pPr>
        <w:numPr>
          <w:ilvl w:val="0"/>
          <w:numId w:val="5"/>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教育支出（类）普通教育（款）初中教育（项）：指</w:t>
      </w:r>
      <w:r>
        <w:rPr>
          <w:rFonts w:hint="eastAsia" w:ascii="仿宋_GB2312" w:eastAsia="仿宋_GB2312"/>
          <w:color w:val="auto"/>
          <w:sz w:val="32"/>
          <w:szCs w:val="32"/>
          <w:highlight w:val="none"/>
          <w:lang w:eastAsia="zh-CN"/>
        </w:rPr>
        <w:t>各部门举办的普通高中教育支出</w:t>
      </w:r>
      <w:r>
        <w:rPr>
          <w:rFonts w:hint="eastAsia" w:ascii="仿宋_GB2312" w:eastAsia="仿宋_GB2312"/>
          <w:color w:val="auto"/>
          <w:sz w:val="32"/>
          <w:szCs w:val="32"/>
          <w:highlight w:val="none"/>
        </w:rPr>
        <w:t>。</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jc w:val="left"/>
        <w:rPr>
          <w:rFonts w:hint="default" w:ascii="Helvetica" w:hAnsi="Helvetica" w:eastAsia="Helvetica" w:cs="Helvetica"/>
          <w:i w:val="0"/>
          <w:iCs w:val="0"/>
          <w:caps w:val="0"/>
          <w:color w:val="000000"/>
          <w:spacing w:val="0"/>
          <w:sz w:val="24"/>
          <w:szCs w:val="24"/>
          <w:highlight w:val="none"/>
        </w:rPr>
      </w:pPr>
      <w:r>
        <w:rPr>
          <w:rFonts w:hint="eastAsia" w:ascii="仿宋_GB2312" w:hAnsi="Helvetica" w:eastAsia="仿宋_GB2312" w:cs="仿宋_GB2312"/>
          <w:b w:val="0"/>
          <w:bCs w:val="0"/>
          <w:i w:val="0"/>
          <w:iCs w:val="0"/>
          <w:caps w:val="0"/>
          <w:color w:val="000000"/>
          <w:spacing w:val="0"/>
          <w:kern w:val="0"/>
          <w:sz w:val="32"/>
          <w:szCs w:val="32"/>
          <w:highlight w:val="none"/>
          <w:shd w:val="clear" w:fill="FFFFFF"/>
          <w:lang w:val="en-US" w:eastAsia="zh-CN" w:bidi="ar"/>
        </w:rPr>
        <w:t>社会保障和就业</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支出</w:t>
      </w:r>
      <w:r>
        <w:rPr>
          <w:rFonts w:hint="eastAsia" w:ascii="仿宋_GB2312" w:hAnsi="Helvetica" w:eastAsia="仿宋_GB2312" w:cs="仿宋_GB2312"/>
          <w:b w:val="0"/>
          <w:bCs w:val="0"/>
          <w:i w:val="0"/>
          <w:iCs w:val="0"/>
          <w:caps w:val="0"/>
          <w:color w:val="000000"/>
          <w:spacing w:val="0"/>
          <w:kern w:val="0"/>
          <w:sz w:val="32"/>
          <w:szCs w:val="32"/>
          <w:highlight w:val="none"/>
          <w:shd w:val="clear" w:fill="FFFFFF"/>
          <w:lang w:val="en-US" w:eastAsia="zh-CN" w:bidi="ar"/>
        </w:rPr>
        <w:t>（类）行政事业单位养老支出（款）机关事业单位基本养老保险缴费支出（项）： </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反映单位实施养老保险制度由单位缴纳的基本养老保险费支出。</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jc w:val="left"/>
        <w:rPr>
          <w:rFonts w:hint="default" w:ascii="Helvetica" w:hAnsi="Helvetica" w:eastAsia="Helvetica" w:cs="Helvetica"/>
          <w:i w:val="0"/>
          <w:iCs w:val="0"/>
          <w:caps w:val="0"/>
          <w:color w:val="000000"/>
          <w:spacing w:val="0"/>
          <w:sz w:val="24"/>
          <w:szCs w:val="24"/>
          <w:highlight w:val="none"/>
        </w:rPr>
      </w:pPr>
      <w:r>
        <w:rPr>
          <w:rFonts w:hint="eastAsia" w:ascii="仿宋_GB2312" w:hAnsi="Helvetica" w:eastAsia="仿宋_GB2312" w:cs="仿宋_GB2312"/>
          <w:b w:val="0"/>
          <w:bCs w:val="0"/>
          <w:i w:val="0"/>
          <w:iCs w:val="0"/>
          <w:caps w:val="0"/>
          <w:color w:val="000000"/>
          <w:spacing w:val="0"/>
          <w:kern w:val="0"/>
          <w:sz w:val="32"/>
          <w:szCs w:val="32"/>
          <w:highlight w:val="none"/>
          <w:shd w:val="clear" w:fill="FFFFFF"/>
          <w:lang w:val="en-US" w:eastAsia="zh-CN" w:bidi="ar"/>
        </w:rPr>
        <w:t>社会保障和就业</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支出</w:t>
      </w:r>
      <w:r>
        <w:rPr>
          <w:rFonts w:hint="eastAsia" w:ascii="仿宋_GB2312" w:hAnsi="Helvetica" w:eastAsia="仿宋_GB2312" w:cs="仿宋_GB2312"/>
          <w:b w:val="0"/>
          <w:bCs w:val="0"/>
          <w:i w:val="0"/>
          <w:iCs w:val="0"/>
          <w:caps w:val="0"/>
          <w:color w:val="000000"/>
          <w:spacing w:val="0"/>
          <w:kern w:val="0"/>
          <w:sz w:val="32"/>
          <w:szCs w:val="32"/>
          <w:highlight w:val="none"/>
          <w:shd w:val="clear" w:fill="FFFFFF"/>
          <w:lang w:val="en-US" w:eastAsia="zh-CN" w:bidi="ar"/>
        </w:rPr>
        <w:t>（类）行政事业单位养老支出（款）机关事业单位职业年金缴费支出（项）： </w:t>
      </w: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反映单位实施养老保险制度由单位实际缴纳的</w:t>
      </w:r>
      <w:r>
        <w:rPr>
          <w:rFonts w:hint="eastAsia" w:ascii="仿宋_GB2312" w:hAnsi="Helvetica" w:eastAsia="仿宋_GB2312" w:cs="仿宋_GB2312"/>
          <w:b w:val="0"/>
          <w:bCs w:val="0"/>
          <w:i w:val="0"/>
          <w:iCs w:val="0"/>
          <w:caps w:val="0"/>
          <w:color w:val="000000"/>
          <w:spacing w:val="0"/>
          <w:kern w:val="0"/>
          <w:sz w:val="32"/>
          <w:szCs w:val="32"/>
          <w:highlight w:val="none"/>
          <w:shd w:val="clear" w:fill="FFFFFF"/>
          <w:lang w:val="en-US" w:eastAsia="zh-CN" w:bidi="ar"/>
        </w:rPr>
        <w:t>职业年金支出。</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jc w:val="left"/>
        <w:rPr>
          <w:rFonts w:ascii="仿宋_GB2312" w:eastAsia="仿宋_GB2312"/>
          <w:color w:val="auto"/>
          <w:sz w:val="32"/>
          <w:szCs w:val="32"/>
          <w:highlight w:val="none"/>
        </w:rPr>
      </w:pP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卫生健康支出（类）行政事业单位医疗（款）事业单位医疗（项）：反映财政部门安排的事业单位基本医疗保险缴费经费。</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leftChars="0" w:right="0" w:firstLine="400" w:firstLineChars="0"/>
        <w:jc w:val="left"/>
        <w:rPr>
          <w:rFonts w:hint="default" w:ascii="Helvetica" w:hAnsi="Helvetica" w:eastAsia="Helvetica" w:cs="Helvetica"/>
          <w:i w:val="0"/>
          <w:iCs w:val="0"/>
          <w:caps w:val="0"/>
          <w:color w:val="000000"/>
          <w:spacing w:val="0"/>
          <w:sz w:val="24"/>
          <w:szCs w:val="24"/>
          <w:highlight w:val="none"/>
        </w:rPr>
      </w:pP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住房保障支出（类）住房改革支出（款）住房公积金（项）：指单位按人力资源和社会保障部、财政部规定的基本工资和津贴补贴以及规定比例为职工缴纳的住房公积金。</w:t>
      </w:r>
    </w:p>
    <w:p>
      <w:pPr>
        <w:numPr>
          <w:ilvl w:val="0"/>
          <w:numId w:val="5"/>
        </w:numPr>
        <w:shd w:val="clear"/>
        <w:ind w:left="0" w:leftChars="0" w:firstLine="400" w:firstLineChars="0"/>
        <w:rPr>
          <w:rFonts w:ascii="仿宋_GB2312" w:eastAsia="仿宋_GB2312"/>
          <w:color w:val="auto"/>
          <w:sz w:val="32"/>
          <w:szCs w:val="32"/>
          <w:highlight w:val="none"/>
        </w:rPr>
      </w:pPr>
      <w:r>
        <w:rPr>
          <w:rFonts w:hint="eastAsia" w:ascii="仿宋_GB2312" w:hAnsi="Helvetica" w:eastAsia="仿宋_GB2312" w:cs="仿宋_GB2312"/>
          <w:i w:val="0"/>
          <w:iCs w:val="0"/>
          <w:caps w:val="0"/>
          <w:color w:val="000000"/>
          <w:spacing w:val="0"/>
          <w:kern w:val="0"/>
          <w:sz w:val="32"/>
          <w:szCs w:val="32"/>
          <w:highlight w:val="none"/>
          <w:shd w:val="clear" w:fill="FFFFFF"/>
          <w:lang w:val="en-US" w:eastAsia="zh-CN" w:bidi="ar"/>
        </w:rPr>
        <w:t>其他支出（类）其他支出（款）其他支出（项）：指其他不能划分到具体功能科目中的支出项目。</w:t>
      </w:r>
    </w:p>
    <w:p>
      <w:pPr>
        <w:numPr>
          <w:ilvl w:val="0"/>
          <w:numId w:val="5"/>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5"/>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numPr>
          <w:ilvl w:val="0"/>
          <w:numId w:val="5"/>
        </w:numPr>
        <w:shd w:val="clea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hd w:val="clear"/>
        <w:spacing w:line="600" w:lineRule="exact"/>
        <w:jc w:val="center"/>
        <w:outlineLvl w:val="0"/>
        <w:rPr>
          <w:rStyle w:val="17"/>
          <w:rFonts w:ascii="黑体" w:hAnsi="黑体" w:eastAsia="黑体"/>
          <w:b w:val="0"/>
          <w:color w:val="auto"/>
          <w:highlight w:val="none"/>
        </w:rPr>
      </w:pPr>
      <w:bookmarkStart w:id="70" w:name="_Toc15377226"/>
      <w:r>
        <w:rPr>
          <w:rFonts w:ascii="宋体"/>
          <w:b/>
          <w:color w:val="auto"/>
          <w:sz w:val="44"/>
          <w:szCs w:val="44"/>
          <w:highlight w:val="none"/>
        </w:rPr>
        <w:br w:type="page"/>
      </w:r>
      <w:bookmarkStart w:id="71" w:name="_Toc10352"/>
      <w:bookmarkStart w:id="72" w:name="_Toc1539661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1"/>
      <w:bookmarkEnd w:id="72"/>
    </w:p>
    <w:tbl>
      <w:tblPr>
        <w:tblStyle w:val="13"/>
        <w:tblpPr w:leftFromText="180" w:rightFromText="180" w:vertAnchor="text" w:horzAnchor="page" w:tblpXSpec="center" w:tblpY="237"/>
        <w:tblOverlap w:val="never"/>
        <w:tblW w:w="112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682"/>
        <w:gridCol w:w="1065"/>
        <w:gridCol w:w="2010"/>
        <w:gridCol w:w="675"/>
        <w:gridCol w:w="964"/>
        <w:gridCol w:w="680"/>
        <w:gridCol w:w="870"/>
        <w:gridCol w:w="576"/>
        <w:gridCol w:w="576"/>
        <w:gridCol w:w="1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82.09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按时发放率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结余率（计算方法为：结余数/预算数）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11.20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按时发放率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结余率（计算方法为：结余数/预算数）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highlight w:val="none"/>
              </w:rPr>
            </w:pPr>
          </w:p>
          <w:p>
            <w:pPr>
              <w:pStyle w:val="2"/>
              <w:shd w:val="clear"/>
              <w:rPr>
                <w:rFonts w:hint="eastAsia"/>
                <w:highlight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保障单位日常运转，提高预算编制质量，严格执行预算</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7.69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122.73</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193.11</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193.11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122.73</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193.11</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193.11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按时发放率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结余率（计算方法为：结余数/预算数）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highlight w:val="none"/>
              </w:rPr>
            </w:pPr>
          </w:p>
          <w:p>
            <w:pPr>
              <w:pStyle w:val="2"/>
              <w:shd w:val="clear"/>
              <w:rPr>
                <w:rFonts w:hint="eastAsia"/>
                <w:highlight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51080022T000004932860-办公设备采购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2022年办公设备购置。</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未采购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未采购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满足日常工作所需</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台/套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使用者满意度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2022年未采购办公设备。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highlight w:val="none"/>
              </w:rPr>
            </w:pPr>
          </w:p>
          <w:p>
            <w:pPr>
              <w:pStyle w:val="2"/>
              <w:shd w:val="clear"/>
              <w:rPr>
                <w:rFonts w:hint="eastAsia"/>
                <w:highlight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51080022T000004933551-代管资金—教师大比武等活动经费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财政代管资金实行目标管理，并在规定的时间内完成相应工作</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财政代管资金实行目标管理，并在规定的时间内完成相应工作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财政代管资金实行目标管理，并在规定的时间内完成相应工作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9.45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9.45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研讨、调研次数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5次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教育督导监测教师</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、校长、学生数量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1万人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98</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预算执行情况自评得分8分，绩效指标自评得分90分，预算自评总分98分，较好的实现了绩效目标。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pStyle w:val="2"/>
              <w:shd w:val="clear"/>
              <w:rPr>
                <w:rFonts w:hint="eastAsia" w:ascii="宋体" w:hAnsi="宋体" w:eastAsia="宋体" w:cs="宋体"/>
                <w:i w:val="0"/>
                <w:iCs w:val="0"/>
                <w:color w:val="000000"/>
                <w:sz w:val="18"/>
                <w:szCs w:val="18"/>
                <w:highlight w:val="none"/>
                <w:u w:val="none"/>
              </w:rPr>
            </w:pPr>
          </w:p>
          <w:p>
            <w:pPr>
              <w:pStyle w:val="2"/>
              <w:shd w:val="clear"/>
              <w:rPr>
                <w:rFonts w:hint="eastAsia" w:ascii="宋体" w:hAnsi="宋体" w:eastAsia="宋体" w:cs="宋体"/>
                <w:i w:val="0"/>
                <w:iCs w:val="0"/>
                <w:color w:val="000000"/>
                <w:sz w:val="18"/>
                <w:szCs w:val="18"/>
                <w:highlight w:val="none"/>
                <w:u w:val="none"/>
              </w:rPr>
            </w:pPr>
          </w:p>
          <w:p>
            <w:pPr>
              <w:pStyle w:val="2"/>
              <w:shd w:val="clear"/>
              <w:rPr>
                <w:rFonts w:hint="eastAsia" w:ascii="宋体" w:hAnsi="宋体" w:eastAsia="宋体" w:cs="宋体"/>
                <w:i w:val="0"/>
                <w:iCs w:val="0"/>
                <w:color w:val="000000"/>
                <w:sz w:val="18"/>
                <w:szCs w:val="18"/>
                <w:highlight w:val="none"/>
                <w:u w:val="none"/>
              </w:rPr>
            </w:pPr>
          </w:p>
          <w:p>
            <w:pPr>
              <w:pStyle w:val="2"/>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51080022T000004934779-全市会考工作经费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一、组织全市信息技术学业水平测试并组织未合格学生进行补考。</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二、组织全市初、高中理科实验操作考试测试（测试）。</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三、组织通用技术水平考试。</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有序实施年度各年级实验操作、信息技术及通用技术考试（查）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制定各类考试（查）实施方案，从组织领导、考试对象、考试方法、考试内容、考场设置、考务监考工作、考试成绩录入等方面进行培训；全市初中理、化实验操作考试（初三）参考人数23087人，生物实验操作考试（初二）参考人数24764人，高中理科实验、通用技术实践操作、信息技术考查参考人数13843人，完成未合格学生补考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10.50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19.54</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9.70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49.66%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10.50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19.54</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9.70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49.66%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全市会考参考人数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7800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60000人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会考考点</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24</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127个</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参考学校完成率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项目完成时间年度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2022</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2022年</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学生实验操作动手能力提升率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学校的满意度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学生满意度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教师的满意度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项目总成本</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9.70万元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98</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预算执行情况自评得分8分，绩效指标自评得分90分，预算自评总分98分，较好的实现了绩效目标。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51080022T000005391907-2021年市级教育专项经费-教育视界,信息化总机房电费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202112801-2021年市级教育专项经费-教育视界,信息化总机房电费</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加强教育信息化基础支撑环境建设，抓实网络安全管理工作，强化宣传引领。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市本级完成“市级城域网”管理招标工作；及时调整网络安全与信息化领导小组，对全市教育系统8个城域网汇聚中心、295所学校进行了全面逐项梳理排查；创新开展“荧屏思政”特色精品课竞赛活动，“广元教育在线”微信公众号运营有力，2022年1月1日开通是教育局抖音号运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29.65</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29.65</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28.29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95.39%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29.65</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29.65</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28.29</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95.39%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教育视界栏目</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期/年</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30期</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保障网络汇聚中心正常运行</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天</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365天</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项目总成本</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29.65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28.29万元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全市教育系统师生满意度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较好的实现了绩效目标。一是“广元教育视界”栏目工作成绩显著，创新开展“荧屏思政”特色精品课竞赛活动。二是对全市教育系统8个城域网汇聚中心、295所学校进行了全面逐项梳理排查，检测在线服务器、电脑等网络设备1.51万台，进一步推进虚拟货币“挖矿”清零行动；三是大力提升网络安全管理防护和保障力度，全市教育系统无网络安全事故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教育信息化专业指导队伍配备不足，影响信息化助推教育提质工程实施的指导与引领。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持续加强信息技术与教育教学融合，探索广元教育在线等媒体宣传深度与广度。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51080022T000007392538-市直属学校教室护眼灯改造项目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对市利州中学、市实验小学、市821中学、市树人中学、市081中学等5所学校230间教室进行灯光改造</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圆满完成市直属学校近视防控护眼灯改造项目（一期）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上级有关政策与法规，坚持公正公开，规范采买程序等原则，在经过调研、确定代理机构后，积极与市财政局财评中心等对接，完成项目申报、财评工作，进行意向性公示，发布招标公告，确定招标，发布中标结果公告，公示无异议，实施效果得到执行学校认可，无不良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147.76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73.88%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147.76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73.88%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5所学校教室</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230套</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设施设备履约验收合格率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项目竣工验收合格率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工程按时完工率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灯光平均寿命</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小时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师生满意度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投资控制数</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147.76万元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实现了绩效目标。完成市直属学校近视防控护眼灯改造项目（一期）。按照局党组安排，中心牵头负责“市直属学校护眼灯改造项目（一期）”相关工作。确定代理机构后，积极与市财政局财评中心对接，完成项目财评工作，评定项目采购资金为199.33万元，先后在“四川政府采购网”进行意向性公示、发布招标公告、正式招标评审、发布中标结果公告，整个招标过程公正透明，公示无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保障单位日常运转，提高预算编制质量，严格执行预算</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17.60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16.38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93.02%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18.00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17.60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16.38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93.02%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6.98%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0.57%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13.70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13.70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13.70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13.70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按时发放率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结余率（计算方法为：结余数/预算数）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22.5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预算执行情况自评得分10分，绩效指标自评得分90分，预算自评总分100分，实现了绩效目标。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06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20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75"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96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6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87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0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51080023T000008456056-教学大比武经费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2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广元市教育局部门</w:t>
            </w:r>
          </w:p>
        </w:tc>
        <w:tc>
          <w:tcPr>
            <w:tcW w:w="87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广元市教育技术与电化教育中心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5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一、开展基础教育精品课；教师、学生信息素养提升活动；实验教学系列活动等五大赛事活动，提升师生信息素养；</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二、推广应用国家中小学智慧教育平台。</w:t>
            </w:r>
          </w:p>
        </w:tc>
        <w:tc>
          <w:tcPr>
            <w:tcW w:w="3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大力推广国家智慧教育平台应用，创新举办“互联网+”课堂教学大比武系列活动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90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全市2.4万余名中小学教师注册国家中小学智慧教育平台账号，线上查阅教育资源量达3000余万次，本期学期我市中小学教师应用平台资源位居全省前列，10月，我市在国家平台访问量居全省第一；举办教师实验技能竞赛、中小学教师（学前教育）教玩具制作竞赛、学生信息素养提升竞赛、师信息素养提升竞赛、课堂教学大比武精品课竞赛、校园影视教学竞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4.12</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51.49%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4.12</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51.49%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2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分类别举办各种活动1次</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6次</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教师参赛率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项目完成时间年度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2022年</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对提升师生信息素养的持续影响程度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定性</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参加活动的教师对活动的公平性和意义的满意度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000000"/>
                <w:sz w:val="18"/>
                <w:szCs w:val="18"/>
                <w:highlight w:val="none"/>
                <w:u w:val="none"/>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项目总成本</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万元/年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4.12万元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98</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预算执行情况自评得分8分，绩效指标自评得分90分，预算自评总分98分，实现了绩效目标。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07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000000"/>
                <w:sz w:val="16"/>
                <w:szCs w:val="16"/>
                <w:highlight w:val="none"/>
                <w:u w:val="none"/>
              </w:rPr>
            </w:pPr>
            <w:r>
              <w:rPr>
                <w:rFonts w:hint="eastAsia" w:ascii="微软雅黑" w:hAnsi="微软雅黑" w:eastAsia="微软雅黑" w:cs="微软雅黑"/>
                <w:i w:val="0"/>
                <w:iCs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60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w:t>
            </w:r>
          </w:p>
        </w:tc>
        <w:tc>
          <w:tcPr>
            <w:tcW w:w="5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w:t>
            </w:r>
          </w:p>
        </w:tc>
      </w:tr>
    </w:tbl>
    <w:p>
      <w:pPr>
        <w:keepNext w:val="0"/>
        <w:keepLines w:val="0"/>
        <w:pageBreakBefore w:val="0"/>
        <w:shd w:val="clear"/>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pStyle w:val="2"/>
        <w:shd w:val="clear"/>
        <w:rPr>
          <w:rFonts w:hint="eastAsia" w:ascii="仿宋_GB2312" w:hAnsi="Calibri" w:eastAsia="仿宋_GB2312" w:cs="仿宋"/>
          <w:color w:val="auto"/>
          <w:kern w:val="0"/>
          <w:sz w:val="32"/>
          <w:szCs w:val="32"/>
          <w:highlight w:val="none"/>
          <w:lang w:val="en-US" w:eastAsia="zh-CN" w:bidi="ar-SA"/>
        </w:rPr>
      </w:pPr>
      <w:bookmarkStart w:id="73" w:name="_Toc15396618"/>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shd w:val="clear"/>
        <w:spacing w:line="600" w:lineRule="exact"/>
        <w:jc w:val="center"/>
        <w:outlineLvl w:val="0"/>
        <w:rPr>
          <w:rFonts w:hint="eastAsia" w:ascii="仿宋" w:hAnsi="仿宋" w:eastAsia="仿宋"/>
          <w:b w:val="0"/>
          <w:color w:val="auto"/>
          <w:highlight w:val="none"/>
        </w:rPr>
      </w:pPr>
      <w:bookmarkStart w:id="74" w:name="_Toc9878"/>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0"/>
      <w:bookmarkEnd w:id="73"/>
      <w:bookmarkEnd w:id="74"/>
      <w:bookmarkStart w:id="75" w:name="_Toc15396619"/>
    </w:p>
    <w:p>
      <w:pPr>
        <w:pStyle w:val="4"/>
        <w:shd w:val="clear"/>
        <w:rPr>
          <w:rFonts w:ascii="仿宋" w:hAnsi="仿宋" w:eastAsia="仿宋"/>
          <w:color w:val="auto"/>
          <w:highlight w:val="none"/>
        </w:rPr>
      </w:pPr>
      <w:bookmarkStart w:id="76" w:name="_Toc5305"/>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5"/>
      <w:bookmarkEnd w:id="76"/>
    </w:p>
    <w:p>
      <w:pPr>
        <w:pStyle w:val="4"/>
        <w:shd w:val="clear"/>
        <w:rPr>
          <w:rFonts w:ascii="仿宋" w:hAnsi="仿宋" w:eastAsia="仿宋"/>
          <w:color w:val="auto"/>
          <w:highlight w:val="none"/>
        </w:rPr>
      </w:pPr>
      <w:bookmarkStart w:id="77" w:name="_Toc15396620"/>
      <w:bookmarkStart w:id="78" w:name="_Toc22077"/>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7"/>
      <w:bookmarkEnd w:id="78"/>
    </w:p>
    <w:p>
      <w:pPr>
        <w:pStyle w:val="4"/>
        <w:shd w:val="clear"/>
        <w:rPr>
          <w:rFonts w:ascii="仿宋" w:hAnsi="仿宋" w:eastAsia="仿宋"/>
          <w:color w:val="auto"/>
          <w:highlight w:val="none"/>
        </w:rPr>
      </w:pPr>
      <w:bookmarkStart w:id="79" w:name="_Toc23766"/>
      <w:bookmarkStart w:id="80"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79"/>
      <w:bookmarkEnd w:id="80"/>
    </w:p>
    <w:p>
      <w:pPr>
        <w:pStyle w:val="4"/>
        <w:shd w:val="clear"/>
        <w:rPr>
          <w:rFonts w:ascii="仿宋" w:hAnsi="仿宋" w:eastAsia="仿宋"/>
          <w:b w:val="0"/>
          <w:color w:val="auto"/>
          <w:highlight w:val="none"/>
        </w:rPr>
      </w:pPr>
      <w:bookmarkStart w:id="81" w:name="_Toc15396622"/>
      <w:bookmarkStart w:id="82" w:name="_Toc23250"/>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1"/>
      <w:bookmarkEnd w:id="82"/>
    </w:p>
    <w:p>
      <w:pPr>
        <w:pStyle w:val="4"/>
        <w:shd w:val="clear"/>
        <w:rPr>
          <w:rStyle w:val="18"/>
          <w:rFonts w:ascii="仿宋" w:hAnsi="仿宋" w:eastAsia="仿宋"/>
          <w:b w:val="0"/>
          <w:bCs w:val="0"/>
          <w:color w:val="auto"/>
          <w:highlight w:val="none"/>
        </w:rPr>
      </w:pPr>
      <w:bookmarkStart w:id="83" w:name="_Toc15396623"/>
      <w:bookmarkStart w:id="84" w:name="_Toc4599"/>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3"/>
      <w:bookmarkEnd w:id="84"/>
      <w:bookmarkStart w:id="85" w:name="_Toc15396624"/>
    </w:p>
    <w:p>
      <w:pPr>
        <w:pStyle w:val="4"/>
        <w:shd w:val="clear"/>
        <w:rPr>
          <w:rFonts w:ascii="仿宋" w:hAnsi="仿宋" w:eastAsia="仿宋"/>
          <w:color w:val="auto"/>
          <w:highlight w:val="none"/>
        </w:rPr>
      </w:pPr>
      <w:bookmarkStart w:id="86" w:name="_Toc26086"/>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5"/>
      <w:bookmarkEnd w:id="86"/>
    </w:p>
    <w:p>
      <w:pPr>
        <w:pStyle w:val="4"/>
        <w:shd w:val="clear"/>
        <w:rPr>
          <w:rFonts w:ascii="仿宋" w:hAnsi="仿宋" w:eastAsia="仿宋"/>
          <w:color w:val="auto"/>
          <w:highlight w:val="none"/>
        </w:rPr>
      </w:pPr>
      <w:bookmarkStart w:id="87" w:name="_Toc15396625"/>
      <w:bookmarkStart w:id="88" w:name="_Toc6128"/>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7"/>
      <w:bookmarkEnd w:id="88"/>
    </w:p>
    <w:p>
      <w:pPr>
        <w:pStyle w:val="4"/>
        <w:shd w:val="clear"/>
        <w:rPr>
          <w:rFonts w:ascii="仿宋" w:hAnsi="仿宋" w:eastAsia="仿宋"/>
          <w:color w:val="auto"/>
          <w:highlight w:val="none"/>
        </w:rPr>
      </w:pPr>
      <w:bookmarkStart w:id="89" w:name="_Toc15396626"/>
      <w:bookmarkStart w:id="90" w:name="_Toc27263"/>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89"/>
      <w:bookmarkEnd w:id="90"/>
    </w:p>
    <w:p>
      <w:pPr>
        <w:pStyle w:val="4"/>
        <w:shd w:val="clear"/>
        <w:rPr>
          <w:rFonts w:ascii="仿宋" w:hAnsi="仿宋" w:eastAsia="仿宋"/>
          <w:color w:val="auto"/>
          <w:highlight w:val="none"/>
        </w:rPr>
      </w:pPr>
      <w:bookmarkStart w:id="91" w:name="_Toc15396627"/>
      <w:bookmarkStart w:id="92" w:name="_Toc8768"/>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1"/>
      <w:bookmarkEnd w:id="92"/>
    </w:p>
    <w:p>
      <w:pPr>
        <w:pStyle w:val="4"/>
        <w:shd w:val="clear"/>
        <w:rPr>
          <w:rFonts w:ascii="仿宋" w:hAnsi="仿宋" w:eastAsia="仿宋"/>
          <w:color w:val="auto"/>
          <w:highlight w:val="none"/>
        </w:rPr>
      </w:pPr>
      <w:bookmarkStart w:id="93" w:name="_Toc15396628"/>
      <w:bookmarkStart w:id="94" w:name="_Toc28773"/>
      <w:r>
        <w:rPr>
          <w:rStyle w:val="18"/>
          <w:rFonts w:hint="eastAsia" w:ascii="仿宋" w:hAnsi="仿宋" w:eastAsia="仿宋"/>
          <w:b w:val="0"/>
          <w:bCs w:val="0"/>
          <w:color w:val="auto"/>
          <w:highlight w:val="none"/>
        </w:rPr>
        <w:t>十、</w:t>
      </w:r>
      <w:bookmarkEnd w:id="93"/>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4"/>
    </w:p>
    <w:p>
      <w:pPr>
        <w:pStyle w:val="4"/>
        <w:shd w:val="clear"/>
        <w:rPr>
          <w:rFonts w:ascii="仿宋" w:hAnsi="仿宋" w:eastAsia="仿宋"/>
          <w:color w:val="auto"/>
          <w:highlight w:val="none"/>
        </w:rPr>
      </w:pPr>
      <w:bookmarkStart w:id="95" w:name="_Toc15396629"/>
      <w:bookmarkStart w:id="96" w:name="_Toc23211"/>
      <w:r>
        <w:rPr>
          <w:rStyle w:val="18"/>
          <w:rFonts w:hint="eastAsia" w:ascii="仿宋" w:hAnsi="仿宋" w:eastAsia="仿宋"/>
          <w:b w:val="0"/>
          <w:bCs w:val="0"/>
          <w:color w:val="auto"/>
          <w:highlight w:val="none"/>
        </w:rPr>
        <w:t>十一、</w:t>
      </w:r>
      <w:bookmarkEnd w:id="95"/>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6"/>
    </w:p>
    <w:p>
      <w:pPr>
        <w:pStyle w:val="4"/>
        <w:shd w:val="clear"/>
        <w:rPr>
          <w:rFonts w:ascii="仿宋" w:hAnsi="仿宋" w:eastAsia="仿宋"/>
          <w:color w:val="auto"/>
          <w:highlight w:val="none"/>
        </w:rPr>
      </w:pPr>
      <w:bookmarkStart w:id="97" w:name="_Toc15396630"/>
      <w:bookmarkStart w:id="98" w:name="_Toc16103"/>
      <w:r>
        <w:rPr>
          <w:rStyle w:val="18"/>
          <w:rFonts w:hint="eastAsia" w:ascii="仿宋" w:hAnsi="仿宋" w:eastAsia="仿宋"/>
          <w:b w:val="0"/>
          <w:bCs w:val="0"/>
          <w:color w:val="auto"/>
          <w:highlight w:val="none"/>
        </w:rPr>
        <w:t>十二、</w:t>
      </w:r>
      <w:bookmarkEnd w:id="97"/>
      <w:r>
        <w:rPr>
          <w:rStyle w:val="18"/>
          <w:rFonts w:hint="eastAsia" w:ascii="仿宋" w:hAnsi="仿宋" w:eastAsia="仿宋"/>
          <w:b w:val="0"/>
          <w:bCs w:val="0"/>
          <w:color w:val="auto"/>
          <w:highlight w:val="none"/>
          <w:lang w:eastAsia="zh-CN"/>
        </w:rPr>
        <w:t>国有资本经营预算财政拨款支出决算表</w:t>
      </w:r>
      <w:bookmarkEnd w:id="98"/>
    </w:p>
    <w:p>
      <w:pPr>
        <w:pStyle w:val="4"/>
        <w:shd w:val="clear"/>
        <w:rPr>
          <w:rFonts w:hint="eastAsia" w:eastAsia="仿宋"/>
          <w:color w:val="auto"/>
          <w:highlight w:val="none"/>
          <w:lang w:eastAsia="zh-CN"/>
        </w:rPr>
      </w:pPr>
      <w:bookmarkStart w:id="99" w:name="_Toc15396631"/>
      <w:bookmarkStart w:id="100" w:name="_Toc1404"/>
      <w:r>
        <w:rPr>
          <w:rStyle w:val="18"/>
          <w:rFonts w:hint="eastAsia" w:ascii="仿宋" w:hAnsi="仿宋" w:eastAsia="仿宋"/>
          <w:b w:val="0"/>
          <w:bCs w:val="0"/>
          <w:color w:val="auto"/>
          <w:highlight w:val="none"/>
        </w:rPr>
        <w:t>十三、</w:t>
      </w:r>
      <w:bookmarkEnd w:id="99"/>
      <w:r>
        <w:rPr>
          <w:rStyle w:val="18"/>
          <w:rFonts w:hint="eastAsia" w:ascii="仿宋" w:hAnsi="仿宋" w:eastAsia="仿宋"/>
          <w:b w:val="0"/>
          <w:bCs w:val="0"/>
          <w:color w:val="auto"/>
          <w:highlight w:val="none"/>
          <w:lang w:eastAsia="zh-CN"/>
        </w:rPr>
        <w:t>财政拨款“三公”经费支出决算表</w:t>
      </w:r>
      <w:bookmarkEnd w:id="100"/>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972492-EA09-48A1-81A9-0CD9919B8E6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007F22F-7BC5-42E4-BA84-0715EB49B9E4}"/>
  </w:font>
  <w:font w:name="Cambria">
    <w:panose1 w:val="02040503050406030204"/>
    <w:charset w:val="00"/>
    <w:family w:val="roman"/>
    <w:pitch w:val="default"/>
    <w:sig w:usb0="E00002FF" w:usb1="400004FF" w:usb2="00000000" w:usb3="00000000" w:csb0="2000019F" w:csb1="00000000"/>
    <w:embedRegular r:id="rId3" w:fontKey="{47359C48-E0F3-4B13-8FFE-9574111F977D}"/>
  </w:font>
  <w:font w:name="仿宋_GB2312">
    <w:altName w:val="仿宋"/>
    <w:panose1 w:val="02010609030101010101"/>
    <w:charset w:val="86"/>
    <w:family w:val="modern"/>
    <w:pitch w:val="default"/>
    <w:sig w:usb0="00000000" w:usb1="00000000" w:usb2="00000010" w:usb3="00000000" w:csb0="00040000" w:csb1="00000000"/>
    <w:embedRegular r:id="rId4" w:fontKey="{D2BFF6B1-15B6-4A5D-85B4-74D836A2AEBE}"/>
  </w:font>
  <w:font w:name="仿宋">
    <w:panose1 w:val="02010609060101010101"/>
    <w:charset w:val="86"/>
    <w:family w:val="auto"/>
    <w:pitch w:val="default"/>
    <w:sig w:usb0="800002BF" w:usb1="38CF7CFA" w:usb2="00000016" w:usb3="00000000" w:csb0="00040001" w:csb1="00000000"/>
    <w:embedRegular r:id="rId5" w:fontKey="{748A918E-0283-4C7D-9502-8F8E60D9F27A}"/>
  </w:font>
  <w:font w:name="方正小标宋简体">
    <w:panose1 w:val="02000000000000000000"/>
    <w:charset w:val="86"/>
    <w:family w:val="script"/>
    <w:pitch w:val="default"/>
    <w:sig w:usb0="00000001" w:usb1="08000000" w:usb2="00000000" w:usb3="00000000" w:csb0="00040000" w:csb1="00000000"/>
    <w:embedRegular r:id="rId6" w:fontKey="{E07C0D08-4D4E-46F6-A5CA-8E2DB09BDA60}"/>
  </w:font>
  <w:font w:name="Helvetica">
    <w:altName w:val="Arial"/>
    <w:panose1 w:val="00000000000000000000"/>
    <w:charset w:val="00"/>
    <w:family w:val="auto"/>
    <w:pitch w:val="default"/>
    <w:sig w:usb0="00000000" w:usb1="00000000" w:usb2="00000000" w:usb3="00000000" w:csb0="00000000" w:csb1="00000000"/>
    <w:embedRegular r:id="rId7" w:fontKey="{B8E7842D-02B0-427C-A5DC-00B24BBB0C9E}"/>
  </w:font>
  <w:font w:name="微软雅黑">
    <w:panose1 w:val="020B0503020204020204"/>
    <w:charset w:val="86"/>
    <w:family w:val="auto"/>
    <w:pitch w:val="default"/>
    <w:sig w:usb0="80000287" w:usb1="280F3C52" w:usb2="00000016" w:usb3="00000000" w:csb0="0004001F" w:csb1="00000000"/>
    <w:embedRegular r:id="rId8" w:fontKey="{767C15FF-46CC-49E4-867F-A4982A754D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abstractNum w:abstractNumId="4">
    <w:nsid w:val="6255B290"/>
    <w:multiLevelType w:val="singleLevel"/>
    <w:tmpl w:val="6255B290"/>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87425"/>
    <w:rsid w:val="027826E5"/>
    <w:rsid w:val="0414133B"/>
    <w:rsid w:val="053A62B5"/>
    <w:rsid w:val="069344AB"/>
    <w:rsid w:val="07DD36F1"/>
    <w:rsid w:val="0A2032A3"/>
    <w:rsid w:val="0B8A37D8"/>
    <w:rsid w:val="0F6D37D0"/>
    <w:rsid w:val="10C055FF"/>
    <w:rsid w:val="118107EC"/>
    <w:rsid w:val="11DD6519"/>
    <w:rsid w:val="11DF131B"/>
    <w:rsid w:val="14B47334"/>
    <w:rsid w:val="16BB723D"/>
    <w:rsid w:val="16E92ED3"/>
    <w:rsid w:val="18015F3F"/>
    <w:rsid w:val="1BE8440E"/>
    <w:rsid w:val="1D155CEE"/>
    <w:rsid w:val="20F57F95"/>
    <w:rsid w:val="220527B4"/>
    <w:rsid w:val="240371BF"/>
    <w:rsid w:val="25711CC6"/>
    <w:rsid w:val="25C741E6"/>
    <w:rsid w:val="27842671"/>
    <w:rsid w:val="29FD04D3"/>
    <w:rsid w:val="2ABE7A3E"/>
    <w:rsid w:val="2CA234A8"/>
    <w:rsid w:val="2EFA178C"/>
    <w:rsid w:val="30B46D73"/>
    <w:rsid w:val="319F7F4E"/>
    <w:rsid w:val="37DB0FD1"/>
    <w:rsid w:val="383D272C"/>
    <w:rsid w:val="39AE70AB"/>
    <w:rsid w:val="3C0C0783"/>
    <w:rsid w:val="3F9F3A96"/>
    <w:rsid w:val="41085755"/>
    <w:rsid w:val="460968F3"/>
    <w:rsid w:val="48BF60AB"/>
    <w:rsid w:val="493C27E9"/>
    <w:rsid w:val="496F39ED"/>
    <w:rsid w:val="49FF41D3"/>
    <w:rsid w:val="4BE068DB"/>
    <w:rsid w:val="4BF6002B"/>
    <w:rsid w:val="4ECE2238"/>
    <w:rsid w:val="51595CED"/>
    <w:rsid w:val="51D905D3"/>
    <w:rsid w:val="51DB4B86"/>
    <w:rsid w:val="52426FD8"/>
    <w:rsid w:val="55333C3E"/>
    <w:rsid w:val="571514E3"/>
    <w:rsid w:val="5F937ABD"/>
    <w:rsid w:val="64CA39A1"/>
    <w:rsid w:val="64CC3FF1"/>
    <w:rsid w:val="69630ADE"/>
    <w:rsid w:val="6C4A05C8"/>
    <w:rsid w:val="6D3B1A89"/>
    <w:rsid w:val="71AF1AF4"/>
    <w:rsid w:val="71BF4EC2"/>
    <w:rsid w:val="72734D90"/>
    <w:rsid w:val="7412278C"/>
    <w:rsid w:val="743916B1"/>
    <w:rsid w:val="78014B7B"/>
    <w:rsid w:val="78DB5370"/>
    <w:rsid w:val="78E977D3"/>
    <w:rsid w:val="7904082E"/>
    <w:rsid w:val="79E7B28D"/>
    <w:rsid w:val="7B633813"/>
    <w:rsid w:val="7ED21533"/>
    <w:rsid w:val="7F9F20EE"/>
    <w:rsid w:val="7FA04963"/>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rPr>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_rels/chart7.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oleObject" Target="file:///I:\&#25945;&#32946;&#25216;&#26415;&#19982;&#30005;&#21270;&#25945;&#32946;&#20013;&#24515;\1.&#39044;&#20915;&#31639;\2022\&#20915;&#31639;\&#20915;&#31639;&#20844;&#24320;\&#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338842975207"/>
          <c:y val="0.0569737758180552"/>
          <c:w val="0.858292011019284"/>
          <c:h val="0.801044325829659"/>
        </c:manualLayout>
      </c:layout>
      <c:barChart>
        <c:barDir val="col"/>
        <c:grouping val="clustered"/>
        <c:varyColors val="0"/>
        <c:ser>
          <c:idx val="0"/>
          <c:order val="0"/>
          <c:spPr>
            <a:solidFill>
              <a:srgbClr val="5B9BD5"/>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'[工作簿1.xlsx]1'!$J$2:$J$3</c:f>
              <c:numCache>
                <c:formatCode>General</c:formatCode>
                <c:ptCount val="2"/>
                <c:pt idx="0">
                  <c:v>2021</c:v>
                </c:pt>
                <c:pt idx="1">
                  <c:v>2022</c:v>
                </c:pt>
              </c:numCache>
            </c:numRef>
          </c:cat>
          <c:val>
            <c:numRef>
              <c:f>'[工作簿1.xlsx]1'!$K$2:$K$3</c:f>
              <c:numCache>
                <c:formatCode>General</c:formatCode>
                <c:ptCount val="2"/>
                <c:pt idx="0">
                  <c:v>344.47</c:v>
                </c:pt>
                <c:pt idx="1">
                  <c:v>514.03</c:v>
                </c:pt>
              </c:numCache>
            </c:numRef>
          </c:val>
        </c:ser>
        <c:dLbls>
          <c:showLegendKey val="0"/>
          <c:showVal val="1"/>
          <c:showCatName val="0"/>
          <c:showSerName val="0"/>
          <c:showPercent val="0"/>
          <c:showBubbleSize val="0"/>
        </c:dLbls>
        <c:gapWidth val="219"/>
        <c:overlap val="-27"/>
        <c:axId val="774290119"/>
        <c:axId val="518099446"/>
      </c:barChart>
      <c:catAx>
        <c:axId val="774290119"/>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518099446"/>
        <c:crosses val="autoZero"/>
        <c:auto val="1"/>
        <c:lblAlgn val="ctr"/>
        <c:lblOffset val="100"/>
        <c:noMultiLvlLbl val="0"/>
      </c:catAx>
      <c:valAx>
        <c:axId val="518099446"/>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774290119"/>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916666666666666"/>
          <c:y val="0.138634259259259"/>
          <c:w val="0.826222222222222"/>
          <c:h val="0.675277777777778"/>
        </c:manualLayout>
      </c:layout>
      <c:pie3DChart>
        <c:varyColors val="1"/>
        <c:ser>
          <c:idx val="0"/>
          <c:order val="0"/>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'[工作簿1.xlsx]2'!$N$1:$N$2</c:f>
              <c:strCache>
                <c:ptCount val="2"/>
                <c:pt idx="0">
                  <c:v>一般公共预算财政拨款收入</c:v>
                </c:pt>
                <c:pt idx="1">
                  <c:v>事业收入</c:v>
                </c:pt>
              </c:strCache>
            </c:strRef>
          </c:cat>
          <c:val>
            <c:numRef>
              <c:f>'[工作簿1.xlsx]2'!$O$1:$O$2</c:f>
              <c:numCache>
                <c:formatCode>General</c:formatCode>
                <c:ptCount val="2"/>
                <c:pt idx="0">
                  <c:v>476.04</c:v>
                </c:pt>
                <c:pt idx="1">
                  <c:v>9.7</c:v>
                </c:pt>
              </c:numCache>
            </c:numRef>
          </c:val>
        </c:ser>
        <c:ser>
          <c:idx val="1"/>
          <c:order val="1"/>
          <c:tx>
            <c:strRef>
              <c:f>'[工作簿1.xlsx]2'!$N$2</c:f>
              <c:strCache>
                <c:ptCount val="1"/>
                <c:pt idx="0">
                  <c:v>事业收入</c:v>
                </c:pt>
              </c:strCache>
            </c:strRef>
          </c:tx>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'[工作簿1.xlsx]2'!$N$1:$N$2</c:f>
              <c:strCache>
                <c:ptCount val="2"/>
                <c:pt idx="0">
                  <c:v>一般公共预算财政拨款收入</c:v>
                </c:pt>
                <c:pt idx="1">
                  <c:v>事业收入</c:v>
                </c:pt>
              </c:strCache>
            </c:strRef>
          </c:cat>
          <c:val>
            <c:numRef>
              <c:f>'[工作簿1.xlsx]2'!$O$2:$P$2</c:f>
              <c:numCache>
                <c:formatCode>General</c:formatCode>
                <c:ptCount val="2"/>
                <c:pt idx="0">
                  <c:v>9.7</c:v>
                </c:pt>
                <c:pt idx="1" c:formatCode="0.00%">
                  <c:v>0.0199695310248281</c:v>
                </c:pt>
              </c:numCache>
            </c:numRef>
          </c:val>
        </c:ser>
        <c:dLbls>
          <c:showLegendKey val="0"/>
          <c:showVal val="1"/>
          <c:showCatName val="0"/>
          <c:showSerName val="0"/>
          <c:showPercent val="0"/>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20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rgbClr val="5B9BD5"/>
              </a:solidFill>
              <a:ln w="25400">
                <a:solidFill>
                  <a:sysClr val="window" lastClr="FFFFFF"/>
                </a:solidFill>
              </a:ln>
              <a:effectLst/>
              <a:scene3d>
                <a:camera prst="orthographicFront"/>
                <a:lightRig rig="threePt" dir="t"/>
              </a:scene3d>
              <a:sp3d contourW="25400"/>
            </c:spPr>
          </c:dPt>
          <c:dPt>
            <c:idx val="1"/>
            <c:bubble3D val="0"/>
            <c:spPr>
              <a:solidFill>
                <a:srgbClr val="ED7D31"/>
              </a:solidFill>
              <a:ln w="25400">
                <a:solidFill>
                  <a:sysClr val="window" lastClr="FFFFFF"/>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'[工作簿1.xlsx]3'!$K$1:$K$2</c:f>
              <c:strCache>
                <c:ptCount val="2"/>
                <c:pt idx="0">
                  <c:v>基本支出</c:v>
                </c:pt>
                <c:pt idx="1">
                  <c:v>项目支出</c:v>
                </c:pt>
              </c:strCache>
            </c:strRef>
          </c:cat>
          <c:val>
            <c:numRef>
              <c:f>'[工作簿1.xlsx]3'!$L$1:$L$2</c:f>
              <c:numCache>
                <c:formatCode>General</c:formatCode>
                <c:ptCount val="2"/>
                <c:pt idx="0">
                  <c:v>333.86</c:v>
                </c:pt>
                <c:pt idx="1">
                  <c:v>180.17</c:v>
                </c:pt>
              </c:numCache>
            </c:numRef>
          </c:val>
        </c:ser>
        <c:ser>
          <c:idx val="1"/>
          <c:order val="1"/>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'[工作簿1.xlsx]3'!$K$1:$K$2</c:f>
              <c:strCache>
                <c:ptCount val="2"/>
                <c:pt idx="0">
                  <c:v>基本支出</c:v>
                </c:pt>
                <c:pt idx="1">
                  <c:v>项目支出</c:v>
                </c:pt>
              </c:strCache>
            </c:strRef>
          </c:cat>
          <c:val>
            <c:numRef>
              <c:f>'[工作簿1.xlsx]3'!$M$1:$M$2</c:f>
              <c:numCache>
                <c:formatCode>0.00%</c:formatCode>
                <c:ptCount val="2"/>
                <c:pt idx="0">
                  <c:v>0.64949516565181</c:v>
                </c:pt>
                <c:pt idx="1">
                  <c:v>0.35050483434819</c:v>
                </c:pt>
              </c:numCache>
            </c:numRef>
          </c:val>
        </c:ser>
        <c:dLbls>
          <c:showLegendKey val="0"/>
          <c:showVal val="1"/>
          <c:showCatName val="0"/>
          <c:showSerName val="0"/>
          <c:showPercent val="0"/>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rgbClr val="5B9BD5"/>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'[工作簿1.xlsx]4'!$I$2:$I$3</c:f>
              <c:numCache>
                <c:formatCode>General</c:formatCode>
                <c:ptCount val="2"/>
                <c:pt idx="0">
                  <c:v>2021</c:v>
                </c:pt>
                <c:pt idx="1">
                  <c:v>2022</c:v>
                </c:pt>
              </c:numCache>
            </c:numRef>
          </c:cat>
          <c:val>
            <c:numRef>
              <c:f>'[工作簿1.xlsx]4'!$J$2:$J$3</c:f>
              <c:numCache>
                <c:formatCode>General</c:formatCode>
                <c:ptCount val="2"/>
                <c:pt idx="0">
                  <c:v>330.52</c:v>
                </c:pt>
                <c:pt idx="1">
                  <c:v>504.32</c:v>
                </c:pt>
              </c:numCache>
            </c:numRef>
          </c:val>
        </c:ser>
        <c:dLbls>
          <c:showLegendKey val="0"/>
          <c:showVal val="1"/>
          <c:showCatName val="0"/>
          <c:showSerName val="0"/>
          <c:showPercent val="0"/>
          <c:showBubbleSize val="0"/>
        </c:dLbls>
        <c:gapWidth val="219"/>
        <c:overlap val="-27"/>
        <c:axId val="604086169"/>
        <c:axId val="221097670"/>
      </c:barChart>
      <c:catAx>
        <c:axId val="604086169"/>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221097670"/>
        <c:crosses val="autoZero"/>
        <c:auto val="1"/>
        <c:lblAlgn val="ctr"/>
        <c:lblOffset val="100"/>
        <c:noMultiLvlLbl val="0"/>
      </c:catAx>
      <c:valAx>
        <c:axId val="221097670"/>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604086169"/>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'[工作簿1.xlsx]5'!$J$1</c:f>
              <c:strCache>
                <c:ptCount val="1"/>
                <c:pt idx="0">
                  <c:v>财政拨款支出</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'[工作簿1.xlsx]5'!$I$2:$I$3</c:f>
              <c:numCache>
                <c:formatCode>General</c:formatCode>
                <c:ptCount val="2"/>
                <c:pt idx="0">
                  <c:v>2021</c:v>
                </c:pt>
                <c:pt idx="1">
                  <c:v>2022</c:v>
                </c:pt>
              </c:numCache>
            </c:numRef>
          </c:cat>
          <c:val>
            <c:numRef>
              <c:f>'[工作簿1.xlsx]5'!$J$2:$J$3</c:f>
              <c:numCache>
                <c:formatCode>General</c:formatCode>
                <c:ptCount val="2"/>
                <c:pt idx="0">
                  <c:v>330.51</c:v>
                </c:pt>
                <c:pt idx="1">
                  <c:v>504.32</c:v>
                </c:pt>
              </c:numCache>
            </c:numRef>
          </c:val>
        </c:ser>
        <c:dLbls>
          <c:showLegendKey val="0"/>
          <c:showVal val="1"/>
          <c:showCatName val="0"/>
          <c:showSerName val="0"/>
          <c:showPercent val="0"/>
          <c:showBubbleSize val="0"/>
        </c:dLbls>
        <c:gapWidth val="219"/>
        <c:overlap val="-27"/>
        <c:axId val="542806284"/>
        <c:axId val="178007637"/>
      </c:barChart>
      <c:catAx>
        <c:axId val="542806284"/>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178007637"/>
        <c:crosses val="autoZero"/>
        <c:auto val="1"/>
        <c:lblAlgn val="ctr"/>
        <c:lblOffset val="100"/>
        <c:noMultiLvlLbl val="0"/>
      </c:catAx>
      <c:valAx>
        <c:axId val="178007637"/>
        <c:scaling>
          <c:orientation val="minMax"/>
          <c:max val="600"/>
          <c:min val="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542806284"/>
        <c:crosses val="autoZero"/>
        <c:crossBetween val="between"/>
        <c:maj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754241156184819"/>
          <c:y val="0.082914211812042"/>
          <c:w val="0.799127906976744"/>
          <c:h val="0.720362120994396"/>
        </c:manualLayout>
      </c:layout>
      <c:pie3DChart>
        <c:varyColors val="1"/>
        <c:ser>
          <c:idx val="0"/>
          <c:order val="0"/>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Pt>
            <c:idx val="2"/>
            <c:bubble3D val="0"/>
            <c:spPr>
              <a:solidFill>
                <a:srgbClr val="A5A5A5"/>
              </a:solidFill>
              <a:ln w="25400">
                <a:solidFill>
                  <a:sysClr val="window" lastClr="FFFFFF"/>
                </a:solidFill>
              </a:ln>
              <a:effectLst/>
            </c:spPr>
          </c:dPt>
          <c:dPt>
            <c:idx val="3"/>
            <c:bubble3D val="0"/>
            <c:spPr>
              <a:solidFill>
                <a:srgbClr val="FFC000"/>
              </a:solidFill>
              <a:ln w="25400">
                <a:solidFill>
                  <a:sysClr val="window" lastClr="FFFFFF"/>
                </a:solidFill>
              </a:ln>
              <a:effectLst/>
            </c:spPr>
          </c:dPt>
          <c:dPt>
            <c:idx val="4"/>
            <c:bubble3D val="0"/>
            <c:spPr>
              <a:solidFill>
                <a:srgbClr val="4472C4"/>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'[工作簿1.xlsx]6'!$K$1:$K$5</c:f>
              <c:strCache>
                <c:ptCount val="5"/>
                <c:pt idx="0">
                  <c:v>教育支出</c:v>
                </c:pt>
                <c:pt idx="1">
                  <c:v>社会保障和就业支出</c:v>
                </c:pt>
                <c:pt idx="2">
                  <c:v>卫生健康支出</c:v>
                </c:pt>
                <c:pt idx="3">
                  <c:v>住房保障支出</c:v>
                </c:pt>
                <c:pt idx="4">
                  <c:v>其他支出</c:v>
                </c:pt>
              </c:strCache>
            </c:strRef>
          </c:cat>
          <c:val>
            <c:numRef>
              <c:f>'[工作簿1.xlsx]6'!$L$1:$L$5</c:f>
              <c:numCache>
                <c:formatCode>General</c:formatCode>
                <c:ptCount val="5"/>
                <c:pt idx="0">
                  <c:v>312.86</c:v>
                </c:pt>
                <c:pt idx="1">
                  <c:v>21.61</c:v>
                </c:pt>
                <c:pt idx="2">
                  <c:v>10.88</c:v>
                </c:pt>
                <c:pt idx="3">
                  <c:v>29.49</c:v>
                </c:pt>
                <c:pt idx="4">
                  <c:v>129.48</c:v>
                </c:pt>
              </c:numCache>
            </c:numRef>
          </c:val>
        </c:ser>
        <c:dLbls>
          <c:showLegendKey val="0"/>
          <c:showVal val="1"/>
          <c:showCatName val="0"/>
          <c:showSerName val="0"/>
          <c:showPercent val="0"/>
          <c:showBubbleSize val="0"/>
        </c:dLbls>
      </c:pie3DChart>
      <c:spPr>
        <a:noFill/>
        <a:ln>
          <a:noFill/>
        </a:ln>
        <a:effectLst/>
      </c:spPr>
    </c:plotArea>
    <c:legend>
      <c:legendPos val="b"/>
      <c:layout>
        <c:manualLayout>
          <c:xMode val="edge"/>
          <c:yMode val="edge"/>
          <c:x val="0.00514462101291871"/>
          <c:y val="0.854025919800458"/>
          <c:w val="0.981365039442094"/>
          <c:h val="0.108586243709013"/>
        </c:manualLayout>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spPr/>
          <c:explosion val="0"/>
          <c:dPt>
            <c:idx val="0"/>
            <c:bubble3D val="0"/>
            <c:spPr>
              <a:solidFill>
                <a:srgbClr val="ED7D31"/>
              </a:solidFill>
              <a:ln w="19050">
                <a:solidFill>
                  <a:sysClr val="window" lastClr="FFFFFF"/>
                </a:solidFill>
              </a:ln>
              <a:effectLst/>
            </c:spPr>
          </c:dPt>
          <c:dPt>
            <c:idx val="1"/>
            <c:bubble3D val="0"/>
            <c:spPr>
              <a:solidFill>
                <a:srgbClr val="FFC000"/>
              </a:solidFill>
              <a:ln w="19050">
                <a:solidFill>
                  <a:sysClr val="window" lastClr="FFFFFF"/>
                </a:solidFill>
              </a:ln>
              <a:effectLst/>
            </c:spPr>
          </c:dPt>
          <c:dPt>
            <c:idx val="2"/>
            <c:bubble3D val="0"/>
            <c:spPr>
              <a:solidFill>
                <a:srgbClr val="70AD47"/>
              </a:solidFill>
              <a:ln w="19050">
                <a:solidFill>
                  <a:sysClr val="window" lastClr="FFFFFF"/>
                </a:solidFill>
              </a:ln>
              <a:effectLst/>
            </c:spPr>
          </c:dPt>
          <c:dLbls>
            <c:dLbl>
              <c:idx val="0"/>
              <c:delete val="1"/>
            </c:dLbl>
            <c:dLbl>
              <c:idx val="1"/>
              <c:delete val="1"/>
            </c:dLbl>
            <c:dLbl>
              <c:idx val="2"/>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'[工作簿1.xlsx]7'!$A$1:$A$3</c:f>
              <c:strCache>
                <c:ptCount val="3"/>
                <c:pt idx="0">
                  <c:v>因公出国（境）费</c:v>
                </c:pt>
                <c:pt idx="1">
                  <c:v>公务用车购置及运行维护费</c:v>
                </c:pt>
                <c:pt idx="2">
                  <c:v>公务接待费</c:v>
                </c:pt>
              </c:strCache>
            </c:strRef>
          </c:cat>
          <c:val>
            <c:numRef>
              <c:f>'[工作簿1.xlsx]7'!$B$1:$B$3</c:f>
              <c:numCache>
                <c:formatCode>General</c:formatCode>
                <c:ptCount val="3"/>
                <c:pt idx="0">
                  <c:v>0</c:v>
                </c:pt>
                <c:pt idx="1">
                  <c:v>0</c:v>
                </c:pt>
                <c:pt idx="2">
                  <c:v>0.1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egendEntry>
        <c:idx val="2"/>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29</Pages>
  <Words>10945</Words>
  <Characters>13134</Characters>
  <Lines>61</Lines>
  <Paragraphs>17</Paragraphs>
  <TotalTime>21</TotalTime>
  <ScaleCrop>false</ScaleCrop>
  <LinksUpToDate>false</LinksUpToDate>
  <CharactersWithSpaces>13259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jijiaoban</cp:lastModifiedBy>
  <cp:lastPrinted>2023-07-31T02:35:00Z</cp:lastPrinted>
  <dcterms:modified xsi:type="dcterms:W3CDTF">2023-10-13T08:13:16Z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6B70361D626A4593B4A9C4A901EC4F63</vt:lpwstr>
  </property>
</Properties>
</file>