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spacing w:line="600" w:lineRule="exact"/>
        <w:jc w:val="left"/>
        <w:outlineLvl w:val="9"/>
        <w:rPr>
          <w:rFonts w:ascii="方正小标宋简体" w:hAnsi="宋体" w:eastAsia="方正小标宋简体"/>
          <w:color w:val="auto"/>
          <w:sz w:val="21"/>
          <w:szCs w:val="21"/>
          <w:highlight w:val="none"/>
        </w:rPr>
      </w:pPr>
      <w:bookmarkStart w:id="0" w:name="_Toc15306267"/>
    </w:p>
    <w:p>
      <w:pPr>
        <w:shd w:val="clear"/>
        <w:spacing w:line="600" w:lineRule="exact"/>
        <w:jc w:val="center"/>
        <w:outlineLvl w:val="9"/>
        <w:rPr>
          <w:rFonts w:ascii="方正小标宋简体" w:hAnsi="宋体" w:eastAsia="方正小标宋简体"/>
          <w:color w:val="auto"/>
          <w:sz w:val="72"/>
          <w:szCs w:val="72"/>
          <w:highlight w:val="none"/>
        </w:rPr>
      </w:pPr>
    </w:p>
    <w:p>
      <w:pPr>
        <w:shd w:val="clear"/>
        <w:adjustRightInd w:val="0"/>
        <w:snapToGrid w:val="0"/>
        <w:spacing w:line="360" w:lineRule="auto"/>
        <w:jc w:val="center"/>
        <w:outlineLvl w:val="9"/>
        <w:rPr>
          <w:rFonts w:hint="eastAsia" w:ascii="方正小标宋简体" w:hAnsi="方正小标宋简体" w:eastAsia="方正小标宋简体" w:cs="方正小标宋简体"/>
          <w:color w:val="auto"/>
          <w:sz w:val="52"/>
          <w:szCs w:val="52"/>
          <w:highlight w:val="none"/>
        </w:rPr>
      </w:pPr>
    </w:p>
    <w:p>
      <w:pPr>
        <w:shd w:val="clear"/>
        <w:bidi w:val="0"/>
        <w:ind w:left="0" w:leftChars="0" w:firstLine="0" w:firstLineChars="0"/>
        <w:jc w:val="center"/>
        <w:rPr>
          <w:rFonts w:hint="eastAsia"/>
          <w:b/>
          <w:bCs/>
          <w:color w:val="auto"/>
          <w:sz w:val="48"/>
          <w:szCs w:val="22"/>
          <w:highlight w:val="none"/>
          <w:lang w:eastAsia="zh-CN"/>
        </w:rPr>
      </w:pPr>
      <w:bookmarkStart w:id="1" w:name="_Toc15377425"/>
      <w:bookmarkStart w:id="2" w:name="_Toc15378441"/>
      <w:bookmarkStart w:id="3" w:name="_Toc15396597"/>
      <w:bookmarkStart w:id="4" w:name="_Toc15377193"/>
      <w:bookmarkStart w:id="5" w:name="_Toc15396475"/>
      <w:r>
        <w:rPr>
          <w:rFonts w:hint="eastAsia"/>
          <w:b/>
          <w:bCs/>
          <w:color w:val="auto"/>
          <w:sz w:val="48"/>
          <w:szCs w:val="22"/>
          <w:highlight w:val="none"/>
          <w:lang w:eastAsia="zh-CN"/>
        </w:rPr>
        <w:t>20</w:t>
      </w:r>
      <w:r>
        <w:rPr>
          <w:rFonts w:hint="eastAsia"/>
          <w:b/>
          <w:bCs/>
          <w:color w:val="auto"/>
          <w:sz w:val="48"/>
          <w:szCs w:val="22"/>
          <w:highlight w:val="none"/>
          <w:lang w:val="en-US" w:eastAsia="zh-CN"/>
        </w:rPr>
        <w:t>22</w:t>
      </w:r>
      <w:r>
        <w:rPr>
          <w:rFonts w:hint="eastAsia"/>
          <w:b/>
          <w:bCs/>
          <w:color w:val="auto"/>
          <w:sz w:val="48"/>
          <w:szCs w:val="22"/>
          <w:highlight w:val="none"/>
          <w:lang w:eastAsia="zh-CN"/>
        </w:rPr>
        <w:t>年度</w:t>
      </w:r>
      <w:bookmarkEnd w:id="1"/>
      <w:bookmarkEnd w:id="2"/>
      <w:bookmarkEnd w:id="3"/>
      <w:bookmarkEnd w:id="4"/>
      <w:bookmarkEnd w:id="5"/>
    </w:p>
    <w:p>
      <w:pPr>
        <w:shd w:val="clear"/>
        <w:bidi w:val="0"/>
        <w:ind w:left="0" w:leftChars="0" w:firstLine="0" w:firstLineChars="0"/>
        <w:jc w:val="both"/>
        <w:rPr>
          <w:rFonts w:hint="eastAsia"/>
          <w:b/>
          <w:bCs/>
          <w:color w:val="auto"/>
          <w:sz w:val="48"/>
          <w:szCs w:val="22"/>
          <w:highlight w:val="none"/>
        </w:rPr>
      </w:pPr>
      <w:bookmarkStart w:id="6" w:name="_Toc15377426"/>
      <w:bookmarkStart w:id="7" w:name="_Toc15378442"/>
      <w:bookmarkStart w:id="8" w:name="_Toc15377194"/>
      <w:bookmarkStart w:id="9" w:name="_Toc15396598"/>
      <w:bookmarkStart w:id="10" w:name="_Toc15396476"/>
      <w:r>
        <w:rPr>
          <w:rFonts w:hint="eastAsia"/>
          <w:b/>
          <w:bCs/>
          <w:color w:val="auto"/>
          <w:sz w:val="48"/>
          <w:szCs w:val="22"/>
          <w:highlight w:val="none"/>
          <w:lang w:eastAsia="zh-CN"/>
        </w:rPr>
        <w:t>广元市</w:t>
      </w:r>
      <w:bookmarkEnd w:id="0"/>
      <w:bookmarkStart w:id="11" w:name="_Toc15306268"/>
      <w:r>
        <w:rPr>
          <w:rFonts w:hint="eastAsia"/>
          <w:b/>
          <w:bCs/>
          <w:color w:val="auto"/>
          <w:sz w:val="48"/>
          <w:szCs w:val="22"/>
          <w:highlight w:val="none"/>
          <w:lang w:val="en-US" w:eastAsia="zh-CN"/>
        </w:rPr>
        <w:t>人民政府驻北京联络处</w:t>
      </w:r>
      <w:r>
        <w:rPr>
          <w:rFonts w:hint="eastAsia"/>
          <w:b/>
          <w:bCs/>
          <w:color w:val="auto"/>
          <w:sz w:val="48"/>
          <w:szCs w:val="22"/>
          <w:highlight w:val="none"/>
          <w:lang w:eastAsia="zh-CN"/>
        </w:rPr>
        <w:t>单位</w:t>
      </w:r>
      <w:r>
        <w:rPr>
          <w:rFonts w:hint="eastAsia"/>
          <w:b/>
          <w:bCs/>
          <w:color w:val="auto"/>
          <w:sz w:val="48"/>
          <w:szCs w:val="22"/>
          <w:highlight w:val="none"/>
        </w:rPr>
        <w:t>决算</w:t>
      </w:r>
      <w:bookmarkEnd w:id="6"/>
      <w:bookmarkEnd w:id="7"/>
      <w:bookmarkEnd w:id="8"/>
      <w:bookmarkEnd w:id="9"/>
      <w:bookmarkEnd w:id="10"/>
      <w:bookmarkEnd w:id="11"/>
    </w:p>
    <w:p>
      <w:pPr>
        <w:shd w:val="clear"/>
        <w:adjustRightInd w:val="0"/>
        <w:snapToGrid w:val="0"/>
        <w:spacing w:line="360" w:lineRule="auto"/>
        <w:jc w:val="center"/>
        <w:outlineLvl w:val="9"/>
        <w:rPr>
          <w:rFonts w:hint="eastAsia" w:ascii="方正小标宋简体" w:hAnsi="方正小标宋简体" w:eastAsia="方正小标宋简体" w:cs="方正小标宋简体"/>
          <w:color w:val="auto"/>
          <w:sz w:val="52"/>
          <w:szCs w:val="52"/>
          <w:highlight w:val="none"/>
        </w:rPr>
      </w:pPr>
    </w:p>
    <w:p>
      <w:pPr>
        <w:shd w:val="clear"/>
        <w:rPr>
          <w:color w:val="auto"/>
          <w:highlight w:val="none"/>
        </w:rPr>
        <w:sectPr>
          <w:headerReference r:id="rId5" w:type="default"/>
          <w:footerReference r:id="rId6" w:type="default"/>
          <w:pgSz w:w="11906" w:h="16838"/>
          <w:pgMar w:top="2098" w:right="1474" w:bottom="1984" w:left="1587" w:header="851" w:footer="992" w:gutter="0"/>
          <w:pgNumType w:fmt="decimal" w:start="1"/>
          <w:cols w:space="425" w:num="1"/>
          <w:titlePg/>
          <w:docGrid w:type="lines" w:linePitch="312" w:charSpace="0"/>
        </w:sectPr>
      </w:pPr>
    </w:p>
    <w:p>
      <w:pPr>
        <w:pStyle w:val="2"/>
        <w:shd w:val="clear"/>
        <w:rPr>
          <w:color w:val="auto"/>
          <w:highlight w:val="none"/>
        </w:rPr>
      </w:pPr>
      <w:bookmarkStart w:id="97" w:name="_GoBack"/>
      <w:bookmarkEnd w:id="97"/>
    </w:p>
    <w:sdt>
      <w:sdtPr>
        <w:rPr>
          <w:rFonts w:ascii="宋体" w:hAnsi="宋体" w:eastAsia="宋体" w:cs="Times New Roman"/>
          <w:b/>
          <w:bCs/>
          <w:color w:val="auto"/>
          <w:kern w:val="2"/>
          <w:sz w:val="24"/>
          <w:szCs w:val="32"/>
          <w:highlight w:val="none"/>
          <w:lang w:val="en-US" w:eastAsia="zh-CN" w:bidi="ar-SA"/>
        </w:rPr>
        <w:id w:val="147469042"/>
        <w15:color w:val="DBDBDB"/>
        <w:docPartObj>
          <w:docPartGallery w:val="Table of Contents"/>
          <w:docPartUnique/>
        </w:docPartObj>
      </w:sdtPr>
      <w:sdtEndPr>
        <w:rPr>
          <w:rFonts w:ascii="宋体" w:hAnsi="宋体" w:eastAsia="宋体" w:cs="Times New Roman"/>
          <w:b/>
          <w:bCs/>
          <w:color w:val="auto"/>
          <w:kern w:val="2"/>
          <w:sz w:val="24"/>
          <w:szCs w:val="32"/>
          <w:highlight w:val="none"/>
          <w:lang w:val="en-US" w:eastAsia="zh-CN" w:bidi="ar-SA"/>
        </w:rPr>
      </w:sdtEndPr>
      <w:sdtContent>
        <w:p>
          <w:pPr>
            <w:shd w:val="clear"/>
            <w:spacing w:before="0" w:beforeLines="0" w:after="0" w:afterLines="0" w:line="240" w:lineRule="auto"/>
            <w:ind w:left="0" w:leftChars="0" w:right="0" w:rightChars="0" w:firstLine="0" w:firstLineChars="0"/>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目</w:t>
          </w:r>
          <w:r>
            <w:rPr>
              <w:rFonts w:hint="eastAsia" w:ascii="宋体" w:hAnsi="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rPr>
            <w:t>录</w:t>
          </w:r>
        </w:p>
        <w:p>
          <w:pPr>
            <w:pStyle w:val="11"/>
            <w:shd w:val="clear"/>
            <w:ind w:left="0" w:leftChars="0" w:firstLine="0" w:firstLineChars="0"/>
            <w:jc w:val="center"/>
            <w:rPr>
              <w:rFonts w:hint="eastAsia"/>
              <w:color w:val="auto"/>
              <w:highlight w:val="none"/>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 xml:space="preserve">10 </w:t>
          </w:r>
          <w:r>
            <w:rPr>
              <w:rFonts w:hint="eastAsia"/>
              <w:color w:val="auto"/>
              <w:highlight w:val="none"/>
            </w:rPr>
            <w:t>月</w:t>
          </w:r>
          <w:r>
            <w:rPr>
              <w:rFonts w:hint="eastAsia"/>
              <w:color w:val="auto"/>
              <w:highlight w:val="none"/>
              <w:lang w:val="en-US" w:eastAsia="zh-CN"/>
            </w:rPr>
            <w:t>16</w:t>
          </w:r>
          <w:r>
            <w:rPr>
              <w:rFonts w:hint="eastAsia"/>
              <w:color w:val="auto"/>
              <w:highlight w:val="none"/>
            </w:rPr>
            <w:t>日</w:t>
          </w:r>
        </w:p>
        <w:p>
          <w:pPr>
            <w:pStyle w:val="11"/>
            <w:shd w:val="clear"/>
            <w:tabs>
              <w:tab w:val="right" w:leader="dot" w:pos="8845"/>
              <w:tab w:val="clear" w:pos="829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TOC \o "1-2" \h \u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_Toc10545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rPr>
            <w:t xml:space="preserve">第一部分 </w:t>
          </w:r>
          <w:r>
            <w:rPr>
              <w:rFonts w:hint="eastAsia" w:ascii="宋体" w:hAnsi="宋体" w:eastAsia="宋体" w:cs="宋体"/>
              <w:bCs/>
              <w:color w:val="auto"/>
              <w:sz w:val="28"/>
              <w:szCs w:val="28"/>
              <w:highlight w:val="none"/>
              <w:lang w:eastAsia="zh-CN"/>
            </w:rPr>
            <w:t>单位</w:t>
          </w:r>
          <w:r>
            <w:rPr>
              <w:rFonts w:hint="eastAsia" w:ascii="宋体" w:hAnsi="宋体" w:eastAsia="宋体" w:cs="宋体"/>
              <w:bCs/>
              <w:color w:val="auto"/>
              <w:sz w:val="28"/>
              <w:szCs w:val="28"/>
              <w:highlight w:val="none"/>
            </w:rPr>
            <w:t>概况</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_Toc10545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pPr>
            <w:pStyle w:val="14"/>
            <w:shd w:val="clear"/>
            <w:tabs>
              <w:tab w:val="right" w:leader="dot" w:pos="8845"/>
              <w:tab w:val="clear" w:pos="829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_Toc5131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lang w:eastAsia="zh-CN"/>
            </w:rPr>
            <w:t>一、 主要职责</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_Toc5131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pPr>
            <w:pStyle w:val="14"/>
            <w:shd w:val="clear"/>
            <w:tabs>
              <w:tab w:val="right" w:leader="dot" w:pos="8845"/>
              <w:tab w:val="clear" w:pos="829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_Toc2479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二、机构设置</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_Toc2479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pPr>
            <w:pStyle w:val="11"/>
            <w:shd w:val="clear"/>
            <w:tabs>
              <w:tab w:val="right" w:leader="dot" w:pos="8845"/>
              <w:tab w:val="clear" w:pos="829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_Toc6623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rPr>
            <w:t xml:space="preserve">第二部分 </w:t>
          </w:r>
          <w:r>
            <w:rPr>
              <w:rFonts w:hint="eastAsia" w:ascii="宋体" w:hAnsi="宋体" w:eastAsia="宋体" w:cs="宋体"/>
              <w:bCs/>
              <w:color w:val="auto"/>
              <w:sz w:val="28"/>
              <w:szCs w:val="28"/>
              <w:highlight w:val="none"/>
              <w:lang w:val="en-US" w:eastAsia="zh-CN"/>
            </w:rPr>
            <w:t>2022年度</w:t>
          </w:r>
          <w:r>
            <w:rPr>
              <w:rFonts w:hint="eastAsia" w:ascii="宋体" w:hAnsi="宋体" w:eastAsia="宋体" w:cs="宋体"/>
              <w:bCs/>
              <w:color w:val="auto"/>
              <w:sz w:val="28"/>
              <w:szCs w:val="28"/>
              <w:highlight w:val="none"/>
              <w:lang w:eastAsia="zh-CN"/>
            </w:rPr>
            <w:t>单位</w:t>
          </w:r>
          <w:r>
            <w:rPr>
              <w:rFonts w:hint="eastAsia" w:ascii="宋体" w:hAnsi="宋体" w:eastAsia="宋体" w:cs="宋体"/>
              <w:bCs/>
              <w:color w:val="auto"/>
              <w:sz w:val="28"/>
              <w:szCs w:val="28"/>
              <w:highlight w:val="none"/>
            </w:rPr>
            <w:t>决算情况说明</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_Toc6623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pPr>
            <w:pStyle w:val="14"/>
            <w:shd w:val="clear"/>
            <w:tabs>
              <w:tab w:val="right" w:leader="dot" w:pos="8845"/>
              <w:tab w:val="clear" w:pos="829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_Toc6890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一、 收入支出决算总体情况说明</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_Toc6890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pPr>
            <w:pStyle w:val="14"/>
            <w:shd w:val="clear"/>
            <w:tabs>
              <w:tab w:val="right" w:leader="dot" w:pos="8845"/>
              <w:tab w:val="clear" w:pos="829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_Toc13352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二、 收入决算情况说明</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_Toc13352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pPr>
            <w:pStyle w:val="14"/>
            <w:shd w:val="clear"/>
            <w:tabs>
              <w:tab w:val="right" w:leader="dot" w:pos="8845"/>
              <w:tab w:val="clear" w:pos="829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_Toc16317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三、 支出决算情况说明</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_Toc16317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pPr>
            <w:pStyle w:val="14"/>
            <w:shd w:val="clear"/>
            <w:tabs>
              <w:tab w:val="right" w:leader="dot" w:pos="8845"/>
              <w:tab w:val="clear" w:pos="829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_Toc20928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四、财政拨款收入支出决算总体情况说明</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_Toc20928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pPr>
            <w:pStyle w:val="14"/>
            <w:shd w:val="clear"/>
            <w:tabs>
              <w:tab w:val="right" w:leader="dot" w:pos="8845"/>
              <w:tab w:val="clear" w:pos="829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_Toc3422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五、一般公共预算财政拨款支出决算情况说明</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_Toc3422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pPr>
            <w:pStyle w:val="14"/>
            <w:shd w:val="clear"/>
            <w:tabs>
              <w:tab w:val="right" w:leader="dot" w:pos="8845"/>
              <w:tab w:val="clear" w:pos="829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_Toc5569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六、一般公共预算财政拨款基本支出决算情况说明</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_Toc5569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5</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pPr>
            <w:pStyle w:val="14"/>
            <w:shd w:val="clear"/>
            <w:tabs>
              <w:tab w:val="right" w:leader="dot" w:pos="8845"/>
              <w:tab w:val="clear" w:pos="829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_Toc23121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七、财政拨款“三公”经费支出决算情况说明</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_Toc23121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5</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pPr>
            <w:pStyle w:val="14"/>
            <w:shd w:val="clear"/>
            <w:tabs>
              <w:tab w:val="right" w:leader="dot" w:pos="8845"/>
              <w:tab w:val="clear" w:pos="829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_Toc1319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八、政府性基金预算支出决算情况说明</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_Toc1319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7</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pPr>
            <w:pStyle w:val="14"/>
            <w:shd w:val="clear"/>
            <w:tabs>
              <w:tab w:val="right" w:leader="dot" w:pos="8845"/>
              <w:tab w:val="clear" w:pos="829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_Toc9732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九、 国有资本经营预算支出决算情况说明</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_Toc9732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7</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pPr>
            <w:pStyle w:val="14"/>
            <w:shd w:val="clear"/>
            <w:tabs>
              <w:tab w:val="right" w:leader="dot" w:pos="8845"/>
              <w:tab w:val="clear" w:pos="829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_Toc32387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十、 其他重要事项的情况说明</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_Toc32387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7</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pPr>
            <w:pStyle w:val="11"/>
            <w:shd w:val="clear"/>
            <w:tabs>
              <w:tab w:val="right" w:leader="dot" w:pos="8845"/>
              <w:tab w:val="clear" w:pos="829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_Toc9779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rPr>
            <w:t>第三部分 名词解释</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_Toc9779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9</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pPr>
            <w:pStyle w:val="11"/>
            <w:shd w:val="clear"/>
            <w:tabs>
              <w:tab w:val="right" w:leader="dot" w:pos="8845"/>
              <w:tab w:val="clear" w:pos="829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_Toc13386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rPr>
            <w:t>第四部分 附件</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_Toc13386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11</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pPr>
            <w:pStyle w:val="11"/>
            <w:shd w:val="clear"/>
            <w:tabs>
              <w:tab w:val="right" w:leader="dot" w:pos="8845"/>
              <w:tab w:val="clear" w:pos="8296"/>
            </w:tabs>
            <w:rPr>
              <w:rFonts w:hint="eastAsia" w:ascii="宋体" w:hAnsi="宋体" w:eastAsia="宋体" w:cs="宋体"/>
              <w:color w:val="auto"/>
              <w:sz w:val="28"/>
              <w:szCs w:val="28"/>
              <w:highlight w:val="none"/>
            </w:rPr>
            <w:sectPr>
              <w:footerReference r:id="rId8" w:type="first"/>
              <w:footerReference r:id="rId7" w:type="default"/>
              <w:pgSz w:w="11906" w:h="16838"/>
              <w:pgMar w:top="2098" w:right="1474" w:bottom="1984" w:left="1587" w:header="851" w:footer="992" w:gutter="0"/>
              <w:pgNumType w:fmt="decimal" w:start="1"/>
              <w:cols w:space="425" w:num="1"/>
              <w:titlePg/>
              <w:docGrid w:type="lines" w:linePitch="312" w:charSpace="0"/>
            </w:sectPr>
          </w:pPr>
        </w:p>
        <w:p>
          <w:pPr>
            <w:pStyle w:val="11"/>
            <w:shd w:val="clear"/>
            <w:tabs>
              <w:tab w:val="right" w:leader="dot" w:pos="8845"/>
              <w:tab w:val="clear" w:pos="829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_Toc28806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rPr>
            <w:t>第五部分 附表</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_Toc28806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27</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pPr>
            <w:pStyle w:val="14"/>
            <w:shd w:val="clear"/>
            <w:tabs>
              <w:tab w:val="right" w:leader="dot" w:pos="8845"/>
              <w:tab w:val="clear" w:pos="829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_Toc26236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val="0"/>
              <w:color w:val="auto"/>
              <w:sz w:val="28"/>
              <w:szCs w:val="28"/>
              <w:highlight w:val="none"/>
            </w:rPr>
            <w:t>一、收入支出决算总表</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_Toc26236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27</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pPr>
            <w:pStyle w:val="14"/>
            <w:shd w:val="clear"/>
            <w:tabs>
              <w:tab w:val="right" w:leader="dot" w:pos="8845"/>
              <w:tab w:val="clear" w:pos="829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_Toc10761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val="0"/>
              <w:color w:val="auto"/>
              <w:sz w:val="28"/>
              <w:szCs w:val="28"/>
              <w:highlight w:val="none"/>
            </w:rPr>
            <w:t>二、收入决算表</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_Toc10761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27</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pPr>
            <w:pStyle w:val="14"/>
            <w:shd w:val="clear"/>
            <w:tabs>
              <w:tab w:val="right" w:leader="dot" w:pos="8845"/>
              <w:tab w:val="clear" w:pos="829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_Toc16066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val="0"/>
              <w:color w:val="auto"/>
              <w:sz w:val="28"/>
              <w:szCs w:val="28"/>
              <w:highlight w:val="none"/>
            </w:rPr>
            <w:t>三、支出决算表</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_Toc16066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27</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pPr>
            <w:pStyle w:val="14"/>
            <w:shd w:val="clear"/>
            <w:tabs>
              <w:tab w:val="right" w:leader="dot" w:pos="8845"/>
              <w:tab w:val="clear" w:pos="829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_Toc13162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val="0"/>
              <w:color w:val="auto"/>
              <w:sz w:val="28"/>
              <w:szCs w:val="28"/>
              <w:highlight w:val="none"/>
            </w:rPr>
            <w:t>四、财政拨款收入支出决算总表</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_Toc13162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27</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pPr>
            <w:pStyle w:val="14"/>
            <w:shd w:val="clear"/>
            <w:tabs>
              <w:tab w:val="right" w:leader="dot" w:pos="8845"/>
              <w:tab w:val="clear" w:pos="829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_Toc2605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val="0"/>
              <w:color w:val="auto"/>
              <w:sz w:val="28"/>
              <w:szCs w:val="28"/>
              <w:highlight w:val="none"/>
            </w:rPr>
            <w:t>五、财政拨款支出决算明细表</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_Toc2605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27</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pPr>
            <w:pStyle w:val="14"/>
            <w:shd w:val="clear"/>
            <w:tabs>
              <w:tab w:val="right" w:leader="dot" w:pos="8845"/>
              <w:tab w:val="clear" w:pos="829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_Toc16416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val="0"/>
              <w:color w:val="auto"/>
              <w:sz w:val="28"/>
              <w:szCs w:val="28"/>
              <w:highlight w:val="none"/>
            </w:rPr>
            <w:t>六、一般公共预算财政拨款支出决算表</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_Toc16416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27</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pPr>
            <w:pStyle w:val="14"/>
            <w:shd w:val="clear"/>
            <w:tabs>
              <w:tab w:val="right" w:leader="dot" w:pos="8845"/>
              <w:tab w:val="clear" w:pos="829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_Toc9790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val="0"/>
              <w:color w:val="auto"/>
              <w:sz w:val="28"/>
              <w:szCs w:val="28"/>
              <w:highlight w:val="none"/>
            </w:rPr>
            <w:t>七、一般公共预算财政拨款支出决算明细表</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_Toc9790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27</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pPr>
            <w:pStyle w:val="14"/>
            <w:shd w:val="clear"/>
            <w:tabs>
              <w:tab w:val="right" w:leader="dot" w:pos="8845"/>
              <w:tab w:val="clear" w:pos="829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_Toc30705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val="0"/>
              <w:color w:val="auto"/>
              <w:sz w:val="28"/>
              <w:szCs w:val="28"/>
              <w:highlight w:val="none"/>
            </w:rPr>
            <w:t>八、一般公共预算财政拨款基本支出决算表</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_Toc30705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27</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pPr>
            <w:pStyle w:val="14"/>
            <w:shd w:val="clear"/>
            <w:tabs>
              <w:tab w:val="right" w:leader="dot" w:pos="8845"/>
              <w:tab w:val="clear" w:pos="829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_Toc25313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val="0"/>
              <w:color w:val="auto"/>
              <w:sz w:val="28"/>
              <w:szCs w:val="28"/>
              <w:highlight w:val="none"/>
            </w:rPr>
            <w:t>九、一般公共预算财政拨款项目支出决算表</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_Toc25313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27</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pPr>
            <w:pStyle w:val="14"/>
            <w:shd w:val="clear"/>
            <w:tabs>
              <w:tab w:val="right" w:leader="dot" w:pos="8845"/>
              <w:tab w:val="clear" w:pos="829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_Toc32105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val="0"/>
              <w:color w:val="auto"/>
              <w:sz w:val="28"/>
              <w:szCs w:val="28"/>
              <w:highlight w:val="none"/>
            </w:rPr>
            <w:t>十、政府性基金预算财政拨款收入支出决算表</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_Toc32105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27</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pPr>
            <w:pStyle w:val="14"/>
            <w:shd w:val="clear"/>
            <w:tabs>
              <w:tab w:val="right" w:leader="dot" w:pos="8845"/>
              <w:tab w:val="clear" w:pos="829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_Toc27001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val="0"/>
              <w:color w:val="auto"/>
              <w:sz w:val="28"/>
              <w:szCs w:val="28"/>
              <w:highlight w:val="none"/>
            </w:rPr>
            <w:t>十一、国有资本经营预算</w:t>
          </w:r>
          <w:r>
            <w:rPr>
              <w:rFonts w:hint="eastAsia" w:ascii="宋体" w:hAnsi="宋体" w:eastAsia="宋体" w:cs="宋体"/>
              <w:bCs w:val="0"/>
              <w:color w:val="auto"/>
              <w:sz w:val="28"/>
              <w:szCs w:val="28"/>
              <w:highlight w:val="none"/>
              <w:lang w:eastAsia="zh-CN"/>
            </w:rPr>
            <w:t>财政拨款收入</w:t>
          </w:r>
          <w:r>
            <w:rPr>
              <w:rFonts w:hint="eastAsia" w:ascii="宋体" w:hAnsi="宋体" w:eastAsia="宋体" w:cs="宋体"/>
              <w:bCs w:val="0"/>
              <w:color w:val="auto"/>
              <w:sz w:val="28"/>
              <w:szCs w:val="28"/>
              <w:highlight w:val="none"/>
            </w:rPr>
            <w:t>支出决算表</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_Toc27001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27</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pPr>
            <w:pStyle w:val="14"/>
            <w:shd w:val="clear"/>
            <w:tabs>
              <w:tab w:val="right" w:leader="dot" w:pos="8845"/>
              <w:tab w:val="clear" w:pos="829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_Toc18751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val="0"/>
              <w:color w:val="auto"/>
              <w:sz w:val="28"/>
              <w:szCs w:val="28"/>
              <w:highlight w:val="none"/>
            </w:rPr>
            <w:t>十二、</w:t>
          </w:r>
          <w:r>
            <w:rPr>
              <w:rFonts w:hint="eastAsia" w:ascii="宋体" w:hAnsi="宋体" w:eastAsia="宋体" w:cs="宋体"/>
              <w:bCs w:val="0"/>
              <w:color w:val="auto"/>
              <w:sz w:val="28"/>
              <w:szCs w:val="28"/>
              <w:highlight w:val="none"/>
              <w:lang w:eastAsia="zh-CN"/>
            </w:rPr>
            <w:t>国有资本经营预算财政拨款支出决算表</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_Toc18751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27</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pPr>
            <w:pStyle w:val="14"/>
            <w:shd w:val="clear"/>
            <w:tabs>
              <w:tab w:val="right" w:leader="dot" w:pos="8845"/>
              <w:tab w:val="clear" w:pos="829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_Toc31037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val="0"/>
              <w:color w:val="auto"/>
              <w:sz w:val="28"/>
              <w:szCs w:val="28"/>
              <w:highlight w:val="none"/>
            </w:rPr>
            <w:t>十三、</w:t>
          </w:r>
          <w:r>
            <w:rPr>
              <w:rFonts w:hint="eastAsia" w:ascii="宋体" w:hAnsi="宋体" w:eastAsia="宋体" w:cs="宋体"/>
              <w:bCs w:val="0"/>
              <w:color w:val="auto"/>
              <w:sz w:val="28"/>
              <w:szCs w:val="28"/>
              <w:highlight w:val="none"/>
              <w:lang w:eastAsia="zh-CN"/>
            </w:rPr>
            <w:t>财政拨款“三公”经费支出决算表</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_Toc31037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27</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pPr>
            <w:shd w:val="clear"/>
            <w:rPr>
              <w:color w:val="auto"/>
              <w:highlight w:val="none"/>
            </w:rPr>
          </w:pPr>
          <w:r>
            <w:rPr>
              <w:rFonts w:hint="eastAsia" w:ascii="宋体" w:hAnsi="宋体" w:eastAsia="宋体" w:cs="宋体"/>
              <w:color w:val="auto"/>
              <w:sz w:val="28"/>
              <w:szCs w:val="28"/>
              <w:highlight w:val="none"/>
            </w:rPr>
            <w:fldChar w:fldCharType="end"/>
          </w:r>
        </w:p>
      </w:sdtContent>
    </w:sdt>
    <w:p>
      <w:pPr>
        <w:pStyle w:val="3"/>
        <w:numPr>
          <w:ilvl w:val="0"/>
          <w:numId w:val="1"/>
        </w:numPr>
        <w:shd w:val="clear"/>
        <w:bidi w:val="0"/>
        <w:jc w:val="center"/>
        <w:rPr>
          <w:rFonts w:hint="eastAsia"/>
          <w:b/>
          <w:bCs/>
          <w:color w:val="auto"/>
          <w:highlight w:val="none"/>
        </w:rPr>
        <w:sectPr>
          <w:footerReference r:id="rId10" w:type="first"/>
          <w:footerReference r:id="rId9" w:type="default"/>
          <w:pgSz w:w="11906" w:h="16838"/>
          <w:pgMar w:top="2098" w:right="1474" w:bottom="1984" w:left="1587" w:header="851" w:footer="992" w:gutter="0"/>
          <w:pgNumType w:fmt="decimal" w:start="1"/>
          <w:cols w:space="425" w:num="1"/>
          <w:docGrid w:type="lines" w:linePitch="312" w:charSpace="0"/>
        </w:sectPr>
      </w:pPr>
      <w:bookmarkStart w:id="12" w:name="_Toc10545"/>
    </w:p>
    <w:p>
      <w:pPr>
        <w:pStyle w:val="3"/>
        <w:numPr>
          <w:ilvl w:val="0"/>
          <w:numId w:val="1"/>
        </w:numPr>
        <w:shd w:val="clear"/>
        <w:bidi w:val="0"/>
        <w:jc w:val="center"/>
        <w:rPr>
          <w:rFonts w:hint="eastAsia"/>
          <w:b/>
          <w:bCs/>
          <w:color w:val="auto"/>
          <w:highlight w:val="none"/>
        </w:rPr>
      </w:pPr>
      <w:r>
        <w:rPr>
          <w:rFonts w:hint="eastAsia"/>
          <w:b/>
          <w:bCs/>
          <w:color w:val="auto"/>
          <w:highlight w:val="none"/>
          <w:lang w:eastAsia="zh-CN"/>
        </w:rPr>
        <w:t>单位</w:t>
      </w:r>
      <w:r>
        <w:rPr>
          <w:rFonts w:hint="eastAsia"/>
          <w:b/>
          <w:bCs/>
          <w:color w:val="auto"/>
          <w:highlight w:val="none"/>
        </w:rPr>
        <w:t>概况</w:t>
      </w:r>
      <w:bookmarkEnd w:id="12"/>
    </w:p>
    <w:p>
      <w:pPr>
        <w:numPr>
          <w:ilvl w:val="0"/>
          <w:numId w:val="0"/>
        </w:numPr>
        <w:shd w:val="clear"/>
        <w:rPr>
          <w:color w:val="auto"/>
          <w:highlight w:val="none"/>
        </w:rPr>
      </w:pPr>
    </w:p>
    <w:p>
      <w:pPr>
        <w:pStyle w:val="4"/>
        <w:numPr>
          <w:ilvl w:val="0"/>
          <w:numId w:val="2"/>
        </w:numPr>
        <w:shd w:val="clear"/>
        <w:bidi w:val="0"/>
        <w:rPr>
          <w:rFonts w:hint="eastAsia"/>
          <w:color w:val="auto"/>
          <w:highlight w:val="none"/>
          <w:lang w:eastAsia="zh-CN"/>
        </w:rPr>
      </w:pPr>
      <w:bookmarkStart w:id="13" w:name="_Toc5131"/>
      <w:bookmarkStart w:id="14" w:name="_Toc15396600"/>
      <w:bookmarkStart w:id="15" w:name="_Toc15377197"/>
      <w:r>
        <w:rPr>
          <w:rFonts w:hint="eastAsia"/>
          <w:color w:val="auto"/>
          <w:highlight w:val="none"/>
          <w:lang w:eastAsia="zh-CN"/>
        </w:rPr>
        <w:t>主要职责</w:t>
      </w:r>
      <w:bookmarkEnd w:id="13"/>
    </w:p>
    <w:bookmarkEnd w:id="14"/>
    <w:bookmarkEnd w:id="15"/>
    <w:p>
      <w:pPr>
        <w:shd w:val="clear"/>
        <w:bidi w:val="0"/>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一是</w:t>
      </w:r>
      <w:r>
        <w:rPr>
          <w:rFonts w:hint="eastAsia" w:ascii="宋体" w:hAnsi="宋体" w:eastAsia="宋体" w:cs="宋体"/>
          <w:color w:val="auto"/>
          <w:highlight w:val="none"/>
        </w:rPr>
        <w:t>代表市委、市政府联系中央和国家机关，完成市级领导交办的各项任务。</w:t>
      </w:r>
      <w:r>
        <w:rPr>
          <w:rFonts w:hint="eastAsia" w:ascii="宋体" w:hAnsi="宋体" w:eastAsia="宋体" w:cs="宋体"/>
          <w:color w:val="auto"/>
          <w:highlight w:val="none"/>
          <w:lang w:val="en-US" w:eastAsia="zh-CN"/>
        </w:rPr>
        <w:t>二是</w:t>
      </w:r>
      <w:r>
        <w:rPr>
          <w:rFonts w:hint="eastAsia" w:ascii="宋体" w:hAnsi="宋体" w:eastAsia="宋体" w:cs="宋体"/>
          <w:color w:val="auto"/>
          <w:highlight w:val="none"/>
        </w:rPr>
        <w:t>收集、整理各类重要信息，为市委、市政府决策提供参考依据。</w:t>
      </w:r>
      <w:r>
        <w:rPr>
          <w:rFonts w:hint="eastAsia" w:ascii="宋体" w:hAnsi="宋体" w:eastAsia="宋体" w:cs="宋体"/>
          <w:color w:val="auto"/>
          <w:highlight w:val="none"/>
          <w:lang w:val="en-US" w:eastAsia="zh-CN"/>
        </w:rPr>
        <w:t>三是</w:t>
      </w:r>
      <w:r>
        <w:rPr>
          <w:rFonts w:hint="eastAsia" w:ascii="宋体" w:hAnsi="宋体" w:eastAsia="宋体" w:cs="宋体"/>
          <w:color w:val="auto"/>
          <w:highlight w:val="none"/>
        </w:rPr>
        <w:t>负责市委、市人大、市政府、市政协领导在京的接待工作。</w:t>
      </w:r>
      <w:r>
        <w:rPr>
          <w:rFonts w:hint="eastAsia" w:ascii="宋体" w:hAnsi="宋体" w:eastAsia="宋体" w:cs="宋体"/>
          <w:color w:val="auto"/>
          <w:highlight w:val="none"/>
          <w:lang w:val="en-US" w:eastAsia="zh-CN"/>
        </w:rPr>
        <w:t>四是</w:t>
      </w:r>
      <w:r>
        <w:rPr>
          <w:rFonts w:hint="eastAsia" w:ascii="宋体" w:hAnsi="宋体" w:eastAsia="宋体" w:cs="宋体"/>
          <w:color w:val="auto"/>
          <w:highlight w:val="none"/>
        </w:rPr>
        <w:t>协助市级各部门做好招商引资工作。</w:t>
      </w:r>
      <w:r>
        <w:rPr>
          <w:rFonts w:hint="eastAsia" w:ascii="宋体" w:hAnsi="宋体" w:eastAsia="宋体" w:cs="宋体"/>
          <w:color w:val="auto"/>
          <w:highlight w:val="none"/>
          <w:lang w:val="en-US" w:eastAsia="zh-CN"/>
        </w:rPr>
        <w:t>五是</w:t>
      </w:r>
      <w:r>
        <w:rPr>
          <w:rFonts w:hint="eastAsia" w:ascii="宋体" w:hAnsi="宋体" w:eastAsia="宋体" w:cs="宋体"/>
          <w:color w:val="auto"/>
          <w:highlight w:val="none"/>
        </w:rPr>
        <w:t>承办</w:t>
      </w:r>
      <w:r>
        <w:rPr>
          <w:rFonts w:hint="eastAsia" w:ascii="宋体" w:hAnsi="宋体" w:eastAsia="宋体" w:cs="宋体"/>
          <w:color w:val="auto"/>
          <w:highlight w:val="none"/>
          <w:lang w:val="en-US" w:eastAsia="zh-CN"/>
        </w:rPr>
        <w:t>广元</w:t>
      </w:r>
      <w:r>
        <w:rPr>
          <w:rFonts w:hint="eastAsia" w:ascii="宋体" w:hAnsi="宋体" w:eastAsia="宋体" w:cs="宋体"/>
          <w:color w:val="auto"/>
          <w:highlight w:val="none"/>
        </w:rPr>
        <w:t>市</w:t>
      </w:r>
      <w:r>
        <w:rPr>
          <w:rFonts w:hint="eastAsia" w:ascii="宋体" w:hAnsi="宋体" w:eastAsia="宋体" w:cs="宋体"/>
          <w:color w:val="auto"/>
          <w:highlight w:val="none"/>
          <w:lang w:val="en-US" w:eastAsia="zh-CN"/>
        </w:rPr>
        <w:t>人民</w:t>
      </w:r>
      <w:r>
        <w:rPr>
          <w:rFonts w:hint="eastAsia" w:ascii="宋体" w:hAnsi="宋体" w:eastAsia="宋体" w:cs="宋体"/>
          <w:color w:val="auto"/>
          <w:highlight w:val="none"/>
        </w:rPr>
        <w:t>政府交办的其它事项。</w:t>
      </w:r>
    </w:p>
    <w:p>
      <w:pPr>
        <w:pStyle w:val="4"/>
        <w:shd w:val="clear"/>
        <w:bidi w:val="0"/>
        <w:rPr>
          <w:color w:val="auto"/>
          <w:highlight w:val="none"/>
        </w:rPr>
      </w:pPr>
      <w:bookmarkStart w:id="16" w:name="_Toc15396601"/>
      <w:bookmarkStart w:id="17" w:name="_Toc2479"/>
      <w:bookmarkStart w:id="18" w:name="_Toc15377200"/>
      <w:r>
        <w:rPr>
          <w:rFonts w:hint="eastAsia"/>
          <w:color w:val="auto"/>
          <w:highlight w:val="none"/>
        </w:rPr>
        <w:t>二、机构设置</w:t>
      </w:r>
      <w:bookmarkEnd w:id="16"/>
      <w:bookmarkEnd w:id="17"/>
      <w:bookmarkEnd w:id="18"/>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Autospacing="0" w:afterAutospacing="0" w:line="576" w:lineRule="exact"/>
        <w:ind w:right="0" w:firstLine="560" w:firstLineChars="200"/>
        <w:jc w:val="both"/>
        <w:textAlignment w:val="auto"/>
        <w:rPr>
          <w:rFonts w:ascii="仿宋" w:hAnsi="仿宋" w:eastAsia="仿宋"/>
          <w:color w:val="auto"/>
          <w:kern w:val="0"/>
          <w:sz w:val="32"/>
          <w:szCs w:val="32"/>
          <w:highlight w:val="none"/>
        </w:rPr>
      </w:pPr>
      <w:r>
        <w:rPr>
          <w:rFonts w:hint="eastAsia" w:ascii="宋体" w:hAnsi="宋体" w:eastAsia="宋体" w:cs="宋体"/>
          <w:color w:val="auto"/>
          <w:highlight w:val="none"/>
          <w:lang w:val="en-US" w:eastAsia="zh-CN"/>
        </w:rPr>
        <w:t>广元市人民政府驻北京联络处属于广元市人民政府办公室的二级预算单位。广元市人民政府驻北京联络处自2022年起，独立预算，独立核算。</w:t>
      </w:r>
      <w:r>
        <w:rPr>
          <w:rFonts w:ascii="仿宋" w:hAnsi="仿宋" w:eastAsia="仿宋"/>
          <w:color w:val="auto"/>
          <w:sz w:val="32"/>
          <w:szCs w:val="32"/>
          <w:highlight w:val="none"/>
        </w:rPr>
        <w:br w:type="page"/>
      </w:r>
    </w:p>
    <w:p>
      <w:pPr>
        <w:pStyle w:val="3"/>
        <w:shd w:val="clear"/>
        <w:bidi w:val="0"/>
        <w:jc w:val="center"/>
        <w:rPr>
          <w:b/>
          <w:bCs/>
          <w:color w:val="auto"/>
          <w:highlight w:val="none"/>
        </w:rPr>
      </w:pPr>
      <w:bookmarkStart w:id="19" w:name="_Toc15396602"/>
      <w:bookmarkStart w:id="20" w:name="_Toc15377204"/>
      <w:bookmarkStart w:id="21" w:name="_Toc6623"/>
      <w:r>
        <w:rPr>
          <w:rFonts w:hint="eastAsia"/>
          <w:b/>
          <w:bCs/>
          <w:color w:val="auto"/>
          <w:highlight w:val="none"/>
        </w:rPr>
        <w:t xml:space="preserve">第二部分 </w:t>
      </w:r>
      <w:r>
        <w:rPr>
          <w:rFonts w:hint="eastAsia"/>
          <w:b/>
          <w:bCs/>
          <w:color w:val="auto"/>
          <w:highlight w:val="none"/>
          <w:lang w:val="en-US" w:eastAsia="zh-CN"/>
        </w:rPr>
        <w:t>2022年度</w:t>
      </w:r>
      <w:r>
        <w:rPr>
          <w:rFonts w:hint="eastAsia"/>
          <w:b/>
          <w:bCs/>
          <w:color w:val="auto"/>
          <w:highlight w:val="none"/>
          <w:lang w:eastAsia="zh-CN"/>
        </w:rPr>
        <w:t>单位</w:t>
      </w:r>
      <w:r>
        <w:rPr>
          <w:rFonts w:hint="eastAsia"/>
          <w:b/>
          <w:bCs/>
          <w:color w:val="auto"/>
          <w:highlight w:val="none"/>
        </w:rPr>
        <w:t>决算情况说明</w:t>
      </w:r>
      <w:bookmarkEnd w:id="19"/>
      <w:bookmarkEnd w:id="20"/>
      <w:bookmarkEnd w:id="21"/>
    </w:p>
    <w:p>
      <w:pPr>
        <w:shd w:val="clear"/>
        <w:rPr>
          <w:color w:val="auto"/>
          <w:highlight w:val="none"/>
        </w:rPr>
      </w:pPr>
    </w:p>
    <w:p>
      <w:pPr>
        <w:pStyle w:val="4"/>
        <w:keepNext/>
        <w:keepLines/>
        <w:pageBreakBefore w:val="0"/>
        <w:widowControl w:val="0"/>
        <w:numPr>
          <w:ilvl w:val="0"/>
          <w:numId w:val="3"/>
        </w:numPr>
        <w:shd w:val="clear"/>
        <w:kinsoku/>
        <w:wordWrap/>
        <w:overflowPunct/>
        <w:topLinePunct w:val="0"/>
        <w:autoSpaceDE/>
        <w:autoSpaceDN/>
        <w:bidi w:val="0"/>
        <w:adjustRightInd/>
        <w:snapToGrid/>
        <w:spacing w:line="400" w:lineRule="exact"/>
        <w:ind w:left="1361"/>
        <w:textAlignment w:val="auto"/>
        <w:rPr>
          <w:color w:val="auto"/>
          <w:highlight w:val="none"/>
        </w:rPr>
      </w:pPr>
      <w:bookmarkStart w:id="22" w:name="_Toc15377205"/>
      <w:bookmarkStart w:id="23" w:name="_Toc6890"/>
      <w:bookmarkStart w:id="24" w:name="_Toc15396603"/>
      <w:r>
        <w:rPr>
          <w:rFonts w:hint="eastAsia"/>
          <w:color w:val="auto"/>
          <w:highlight w:val="none"/>
        </w:rPr>
        <w:t>收入支出决算总体情况说明</w:t>
      </w:r>
      <w:bookmarkEnd w:id="22"/>
      <w:bookmarkEnd w:id="23"/>
      <w:bookmarkEnd w:id="24"/>
    </w:p>
    <w:p>
      <w:pPr>
        <w:shd w:val="clear"/>
        <w:bidi w:val="0"/>
        <w:ind w:firstLine="42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2022年度收、支总计309.07万元。因2022年才成为独立预算单位，故不能与上年度进行比较。</w:t>
      </w:r>
    </w:p>
    <w:p>
      <w:pPr>
        <w:pStyle w:val="4"/>
        <w:keepNext/>
        <w:keepLines/>
        <w:pageBreakBefore w:val="0"/>
        <w:widowControl w:val="0"/>
        <w:numPr>
          <w:ilvl w:val="0"/>
          <w:numId w:val="3"/>
        </w:numPr>
        <w:shd w:val="clear"/>
        <w:kinsoku/>
        <w:wordWrap/>
        <w:overflowPunct/>
        <w:topLinePunct w:val="0"/>
        <w:autoSpaceDE/>
        <w:autoSpaceDN/>
        <w:bidi w:val="0"/>
        <w:adjustRightInd/>
        <w:snapToGrid/>
        <w:spacing w:line="400" w:lineRule="exact"/>
        <w:ind w:left="1361"/>
        <w:textAlignment w:val="auto"/>
        <w:rPr>
          <w:color w:val="auto"/>
          <w:highlight w:val="none"/>
        </w:rPr>
      </w:pPr>
      <w:bookmarkStart w:id="25" w:name="_Toc15396604"/>
      <w:bookmarkStart w:id="26" w:name="_Toc15377206"/>
      <w:bookmarkStart w:id="27" w:name="_Toc13352"/>
      <w:r>
        <w:rPr>
          <w:rFonts w:hint="eastAsia"/>
          <w:color w:val="auto"/>
          <w:highlight w:val="none"/>
        </w:rPr>
        <w:t>收入决算情况说明</w:t>
      </w:r>
      <w:bookmarkEnd w:id="25"/>
      <w:bookmarkEnd w:id="26"/>
      <w:bookmarkEnd w:id="27"/>
    </w:p>
    <w:p>
      <w:pPr>
        <w:shd w:val="clear"/>
        <w:bidi w:val="0"/>
        <w:ind w:firstLine="42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2022年本年收入合计286.55万元，其中：一般公共预算财政拨款收入286.55万元，占100%。</w:t>
      </w:r>
    </w:p>
    <w:p>
      <w:pPr>
        <w:shd w:val="clear"/>
        <w:spacing w:line="600" w:lineRule="exact"/>
        <w:ind w:firstLine="642" w:firstLineChars="200"/>
        <w:outlineLvl w:val="9"/>
        <w:rPr>
          <w:rFonts w:ascii="仿宋" w:hAnsi="仿宋" w:eastAsia="仿宋"/>
          <w:b/>
          <w:color w:val="auto"/>
          <w:sz w:val="32"/>
          <w:szCs w:val="32"/>
          <w:highlight w:val="none"/>
        </w:rPr>
      </w:pPr>
    </w:p>
    <w:p>
      <w:pPr>
        <w:pStyle w:val="2"/>
        <w:shd w:val="clear"/>
        <w:rPr>
          <w:rFonts w:ascii="仿宋" w:hAnsi="仿宋" w:eastAsia="仿宋"/>
          <w:color w:val="auto"/>
          <w:sz w:val="32"/>
          <w:szCs w:val="32"/>
          <w:highlight w:val="none"/>
        </w:rPr>
      </w:pPr>
      <w:r>
        <w:rPr>
          <w:color w:val="auto"/>
          <w:highlight w:val="none"/>
        </w:rPr>
        <w:drawing>
          <wp:inline distT="0" distB="0" distL="114300" distR="114300">
            <wp:extent cx="4838700" cy="2752725"/>
            <wp:effectExtent l="0" t="0" r="0" b="9525"/>
            <wp:docPr id="1"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true"/>
                    </pic:cNvPicPr>
                  </pic:nvPicPr>
                  <pic:blipFill>
                    <a:blip r:embed="rId17"/>
                    <a:stretch>
                      <a:fillRect/>
                    </a:stretch>
                  </pic:blipFill>
                  <pic:spPr>
                    <a:xfrm>
                      <a:off x="0" y="0"/>
                      <a:ext cx="4838700" cy="2752725"/>
                    </a:xfrm>
                    <a:prstGeom prst="rect">
                      <a:avLst/>
                    </a:prstGeom>
                    <a:noFill/>
                    <a:ln>
                      <a:noFill/>
                    </a:ln>
                  </pic:spPr>
                </pic:pic>
              </a:graphicData>
            </a:graphic>
          </wp:inline>
        </w:drawing>
      </w:r>
    </w:p>
    <w:p>
      <w:pPr>
        <w:shd w:val="clea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（图2：收入决算结构图）</w:t>
      </w:r>
    </w:p>
    <w:p>
      <w:pPr>
        <w:shd w:val="clear"/>
        <w:spacing w:line="600" w:lineRule="exact"/>
        <w:ind w:firstLine="640" w:firstLineChars="200"/>
        <w:rPr>
          <w:rFonts w:ascii="仿宋_GB2312" w:eastAsia="仿宋_GB2312"/>
          <w:color w:val="auto"/>
          <w:sz w:val="32"/>
          <w:szCs w:val="32"/>
          <w:highlight w:val="none"/>
        </w:rPr>
      </w:pPr>
    </w:p>
    <w:p>
      <w:pPr>
        <w:pStyle w:val="4"/>
        <w:numPr>
          <w:ilvl w:val="0"/>
          <w:numId w:val="3"/>
        </w:numPr>
        <w:shd w:val="clear"/>
        <w:bidi w:val="0"/>
        <w:rPr>
          <w:color w:val="auto"/>
          <w:highlight w:val="none"/>
        </w:rPr>
      </w:pPr>
      <w:bookmarkStart w:id="28" w:name="_Toc15396605"/>
      <w:bookmarkStart w:id="29" w:name="_Toc16317"/>
      <w:bookmarkStart w:id="30" w:name="_Toc15377207"/>
      <w:r>
        <w:rPr>
          <w:rFonts w:hint="eastAsia"/>
          <w:color w:val="auto"/>
          <w:highlight w:val="none"/>
        </w:rPr>
        <w:t>支出决算情况说明</w:t>
      </w:r>
      <w:bookmarkEnd w:id="28"/>
      <w:bookmarkEnd w:id="29"/>
      <w:bookmarkEnd w:id="30"/>
    </w:p>
    <w:p>
      <w:pPr>
        <w:shd w:val="clear"/>
        <w:bidi w:val="0"/>
        <w:ind w:firstLine="42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2022年本年支出合计303.77万元，其中：基本支出102.21万元，占33.65%；项目支出201.56万元，占66.35%。</w:t>
      </w:r>
    </w:p>
    <w:p>
      <w:pPr>
        <w:keepNext w:val="0"/>
        <w:keepLines w:val="0"/>
        <w:pageBreakBefore w:val="0"/>
        <w:widowControl w:val="0"/>
        <w:shd w:val="clear"/>
        <w:kinsoku/>
        <w:wordWrap/>
        <w:overflowPunct/>
        <w:topLinePunct w:val="0"/>
        <w:autoSpaceDE/>
        <w:autoSpaceDN/>
        <w:bidi w:val="0"/>
        <w:adjustRightInd/>
        <w:snapToGrid/>
        <w:ind w:firstLine="560" w:firstLineChars="200"/>
        <w:textAlignment w:val="auto"/>
        <w:rPr>
          <w:rFonts w:hint="eastAsia" w:ascii="仿宋" w:hAnsi="仿宋" w:eastAsia="仿宋" w:cs="仿宋"/>
          <w:color w:val="auto"/>
          <w:highlight w:val="none"/>
        </w:rPr>
      </w:pPr>
    </w:p>
    <w:p>
      <w:pPr>
        <w:pStyle w:val="2"/>
        <w:shd w:val="clear"/>
        <w:rPr>
          <w:rFonts w:ascii="仿宋" w:hAnsi="仿宋" w:eastAsia="仿宋"/>
          <w:color w:val="auto"/>
          <w:sz w:val="32"/>
          <w:szCs w:val="32"/>
          <w:highlight w:val="none"/>
          <w:shd w:val="pct10" w:color="auto" w:fill="FFFFFF"/>
        </w:rPr>
      </w:pPr>
      <w:r>
        <w:rPr>
          <w:color w:val="auto"/>
          <w:highlight w:val="none"/>
        </w:rPr>
        <w:drawing>
          <wp:inline distT="0" distB="0" distL="114300" distR="114300">
            <wp:extent cx="4826000" cy="2743200"/>
            <wp:effectExtent l="4445" t="4445" r="8255" b="14605"/>
            <wp:docPr id="13"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pPr>
        <w:shd w:val="clea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（图3：支出决算结构图）</w:t>
      </w:r>
    </w:p>
    <w:p>
      <w:pPr>
        <w:shd w:val="clear"/>
        <w:spacing w:line="600" w:lineRule="exact"/>
        <w:ind w:firstLine="640" w:firstLineChars="200"/>
        <w:rPr>
          <w:rFonts w:ascii="仿宋_GB2312" w:eastAsia="仿宋_GB2312"/>
          <w:color w:val="auto"/>
          <w:sz w:val="32"/>
          <w:szCs w:val="32"/>
          <w:highlight w:val="none"/>
        </w:rPr>
      </w:pPr>
    </w:p>
    <w:p>
      <w:pPr>
        <w:pStyle w:val="4"/>
        <w:shd w:val="clear"/>
        <w:bidi w:val="0"/>
        <w:rPr>
          <w:color w:val="auto"/>
          <w:highlight w:val="none"/>
        </w:rPr>
      </w:pPr>
      <w:bookmarkStart w:id="31" w:name="_Toc20928"/>
      <w:bookmarkStart w:id="32" w:name="_Toc15396606"/>
      <w:bookmarkStart w:id="33" w:name="_Toc15377208"/>
      <w:r>
        <w:rPr>
          <w:rFonts w:hint="eastAsia"/>
          <w:color w:val="auto"/>
          <w:highlight w:val="none"/>
        </w:rPr>
        <w:t>四、财政拨款收入支出决算总体情况说明</w:t>
      </w:r>
      <w:bookmarkEnd w:id="31"/>
      <w:bookmarkEnd w:id="32"/>
      <w:bookmarkEnd w:id="33"/>
    </w:p>
    <w:p>
      <w:pPr>
        <w:shd w:val="clear"/>
        <w:bidi w:val="0"/>
        <w:ind w:firstLine="42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2022年财政拨款收、支总计309.07万元。因2022年才成为独立预算单位，故不能与上年度进行比较。</w:t>
      </w:r>
    </w:p>
    <w:p>
      <w:pPr>
        <w:pStyle w:val="4"/>
        <w:shd w:val="clear"/>
        <w:bidi w:val="0"/>
        <w:rPr>
          <w:color w:val="auto"/>
          <w:highlight w:val="none"/>
        </w:rPr>
      </w:pPr>
      <w:bookmarkStart w:id="34" w:name="_Toc15377209"/>
      <w:bookmarkStart w:id="35" w:name="_Toc15396607"/>
      <w:bookmarkStart w:id="36" w:name="_Toc3422"/>
      <w:r>
        <w:rPr>
          <w:rFonts w:hint="eastAsia"/>
          <w:color w:val="auto"/>
          <w:highlight w:val="none"/>
        </w:rPr>
        <w:t>五、一般公共预算财政拨款支出决算情况说明</w:t>
      </w:r>
      <w:bookmarkEnd w:id="34"/>
      <w:bookmarkEnd w:id="35"/>
      <w:bookmarkEnd w:id="36"/>
    </w:p>
    <w:p>
      <w:pPr>
        <w:shd w:val="clear"/>
        <w:spacing w:line="600" w:lineRule="exact"/>
        <w:ind w:firstLine="642" w:firstLineChars="200"/>
        <w:outlineLvl w:val="2"/>
        <w:rPr>
          <w:rFonts w:ascii="仿宋" w:hAnsi="仿宋" w:eastAsia="仿宋"/>
          <w:b/>
          <w:color w:val="auto"/>
          <w:sz w:val="32"/>
          <w:szCs w:val="32"/>
          <w:highlight w:val="none"/>
        </w:rPr>
      </w:pPr>
      <w:bookmarkStart w:id="37" w:name="_Toc15377210"/>
      <w:r>
        <w:rPr>
          <w:rFonts w:hint="eastAsia" w:ascii="仿宋" w:hAnsi="仿宋" w:eastAsia="仿宋"/>
          <w:b/>
          <w:color w:val="auto"/>
          <w:sz w:val="32"/>
          <w:szCs w:val="32"/>
          <w:highlight w:val="none"/>
        </w:rPr>
        <w:t>（一）一般公共预算财政拨款支出决算总体情况</w:t>
      </w:r>
      <w:bookmarkEnd w:id="37"/>
    </w:p>
    <w:p>
      <w:pPr>
        <w:shd w:val="clear"/>
        <w:bidi w:val="0"/>
        <w:ind w:firstLine="42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2022年一般公共预算财政拨款支出303.77万元，占本年支出合计的100%。因2022年才成为独立预算单位，故不能与上年度进行比较。</w:t>
      </w:r>
    </w:p>
    <w:p>
      <w:pPr>
        <w:shd w:val="clear"/>
        <w:spacing w:line="600" w:lineRule="exact"/>
        <w:ind w:firstLine="642" w:firstLineChars="200"/>
        <w:outlineLvl w:val="2"/>
        <w:rPr>
          <w:rFonts w:ascii="仿宋" w:hAnsi="仿宋" w:eastAsia="仿宋"/>
          <w:b/>
          <w:color w:val="auto"/>
          <w:sz w:val="32"/>
          <w:szCs w:val="32"/>
          <w:highlight w:val="none"/>
        </w:rPr>
      </w:pPr>
      <w:bookmarkStart w:id="38" w:name="_Toc15377211"/>
      <w:r>
        <w:rPr>
          <w:rFonts w:hint="eastAsia" w:ascii="仿宋" w:hAnsi="仿宋" w:eastAsia="仿宋"/>
          <w:b/>
          <w:color w:val="auto"/>
          <w:sz w:val="32"/>
          <w:szCs w:val="32"/>
          <w:highlight w:val="none"/>
        </w:rPr>
        <w:t>（二）一般公共预算财政拨款支出决算结构情况</w:t>
      </w:r>
      <w:bookmarkEnd w:id="38"/>
    </w:p>
    <w:p>
      <w:pPr>
        <w:shd w:val="clear"/>
        <w:spacing w:line="600" w:lineRule="exact"/>
        <w:ind w:firstLine="64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2022年一般公共预算财政拨款支出303.77万元，主要用于以下方面</w:t>
      </w:r>
      <w:r>
        <w:rPr>
          <w:rFonts w:hint="eastAsia" w:ascii="宋体" w:hAnsi="宋体" w:cs="宋体"/>
          <w:color w:val="auto"/>
          <w:highlight w:val="none"/>
          <w:lang w:val="en-US" w:eastAsia="zh-CN"/>
        </w:rPr>
        <w:t>：</w:t>
      </w:r>
      <w:r>
        <w:rPr>
          <w:rFonts w:hint="eastAsia" w:ascii="仿宋" w:hAnsi="仿宋" w:eastAsia="仿宋"/>
          <w:b/>
          <w:color w:val="auto"/>
          <w:sz w:val="32"/>
          <w:szCs w:val="32"/>
          <w:highlight w:val="none"/>
        </w:rPr>
        <w:t>一般公共服务</w:t>
      </w:r>
      <w:r>
        <w:rPr>
          <w:rFonts w:hint="eastAsia" w:ascii="仿宋" w:hAnsi="仿宋" w:eastAsia="仿宋"/>
          <w:b/>
          <w:bCs/>
          <w:color w:val="auto"/>
          <w:sz w:val="32"/>
          <w:szCs w:val="32"/>
          <w:highlight w:val="none"/>
        </w:rPr>
        <w:t>支出</w:t>
      </w:r>
      <w:r>
        <w:rPr>
          <w:rFonts w:hint="eastAsia" w:ascii="宋体" w:hAnsi="宋体" w:eastAsia="宋体" w:cs="宋体"/>
          <w:color w:val="auto"/>
          <w:highlight w:val="none"/>
          <w:lang w:val="en-US" w:eastAsia="zh-CN"/>
        </w:rPr>
        <w:t>287.44万元，占94.62%；</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宋体" w:hAnsi="宋体" w:eastAsia="宋体" w:cs="宋体"/>
          <w:color w:val="auto"/>
          <w:highlight w:val="none"/>
          <w:lang w:val="en-US" w:eastAsia="zh-CN"/>
        </w:rPr>
        <w:t>5.72万元，占1.90%；</w:t>
      </w:r>
      <w:r>
        <w:rPr>
          <w:rFonts w:hint="eastAsia" w:ascii="仿宋" w:hAnsi="仿宋" w:eastAsia="仿宋"/>
          <w:b/>
          <w:bCs/>
          <w:color w:val="auto"/>
          <w:sz w:val="32"/>
          <w:szCs w:val="32"/>
          <w:highlight w:val="none"/>
        </w:rPr>
        <w:t>卫生健康支出</w:t>
      </w:r>
      <w:r>
        <w:rPr>
          <w:rFonts w:hint="eastAsia" w:ascii="宋体" w:hAnsi="宋体" w:eastAsia="宋体" w:cs="宋体"/>
          <w:color w:val="auto"/>
          <w:highlight w:val="none"/>
          <w:lang w:val="en-US" w:eastAsia="zh-CN"/>
        </w:rPr>
        <w:t>2.81万元，占0.93%；</w:t>
      </w:r>
      <w:r>
        <w:rPr>
          <w:rFonts w:hint="eastAsia" w:ascii="仿宋" w:hAnsi="仿宋" w:eastAsia="仿宋"/>
          <w:b/>
          <w:bCs/>
          <w:color w:val="auto"/>
          <w:sz w:val="32"/>
          <w:szCs w:val="32"/>
          <w:highlight w:val="none"/>
        </w:rPr>
        <w:t>住房保障支出</w:t>
      </w:r>
      <w:r>
        <w:rPr>
          <w:rFonts w:hint="eastAsia" w:ascii="宋体" w:hAnsi="宋体" w:eastAsia="宋体" w:cs="宋体"/>
          <w:color w:val="auto"/>
          <w:highlight w:val="none"/>
          <w:lang w:val="en-US" w:eastAsia="zh-CN"/>
        </w:rPr>
        <w:t>7.8万元，占2.57%。</w:t>
      </w:r>
    </w:p>
    <w:p>
      <w:pPr>
        <w:pStyle w:val="2"/>
        <w:shd w:val="clear"/>
        <w:rPr>
          <w:rFonts w:ascii="仿宋" w:hAnsi="仿宋" w:eastAsia="仿宋"/>
          <w:color w:val="auto"/>
          <w:sz w:val="32"/>
          <w:szCs w:val="32"/>
          <w:highlight w:val="none"/>
        </w:rPr>
      </w:pPr>
      <w:r>
        <w:rPr>
          <w:color w:val="auto"/>
          <w:highlight w:val="none"/>
        </w:rPr>
        <w:drawing>
          <wp:inline distT="0" distB="0" distL="114300" distR="114300">
            <wp:extent cx="4826000" cy="2743200"/>
            <wp:effectExtent l="4445" t="4445" r="8255" b="14605"/>
            <wp:docPr id="15"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pPr>
        <w:shd w:val="clea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p>
    <w:p>
      <w:pPr>
        <w:shd w:val="clear"/>
        <w:spacing w:line="600" w:lineRule="exact"/>
        <w:ind w:firstLine="642" w:firstLineChars="200"/>
        <w:outlineLvl w:val="2"/>
        <w:rPr>
          <w:rFonts w:ascii="仿宋" w:hAnsi="仿宋" w:eastAsia="仿宋"/>
          <w:b/>
          <w:color w:val="auto"/>
          <w:sz w:val="32"/>
          <w:szCs w:val="32"/>
          <w:highlight w:val="none"/>
        </w:rPr>
      </w:pPr>
      <w:bookmarkStart w:id="39" w:name="_Toc15377212"/>
      <w:r>
        <w:rPr>
          <w:rFonts w:hint="eastAsia" w:ascii="仿宋" w:hAnsi="仿宋" w:eastAsia="仿宋"/>
          <w:b/>
          <w:color w:val="auto"/>
          <w:sz w:val="32"/>
          <w:szCs w:val="32"/>
          <w:highlight w:val="none"/>
        </w:rPr>
        <w:t>（三）一般公共预算财政拨款支出决算具体情况</w:t>
      </w:r>
      <w:bookmarkEnd w:id="39"/>
    </w:p>
    <w:p>
      <w:pPr>
        <w:shd w:val="clear"/>
        <w:bidi w:val="0"/>
        <w:rPr>
          <w:b/>
          <w:bCs/>
          <w:color w:val="auto"/>
          <w:sz w:val="28"/>
          <w:szCs w:val="24"/>
          <w:highlight w:val="none"/>
        </w:rPr>
      </w:pPr>
      <w:bookmarkStart w:id="40" w:name="_Toc15377213"/>
      <w:bookmarkStart w:id="41" w:name="_Toc15377444"/>
      <w:bookmarkStart w:id="42" w:name="_Toc15378460"/>
      <w:r>
        <w:rPr>
          <w:rFonts w:hint="eastAsia"/>
          <w:b/>
          <w:bCs/>
          <w:color w:val="auto"/>
          <w:sz w:val="28"/>
          <w:szCs w:val="24"/>
          <w:highlight w:val="none"/>
        </w:rPr>
        <w:t>20</w:t>
      </w:r>
      <w:r>
        <w:rPr>
          <w:rFonts w:hint="eastAsia"/>
          <w:b/>
          <w:bCs/>
          <w:color w:val="auto"/>
          <w:sz w:val="28"/>
          <w:szCs w:val="24"/>
          <w:highlight w:val="none"/>
          <w:lang w:val="en-US" w:eastAsia="zh-CN"/>
        </w:rPr>
        <w:t>22</w:t>
      </w:r>
      <w:r>
        <w:rPr>
          <w:rFonts w:hint="eastAsia"/>
          <w:b/>
          <w:bCs/>
          <w:color w:val="auto"/>
          <w:sz w:val="28"/>
          <w:szCs w:val="24"/>
          <w:highlight w:val="none"/>
        </w:rPr>
        <w:t>年</w:t>
      </w:r>
      <w:r>
        <w:rPr>
          <w:rFonts w:hint="eastAsia"/>
          <w:b/>
          <w:bCs/>
          <w:color w:val="auto"/>
          <w:sz w:val="28"/>
          <w:szCs w:val="24"/>
          <w:highlight w:val="none"/>
          <w:lang w:eastAsia="zh-CN"/>
        </w:rPr>
        <w:t>一</w:t>
      </w:r>
      <w:r>
        <w:rPr>
          <w:rFonts w:hint="eastAsia"/>
          <w:b/>
          <w:bCs/>
          <w:color w:val="auto"/>
          <w:sz w:val="28"/>
          <w:szCs w:val="24"/>
          <w:highlight w:val="none"/>
        </w:rPr>
        <w:t>般公共预算支出决算数为</w:t>
      </w:r>
      <w:r>
        <w:rPr>
          <w:rFonts w:hint="eastAsia"/>
          <w:b/>
          <w:bCs/>
          <w:color w:val="auto"/>
          <w:sz w:val="28"/>
          <w:szCs w:val="24"/>
          <w:highlight w:val="none"/>
          <w:lang w:val="en-US" w:eastAsia="zh-CN"/>
        </w:rPr>
        <w:t>303.77</w:t>
      </w:r>
      <w:r>
        <w:rPr>
          <w:rFonts w:hint="eastAsia"/>
          <w:b/>
          <w:bCs/>
          <w:color w:val="auto"/>
          <w:sz w:val="28"/>
          <w:szCs w:val="24"/>
          <w:highlight w:val="none"/>
        </w:rPr>
        <w:t>，完成预算</w:t>
      </w:r>
      <w:r>
        <w:rPr>
          <w:rFonts w:hint="default"/>
          <w:b/>
          <w:bCs/>
          <w:color w:val="auto"/>
          <w:sz w:val="28"/>
          <w:szCs w:val="24"/>
          <w:highlight w:val="none"/>
        </w:rPr>
        <w:t>98.29</w:t>
      </w:r>
      <w:r>
        <w:rPr>
          <w:b/>
          <w:bCs/>
          <w:color w:val="auto"/>
          <w:sz w:val="28"/>
          <w:szCs w:val="24"/>
          <w:highlight w:val="none"/>
        </w:rPr>
        <w:t>%</w:t>
      </w:r>
      <w:r>
        <w:rPr>
          <w:rFonts w:hint="eastAsia"/>
          <w:b/>
          <w:bCs/>
          <w:color w:val="auto"/>
          <w:sz w:val="28"/>
          <w:szCs w:val="24"/>
          <w:highlight w:val="none"/>
        </w:rPr>
        <w:t>。其中：</w:t>
      </w:r>
      <w:bookmarkEnd w:id="40"/>
      <w:bookmarkEnd w:id="41"/>
      <w:bookmarkEnd w:id="42"/>
    </w:p>
    <w:p>
      <w:pPr>
        <w:numPr>
          <w:ilvl w:val="0"/>
          <w:numId w:val="0"/>
        </w:numPr>
        <w:shd w:val="clear"/>
        <w:spacing w:line="600" w:lineRule="exact"/>
        <w:ind w:firstLine="642" w:firstLineChars="200"/>
        <w:rPr>
          <w:rStyle w:val="18"/>
          <w:rFonts w:hint="eastAsia" w:ascii="仿宋" w:hAnsi="仿宋" w:eastAsia="仿宋"/>
          <w:b w:val="0"/>
          <w:bCs/>
          <w:color w:val="auto"/>
          <w:sz w:val="32"/>
          <w:szCs w:val="32"/>
          <w:highlight w:val="none"/>
        </w:rPr>
      </w:pPr>
      <w:r>
        <w:rPr>
          <w:rStyle w:val="18"/>
          <w:rFonts w:hint="eastAsia" w:ascii="仿宋" w:hAnsi="仿宋" w:eastAsia="仿宋"/>
          <w:bCs/>
          <w:color w:val="auto"/>
          <w:sz w:val="32"/>
          <w:szCs w:val="32"/>
          <w:highlight w:val="none"/>
          <w:lang w:val="en-US" w:eastAsia="zh-CN"/>
        </w:rPr>
        <w:t>1.</w:t>
      </w:r>
      <w:r>
        <w:rPr>
          <w:rStyle w:val="18"/>
          <w:rFonts w:hint="eastAsia" w:ascii="仿宋" w:hAnsi="仿宋" w:eastAsia="仿宋"/>
          <w:bCs/>
          <w:color w:val="auto"/>
          <w:sz w:val="32"/>
          <w:szCs w:val="32"/>
          <w:highlight w:val="none"/>
        </w:rPr>
        <w:t>一般公共服务（类）政府办公厅（室）及相关机构事务（款）行政运行（项）</w:t>
      </w:r>
      <w:r>
        <w:rPr>
          <w:rStyle w:val="18"/>
          <w:rFonts w:hint="eastAsia" w:ascii="仿宋" w:hAnsi="仿宋" w:eastAsia="仿宋"/>
          <w:bCs/>
          <w:color w:val="auto"/>
          <w:sz w:val="32"/>
          <w:szCs w:val="32"/>
          <w:highlight w:val="none"/>
          <w:lang w:eastAsia="zh-CN"/>
        </w:rPr>
        <w:t>：</w:t>
      </w:r>
      <w:r>
        <w:rPr>
          <w:rStyle w:val="18"/>
          <w:rFonts w:ascii="仿宋" w:hAnsi="仿宋" w:eastAsia="仿宋"/>
          <w:b w:val="0"/>
          <w:bCs/>
          <w:color w:val="auto"/>
          <w:sz w:val="32"/>
          <w:szCs w:val="32"/>
          <w:highlight w:val="none"/>
        </w:rPr>
        <w:t xml:space="preserve"> </w:t>
      </w:r>
      <w:r>
        <w:rPr>
          <w:rFonts w:hint="eastAsia" w:ascii="宋体" w:hAnsi="宋体" w:eastAsia="宋体" w:cs="宋体"/>
          <w:color w:val="auto"/>
          <w:highlight w:val="none"/>
          <w:lang w:val="en-US" w:eastAsia="zh-CN"/>
        </w:rPr>
        <w:t>支出决算为85.88万元，完成预算100%。</w:t>
      </w:r>
    </w:p>
    <w:p>
      <w:pPr>
        <w:pStyle w:val="13"/>
        <w:numPr>
          <w:ilvl w:val="0"/>
          <w:numId w:val="0"/>
        </w:numPr>
        <w:shd w:val="clear"/>
        <w:ind w:leftChars="0" w:firstLine="642" w:firstLineChars="200"/>
        <w:rPr>
          <w:rFonts w:hint="default" w:ascii="宋体" w:hAnsi="宋体" w:eastAsia="宋体" w:cs="宋体"/>
          <w:color w:val="auto"/>
          <w:kern w:val="2"/>
          <w:sz w:val="28"/>
          <w:szCs w:val="24"/>
          <w:highlight w:val="none"/>
          <w:lang w:val="en-US" w:eastAsia="zh-CN" w:bidi="ar-SA"/>
        </w:rPr>
      </w:pPr>
      <w:r>
        <w:rPr>
          <w:rStyle w:val="18"/>
          <w:rFonts w:hint="eastAsia" w:ascii="仿宋" w:hAnsi="仿宋" w:eastAsia="仿宋"/>
          <w:bCs/>
          <w:color w:val="auto"/>
          <w:sz w:val="32"/>
          <w:szCs w:val="32"/>
          <w:highlight w:val="none"/>
          <w:lang w:val="en-US" w:eastAsia="zh-CN"/>
        </w:rPr>
        <w:t>2.</w:t>
      </w:r>
      <w:r>
        <w:rPr>
          <w:rStyle w:val="18"/>
          <w:rFonts w:hint="eastAsia" w:ascii="仿宋" w:hAnsi="仿宋" w:eastAsia="仿宋"/>
          <w:bCs/>
          <w:color w:val="auto"/>
          <w:sz w:val="32"/>
          <w:szCs w:val="32"/>
          <w:highlight w:val="none"/>
        </w:rPr>
        <w:t>一般公共服务（类）政府办公厅（室）及相关机构事务（款）一般行政管理事务（项）</w:t>
      </w:r>
      <w:r>
        <w:rPr>
          <w:rStyle w:val="18"/>
          <w:rFonts w:hint="eastAsia" w:ascii="仿宋" w:hAnsi="仿宋" w:eastAsia="仿宋"/>
          <w:bCs/>
          <w:color w:val="auto"/>
          <w:sz w:val="32"/>
          <w:szCs w:val="32"/>
          <w:highlight w:val="none"/>
          <w:lang w:eastAsia="zh-CN"/>
        </w:rPr>
        <w:t>：</w:t>
      </w:r>
      <w:r>
        <w:rPr>
          <w:rFonts w:hint="eastAsia" w:ascii="宋体" w:hAnsi="宋体" w:eastAsia="宋体" w:cs="宋体"/>
          <w:color w:val="auto"/>
          <w:kern w:val="2"/>
          <w:sz w:val="28"/>
          <w:szCs w:val="24"/>
          <w:highlight w:val="none"/>
          <w:lang w:val="en-US" w:eastAsia="zh-CN" w:bidi="ar-SA"/>
        </w:rPr>
        <w:t>支出决算为201.56万元，完成预算</w:t>
      </w:r>
      <w:r>
        <w:rPr>
          <w:rFonts w:hint="default" w:ascii="宋体" w:hAnsi="宋体" w:cs="宋体"/>
          <w:color w:val="auto"/>
          <w:kern w:val="2"/>
          <w:sz w:val="28"/>
          <w:szCs w:val="24"/>
          <w:highlight w:val="none"/>
          <w:lang w:eastAsia="zh-CN" w:bidi="ar-SA"/>
        </w:rPr>
        <w:t>97.43</w:t>
      </w:r>
      <w:r>
        <w:rPr>
          <w:rFonts w:hint="eastAsia" w:ascii="宋体" w:hAnsi="宋体" w:eastAsia="宋体" w:cs="宋体"/>
          <w:color w:val="auto"/>
          <w:kern w:val="2"/>
          <w:sz w:val="28"/>
          <w:szCs w:val="24"/>
          <w:highlight w:val="none"/>
          <w:lang w:val="en-US" w:eastAsia="zh-CN" w:bidi="ar-SA"/>
        </w:rPr>
        <w:t>%。</w:t>
      </w:r>
      <w:r>
        <w:rPr>
          <w:rFonts w:hint="default" w:ascii="宋体" w:hAnsi="宋体" w:cs="宋体"/>
          <w:color w:val="auto"/>
          <w:kern w:val="2"/>
          <w:sz w:val="28"/>
          <w:szCs w:val="24"/>
          <w:highlight w:val="none"/>
          <w:lang w:eastAsia="zh-CN" w:bidi="ar-SA"/>
        </w:rPr>
        <w:t>，决算数小于预算数主要原因是</w:t>
      </w:r>
      <w:r>
        <w:rPr>
          <w:rFonts w:hint="eastAsia" w:ascii="宋体" w:hAnsi="宋体" w:cs="宋体"/>
          <w:color w:val="auto"/>
          <w:kern w:val="2"/>
          <w:sz w:val="28"/>
          <w:szCs w:val="24"/>
          <w:highlight w:val="none"/>
          <w:lang w:val="en-US" w:eastAsia="zh-CN" w:bidi="ar-SA"/>
        </w:rPr>
        <w:t>2023年1月份需支付房租，故预留部分租赁费用于支付。</w:t>
      </w:r>
    </w:p>
    <w:p>
      <w:pPr>
        <w:shd w:val="clear"/>
        <w:spacing w:line="600" w:lineRule="exact"/>
        <w:ind w:firstLine="642" w:firstLineChars="200"/>
        <w:rPr>
          <w:rFonts w:hint="eastAsia" w:ascii="宋体" w:hAnsi="宋体" w:eastAsia="宋体" w:cs="宋体"/>
          <w:color w:val="auto"/>
          <w:highlight w:val="none"/>
          <w:lang w:val="en-US" w:eastAsia="zh-CN"/>
        </w:rPr>
      </w:pPr>
      <w:r>
        <w:rPr>
          <w:rStyle w:val="18"/>
          <w:rFonts w:hint="eastAsia" w:ascii="仿宋" w:hAnsi="仿宋" w:eastAsia="仿宋"/>
          <w:bCs/>
          <w:color w:val="auto"/>
          <w:sz w:val="32"/>
          <w:szCs w:val="32"/>
          <w:highlight w:val="none"/>
          <w:lang w:val="en-US" w:eastAsia="zh-CN"/>
        </w:rPr>
        <w:t>3</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社会保障和就业（类）</w:t>
      </w:r>
      <w:r>
        <w:rPr>
          <w:rStyle w:val="18"/>
          <w:rFonts w:hint="eastAsia" w:ascii="仿宋" w:hAnsi="仿宋" w:eastAsia="仿宋"/>
          <w:bCs/>
          <w:color w:val="auto"/>
          <w:sz w:val="32"/>
          <w:szCs w:val="32"/>
          <w:highlight w:val="none"/>
          <w:lang w:val="en-US" w:eastAsia="zh-CN"/>
        </w:rPr>
        <w:t>行政事业单位养老支出</w:t>
      </w:r>
      <w:r>
        <w:rPr>
          <w:rStyle w:val="18"/>
          <w:rFonts w:hint="eastAsia" w:ascii="仿宋" w:hAnsi="仿宋" w:eastAsia="仿宋"/>
          <w:bCs/>
          <w:color w:val="auto"/>
          <w:sz w:val="32"/>
          <w:szCs w:val="32"/>
          <w:highlight w:val="none"/>
        </w:rPr>
        <w:t>（款）</w:t>
      </w:r>
      <w:r>
        <w:rPr>
          <w:rStyle w:val="18"/>
          <w:rFonts w:hint="eastAsia" w:ascii="仿宋" w:hAnsi="仿宋" w:eastAsia="仿宋"/>
          <w:bCs/>
          <w:color w:val="auto"/>
          <w:sz w:val="32"/>
          <w:szCs w:val="32"/>
          <w:highlight w:val="none"/>
          <w:lang w:val="en-US" w:eastAsia="zh-CN"/>
        </w:rPr>
        <w:t>机关事业单位基本养老保险缴费支出（项）：</w:t>
      </w:r>
      <w:r>
        <w:rPr>
          <w:rStyle w:val="18"/>
          <w:rFonts w:ascii="仿宋" w:hAnsi="仿宋" w:eastAsia="仿宋"/>
          <w:b w:val="0"/>
          <w:bCs/>
          <w:color w:val="auto"/>
          <w:sz w:val="32"/>
          <w:szCs w:val="32"/>
          <w:highlight w:val="none"/>
        </w:rPr>
        <w:t xml:space="preserve"> </w:t>
      </w:r>
      <w:r>
        <w:rPr>
          <w:rFonts w:hint="eastAsia" w:ascii="宋体" w:hAnsi="宋体" w:eastAsia="宋体" w:cs="宋体"/>
          <w:color w:val="auto"/>
          <w:highlight w:val="none"/>
          <w:lang w:val="en-US" w:eastAsia="zh-CN"/>
        </w:rPr>
        <w:t>支出决算为5.72万元，完成预算100%。</w:t>
      </w:r>
    </w:p>
    <w:p>
      <w:pPr>
        <w:shd w:val="clear"/>
        <w:spacing w:line="600" w:lineRule="exact"/>
        <w:ind w:firstLine="642" w:firstLineChars="200"/>
        <w:rPr>
          <w:rFonts w:hint="eastAsia" w:ascii="宋体" w:hAnsi="宋体" w:eastAsia="宋体" w:cs="宋体"/>
          <w:color w:val="auto"/>
          <w:highlight w:val="none"/>
          <w:lang w:val="en-US" w:eastAsia="zh-CN"/>
        </w:rPr>
      </w:pPr>
      <w:r>
        <w:rPr>
          <w:rStyle w:val="18"/>
          <w:rFonts w:hint="eastAsia" w:ascii="仿宋" w:hAnsi="仿宋" w:eastAsia="仿宋"/>
          <w:bCs/>
          <w:color w:val="auto"/>
          <w:sz w:val="32"/>
          <w:szCs w:val="32"/>
          <w:highlight w:val="none"/>
          <w:lang w:val="en-US" w:eastAsia="zh-CN"/>
        </w:rPr>
        <w:t>4</w:t>
      </w:r>
      <w:r>
        <w:rPr>
          <w:rStyle w:val="18"/>
          <w:rFonts w:ascii="仿宋" w:hAnsi="仿宋" w:eastAsia="仿宋"/>
          <w:bCs/>
          <w:color w:val="auto"/>
          <w:sz w:val="32"/>
          <w:szCs w:val="32"/>
          <w:highlight w:val="none"/>
        </w:rPr>
        <w:t>.</w:t>
      </w:r>
      <w:r>
        <w:rPr>
          <w:rFonts w:hint="eastAsia" w:ascii="仿宋" w:hAnsi="仿宋" w:eastAsia="仿宋"/>
          <w:b/>
          <w:bCs/>
          <w:color w:val="auto"/>
          <w:sz w:val="32"/>
          <w:szCs w:val="32"/>
          <w:highlight w:val="none"/>
        </w:rPr>
        <w:t>行政事业单位医疗（款）行政单位医疗（项）</w:t>
      </w:r>
      <w:r>
        <w:rPr>
          <w:rFonts w:hint="eastAsia" w:ascii="仿宋" w:hAnsi="仿宋" w:eastAsia="仿宋"/>
          <w:b/>
          <w:bCs/>
          <w:color w:val="auto"/>
          <w:sz w:val="32"/>
          <w:szCs w:val="32"/>
          <w:highlight w:val="none"/>
          <w:lang w:eastAsia="zh-CN"/>
        </w:rPr>
        <w:t>：</w:t>
      </w:r>
      <w:r>
        <w:rPr>
          <w:rFonts w:hint="eastAsia" w:ascii="宋体" w:hAnsi="宋体" w:eastAsia="宋体" w:cs="宋体"/>
          <w:color w:val="auto"/>
          <w:highlight w:val="none"/>
          <w:lang w:val="en-US" w:eastAsia="zh-CN"/>
        </w:rPr>
        <w:t>支出决算为2.81万元，完成预算100%。</w:t>
      </w:r>
    </w:p>
    <w:p>
      <w:pPr>
        <w:shd w:val="clear"/>
        <w:spacing w:line="600" w:lineRule="exact"/>
        <w:ind w:firstLine="642" w:firstLineChars="200"/>
        <w:rPr>
          <w:rFonts w:hint="eastAsia" w:ascii="宋体" w:hAnsi="宋体" w:eastAsia="宋体" w:cs="宋体"/>
          <w:color w:val="auto"/>
          <w:highlight w:val="none"/>
          <w:lang w:val="en-US" w:eastAsia="zh-CN"/>
        </w:rPr>
      </w:pPr>
      <w:r>
        <w:rPr>
          <w:rFonts w:hint="eastAsia" w:ascii="仿宋" w:hAnsi="仿宋" w:eastAsia="仿宋"/>
          <w:b/>
          <w:bCs/>
          <w:color w:val="auto"/>
          <w:sz w:val="32"/>
          <w:szCs w:val="32"/>
          <w:highlight w:val="none"/>
          <w:lang w:val="en-US" w:eastAsia="zh-CN"/>
        </w:rPr>
        <w:t>5.</w:t>
      </w:r>
      <w:r>
        <w:rPr>
          <w:rFonts w:hint="eastAsia" w:ascii="仿宋" w:hAnsi="仿宋" w:eastAsia="仿宋"/>
          <w:b/>
          <w:bCs/>
          <w:color w:val="auto"/>
          <w:sz w:val="32"/>
          <w:szCs w:val="32"/>
          <w:highlight w:val="none"/>
        </w:rPr>
        <w:t>住房保障支出（类）住房改革支出（款）住房公积金（项）</w:t>
      </w:r>
      <w:r>
        <w:rPr>
          <w:rFonts w:hint="eastAsia" w:ascii="仿宋" w:hAnsi="仿宋" w:eastAsia="仿宋"/>
          <w:b/>
          <w:bCs/>
          <w:color w:val="auto"/>
          <w:sz w:val="32"/>
          <w:szCs w:val="32"/>
          <w:highlight w:val="none"/>
          <w:lang w:eastAsia="zh-CN"/>
        </w:rPr>
        <w:t>：</w:t>
      </w:r>
      <w:r>
        <w:rPr>
          <w:rFonts w:hint="eastAsia" w:ascii="宋体" w:hAnsi="宋体" w:eastAsia="宋体" w:cs="宋体"/>
          <w:color w:val="auto"/>
          <w:highlight w:val="none"/>
          <w:lang w:val="en-US" w:eastAsia="zh-CN"/>
        </w:rPr>
        <w:t>支出决算为7.80万元，完成预算100%。</w:t>
      </w:r>
    </w:p>
    <w:p>
      <w:pPr>
        <w:shd w:val="clear"/>
        <w:tabs>
          <w:tab w:val="right" w:pos="8306"/>
        </w:tabs>
        <w:spacing w:line="600" w:lineRule="exact"/>
        <w:ind w:firstLine="640"/>
        <w:outlineLvl w:val="1"/>
        <w:rPr>
          <w:rStyle w:val="21"/>
          <w:color w:val="auto"/>
          <w:highlight w:val="none"/>
        </w:rPr>
      </w:pPr>
      <w:bookmarkStart w:id="43" w:name="_Toc15377214"/>
      <w:bookmarkStart w:id="44" w:name="_Toc5569"/>
      <w:bookmarkStart w:id="45" w:name="_Toc15396608"/>
      <w:r>
        <w:rPr>
          <w:rStyle w:val="21"/>
          <w:rFonts w:hint="eastAsia"/>
          <w:color w:val="auto"/>
          <w:highlight w:val="none"/>
        </w:rPr>
        <w:t>六、一般公共预算财政拨款基本支出决算情况说明</w:t>
      </w:r>
      <w:bookmarkEnd w:id="43"/>
      <w:bookmarkEnd w:id="44"/>
      <w:bookmarkEnd w:id="45"/>
      <w:r>
        <w:rPr>
          <w:rStyle w:val="21"/>
          <w:rFonts w:ascii="黑体" w:hAnsi="黑体" w:eastAsia="黑体"/>
          <w:b w:val="0"/>
          <w:color w:val="auto"/>
          <w:highlight w:val="none"/>
        </w:rPr>
        <w:tab/>
      </w:r>
    </w:p>
    <w:p>
      <w:pPr>
        <w:shd w:val="clear"/>
        <w:bidi w:val="0"/>
        <w:ind w:firstLine="42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2022年一般公共预算财政拨款基本支出102.21万元，其中：</w:t>
      </w:r>
    </w:p>
    <w:p>
      <w:pPr>
        <w:shd w:val="clear"/>
        <w:bidi w:val="0"/>
        <w:ind w:firstLine="42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人员经费76.28万元，主要包括：基本工资、津贴补贴、奖金、机关事业单位基本养老保险缴费、职工基本医疗保险缴费、其他社会保障缴费、住房公积金。</w:t>
      </w:r>
    </w:p>
    <w:p>
      <w:pPr>
        <w:shd w:val="clear"/>
        <w:bidi w:val="0"/>
        <w:ind w:firstLine="42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　　公用经费25.93万元，主要包括：办公费、手续费、水费、差旅费、会议费、公务接待费、其他交通费</w:t>
      </w:r>
      <w:r>
        <w:rPr>
          <w:rFonts w:hint="eastAsia" w:ascii="宋体" w:hAnsi="宋体" w:cs="宋体"/>
          <w:color w:val="auto"/>
          <w:highlight w:val="none"/>
          <w:lang w:val="en-US" w:eastAsia="zh-CN"/>
        </w:rPr>
        <w:t>用</w:t>
      </w:r>
      <w:r>
        <w:rPr>
          <w:rFonts w:hint="eastAsia" w:ascii="宋体" w:hAnsi="宋体" w:eastAsia="宋体" w:cs="宋体"/>
          <w:color w:val="auto"/>
          <w:highlight w:val="none"/>
          <w:lang w:val="en-US" w:eastAsia="zh-CN"/>
        </w:rPr>
        <w:t>。</w:t>
      </w:r>
    </w:p>
    <w:p>
      <w:pPr>
        <w:pStyle w:val="4"/>
        <w:shd w:val="clear"/>
        <w:bidi w:val="0"/>
        <w:rPr>
          <w:color w:val="auto"/>
          <w:highlight w:val="none"/>
        </w:rPr>
      </w:pPr>
      <w:bookmarkStart w:id="46" w:name="_Toc15377215"/>
      <w:bookmarkStart w:id="47" w:name="_Toc15396609"/>
      <w:bookmarkStart w:id="48" w:name="_Toc23121"/>
      <w:r>
        <w:rPr>
          <w:rFonts w:hint="eastAsia"/>
          <w:color w:val="auto"/>
          <w:highlight w:val="none"/>
        </w:rPr>
        <w:t>七、财政拨款“三公”经费支出决算情况说明</w:t>
      </w:r>
      <w:bookmarkEnd w:id="46"/>
      <w:bookmarkEnd w:id="47"/>
      <w:bookmarkEnd w:id="48"/>
    </w:p>
    <w:p>
      <w:pPr>
        <w:shd w:val="clear"/>
        <w:spacing w:line="600" w:lineRule="exact"/>
        <w:ind w:firstLine="640"/>
        <w:outlineLvl w:val="2"/>
        <w:rPr>
          <w:rFonts w:ascii="仿宋" w:hAnsi="仿宋" w:eastAsia="仿宋"/>
          <w:b/>
          <w:color w:val="auto"/>
          <w:sz w:val="32"/>
          <w:szCs w:val="32"/>
          <w:highlight w:val="none"/>
        </w:rPr>
      </w:pPr>
      <w:bookmarkStart w:id="49" w:name="_Toc15377216"/>
      <w:r>
        <w:rPr>
          <w:rFonts w:hint="eastAsia" w:ascii="仿宋" w:hAnsi="仿宋" w:eastAsia="仿宋"/>
          <w:b/>
          <w:color w:val="auto"/>
          <w:sz w:val="32"/>
          <w:szCs w:val="32"/>
          <w:highlight w:val="none"/>
        </w:rPr>
        <w:t>（一）“三公”经费财政拨款支出决算总体情况说明</w:t>
      </w:r>
      <w:bookmarkEnd w:id="49"/>
    </w:p>
    <w:p>
      <w:pPr>
        <w:shd w:val="clear"/>
        <w:bidi w:val="0"/>
        <w:ind w:firstLine="42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2022年“三公”经费财政拨款支出决算为25.08万元，完成预算100%，因2022年才成为独立预算单位，故不能与上年度进行比较。</w:t>
      </w:r>
    </w:p>
    <w:p>
      <w:pPr>
        <w:shd w:val="clear"/>
        <w:spacing w:line="600" w:lineRule="exact"/>
        <w:ind w:firstLine="640"/>
        <w:outlineLvl w:val="2"/>
        <w:rPr>
          <w:rFonts w:ascii="仿宋" w:hAnsi="仿宋" w:eastAsia="仿宋"/>
          <w:b/>
          <w:color w:val="auto"/>
          <w:sz w:val="32"/>
          <w:szCs w:val="32"/>
          <w:highlight w:val="none"/>
        </w:rPr>
      </w:pPr>
      <w:bookmarkStart w:id="50" w:name="_Toc15377217"/>
      <w:r>
        <w:rPr>
          <w:rFonts w:hint="eastAsia" w:ascii="仿宋" w:hAnsi="仿宋" w:eastAsia="仿宋"/>
          <w:b/>
          <w:color w:val="auto"/>
          <w:sz w:val="32"/>
          <w:szCs w:val="32"/>
          <w:highlight w:val="none"/>
        </w:rPr>
        <w:t>（二）“三公”经费财政拨款支出决算具体情况说明</w:t>
      </w:r>
      <w:bookmarkEnd w:id="50"/>
    </w:p>
    <w:p>
      <w:pPr>
        <w:shd w:val="clear"/>
        <w:bidi w:val="0"/>
        <w:ind w:firstLine="42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2022年“三公”经费财政拨款支出决算中，因公出国（境）经费支出0万元，占0.00%；公务用车购置及运行维护费支出决算25.00万元，占99.68%；公务接待费支出决算0.08万元，占0.32%。具体情况如下：</w:t>
      </w:r>
    </w:p>
    <w:p>
      <w:pPr>
        <w:pStyle w:val="2"/>
        <w:shd w:val="clear"/>
        <w:rPr>
          <w:rFonts w:hint="eastAsia" w:ascii="仿宋" w:hAnsi="仿宋" w:eastAsia="仿宋"/>
          <w:color w:val="auto"/>
          <w:sz w:val="32"/>
          <w:szCs w:val="32"/>
          <w:highlight w:val="none"/>
        </w:rPr>
      </w:pPr>
      <w:r>
        <w:rPr>
          <w:color w:val="auto"/>
          <w:highlight w:val="none"/>
        </w:rPr>
        <w:drawing>
          <wp:inline distT="0" distB="0" distL="114300" distR="114300">
            <wp:extent cx="4826000" cy="2743200"/>
            <wp:effectExtent l="4445" t="4445" r="8255" b="14605"/>
            <wp:docPr id="16"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pPr>
        <w:shd w:val="clea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w:t>
      </w:r>
    </w:p>
    <w:p>
      <w:pPr>
        <w:shd w:val="clea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宋体" w:hAnsi="宋体" w:eastAsia="宋体" w:cs="宋体"/>
          <w:color w:val="auto"/>
          <w:highlight w:val="none"/>
          <w:lang w:val="en-US" w:eastAsia="zh-CN"/>
        </w:rPr>
        <w:t>0万元，年初未安排预算。因2022年才成为独立预算单位，故不能与上年度进行比较。</w:t>
      </w:r>
    </w:p>
    <w:p>
      <w:pPr>
        <w:shd w:val="clear"/>
        <w:spacing w:line="600" w:lineRule="exact"/>
        <w:ind w:firstLine="642" w:firstLineChars="200"/>
        <w:rPr>
          <w:rFonts w:hint="eastAsia" w:ascii="宋体" w:hAnsi="宋体" w:eastAsia="宋体" w:cs="宋体"/>
          <w:color w:val="auto"/>
          <w:highlight w:val="none"/>
          <w:lang w:val="en-US" w:eastAsia="zh-CN"/>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宋体" w:hAnsi="宋体" w:eastAsia="宋体" w:cs="宋体"/>
          <w:color w:val="auto"/>
          <w:highlight w:val="none"/>
          <w:lang w:val="en-US" w:eastAsia="zh-CN"/>
        </w:rPr>
        <w:t>25.00万元</w:t>
      </w:r>
      <w:r>
        <w:rPr>
          <w:rFonts w:hint="eastAsia" w:ascii="宋体" w:hAnsi="宋体" w:cs="宋体"/>
          <w:color w:val="auto"/>
          <w:highlight w:val="none"/>
          <w:lang w:val="en-US" w:eastAsia="zh-CN"/>
        </w:rPr>
        <w:t>，</w:t>
      </w:r>
      <w:r>
        <w:rPr>
          <w:rFonts w:hint="eastAsia" w:ascii="宋体" w:hAnsi="宋体" w:eastAsia="宋体" w:cs="宋体"/>
          <w:color w:val="auto"/>
          <w:highlight w:val="none"/>
          <w:lang w:val="en-US" w:eastAsia="zh-CN"/>
        </w:rPr>
        <w:t>完成预算25.00%。因2022年才成为独立预算单位，故不能与上年度进行比较。</w:t>
      </w:r>
    </w:p>
    <w:p>
      <w:pPr>
        <w:shd w:val="clear"/>
        <w:spacing w:line="600" w:lineRule="exact"/>
        <w:ind w:firstLine="56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其中：</w:t>
      </w:r>
      <w:r>
        <w:rPr>
          <w:rFonts w:hint="eastAsia" w:ascii="仿宋_GB2312" w:eastAsia="仿宋_GB2312"/>
          <w:b/>
          <w:color w:val="auto"/>
          <w:sz w:val="32"/>
          <w:szCs w:val="32"/>
          <w:highlight w:val="none"/>
        </w:rPr>
        <w:t>公务用车购置支出</w:t>
      </w:r>
      <w:r>
        <w:rPr>
          <w:rFonts w:hint="eastAsia" w:ascii="宋体" w:hAnsi="宋体" w:eastAsia="宋体" w:cs="宋体"/>
          <w:color w:val="auto"/>
          <w:highlight w:val="none"/>
          <w:lang w:val="en-US" w:eastAsia="zh-CN"/>
        </w:rPr>
        <w:t>25.00万元。全年按规定更新购置公务用车1辆，其中：载客汽车1辆、金额25.00万元，主要用于联络处信访维稳和协调招商引资工作。截至2022年12月底，单位共有公务用车2辆，其中：载客汽车2辆。</w:t>
      </w:r>
    </w:p>
    <w:p>
      <w:pPr>
        <w:shd w:val="clear"/>
        <w:spacing w:line="600" w:lineRule="exact"/>
        <w:ind w:firstLine="640"/>
        <w:rPr>
          <w:rFonts w:hint="eastAsia" w:ascii="宋体" w:hAnsi="宋体" w:eastAsia="宋体" w:cs="宋体"/>
          <w:color w:val="auto"/>
          <w:highlight w:val="none"/>
          <w:lang w:val="en-US" w:eastAsia="zh-CN"/>
        </w:rPr>
      </w:pPr>
      <w:r>
        <w:rPr>
          <w:rFonts w:hint="eastAsia" w:ascii="仿宋_GB2312" w:eastAsia="仿宋_GB2312"/>
          <w:b/>
          <w:color w:val="auto"/>
          <w:sz w:val="32"/>
          <w:szCs w:val="32"/>
          <w:highlight w:val="none"/>
        </w:rPr>
        <w:t>公务用车运行维护费支出</w:t>
      </w:r>
      <w:r>
        <w:rPr>
          <w:rFonts w:hint="eastAsia" w:ascii="宋体" w:hAnsi="宋体" w:eastAsia="宋体" w:cs="宋体"/>
          <w:color w:val="auto"/>
          <w:highlight w:val="none"/>
          <w:lang w:val="en-US" w:eastAsia="zh-CN"/>
        </w:rPr>
        <w:t>0万元。</w:t>
      </w:r>
    </w:p>
    <w:p>
      <w:pPr>
        <w:shd w:val="clear"/>
        <w:spacing w:line="600" w:lineRule="exact"/>
        <w:ind w:firstLine="642" w:firstLineChars="200"/>
        <w:rPr>
          <w:rFonts w:hint="eastAsia" w:ascii="宋体" w:hAnsi="宋体" w:eastAsia="宋体" w:cs="宋体"/>
          <w:color w:val="auto"/>
          <w:highlight w:val="none"/>
          <w:lang w:val="en-US" w:eastAsia="zh-CN"/>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宋体" w:hAnsi="宋体" w:eastAsia="宋体" w:cs="宋体"/>
          <w:color w:val="auto"/>
          <w:highlight w:val="none"/>
          <w:lang w:val="en-US" w:eastAsia="zh-CN"/>
        </w:rPr>
        <w:t>0.08万元，完成预算100%。因2022年才成为独立预算单位，故不能与上年度进行比较。</w:t>
      </w:r>
    </w:p>
    <w:p>
      <w:pPr>
        <w:shd w:val="clear"/>
        <w:bidi w:val="0"/>
        <w:ind w:firstLine="42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其中：</w:t>
      </w:r>
    </w:p>
    <w:p>
      <w:pPr>
        <w:shd w:val="clear"/>
        <w:bidi w:val="0"/>
        <w:ind w:firstLine="420"/>
        <w:rPr>
          <w:rFonts w:hint="default" w:ascii="宋体" w:hAnsi="宋体" w:eastAsia="宋体" w:cs="宋体"/>
          <w:color w:val="auto"/>
          <w:highlight w:val="none"/>
          <w:lang w:eastAsia="zh-CN"/>
        </w:rPr>
      </w:pPr>
      <w:r>
        <w:rPr>
          <w:rFonts w:hint="eastAsia" w:ascii="宋体" w:hAnsi="宋体" w:eastAsia="宋体" w:cs="宋体"/>
          <w:color w:val="auto"/>
          <w:highlight w:val="none"/>
          <w:lang w:val="en-US" w:eastAsia="zh-CN"/>
        </w:rPr>
        <w:t>国内公务接待支出0.08万元，主要用于全国二十大期间信访维稳工作人员用餐费用。国内公务接待1批次，10人次（不包括陪同人员），共计支出0.08万元。</w:t>
      </w:r>
      <w:r>
        <w:rPr>
          <w:rFonts w:hint="default" w:ascii="宋体" w:hAnsi="宋体" w:cs="宋体"/>
          <w:color w:val="auto"/>
          <w:highlight w:val="none"/>
          <w:lang w:eastAsia="zh-CN"/>
        </w:rPr>
        <w:t>具体内容包括接待</w:t>
      </w:r>
      <w:r>
        <w:rPr>
          <w:rFonts w:hint="eastAsia" w:ascii="宋体" w:hAnsi="宋体" w:eastAsia="宋体" w:cs="宋体"/>
          <w:color w:val="auto"/>
          <w:highlight w:val="none"/>
          <w:lang w:val="en-US" w:eastAsia="zh-CN"/>
        </w:rPr>
        <w:t>全国二十大期间信访维稳工作人员用</w:t>
      </w:r>
      <w:r>
        <w:rPr>
          <w:rFonts w:hint="default" w:ascii="宋体" w:hAnsi="宋体" w:eastAsia="宋体" w:cs="宋体"/>
          <w:color w:val="auto"/>
          <w:highlight w:val="none"/>
          <w:lang w:eastAsia="zh-CN"/>
        </w:rPr>
        <w:t>。</w:t>
      </w:r>
    </w:p>
    <w:p>
      <w:pPr>
        <w:shd w:val="clear"/>
        <w:spacing w:line="600" w:lineRule="exact"/>
        <w:ind w:firstLine="642" w:firstLineChars="200"/>
        <w:rPr>
          <w:rFonts w:hint="eastAsia" w:ascii="仿宋_GB2312" w:eastAsia="仿宋_GB2312"/>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p>
    <w:p>
      <w:pPr>
        <w:pStyle w:val="4"/>
        <w:shd w:val="clear"/>
        <w:bidi w:val="0"/>
        <w:rPr>
          <w:color w:val="auto"/>
          <w:highlight w:val="none"/>
        </w:rPr>
      </w:pPr>
      <w:bookmarkStart w:id="51" w:name="_Toc1319"/>
      <w:bookmarkStart w:id="52" w:name="_Toc15396610"/>
      <w:bookmarkStart w:id="53" w:name="_Toc15377218"/>
      <w:r>
        <w:rPr>
          <w:rFonts w:hint="eastAsia"/>
          <w:color w:val="auto"/>
          <w:highlight w:val="none"/>
        </w:rPr>
        <w:t>八、政府性基金预算支出决算情况说明</w:t>
      </w:r>
      <w:bookmarkEnd w:id="51"/>
      <w:bookmarkEnd w:id="52"/>
      <w:bookmarkEnd w:id="53"/>
    </w:p>
    <w:p>
      <w:pPr>
        <w:shd w:val="clear"/>
        <w:spacing w:line="600" w:lineRule="exact"/>
        <w:ind w:firstLine="640"/>
        <w:rPr>
          <w:rFonts w:ascii="仿宋_GB2312" w:eastAsia="仿宋_GB2312"/>
          <w:color w:val="auto"/>
          <w:sz w:val="32"/>
          <w:szCs w:val="32"/>
          <w:highlight w:val="none"/>
        </w:rPr>
      </w:pPr>
      <w:r>
        <w:rPr>
          <w:rFonts w:hint="eastAsia" w:ascii="宋体" w:hAnsi="宋体" w:eastAsia="宋体" w:cs="宋体"/>
          <w:color w:val="auto"/>
          <w:highlight w:val="none"/>
          <w:lang w:val="en-US" w:eastAsia="zh-CN"/>
        </w:rPr>
        <w:t>2022年政府性基金预算财政拨款支出0万元。</w:t>
      </w:r>
    </w:p>
    <w:p>
      <w:pPr>
        <w:pStyle w:val="4"/>
        <w:numPr>
          <w:ilvl w:val="0"/>
          <w:numId w:val="4"/>
        </w:numPr>
        <w:shd w:val="clear"/>
        <w:bidi w:val="0"/>
        <w:rPr>
          <w:color w:val="auto"/>
          <w:highlight w:val="none"/>
        </w:rPr>
      </w:pPr>
      <w:bookmarkStart w:id="54" w:name="_Toc15396611"/>
      <w:bookmarkStart w:id="55" w:name="_Toc15377219"/>
      <w:bookmarkStart w:id="56" w:name="_Toc9732"/>
      <w:r>
        <w:rPr>
          <w:rFonts w:hint="eastAsia"/>
          <w:color w:val="auto"/>
          <w:highlight w:val="none"/>
        </w:rPr>
        <w:t>国有资本经营预算支出决算情况说明</w:t>
      </w:r>
      <w:bookmarkEnd w:id="54"/>
      <w:bookmarkEnd w:id="55"/>
      <w:bookmarkEnd w:id="56"/>
    </w:p>
    <w:p>
      <w:pPr>
        <w:shd w:val="clear"/>
        <w:bidi w:val="0"/>
        <w:ind w:firstLine="42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2022年国有资本经营预算财政拨款支出0万元。</w:t>
      </w:r>
    </w:p>
    <w:p>
      <w:pPr>
        <w:pStyle w:val="4"/>
        <w:numPr>
          <w:ilvl w:val="0"/>
          <w:numId w:val="4"/>
        </w:numPr>
        <w:shd w:val="clear"/>
        <w:bidi w:val="0"/>
        <w:rPr>
          <w:rFonts w:hint="eastAsia"/>
          <w:color w:val="auto"/>
          <w:highlight w:val="none"/>
        </w:rPr>
      </w:pPr>
      <w:bookmarkStart w:id="57" w:name="_Toc15396612"/>
      <w:bookmarkStart w:id="58" w:name="_Toc32387"/>
      <w:bookmarkStart w:id="59" w:name="_Toc15377221"/>
      <w:r>
        <w:rPr>
          <w:rFonts w:hint="eastAsia"/>
          <w:color w:val="auto"/>
          <w:highlight w:val="none"/>
        </w:rPr>
        <w:t>其他重要事项的情况说明</w:t>
      </w:r>
      <w:bookmarkEnd w:id="57"/>
      <w:bookmarkEnd w:id="58"/>
      <w:bookmarkEnd w:id="59"/>
    </w:p>
    <w:p>
      <w:pPr>
        <w:shd w:val="clear"/>
        <w:spacing w:line="600" w:lineRule="exact"/>
        <w:ind w:firstLine="642" w:firstLineChars="200"/>
        <w:outlineLvl w:val="2"/>
        <w:rPr>
          <w:rFonts w:ascii="仿宋" w:hAnsi="仿宋" w:eastAsia="仿宋"/>
          <w:color w:val="auto"/>
          <w:sz w:val="32"/>
          <w:szCs w:val="32"/>
          <w:highlight w:val="none"/>
        </w:rPr>
      </w:pPr>
      <w:bookmarkStart w:id="60" w:name="_Toc15377222"/>
      <w:r>
        <w:rPr>
          <w:rFonts w:hint="eastAsia" w:ascii="仿宋" w:hAnsi="仿宋" w:eastAsia="仿宋"/>
          <w:b/>
          <w:color w:val="auto"/>
          <w:sz w:val="32"/>
          <w:szCs w:val="32"/>
          <w:highlight w:val="none"/>
        </w:rPr>
        <w:t>（一）机关运行经费支出情况</w:t>
      </w:r>
      <w:bookmarkEnd w:id="60"/>
    </w:p>
    <w:p>
      <w:pPr>
        <w:shd w:val="clear"/>
        <w:bidi w:val="0"/>
        <w:ind w:firstLine="42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2022年，广元市人民政府驻北京联络处机关运行经费支出25.93万元，因2022年才成为独立预算单位，故不能与上年度进行比较。</w:t>
      </w:r>
    </w:p>
    <w:p>
      <w:pPr>
        <w:shd w:val="clea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61" w:name="_Toc15377223"/>
      <w:r>
        <w:rPr>
          <w:rFonts w:hint="eastAsia" w:ascii="仿宋" w:hAnsi="仿宋" w:eastAsia="仿宋"/>
          <w:b/>
          <w:color w:val="auto"/>
          <w:sz w:val="32"/>
          <w:szCs w:val="32"/>
          <w:highlight w:val="none"/>
        </w:rPr>
        <w:t>（二）政府采购支出情况</w:t>
      </w:r>
      <w:bookmarkEnd w:id="61"/>
    </w:p>
    <w:p>
      <w:pPr>
        <w:shd w:val="clear"/>
        <w:bidi w:val="0"/>
        <w:ind w:firstLine="42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2022年，广元市人民政府驻北京联络处政府采购支出总额0万元。</w:t>
      </w:r>
    </w:p>
    <w:p>
      <w:pPr>
        <w:shd w:val="clea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62" w:name="_Toc15377224"/>
      <w:r>
        <w:rPr>
          <w:rFonts w:hint="eastAsia" w:ascii="仿宋" w:hAnsi="仿宋" w:eastAsia="仿宋"/>
          <w:b/>
          <w:color w:val="auto"/>
          <w:sz w:val="32"/>
          <w:szCs w:val="32"/>
          <w:highlight w:val="none"/>
        </w:rPr>
        <w:t>（三）国有资产占有使用情况</w:t>
      </w:r>
      <w:bookmarkEnd w:id="62"/>
    </w:p>
    <w:p>
      <w:pPr>
        <w:shd w:val="clear"/>
        <w:bidi w:val="0"/>
        <w:ind w:firstLine="42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截至2022年12月31日，广元市人民政府驻北京联络处共有车辆2辆，其中：其他用车2辆，其他用车主要是用于联络处信访维稳和协调招商引资工作。单价100万元以上专用设备0台（套）。</w:t>
      </w:r>
    </w:p>
    <w:p>
      <w:pPr>
        <w:shd w:val="clea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（四）预算绩效管理情况</w:t>
      </w:r>
    </w:p>
    <w:p>
      <w:pPr>
        <w:shd w:val="clear"/>
        <w:bidi w:val="0"/>
        <w:ind w:firstLine="42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根据预算绩效管理要求，本部门在2022年度预算编制阶段，组织对项目招商引资、流动党员活动、维稳、房屋租赁、驻外人员生活补助、职工房租补助经费，购置公务用车，车辆配置和装饰费用等3个项目开展了预算事前绩效评估，对3个项目编制了绩效目标，预算执行过程中，选取3个项目开展绩效监控。</w:t>
      </w:r>
    </w:p>
    <w:p>
      <w:pPr>
        <w:shd w:val="clear"/>
        <w:bidi w:val="0"/>
        <w:ind w:firstLine="42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组织对2022年度一般公共预算等全面开展绩效自评，形成广元市人民政府驻北京联络处整体（含部门预算项目）绩效自评报告、购置公务用车，车辆配置和装饰费用等专项预算项目绩效自评报告，其中，广元市人民政府驻北京联络处整体（含部门预算项目）绩效自评得分为99分，绩效自评综述：严格执行相关政策，保障工资及时发放、足额发放，预算编制科学合理，减少结余资金；严格执行预算，保障单位日常运转，保证运转效率较高；严格执行相关规定，在招商引资、对外联络、信访维稳等方面做了大量工作，充分发挥了项目的经济效益和社会效益，保障了单位的顺利运转，为广元的经济和社会发展做出了积极贡献。</w:t>
      </w:r>
    </w:p>
    <w:p>
      <w:pPr>
        <w:widowControl/>
        <w:shd w:val="clear"/>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pStyle w:val="3"/>
        <w:numPr>
          <w:ilvl w:val="0"/>
          <w:numId w:val="5"/>
        </w:numPr>
        <w:shd w:val="clear"/>
        <w:bidi w:val="0"/>
        <w:rPr>
          <w:b/>
          <w:bCs/>
          <w:color w:val="auto"/>
          <w:highlight w:val="none"/>
        </w:rPr>
      </w:pPr>
      <w:bookmarkStart w:id="63" w:name="_Toc15396613"/>
      <w:bookmarkStart w:id="64" w:name="_Toc15377225"/>
      <w:bookmarkStart w:id="65" w:name="_Toc9779"/>
      <w:r>
        <w:rPr>
          <w:rFonts w:hint="eastAsia"/>
          <w:b/>
          <w:bCs/>
          <w:color w:val="auto"/>
          <w:highlight w:val="none"/>
        </w:rPr>
        <w:t>名词解释</w:t>
      </w:r>
      <w:bookmarkEnd w:id="63"/>
      <w:bookmarkEnd w:id="64"/>
      <w:bookmarkEnd w:id="65"/>
    </w:p>
    <w:p>
      <w:pPr>
        <w:shd w:val="clear"/>
        <w:spacing w:line="600" w:lineRule="exact"/>
        <w:jc w:val="left"/>
        <w:rPr>
          <w:rFonts w:ascii="宋体"/>
          <w:b/>
          <w:color w:val="auto"/>
          <w:sz w:val="44"/>
          <w:szCs w:val="44"/>
          <w:highlight w:val="none"/>
        </w:rPr>
      </w:pPr>
    </w:p>
    <w:p>
      <w:pPr>
        <w:pStyle w:val="29"/>
        <w:shd w:val="clear"/>
        <w:spacing w:line="560" w:lineRule="exact"/>
        <w:ind w:firstLine="560" w:firstLineChars="200"/>
        <w:rPr>
          <w:rFonts w:hint="eastAsia" w:ascii="宋体" w:hAnsi="宋体" w:eastAsia="宋体" w:cs="宋体"/>
          <w:color w:val="auto"/>
          <w:kern w:val="2"/>
          <w:sz w:val="28"/>
          <w:szCs w:val="24"/>
          <w:highlight w:val="none"/>
          <w:lang w:val="en-US" w:eastAsia="zh-CN" w:bidi="ar-SA"/>
        </w:rPr>
      </w:pPr>
      <w:r>
        <w:rPr>
          <w:rFonts w:hint="eastAsia" w:ascii="宋体" w:hAnsi="宋体" w:eastAsia="宋体" w:cs="宋体"/>
          <w:color w:val="auto"/>
          <w:kern w:val="2"/>
          <w:sz w:val="28"/>
          <w:szCs w:val="24"/>
          <w:highlight w:val="none"/>
          <w:lang w:val="en-US" w:eastAsia="zh-CN" w:bidi="ar-SA"/>
        </w:rPr>
        <w:t>1.财政拨款收入：指单位从同级财政部门取得的财政预算资金。</w:t>
      </w:r>
    </w:p>
    <w:p>
      <w:pPr>
        <w:pStyle w:val="29"/>
        <w:shd w:val="clear"/>
        <w:spacing w:line="560" w:lineRule="exact"/>
        <w:ind w:firstLine="560" w:firstLineChars="200"/>
        <w:rPr>
          <w:rFonts w:hint="eastAsia" w:ascii="宋体" w:hAnsi="宋体" w:eastAsia="宋体" w:cs="宋体"/>
          <w:color w:val="auto"/>
          <w:kern w:val="2"/>
          <w:sz w:val="28"/>
          <w:szCs w:val="24"/>
          <w:highlight w:val="none"/>
          <w:lang w:val="en-US" w:eastAsia="zh-CN" w:bidi="ar-SA"/>
        </w:rPr>
      </w:pPr>
      <w:r>
        <w:rPr>
          <w:rFonts w:hint="eastAsia" w:ascii="宋体" w:hAnsi="宋体" w:eastAsia="宋体" w:cs="宋体"/>
          <w:color w:val="auto"/>
          <w:kern w:val="2"/>
          <w:sz w:val="28"/>
          <w:szCs w:val="24"/>
          <w:highlight w:val="none"/>
          <w:lang w:val="en-US" w:eastAsia="zh-CN" w:bidi="ar-SA"/>
        </w:rPr>
        <w:t xml:space="preserve">2.年初结转和结余：指以前年度尚未完成、结转到本年按有关规定继续使用的资金。 </w:t>
      </w:r>
    </w:p>
    <w:p>
      <w:pPr>
        <w:pStyle w:val="29"/>
        <w:shd w:val="clear"/>
        <w:spacing w:line="560" w:lineRule="exact"/>
        <w:ind w:firstLine="560" w:firstLineChars="200"/>
        <w:rPr>
          <w:rFonts w:hint="eastAsia" w:ascii="宋体" w:hAnsi="宋体" w:eastAsia="宋体" w:cs="宋体"/>
          <w:color w:val="auto"/>
          <w:kern w:val="2"/>
          <w:sz w:val="28"/>
          <w:szCs w:val="24"/>
          <w:highlight w:val="none"/>
          <w:lang w:val="en-US" w:eastAsia="zh-CN" w:bidi="ar-SA"/>
        </w:rPr>
      </w:pPr>
      <w:r>
        <w:rPr>
          <w:rFonts w:hint="eastAsia" w:ascii="宋体" w:hAnsi="宋体" w:eastAsia="宋体" w:cs="宋体"/>
          <w:color w:val="auto"/>
          <w:kern w:val="2"/>
          <w:sz w:val="28"/>
          <w:szCs w:val="24"/>
          <w:highlight w:val="none"/>
          <w:lang w:val="en-US" w:eastAsia="zh-CN" w:bidi="ar-SA"/>
        </w:rPr>
        <w:t>3.年末结转和结余：指单位按有关规定结转到下年或以后年度继续使用的资金。</w:t>
      </w:r>
    </w:p>
    <w:p>
      <w:pPr>
        <w:shd w:val="clear"/>
        <w:spacing w:line="576" w:lineRule="exact"/>
        <w:ind w:firstLine="560" w:firstLineChars="200"/>
        <w:rPr>
          <w:rFonts w:hint="eastAsia" w:ascii="宋体" w:hAnsi="宋体" w:eastAsia="宋体" w:cs="宋体"/>
          <w:color w:val="auto"/>
          <w:kern w:val="2"/>
          <w:sz w:val="28"/>
          <w:szCs w:val="24"/>
          <w:highlight w:val="none"/>
          <w:lang w:val="en-US" w:eastAsia="zh-CN" w:bidi="ar-SA"/>
        </w:rPr>
      </w:pPr>
      <w:r>
        <w:rPr>
          <w:rFonts w:hint="eastAsia" w:ascii="宋体" w:hAnsi="宋体" w:eastAsia="宋体" w:cs="宋体"/>
          <w:color w:val="auto"/>
          <w:kern w:val="2"/>
          <w:sz w:val="28"/>
          <w:szCs w:val="24"/>
          <w:highlight w:val="none"/>
          <w:lang w:val="en-US" w:eastAsia="zh-CN" w:bidi="ar-SA"/>
        </w:rPr>
        <w:t>4.一般公共服务（类）政府办公厅（室）及相关机构事务（款）行政运行（项）：指为保障单位正常运行所发生的支出。</w:t>
      </w:r>
    </w:p>
    <w:p>
      <w:pPr>
        <w:shd w:val="clear"/>
        <w:spacing w:line="576" w:lineRule="exact"/>
        <w:ind w:firstLine="560" w:firstLineChars="200"/>
        <w:rPr>
          <w:rFonts w:hint="eastAsia" w:ascii="宋体" w:hAnsi="宋体" w:eastAsia="宋体" w:cs="宋体"/>
          <w:color w:val="auto"/>
          <w:kern w:val="2"/>
          <w:sz w:val="28"/>
          <w:szCs w:val="24"/>
          <w:highlight w:val="none"/>
          <w:lang w:val="en-US" w:eastAsia="zh-CN" w:bidi="ar-SA"/>
        </w:rPr>
      </w:pPr>
      <w:r>
        <w:rPr>
          <w:rFonts w:hint="eastAsia" w:ascii="宋体" w:hAnsi="宋体" w:eastAsia="宋体" w:cs="宋体"/>
          <w:color w:val="auto"/>
          <w:kern w:val="2"/>
          <w:sz w:val="28"/>
          <w:szCs w:val="24"/>
          <w:highlight w:val="none"/>
          <w:lang w:val="en-US" w:eastAsia="zh-CN" w:bidi="ar-SA"/>
        </w:rPr>
        <w:t>5.一般公共服务（类）政府办公厅（室）及相关机构事务（款）一般行政管理事务（项）：指单位开展专项工作所发生的费用。</w:t>
      </w:r>
    </w:p>
    <w:p>
      <w:pPr>
        <w:shd w:val="clear"/>
        <w:spacing w:line="576" w:lineRule="exact"/>
        <w:ind w:firstLine="560" w:firstLineChars="200"/>
        <w:rPr>
          <w:rFonts w:hint="eastAsia" w:ascii="宋体" w:hAnsi="宋体" w:eastAsia="宋体" w:cs="宋体"/>
          <w:color w:val="auto"/>
          <w:kern w:val="2"/>
          <w:sz w:val="28"/>
          <w:szCs w:val="24"/>
          <w:highlight w:val="none"/>
          <w:lang w:val="en-US" w:eastAsia="zh-CN" w:bidi="ar-SA"/>
        </w:rPr>
      </w:pPr>
      <w:r>
        <w:rPr>
          <w:rFonts w:hint="eastAsia" w:ascii="宋体" w:hAnsi="宋体" w:eastAsia="宋体" w:cs="宋体"/>
          <w:color w:val="auto"/>
          <w:kern w:val="2"/>
          <w:sz w:val="28"/>
          <w:szCs w:val="24"/>
          <w:highlight w:val="none"/>
          <w:lang w:val="en-US" w:eastAsia="zh-CN" w:bidi="ar-SA"/>
        </w:rPr>
        <w:t>6.社会保障和就业（类）行政事业单位养老支出（款）机关事业单位基本养老保险缴费支出（项）：指单位为职工缴纳的养老保险。</w:t>
      </w:r>
    </w:p>
    <w:p>
      <w:pPr>
        <w:shd w:val="clear"/>
        <w:bidi w:val="0"/>
        <w:ind w:firstLine="42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7.卫生健康（类）行政事业单位医疗（款）行政单位医疗（项）：指单位为职工缴纳的医疗保险。</w:t>
      </w:r>
    </w:p>
    <w:p>
      <w:pPr>
        <w:shd w:val="clear"/>
        <w:bidi w:val="0"/>
        <w:ind w:firstLine="42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8.住房保障（类）住房改革支出（款）住房公积金（项）：指单位为职工缴纳的住房公积金。</w:t>
      </w:r>
    </w:p>
    <w:p>
      <w:pPr>
        <w:shd w:val="clear"/>
        <w:bidi w:val="0"/>
        <w:ind w:firstLine="42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9.基本支出：指为保障机构正常运转、完成日常工作任务而发生的人员支出和公用支出。</w:t>
      </w:r>
    </w:p>
    <w:p>
      <w:pPr>
        <w:shd w:val="clear"/>
        <w:bidi w:val="0"/>
        <w:ind w:firstLine="42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 xml:space="preserve">10.项目支出：指在基本支出之外为完成特定行政任务和事业发展目标所发生的支出。 </w:t>
      </w:r>
    </w:p>
    <w:p>
      <w:pPr>
        <w:shd w:val="clear"/>
        <w:bidi w:val="0"/>
        <w:ind w:firstLine="42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11.经营支出：指事业单位在专业业务活动及其辅助活动之外开展非独立核算经营活动发生的支出。</w:t>
      </w:r>
    </w:p>
    <w:p>
      <w:pPr>
        <w:shd w:val="clear"/>
        <w:bidi w:val="0"/>
        <w:ind w:firstLine="42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12.“三公”经费：指部门用财政拨款安排的公务用车购置及运行费和公务接待费。公务用车购置及运行费反映单位公务用车车辆购置支出（含车辆购置税）及租用费、燃料费、维修费、过路过桥费、保险费等支出；公务接待费反映单位按规定开支的各类公务接待（含外宾接待）支出。</w:t>
      </w:r>
    </w:p>
    <w:p>
      <w:pPr>
        <w:shd w:val="clear"/>
        <w:bidi w:val="0"/>
        <w:ind w:firstLine="42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13.机关运行经费：为保障行政单位（含参照公务员法管理的事业单位）运行用于购买货物和服务的各项资金，包括办公费、差旅费、福利费、办公用房水电费、办公用房取暖费、办公用房物业管理费以及其他费用。</w:t>
      </w:r>
    </w:p>
    <w:p>
      <w:pPr>
        <w:shd w:val="clear"/>
        <w:ind w:firstLine="642" w:firstLineChars="200"/>
        <w:rPr>
          <w:rFonts w:ascii="仿宋" w:hAnsi="仿宋" w:eastAsia="仿宋"/>
          <w:b/>
          <w:color w:val="auto"/>
          <w:sz w:val="32"/>
          <w:szCs w:val="32"/>
          <w:highlight w:val="none"/>
        </w:rPr>
      </w:pPr>
    </w:p>
    <w:p>
      <w:pPr>
        <w:shd w:val="clear"/>
        <w:spacing w:line="600" w:lineRule="exact"/>
        <w:jc w:val="center"/>
        <w:outlineLvl w:val="9"/>
        <w:rPr>
          <w:rFonts w:ascii="宋体"/>
          <w:b/>
          <w:color w:val="auto"/>
          <w:sz w:val="44"/>
          <w:szCs w:val="44"/>
          <w:highlight w:val="none"/>
        </w:rPr>
        <w:sectPr>
          <w:footerReference r:id="rId11" w:type="default"/>
          <w:pgSz w:w="11906" w:h="16838"/>
          <w:pgMar w:top="2098" w:right="1474" w:bottom="1984" w:left="1587" w:header="851" w:footer="992" w:gutter="0"/>
          <w:pgNumType w:fmt="decimal" w:start="1"/>
          <w:cols w:space="425" w:num="1"/>
          <w:docGrid w:type="lines" w:linePitch="312" w:charSpace="0"/>
        </w:sectPr>
      </w:pPr>
      <w:bookmarkStart w:id="66" w:name="_Toc15377226"/>
    </w:p>
    <w:p>
      <w:pPr>
        <w:pStyle w:val="3"/>
        <w:shd w:val="clear"/>
        <w:bidi w:val="0"/>
        <w:rPr>
          <w:b/>
          <w:bCs/>
          <w:color w:val="auto"/>
          <w:highlight w:val="none"/>
        </w:rPr>
      </w:pPr>
      <w:bookmarkStart w:id="67" w:name="_Toc13386"/>
      <w:bookmarkStart w:id="68" w:name="_Toc15396614"/>
      <w:bookmarkStart w:id="69" w:name="_Toc15396618"/>
      <w:r>
        <w:rPr>
          <w:rFonts w:hint="eastAsia"/>
          <w:b/>
          <w:bCs/>
          <w:color w:val="auto"/>
          <w:highlight w:val="none"/>
        </w:rPr>
        <w:t>第四部分 附件</w:t>
      </w:r>
      <w:bookmarkEnd w:id="67"/>
      <w:bookmarkEnd w:id="68"/>
    </w:p>
    <w:p>
      <w:pPr>
        <w:keepNext w:val="0"/>
        <w:keepLines w:val="0"/>
        <w:pageBreakBefore w:val="0"/>
        <w:shd w:val="clear"/>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tbl>
      <w:tblPr>
        <w:tblStyle w:val="16"/>
        <w:tblW w:w="14805" w:type="dxa"/>
        <w:tblInd w:w="-40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71"/>
        <w:gridCol w:w="2017"/>
        <w:gridCol w:w="1749"/>
        <w:gridCol w:w="2226"/>
        <w:gridCol w:w="950"/>
        <w:gridCol w:w="835"/>
        <w:gridCol w:w="967"/>
        <w:gridCol w:w="1017"/>
        <w:gridCol w:w="576"/>
        <w:gridCol w:w="576"/>
        <w:gridCol w:w="27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trPr>
        <w:tc>
          <w:tcPr>
            <w:tcW w:w="1480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32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1158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32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67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广元市人民政府办公室部门</w:t>
            </w:r>
          </w:p>
        </w:tc>
        <w:tc>
          <w:tcPr>
            <w:tcW w:w="1021"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37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广元市人民政府驻北京联络处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20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67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48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20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67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严格执行相关政策，保障工资及时发放、足额发放，预算编制科学合理，减少结余资金</w:t>
            </w:r>
          </w:p>
        </w:tc>
        <w:tc>
          <w:tcPr>
            <w:tcW w:w="48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黑体" w:hAnsi="黑体" w:eastAsia="黑体" w:cs="黑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严格执行相关政策</w:t>
            </w:r>
            <w:r>
              <w:rPr>
                <w:rFonts w:hint="eastAsia" w:ascii="宋体" w:hAnsi="宋体" w:eastAsia="宋体" w:cs="宋体"/>
                <w:i w:val="0"/>
                <w:iCs w:val="0"/>
                <w:color w:val="auto"/>
                <w:kern w:val="0"/>
                <w:sz w:val="18"/>
                <w:szCs w:val="18"/>
                <w:highlight w:val="none"/>
                <w:u w:val="none"/>
                <w:lang w:val="en-US" w:eastAsia="zh-CN" w:bidi="ar"/>
              </w:rPr>
              <w:t>和规定</w:t>
            </w:r>
            <w:r>
              <w:rPr>
                <w:rFonts w:ascii="宋体" w:hAnsi="宋体" w:eastAsia="宋体" w:cs="宋体"/>
                <w:i w:val="0"/>
                <w:iCs w:val="0"/>
                <w:color w:val="auto"/>
                <w:kern w:val="0"/>
                <w:sz w:val="18"/>
                <w:szCs w:val="18"/>
                <w:highlight w:val="none"/>
                <w:u w:val="none"/>
                <w:lang w:val="en-US" w:eastAsia="zh-CN" w:bidi="ar"/>
              </w:rPr>
              <w:t>，保障工资及时发放、足额发放，预算编制科学合理，</w:t>
            </w:r>
            <w:r>
              <w:rPr>
                <w:rFonts w:hint="eastAsia" w:ascii="宋体" w:hAnsi="宋体" w:eastAsia="宋体" w:cs="宋体"/>
                <w:i w:val="0"/>
                <w:iCs w:val="0"/>
                <w:color w:val="auto"/>
                <w:kern w:val="0"/>
                <w:sz w:val="18"/>
                <w:szCs w:val="18"/>
                <w:highlight w:val="none"/>
                <w:u w:val="none"/>
                <w:lang w:val="en-US" w:eastAsia="zh-CN" w:bidi="ar"/>
              </w:rPr>
              <w:t>没有</w:t>
            </w:r>
            <w:r>
              <w:rPr>
                <w:rFonts w:ascii="宋体" w:hAnsi="宋体" w:eastAsia="宋体" w:cs="宋体"/>
                <w:i w:val="0"/>
                <w:iCs w:val="0"/>
                <w:color w:val="auto"/>
                <w:kern w:val="0"/>
                <w:sz w:val="18"/>
                <w:szCs w:val="18"/>
                <w:highlight w:val="none"/>
                <w:u w:val="none"/>
                <w:lang w:val="en-US" w:eastAsia="zh-CN" w:bidi="ar"/>
              </w:rPr>
              <w:t>结余资金</w:t>
            </w:r>
            <w:r>
              <w:rPr>
                <w:rFonts w:hint="eastAsia" w:ascii="宋体" w:hAnsi="宋体" w:eastAsia="宋体" w:cs="宋体"/>
                <w:i w:val="0"/>
                <w:iCs w:val="0"/>
                <w:color w:val="auto"/>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2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1158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default" w:ascii="宋体" w:hAnsi="宋体" w:eastAsia="宋体" w:cs="宋体"/>
                <w:i w:val="0"/>
                <w:iCs w:val="0"/>
                <w:color w:val="auto"/>
                <w:sz w:val="18"/>
                <w:szCs w:val="18"/>
                <w:highlight w:val="none"/>
                <w:u w:val="none"/>
                <w:lang w:val="en-US"/>
              </w:rPr>
            </w:pPr>
            <w:r>
              <w:rPr>
                <w:rFonts w:hint="eastAsia" w:ascii="宋体" w:hAnsi="宋体" w:eastAsia="宋体" w:cs="宋体"/>
                <w:i w:val="0"/>
                <w:iCs w:val="0"/>
                <w:color w:val="auto"/>
                <w:kern w:val="0"/>
                <w:sz w:val="18"/>
                <w:szCs w:val="18"/>
                <w:highlight w:val="none"/>
                <w:u w:val="none"/>
                <w:lang w:val="en-US" w:eastAsia="zh-CN" w:bidi="ar"/>
              </w:rPr>
              <w:t>严格执行相关政策，保障工资、绩效等及时发放、足额发放；高质量规范运用招商引资、信访维稳等工作费用，确保各项工作高效规范开展，推动了广元经济和社会又好又快发展。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11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2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27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61.30</w:t>
            </w: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74.88</w:t>
            </w:r>
          </w:p>
        </w:tc>
        <w:tc>
          <w:tcPr>
            <w:tcW w:w="27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74.66</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99.71%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27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61.30</w:t>
            </w: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74.88</w:t>
            </w:r>
          </w:p>
        </w:tc>
        <w:tc>
          <w:tcPr>
            <w:tcW w:w="27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74.66</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99.71%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7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7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7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7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7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6"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c>
          <w:tcPr>
            <w:tcW w:w="27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7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9" w:hRule="atLeast"/>
        </w:trPr>
        <w:tc>
          <w:tcPr>
            <w:tcW w:w="11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2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17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科目调整次数</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次</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22.5</w:t>
            </w:r>
          </w:p>
        </w:tc>
        <w:tc>
          <w:tcPr>
            <w:tcW w:w="2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1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足额保障率</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22,5</w:t>
            </w:r>
          </w:p>
        </w:tc>
        <w:tc>
          <w:tcPr>
            <w:tcW w:w="2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时效指标</w:t>
            </w: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按时发放率</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96</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22.5</w:t>
            </w:r>
          </w:p>
        </w:tc>
        <w:tc>
          <w:tcPr>
            <w:tcW w:w="2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经济效益指标</w:t>
            </w: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结余率（计算方法为：结余数/预算数）</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22.5</w:t>
            </w:r>
          </w:p>
        </w:tc>
        <w:tc>
          <w:tcPr>
            <w:tcW w:w="2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102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default" w:ascii="宋体" w:hAnsi="宋体" w:eastAsia="宋体" w:cs="宋体"/>
                <w:i w:val="0"/>
                <w:iCs w:val="0"/>
                <w:color w:val="auto"/>
                <w:sz w:val="18"/>
                <w:szCs w:val="18"/>
                <w:highlight w:val="none"/>
                <w:u w:val="none"/>
                <w:lang w:val="en-US"/>
              </w:rPr>
            </w:pPr>
            <w:r>
              <w:rPr>
                <w:rFonts w:hint="eastAsia" w:ascii="宋体" w:hAnsi="宋体" w:cs="宋体"/>
                <w:i w:val="0"/>
                <w:iCs w:val="0"/>
                <w:color w:val="auto"/>
                <w:kern w:val="0"/>
                <w:sz w:val="18"/>
                <w:szCs w:val="18"/>
                <w:highlight w:val="none"/>
                <w:u w:val="none"/>
                <w:lang w:val="en-US" w:eastAsia="zh-CN" w:bidi="ar"/>
              </w:rPr>
              <w:t>90</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90</w:t>
            </w:r>
          </w:p>
        </w:tc>
        <w:tc>
          <w:tcPr>
            <w:tcW w:w="2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11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136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pStyle w:val="15"/>
              <w:keepNext w:val="0"/>
              <w:keepLines w:val="0"/>
              <w:pageBreakBefore w:val="0"/>
              <w:numPr>
                <w:ilvl w:val="0"/>
                <w:numId w:val="0"/>
              </w:numPr>
              <w:shd w:val="clear"/>
              <w:kinsoku/>
              <w:wordWrap/>
              <w:overflowPunct/>
              <w:topLinePunct w:val="0"/>
              <w:autoSpaceDE/>
              <w:autoSpaceDN/>
              <w:bidi w:val="0"/>
              <w:adjustRightInd/>
              <w:snapToGrid/>
              <w:spacing w:after="0"/>
              <w:ind w:leftChars="0" w:firstLine="0" w:firstLineChars="0"/>
              <w:rPr>
                <w:rFonts w:hint="eastAsia" w:ascii="微软雅黑" w:hAnsi="微软雅黑" w:eastAsia="微软雅黑" w:cs="微软雅黑"/>
                <w:i/>
                <w:iCs/>
                <w:color w:val="auto"/>
                <w:sz w:val="16"/>
                <w:szCs w:val="16"/>
                <w:highlight w:val="none"/>
                <w:u w:val="none"/>
              </w:rPr>
            </w:pPr>
            <w:r>
              <w:rPr>
                <w:rFonts w:hint="eastAsia" w:ascii="宋体" w:hAnsi="宋体" w:eastAsia="宋体" w:cs="宋体"/>
                <w:i w:val="0"/>
                <w:iCs w:val="0"/>
                <w:color w:val="auto"/>
                <w:kern w:val="0"/>
                <w:sz w:val="18"/>
                <w:szCs w:val="18"/>
                <w:highlight w:val="none"/>
                <w:u w:val="none"/>
                <w:lang w:val="zh-CN" w:eastAsia="zh-CN" w:bidi="ar"/>
              </w:rPr>
              <w:t>严格执行财政相关政策，保障工资及时、足额发放，预算编制科学合理，减少了结余资金；立足“一联二接三服务”工作职责，加强与中央、国家部委的对接和联络，先后为广元争取“国家海绵示范城市”“青川县生态环境示范县”等项目做出了积极贡献。加强对外招商引资协助力度，加强对广元名片、“广元造”等宣传，不断提高了广元的美誉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11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136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pStyle w:val="15"/>
              <w:keepNext w:val="0"/>
              <w:keepLines w:val="0"/>
              <w:pageBreakBefore w:val="0"/>
              <w:shd w:val="clear"/>
              <w:kinsoku/>
              <w:wordWrap/>
              <w:overflowPunct/>
              <w:topLinePunct w:val="0"/>
              <w:autoSpaceDE/>
              <w:autoSpaceDN/>
              <w:bidi w:val="0"/>
              <w:adjustRightInd/>
              <w:snapToGrid/>
              <w:spacing w:after="0"/>
              <w:ind w:left="0" w:leftChars="0" w:firstLine="0" w:firstLineChars="0"/>
              <w:rPr>
                <w:rFonts w:hint="eastAsia" w:ascii="微软雅黑" w:hAnsi="微软雅黑" w:eastAsia="微软雅黑" w:cs="微软雅黑"/>
                <w:i/>
                <w:iCs/>
                <w:color w:val="auto"/>
                <w:sz w:val="16"/>
                <w:szCs w:val="16"/>
                <w:highlight w:val="none"/>
                <w:u w:val="none"/>
              </w:rPr>
            </w:pPr>
            <w:r>
              <w:rPr>
                <w:rFonts w:hint="eastAsia" w:ascii="宋体" w:hAnsi="宋体" w:eastAsia="宋体" w:cs="宋体"/>
                <w:i w:val="0"/>
                <w:iCs w:val="0"/>
                <w:color w:val="auto"/>
                <w:kern w:val="0"/>
                <w:sz w:val="18"/>
                <w:szCs w:val="18"/>
                <w:highlight w:val="none"/>
                <w:u w:val="none"/>
                <w:lang w:val="en-US" w:eastAsia="zh-CN" w:bidi="ar"/>
              </w:rPr>
              <w:t>由于本单位人员变动，相关人员未按要求到位，工作交接不顺畅，导致3-6月份工资未能按时发放。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11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136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微软雅黑" w:hAnsi="微软雅黑" w:eastAsia="微软雅黑" w:cs="微软雅黑"/>
                <w:i/>
                <w:iCs/>
                <w:color w:val="auto"/>
                <w:sz w:val="16"/>
                <w:szCs w:val="16"/>
                <w:highlight w:val="none"/>
                <w:u w:val="none"/>
              </w:rPr>
            </w:pPr>
            <w:r>
              <w:rPr>
                <w:rFonts w:hint="eastAsia" w:ascii="楷体_GB2312" w:hAnsi="楷体_GB2312" w:eastAsia="楷体_GB2312" w:cs="楷体_GB2312"/>
                <w:b w:val="0"/>
                <w:bCs w:val="0"/>
                <w:color w:val="auto"/>
                <w:kern w:val="0"/>
                <w:szCs w:val="32"/>
                <w:highlight w:val="none"/>
                <w:shd w:val="clear" w:color="auto" w:fill="FFFFFF"/>
                <w:lang w:val="en-US" w:eastAsia="zh-CN"/>
              </w:rPr>
              <w:t xml:space="preserve">  </w:t>
            </w:r>
            <w:r>
              <w:rPr>
                <w:rFonts w:hint="eastAsia" w:ascii="仿宋_GB2312" w:hAnsi="Times New Roman" w:eastAsia="宋体" w:cs="Times New Roman"/>
                <w:color w:val="auto"/>
                <w:kern w:val="2"/>
                <w:sz w:val="21"/>
                <w:szCs w:val="32"/>
                <w:highlight w:val="none"/>
                <w:lang w:val="en-US" w:eastAsia="zh-CN" w:bidi="ar-SA"/>
              </w:rPr>
              <w:t>今后的工作中，将更加严格执行相关规定，及时足额的给干部职工发放工作，保障单位的顺利运转。同时，充分发挥项目优势，推动各项工作顺利运行，确保能够发挥好更大的经济和社会效益，推动广元经济、社会又好又快的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81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default" w:ascii="黑体" w:hAnsi="黑体" w:eastAsia="黑体" w:cs="黑体"/>
                <w:i w:val="0"/>
                <w:iCs w:val="0"/>
                <w:color w:val="auto"/>
                <w:sz w:val="18"/>
                <w:szCs w:val="18"/>
                <w:highlight w:val="none"/>
                <w:u w:val="none"/>
                <w:lang w:val="en-US"/>
              </w:rPr>
            </w:pPr>
            <w:r>
              <w:rPr>
                <w:rFonts w:hint="eastAsia" w:ascii="黑体" w:hAnsi="黑体" w:eastAsia="黑体" w:cs="黑体"/>
                <w:i w:val="0"/>
                <w:iCs w:val="0"/>
                <w:color w:val="auto"/>
                <w:kern w:val="0"/>
                <w:sz w:val="18"/>
                <w:szCs w:val="18"/>
                <w:highlight w:val="none"/>
                <w:u w:val="none"/>
                <w:lang w:val="en-US" w:eastAsia="zh-CN" w:bidi="ar"/>
              </w:rPr>
              <w:t>项目负责人：石洪连</w:t>
            </w:r>
          </w:p>
        </w:tc>
        <w:tc>
          <w:tcPr>
            <w:tcW w:w="66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default" w:ascii="黑体" w:hAnsi="黑体" w:eastAsia="黑体" w:cs="黑体"/>
                <w:i w:val="0"/>
                <w:iCs w:val="0"/>
                <w:color w:val="auto"/>
                <w:sz w:val="18"/>
                <w:szCs w:val="18"/>
                <w:highlight w:val="none"/>
                <w:u w:val="none"/>
                <w:lang w:val="en-US"/>
              </w:rPr>
            </w:pPr>
            <w:r>
              <w:rPr>
                <w:rFonts w:hint="eastAsia" w:ascii="黑体" w:hAnsi="黑体" w:eastAsia="黑体" w:cs="黑体"/>
                <w:i w:val="0"/>
                <w:iCs w:val="0"/>
                <w:color w:val="auto"/>
                <w:kern w:val="0"/>
                <w:sz w:val="18"/>
                <w:szCs w:val="18"/>
                <w:highlight w:val="none"/>
                <w:u w:val="none"/>
                <w:lang w:val="en-US" w:eastAsia="zh-CN" w:bidi="ar"/>
              </w:rPr>
              <w:t>财务负责人：曹兴全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180" w:type="dxa"/>
            <w:tcBorders>
              <w:top w:val="nil"/>
              <w:left w:val="nil"/>
              <w:bottom w:val="nil"/>
              <w:right w:val="nil"/>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2038" w:type="dxa"/>
            <w:tcBorders>
              <w:top w:val="nil"/>
              <w:left w:val="nil"/>
              <w:bottom w:val="nil"/>
              <w:right w:val="nil"/>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1765" w:type="dxa"/>
            <w:tcBorders>
              <w:top w:val="nil"/>
              <w:left w:val="nil"/>
              <w:bottom w:val="nil"/>
              <w:right w:val="nil"/>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2249" w:type="dxa"/>
            <w:tcBorders>
              <w:top w:val="nil"/>
              <w:left w:val="nil"/>
              <w:bottom w:val="nil"/>
              <w:right w:val="nil"/>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958" w:type="dxa"/>
            <w:tcBorders>
              <w:top w:val="nil"/>
              <w:left w:val="nil"/>
              <w:bottom w:val="nil"/>
              <w:right w:val="nil"/>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840" w:type="dxa"/>
            <w:tcBorders>
              <w:top w:val="nil"/>
              <w:left w:val="nil"/>
              <w:bottom w:val="nil"/>
              <w:right w:val="nil"/>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975" w:type="dxa"/>
            <w:tcBorders>
              <w:top w:val="nil"/>
              <w:left w:val="nil"/>
              <w:bottom w:val="nil"/>
              <w:right w:val="nil"/>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1021" w:type="dxa"/>
            <w:tcBorders>
              <w:top w:val="nil"/>
              <w:left w:val="nil"/>
              <w:bottom w:val="nil"/>
              <w:right w:val="nil"/>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576" w:type="dxa"/>
            <w:tcBorders>
              <w:top w:val="nil"/>
              <w:left w:val="nil"/>
              <w:bottom w:val="nil"/>
              <w:right w:val="nil"/>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455" w:type="dxa"/>
            <w:tcBorders>
              <w:top w:val="nil"/>
              <w:left w:val="nil"/>
              <w:bottom w:val="nil"/>
              <w:right w:val="nil"/>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2748" w:type="dxa"/>
            <w:tcBorders>
              <w:top w:val="nil"/>
              <w:left w:val="nil"/>
              <w:bottom w:val="nil"/>
              <w:right w:val="nil"/>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r>
    </w:tbl>
    <w:p>
      <w:pPr>
        <w:keepNext w:val="0"/>
        <w:keepLines w:val="0"/>
        <w:pageBreakBefore w:val="0"/>
        <w:shd w:val="clear"/>
        <w:kinsoku/>
        <w:wordWrap/>
        <w:overflowPunct/>
        <w:topLinePunct w:val="0"/>
        <w:autoSpaceDE/>
        <w:autoSpaceDN/>
        <w:bidi w:val="0"/>
        <w:adjustRightInd/>
        <w:snapToGrid/>
        <w:spacing w:line="600" w:lineRule="exact"/>
        <w:ind w:leftChars="0" w:firstLine="0" w:firstLineChars="0"/>
        <w:jc w:val="left"/>
        <w:outlineLvl w:val="9"/>
        <w:rPr>
          <w:rFonts w:hint="eastAsia" w:ascii="仿宋_GB2312" w:hAnsi="Calibri" w:eastAsia="仿宋_GB2312" w:cs="仿宋"/>
          <w:color w:val="auto"/>
          <w:kern w:val="0"/>
          <w:sz w:val="32"/>
          <w:szCs w:val="32"/>
          <w:highlight w:val="none"/>
          <w:lang w:val="en-US" w:eastAsia="zh-CN" w:bidi="ar-SA"/>
        </w:rPr>
      </w:pPr>
    </w:p>
    <w:p>
      <w:pPr>
        <w:pStyle w:val="2"/>
        <w:keepNext w:val="0"/>
        <w:keepLines w:val="0"/>
        <w:pageBreakBefore w:val="0"/>
        <w:shd w:val="clear"/>
        <w:kinsoku/>
        <w:wordWrap/>
        <w:overflowPunct/>
        <w:topLinePunct w:val="0"/>
        <w:autoSpaceDE/>
        <w:autoSpaceDN/>
        <w:bidi w:val="0"/>
        <w:adjustRightInd/>
        <w:snapToGrid/>
        <w:spacing w:beforeLines="0"/>
        <w:ind w:leftChars="0" w:firstLine="0" w:firstLineChars="0"/>
        <w:rPr>
          <w:rFonts w:hint="eastAsia" w:ascii="仿宋_GB2312" w:hAnsi="Calibri" w:eastAsia="仿宋_GB2312" w:cs="仿宋"/>
          <w:color w:val="auto"/>
          <w:kern w:val="0"/>
          <w:sz w:val="32"/>
          <w:szCs w:val="32"/>
          <w:highlight w:val="none"/>
          <w:lang w:val="en-US" w:eastAsia="zh-CN" w:bidi="ar-SA"/>
        </w:rPr>
      </w:pPr>
    </w:p>
    <w:p>
      <w:pPr>
        <w:pStyle w:val="2"/>
        <w:keepNext w:val="0"/>
        <w:keepLines w:val="0"/>
        <w:pageBreakBefore w:val="0"/>
        <w:shd w:val="clear"/>
        <w:kinsoku/>
        <w:wordWrap/>
        <w:overflowPunct/>
        <w:topLinePunct w:val="0"/>
        <w:autoSpaceDE/>
        <w:autoSpaceDN/>
        <w:bidi w:val="0"/>
        <w:adjustRightInd/>
        <w:snapToGrid/>
        <w:spacing w:beforeLines="0"/>
        <w:ind w:leftChars="0" w:firstLine="0" w:firstLineChars="0"/>
        <w:rPr>
          <w:rFonts w:hint="eastAsia" w:ascii="仿宋_GB2312" w:hAnsi="Calibri" w:eastAsia="仿宋_GB2312" w:cs="仿宋"/>
          <w:color w:val="auto"/>
          <w:kern w:val="0"/>
          <w:sz w:val="32"/>
          <w:szCs w:val="32"/>
          <w:highlight w:val="none"/>
          <w:lang w:val="en-US" w:eastAsia="zh-CN" w:bidi="ar-SA"/>
        </w:rPr>
      </w:pPr>
    </w:p>
    <w:p>
      <w:pPr>
        <w:pStyle w:val="2"/>
        <w:keepNext w:val="0"/>
        <w:keepLines w:val="0"/>
        <w:pageBreakBefore w:val="0"/>
        <w:shd w:val="clear"/>
        <w:kinsoku/>
        <w:wordWrap/>
        <w:overflowPunct/>
        <w:topLinePunct w:val="0"/>
        <w:autoSpaceDE/>
        <w:autoSpaceDN/>
        <w:bidi w:val="0"/>
        <w:adjustRightInd/>
        <w:snapToGrid/>
        <w:spacing w:beforeLines="0"/>
        <w:ind w:leftChars="0" w:firstLine="0" w:firstLineChars="0"/>
        <w:rPr>
          <w:rFonts w:hint="eastAsia" w:ascii="仿宋_GB2312" w:hAnsi="Calibri" w:eastAsia="仿宋_GB2312" w:cs="仿宋"/>
          <w:color w:val="auto"/>
          <w:kern w:val="0"/>
          <w:sz w:val="32"/>
          <w:szCs w:val="32"/>
          <w:highlight w:val="none"/>
          <w:lang w:val="en-US" w:eastAsia="zh-CN" w:bidi="ar-SA"/>
        </w:rPr>
      </w:pPr>
    </w:p>
    <w:p>
      <w:pPr>
        <w:pStyle w:val="2"/>
        <w:keepNext w:val="0"/>
        <w:keepLines w:val="0"/>
        <w:pageBreakBefore w:val="0"/>
        <w:shd w:val="clear"/>
        <w:kinsoku/>
        <w:wordWrap/>
        <w:overflowPunct/>
        <w:topLinePunct w:val="0"/>
        <w:autoSpaceDE/>
        <w:autoSpaceDN/>
        <w:bidi w:val="0"/>
        <w:adjustRightInd/>
        <w:snapToGrid/>
        <w:spacing w:beforeLines="0"/>
        <w:ind w:leftChars="0" w:firstLine="0" w:firstLineChars="0"/>
        <w:rPr>
          <w:rFonts w:hint="eastAsia" w:ascii="仿宋_GB2312" w:hAnsi="Calibri" w:eastAsia="仿宋_GB2312" w:cs="仿宋"/>
          <w:color w:val="auto"/>
          <w:kern w:val="0"/>
          <w:sz w:val="32"/>
          <w:szCs w:val="32"/>
          <w:highlight w:val="none"/>
          <w:lang w:val="en-US" w:eastAsia="zh-CN" w:bidi="ar-SA"/>
        </w:rPr>
      </w:pPr>
    </w:p>
    <w:tbl>
      <w:tblPr>
        <w:tblStyle w:val="16"/>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1"/>
        <w:gridCol w:w="2012"/>
        <w:gridCol w:w="1743"/>
        <w:gridCol w:w="2236"/>
        <w:gridCol w:w="518"/>
        <w:gridCol w:w="1645"/>
        <w:gridCol w:w="518"/>
        <w:gridCol w:w="1084"/>
        <w:gridCol w:w="576"/>
        <w:gridCol w:w="576"/>
        <w:gridCol w:w="25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51000021Y000000011490-定额公用经费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广元市人民政府办公室部门</w:t>
            </w:r>
          </w:p>
        </w:tc>
        <w:tc>
          <w:tcPr>
            <w:tcW w:w="1091"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广元市人民政府驻北京联络处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保障单位日常运转，提高预算编制质量，严格执行预算</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default" w:ascii="黑体" w:hAnsi="黑体" w:eastAsia="黑体" w:cs="黑体"/>
                <w:i w:val="0"/>
                <w:iCs w:val="0"/>
                <w:color w:val="auto"/>
                <w:sz w:val="18"/>
                <w:szCs w:val="18"/>
                <w:highlight w:val="none"/>
                <w:u w:val="none"/>
                <w:lang w:val="en-US"/>
              </w:rPr>
            </w:pPr>
            <w:r>
              <w:rPr>
                <w:rFonts w:hint="eastAsia" w:ascii="黑体" w:hAnsi="黑体" w:eastAsia="黑体" w:cs="黑体"/>
                <w:i w:val="0"/>
                <w:iCs w:val="0"/>
                <w:color w:val="auto"/>
                <w:kern w:val="0"/>
                <w:sz w:val="18"/>
                <w:szCs w:val="18"/>
                <w:highlight w:val="none"/>
                <w:u w:val="none"/>
                <w:lang w:val="en-US" w:eastAsia="zh-CN" w:bidi="ar"/>
              </w:rPr>
              <w:t>严格执行预算和相关规定，确保单位日常工作高效运转，推动各项工作有序开展。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本单位的日常办公设施设备的采购等。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4.50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4.48</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4.48</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4.50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4.48</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4.48</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预算编制准确率（计算方法为：∣（执行数-预算数）/预算数∣）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经济效益指标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运转保障率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“三公经费”控制率[计算方法为：（三公经费实际支出数/预算安排数]×100%）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default" w:ascii="宋体" w:hAnsi="宋体" w:eastAsia="宋体" w:cs="宋体"/>
                <w:i w:val="0"/>
                <w:iCs w:val="0"/>
                <w:color w:val="auto"/>
                <w:sz w:val="18"/>
                <w:szCs w:val="18"/>
                <w:highlight w:val="none"/>
                <w:u w:val="none"/>
                <w:lang w:val="en-US"/>
              </w:rPr>
            </w:pPr>
            <w:r>
              <w:rPr>
                <w:rFonts w:hint="eastAsia" w:ascii="宋体" w:hAnsi="宋体" w:cs="宋体"/>
                <w:i w:val="0"/>
                <w:iCs w:val="0"/>
                <w:color w:val="auto"/>
                <w:kern w:val="0"/>
                <w:sz w:val="18"/>
                <w:szCs w:val="18"/>
                <w:highlight w:val="none"/>
                <w:u w:val="none"/>
                <w:lang w:val="en-US" w:eastAsia="zh-CN" w:bidi="ar"/>
              </w:rPr>
              <w:t>90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90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pStyle w:val="15"/>
              <w:keepNext w:val="0"/>
              <w:keepLines w:val="0"/>
              <w:pageBreakBefore w:val="0"/>
              <w:numPr>
                <w:ilvl w:val="0"/>
                <w:numId w:val="0"/>
              </w:numPr>
              <w:shd w:val="clear"/>
              <w:kinsoku/>
              <w:wordWrap/>
              <w:overflowPunct/>
              <w:topLinePunct w:val="0"/>
              <w:autoSpaceDE/>
              <w:autoSpaceDN/>
              <w:bidi w:val="0"/>
              <w:adjustRightInd/>
              <w:snapToGrid/>
              <w:spacing w:after="0"/>
              <w:ind w:leftChars="0" w:firstLine="0" w:firstLineChars="0"/>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严格执行了党政机关“过紧日子”十三条措施，保障了单位的日常运转。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加强资金监管和相关规定的执行，确保资金发挥更好的作用。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default" w:ascii="黑体" w:hAnsi="黑体" w:eastAsia="黑体" w:cs="黑体"/>
                <w:i w:val="0"/>
                <w:iCs w:val="0"/>
                <w:color w:val="auto"/>
                <w:sz w:val="18"/>
                <w:szCs w:val="18"/>
                <w:highlight w:val="none"/>
                <w:u w:val="none"/>
                <w:lang w:val="en-US"/>
              </w:rPr>
            </w:pPr>
            <w:r>
              <w:rPr>
                <w:rFonts w:hint="eastAsia" w:ascii="黑体" w:hAnsi="黑体" w:eastAsia="黑体" w:cs="黑体"/>
                <w:i w:val="0"/>
                <w:iCs w:val="0"/>
                <w:color w:val="auto"/>
                <w:kern w:val="0"/>
                <w:sz w:val="18"/>
                <w:szCs w:val="18"/>
                <w:highlight w:val="none"/>
                <w:u w:val="none"/>
                <w:lang w:val="en-US" w:eastAsia="zh-CN" w:bidi="ar"/>
              </w:rPr>
              <w:t>项目负责人：石洪连</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default" w:ascii="黑体" w:hAnsi="黑体" w:eastAsia="黑体" w:cs="黑体"/>
                <w:i w:val="0"/>
                <w:iCs w:val="0"/>
                <w:color w:val="auto"/>
                <w:sz w:val="18"/>
                <w:szCs w:val="18"/>
                <w:highlight w:val="none"/>
                <w:u w:val="none"/>
                <w:lang w:val="en-US"/>
              </w:rPr>
            </w:pPr>
            <w:r>
              <w:rPr>
                <w:rFonts w:hint="eastAsia" w:ascii="黑体" w:hAnsi="黑体" w:eastAsia="黑体" w:cs="黑体"/>
                <w:i w:val="0"/>
                <w:iCs w:val="0"/>
                <w:color w:val="auto"/>
                <w:kern w:val="0"/>
                <w:sz w:val="18"/>
                <w:szCs w:val="18"/>
                <w:highlight w:val="none"/>
                <w:u w:val="none"/>
                <w:lang w:val="en-US" w:eastAsia="zh-CN" w:bidi="ar"/>
              </w:rPr>
              <w:t>财务负责人： 曹兴全</w:t>
            </w:r>
          </w:p>
        </w:tc>
      </w:tr>
    </w:tbl>
    <w:p>
      <w:pPr>
        <w:pStyle w:val="2"/>
        <w:keepNext w:val="0"/>
        <w:keepLines w:val="0"/>
        <w:pageBreakBefore w:val="0"/>
        <w:shd w:val="clear"/>
        <w:kinsoku/>
        <w:wordWrap/>
        <w:overflowPunct/>
        <w:topLinePunct w:val="0"/>
        <w:autoSpaceDE/>
        <w:autoSpaceDN/>
        <w:bidi w:val="0"/>
        <w:adjustRightInd/>
        <w:snapToGrid/>
        <w:spacing w:beforeLines="0"/>
        <w:ind w:leftChars="0" w:firstLine="0" w:firstLineChars="0"/>
        <w:rPr>
          <w:rFonts w:hint="eastAsia" w:ascii="仿宋_GB2312" w:hAnsi="Calibri" w:eastAsia="仿宋_GB2312" w:cs="仿宋"/>
          <w:color w:val="auto"/>
          <w:kern w:val="0"/>
          <w:sz w:val="32"/>
          <w:szCs w:val="32"/>
          <w:highlight w:val="none"/>
          <w:lang w:val="en-US" w:eastAsia="zh-CN" w:bidi="ar-SA"/>
        </w:rPr>
      </w:pPr>
    </w:p>
    <w:p>
      <w:pPr>
        <w:pStyle w:val="2"/>
        <w:keepNext w:val="0"/>
        <w:keepLines w:val="0"/>
        <w:pageBreakBefore w:val="0"/>
        <w:shd w:val="clear"/>
        <w:kinsoku/>
        <w:wordWrap/>
        <w:overflowPunct/>
        <w:topLinePunct w:val="0"/>
        <w:autoSpaceDE/>
        <w:autoSpaceDN/>
        <w:bidi w:val="0"/>
        <w:adjustRightInd/>
        <w:snapToGrid/>
        <w:spacing w:beforeLines="0"/>
        <w:ind w:leftChars="0" w:firstLine="0" w:firstLineChars="0"/>
        <w:rPr>
          <w:rFonts w:hint="eastAsia" w:ascii="仿宋_GB2312" w:hAnsi="Calibri" w:eastAsia="仿宋_GB2312" w:cs="仿宋"/>
          <w:color w:val="auto"/>
          <w:kern w:val="0"/>
          <w:sz w:val="32"/>
          <w:szCs w:val="32"/>
          <w:highlight w:val="none"/>
          <w:lang w:val="en-US" w:eastAsia="zh-CN" w:bidi="ar-SA"/>
        </w:rPr>
      </w:pPr>
    </w:p>
    <w:tbl>
      <w:tblPr>
        <w:tblStyle w:val="16"/>
        <w:tblW w:w="1410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1"/>
        <w:gridCol w:w="2011"/>
        <w:gridCol w:w="1746"/>
        <w:gridCol w:w="2234"/>
        <w:gridCol w:w="517"/>
        <w:gridCol w:w="1649"/>
        <w:gridCol w:w="517"/>
        <w:gridCol w:w="1084"/>
        <w:gridCol w:w="576"/>
        <w:gridCol w:w="576"/>
        <w:gridCol w:w="2508"/>
        <w:gridCol w:w="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 w:type="dxa"/>
          <w:trHeight w:val="65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 w:type="dxa"/>
          <w:trHeight w:val="286" w:hRule="atLeast"/>
        </w:trPr>
        <w:tc>
          <w:tcPr>
            <w:tcW w:w="2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113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51080021T000000081334-招商引资、流动党员活动、维稳、房屋租赁、驻外人员生活补助、职工房租补助经费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 w:type="dxa"/>
          <w:trHeight w:val="512" w:hRule="atLeast"/>
        </w:trPr>
        <w:tc>
          <w:tcPr>
            <w:tcW w:w="2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67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广元市人民政府办公室部门</w:t>
            </w:r>
          </w:p>
        </w:tc>
        <w:tc>
          <w:tcPr>
            <w:tcW w:w="1091"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35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广元市人民政府驻北京联络处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 w:type="dxa"/>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67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 w:type="dxa"/>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67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　招商引资、对外联络、宣传广元、扩大广元知名度</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立足“一联二接三服务”工作职责，加强与中央、国家部委的对接和联络，为广元发展做出了积极贡献。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 w:type="dxa"/>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113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主要用于单位办公费用、水电费、差旅费和公务接待费，需要时支出，保证运转率。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 w:type="dxa"/>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 w:type="dxa"/>
          <w:trHeight w:val="38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165.70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165.70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145.70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87.93%</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9</w:t>
            </w:r>
          </w:p>
        </w:tc>
        <w:tc>
          <w:tcPr>
            <w:tcW w:w="2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 w:type="dxa"/>
          <w:trHeight w:val="43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165.70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165.70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145.70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87.93%</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 w:type="dxa"/>
          <w:trHeight w:val="4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 w:type="dxa"/>
          <w:trHeight w:val="4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 w:type="dxa"/>
          <w:trHeight w:val="37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 w:type="dxa"/>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 w:type="dxa"/>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流动党员学习、活动、联谊</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4</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 w:type="dxa"/>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举办招商引资会</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4</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 w:type="dxa"/>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质量指标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重点项目资金跟踪</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优良中低差</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 w:type="dxa"/>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重点项目跟踪</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优良中低差</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 w:type="dxa"/>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时效指标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项目完成时间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5</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 w:type="dxa"/>
          <w:trHeight w:val="904"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成本指标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政府商务联络；农民工服务；招商引资；房屋租赁；对外宣传推荐；驻外补贴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165.7</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165.7</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 w:type="dxa"/>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经济效益指标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通过举办招商引资和交流活动，带动经济效益</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好坏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 w:type="dxa"/>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社会效益指标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提升广元知名度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优良中低差</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良</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 w:type="dxa"/>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可持续影响指标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重点项目跟踪</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 w:type="dxa"/>
          <w:trHeight w:val="67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服务对象满意度指标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主管部门满意度；驻京流动党员满意度；农民满意度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98</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5</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 w:type="dxa"/>
          <w:trHeight w:val="286" w:hRule="atLeast"/>
        </w:trPr>
        <w:tc>
          <w:tcPr>
            <w:tcW w:w="10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default" w:ascii="宋体" w:hAnsi="宋体" w:eastAsia="宋体" w:cs="宋体"/>
                <w:i w:val="0"/>
                <w:iCs w:val="0"/>
                <w:color w:val="auto"/>
                <w:sz w:val="18"/>
                <w:szCs w:val="18"/>
                <w:highlight w:val="none"/>
                <w:u w:val="none"/>
                <w:lang w:val="en-US"/>
              </w:rPr>
            </w:pPr>
            <w:r>
              <w:rPr>
                <w:rFonts w:hint="eastAsia" w:ascii="宋体" w:hAnsi="宋体" w:cs="宋体"/>
                <w:i w:val="0"/>
                <w:iCs w:val="0"/>
                <w:color w:val="auto"/>
                <w:kern w:val="0"/>
                <w:sz w:val="18"/>
                <w:szCs w:val="18"/>
                <w:highlight w:val="none"/>
                <w:u w:val="none"/>
                <w:lang w:val="en-US" w:eastAsia="zh-CN" w:bidi="ar"/>
              </w:rPr>
              <w:t>90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90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 w:type="dxa"/>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立足“一联二接三服务”工作职责，加强与中央、国家部委的对接和联络，先后为广元争取“国家海绵示范城市”“青川县生态环境示范县”等项目做出了积极贡献。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 w:type="dxa"/>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 w:type="dxa"/>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 w:type="dxa"/>
          <w:trHeight w:val="286" w:hRule="atLeast"/>
        </w:trPr>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default" w:ascii="黑体" w:hAnsi="黑体" w:eastAsia="黑体" w:cs="黑体"/>
                <w:i w:val="0"/>
                <w:iCs w:val="0"/>
                <w:color w:val="auto"/>
                <w:sz w:val="18"/>
                <w:szCs w:val="18"/>
                <w:highlight w:val="none"/>
                <w:u w:val="none"/>
                <w:lang w:val="en-US"/>
              </w:rPr>
            </w:pPr>
            <w:r>
              <w:rPr>
                <w:rFonts w:hint="eastAsia" w:ascii="黑体" w:hAnsi="黑体" w:eastAsia="黑体" w:cs="黑体"/>
                <w:i w:val="0"/>
                <w:iCs w:val="0"/>
                <w:color w:val="auto"/>
                <w:kern w:val="0"/>
                <w:sz w:val="18"/>
                <w:szCs w:val="18"/>
                <w:highlight w:val="none"/>
                <w:u w:val="none"/>
                <w:lang w:val="en-US" w:eastAsia="zh-CN" w:bidi="ar"/>
              </w:rPr>
              <w:t>项目负责人：石洪连</w:t>
            </w:r>
          </w:p>
        </w:tc>
        <w:tc>
          <w:tcPr>
            <w:tcW w:w="68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财务负责人：曹兴全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103"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1136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广元市人民政府办公室部门</w:t>
            </w:r>
          </w:p>
        </w:tc>
        <w:tc>
          <w:tcPr>
            <w:tcW w:w="1091"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35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广元市人民政府驻北京联络处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7"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46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保障单位日常运转，提高预算编制质量，严格执行预算</w:t>
            </w:r>
          </w:p>
        </w:tc>
        <w:tc>
          <w:tcPr>
            <w:tcW w:w="46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严格执行了党政机关“过紧日子”十三条措施，保障了单位的日常运转，保障了干部职工的基本福利。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1136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lang w:eastAsia="zh-CN"/>
              </w:rPr>
            </w:pPr>
            <w:r>
              <w:rPr>
                <w:rFonts w:hint="eastAsia" w:ascii="宋体" w:hAnsi="宋体" w:eastAsia="宋体" w:cs="宋体"/>
                <w:i w:val="0"/>
                <w:iCs w:val="0"/>
                <w:color w:val="auto"/>
                <w:sz w:val="18"/>
                <w:szCs w:val="18"/>
                <w:highlight w:val="none"/>
                <w:u w:val="none"/>
              </w:rPr>
              <w:t>主要用于单位职工的福利费、党建经费及其他交通费用</w:t>
            </w:r>
            <w:r>
              <w:rPr>
                <w:rFonts w:hint="eastAsia" w:ascii="宋体" w:hAnsi="宋体" w:cs="宋体"/>
                <w:i w:val="0"/>
                <w:iCs w:val="0"/>
                <w:color w:val="auto"/>
                <w:sz w:val="18"/>
                <w:szCs w:val="18"/>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4"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5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7.01</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7.01</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7.01</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255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7.01</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7.01</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7.01</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55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55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55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55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5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22.5</w:t>
            </w:r>
          </w:p>
        </w:tc>
        <w:tc>
          <w:tcPr>
            <w:tcW w:w="25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预算编制准确率（计算方法为：∣（执行数-预算数）/预算数∣）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22.5</w:t>
            </w:r>
          </w:p>
        </w:tc>
        <w:tc>
          <w:tcPr>
            <w:tcW w:w="25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经济效益指标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运转保障率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22.5</w:t>
            </w:r>
          </w:p>
        </w:tc>
        <w:tc>
          <w:tcPr>
            <w:tcW w:w="25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“三公经费”控制率[计算方法为：（三公经费实际支出数/预算安排数]×100%）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22.5</w:t>
            </w:r>
          </w:p>
        </w:tc>
        <w:tc>
          <w:tcPr>
            <w:tcW w:w="25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default" w:ascii="宋体" w:hAnsi="宋体" w:eastAsia="宋体" w:cs="宋体"/>
                <w:i w:val="0"/>
                <w:iCs w:val="0"/>
                <w:color w:val="auto"/>
                <w:sz w:val="18"/>
                <w:szCs w:val="18"/>
                <w:highlight w:val="none"/>
                <w:u w:val="none"/>
                <w:lang w:val="en-US"/>
              </w:rPr>
            </w:pPr>
            <w:r>
              <w:rPr>
                <w:rFonts w:hint="eastAsia" w:ascii="宋体" w:hAnsi="宋体" w:cs="宋体"/>
                <w:i w:val="0"/>
                <w:iCs w:val="0"/>
                <w:color w:val="auto"/>
                <w:kern w:val="0"/>
                <w:sz w:val="18"/>
                <w:szCs w:val="18"/>
                <w:highlight w:val="none"/>
                <w:u w:val="none"/>
                <w:lang w:val="en-US" w:eastAsia="zh-CN" w:bidi="ar"/>
              </w:rPr>
              <w:t>90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90</w:t>
            </w:r>
          </w:p>
        </w:tc>
        <w:tc>
          <w:tcPr>
            <w:tcW w:w="25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13419"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严格执行了党政机关“过紧日子”十三条措施，保障了单位的日常运转，保障了干部职工的基本福利。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13419"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13419"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default" w:ascii="黑体" w:hAnsi="黑体" w:eastAsia="黑体" w:cs="黑体"/>
                <w:i w:val="0"/>
                <w:iCs w:val="0"/>
                <w:color w:val="auto"/>
                <w:sz w:val="18"/>
                <w:szCs w:val="18"/>
                <w:highlight w:val="none"/>
                <w:u w:val="none"/>
                <w:lang w:val="en-US"/>
              </w:rPr>
            </w:pPr>
            <w:r>
              <w:rPr>
                <w:rFonts w:hint="eastAsia" w:ascii="黑体" w:hAnsi="黑体" w:eastAsia="黑体" w:cs="黑体"/>
                <w:i w:val="0"/>
                <w:iCs w:val="0"/>
                <w:color w:val="auto"/>
                <w:kern w:val="0"/>
                <w:sz w:val="18"/>
                <w:szCs w:val="18"/>
                <w:highlight w:val="none"/>
                <w:u w:val="none"/>
                <w:lang w:val="en-US" w:eastAsia="zh-CN" w:bidi="ar"/>
              </w:rPr>
              <w:t>项目负责人：石洪连</w:t>
            </w:r>
          </w:p>
        </w:tc>
        <w:tc>
          <w:tcPr>
            <w:tcW w:w="680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财务负责人：曹兴全</w:t>
            </w:r>
          </w:p>
        </w:tc>
      </w:tr>
    </w:tbl>
    <w:p>
      <w:pPr>
        <w:pStyle w:val="2"/>
        <w:keepNext w:val="0"/>
        <w:keepLines w:val="0"/>
        <w:pageBreakBefore w:val="0"/>
        <w:shd w:val="clear"/>
        <w:kinsoku/>
        <w:wordWrap/>
        <w:overflowPunct/>
        <w:topLinePunct w:val="0"/>
        <w:autoSpaceDE/>
        <w:autoSpaceDN/>
        <w:bidi w:val="0"/>
        <w:adjustRightInd/>
        <w:snapToGrid/>
        <w:spacing w:beforeLines="0"/>
        <w:ind w:leftChars="0" w:firstLine="0" w:firstLineChars="0"/>
        <w:rPr>
          <w:rFonts w:hint="eastAsia" w:ascii="仿宋_GB2312" w:hAnsi="Calibri" w:eastAsia="仿宋_GB2312" w:cs="仿宋"/>
          <w:color w:val="auto"/>
          <w:kern w:val="0"/>
          <w:sz w:val="32"/>
          <w:szCs w:val="32"/>
          <w:highlight w:val="none"/>
          <w:lang w:val="en-US" w:eastAsia="zh-CN" w:bidi="ar-SA"/>
        </w:rPr>
      </w:pPr>
    </w:p>
    <w:p>
      <w:pPr>
        <w:pStyle w:val="2"/>
        <w:keepNext w:val="0"/>
        <w:keepLines w:val="0"/>
        <w:pageBreakBefore w:val="0"/>
        <w:shd w:val="clear"/>
        <w:kinsoku/>
        <w:wordWrap/>
        <w:overflowPunct/>
        <w:topLinePunct w:val="0"/>
        <w:autoSpaceDE/>
        <w:autoSpaceDN/>
        <w:bidi w:val="0"/>
        <w:adjustRightInd/>
        <w:snapToGrid/>
        <w:spacing w:beforeLines="0"/>
        <w:ind w:leftChars="0" w:firstLine="0" w:firstLineChars="0"/>
        <w:rPr>
          <w:rFonts w:hint="eastAsia" w:ascii="仿宋_GB2312" w:hAnsi="Calibri" w:eastAsia="仿宋_GB2312" w:cs="仿宋"/>
          <w:color w:val="auto"/>
          <w:kern w:val="0"/>
          <w:sz w:val="32"/>
          <w:szCs w:val="32"/>
          <w:highlight w:val="none"/>
          <w:lang w:val="en-US" w:eastAsia="zh-CN" w:bidi="ar-SA"/>
        </w:rPr>
      </w:pPr>
    </w:p>
    <w:tbl>
      <w:tblPr>
        <w:tblStyle w:val="16"/>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4"/>
        <w:gridCol w:w="2051"/>
        <w:gridCol w:w="1775"/>
        <w:gridCol w:w="2263"/>
        <w:gridCol w:w="521"/>
        <w:gridCol w:w="1677"/>
        <w:gridCol w:w="521"/>
        <w:gridCol w:w="1091"/>
        <w:gridCol w:w="505"/>
        <w:gridCol w:w="456"/>
        <w:gridCol w:w="25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1" w:hRule="atLeast"/>
        </w:trPr>
        <w:tc>
          <w:tcPr>
            <w:tcW w:w="2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113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51080022T000007175993-购置公务用车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trPr>
        <w:tc>
          <w:tcPr>
            <w:tcW w:w="2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67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广元市人民政府办公室部门</w:t>
            </w:r>
          </w:p>
        </w:tc>
        <w:tc>
          <w:tcPr>
            <w:tcW w:w="1091"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35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广元市人民政府驻北京联络处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7"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67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67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保证本单位工作顺利开展，保证运转效率。</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2022年10月份购置一辆公务用车，保证了本单位工作顺利开展，保证运转效率。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113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经过主管部门和市财政局的监督、指导和督促最终购置备了公务用车1辆。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3"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25.00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25.00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2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25.00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25.00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购置数量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项</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3项</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质量指标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车辆配置及装饰质量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优良中低差</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时效指标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购买完成时限</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2022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年</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 xml:space="preserve">2022年 </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日常确保用车安全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长期保障</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长期保障</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可持续影响指标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使用时间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高中低</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服务对象满意度指标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使用人员满意度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成本指标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经济成本指标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购买价格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8</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8万元</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0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default" w:ascii="宋体" w:hAnsi="宋体" w:eastAsia="宋体" w:cs="宋体"/>
                <w:i w:val="0"/>
                <w:iCs w:val="0"/>
                <w:color w:val="auto"/>
                <w:sz w:val="18"/>
                <w:szCs w:val="18"/>
                <w:highlight w:val="none"/>
                <w:u w:val="none"/>
                <w:lang w:val="en-US"/>
              </w:rPr>
            </w:pPr>
            <w:r>
              <w:rPr>
                <w:rFonts w:hint="eastAsia" w:ascii="宋体" w:hAnsi="宋体" w:cs="宋体"/>
                <w:i w:val="0"/>
                <w:iCs w:val="0"/>
                <w:color w:val="auto"/>
                <w:kern w:val="0"/>
                <w:sz w:val="18"/>
                <w:szCs w:val="18"/>
                <w:highlight w:val="none"/>
                <w:u w:val="none"/>
                <w:lang w:val="en-US" w:eastAsia="zh-CN" w:bidi="ar"/>
              </w:rPr>
              <w:t>90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90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严格按照规定，未超标准配车，并保障了单位的顺利运转。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default" w:ascii="黑体" w:hAnsi="黑体" w:eastAsia="黑体" w:cs="黑体"/>
                <w:i w:val="0"/>
                <w:iCs w:val="0"/>
                <w:color w:val="auto"/>
                <w:sz w:val="18"/>
                <w:szCs w:val="18"/>
                <w:highlight w:val="none"/>
                <w:u w:val="none"/>
                <w:lang w:val="en-US"/>
              </w:rPr>
            </w:pPr>
            <w:r>
              <w:rPr>
                <w:rFonts w:hint="eastAsia" w:ascii="黑体" w:hAnsi="黑体" w:eastAsia="黑体" w:cs="黑体"/>
                <w:i w:val="0"/>
                <w:iCs w:val="0"/>
                <w:color w:val="auto"/>
                <w:kern w:val="0"/>
                <w:sz w:val="18"/>
                <w:szCs w:val="18"/>
                <w:highlight w:val="none"/>
                <w:u w:val="none"/>
                <w:lang w:val="en-US" w:eastAsia="zh-CN" w:bidi="ar"/>
              </w:rPr>
              <w:t>项目负责人：石洪连</w:t>
            </w:r>
          </w:p>
        </w:tc>
        <w:tc>
          <w:tcPr>
            <w:tcW w:w="68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财务负责人：曹兴全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2051" w:type="dxa"/>
            <w:tcBorders>
              <w:top w:val="nil"/>
              <w:left w:val="nil"/>
              <w:bottom w:val="nil"/>
              <w:right w:val="nil"/>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1775" w:type="dxa"/>
            <w:tcBorders>
              <w:top w:val="nil"/>
              <w:left w:val="nil"/>
              <w:bottom w:val="nil"/>
              <w:right w:val="nil"/>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2263" w:type="dxa"/>
            <w:tcBorders>
              <w:top w:val="nil"/>
              <w:left w:val="nil"/>
              <w:bottom w:val="nil"/>
              <w:right w:val="nil"/>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521" w:type="dxa"/>
            <w:tcBorders>
              <w:top w:val="nil"/>
              <w:left w:val="nil"/>
              <w:bottom w:val="nil"/>
              <w:right w:val="nil"/>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1677" w:type="dxa"/>
            <w:tcBorders>
              <w:top w:val="nil"/>
              <w:left w:val="nil"/>
              <w:bottom w:val="nil"/>
              <w:right w:val="nil"/>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521" w:type="dxa"/>
            <w:tcBorders>
              <w:top w:val="nil"/>
              <w:left w:val="nil"/>
              <w:bottom w:val="nil"/>
              <w:right w:val="nil"/>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1091" w:type="dxa"/>
            <w:tcBorders>
              <w:top w:val="nil"/>
              <w:left w:val="nil"/>
              <w:bottom w:val="nil"/>
              <w:right w:val="nil"/>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505" w:type="dxa"/>
            <w:tcBorders>
              <w:top w:val="nil"/>
              <w:left w:val="nil"/>
              <w:bottom w:val="nil"/>
              <w:right w:val="nil"/>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456" w:type="dxa"/>
            <w:tcBorders>
              <w:top w:val="nil"/>
              <w:left w:val="nil"/>
              <w:bottom w:val="nil"/>
              <w:right w:val="nil"/>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2556" w:type="dxa"/>
            <w:tcBorders>
              <w:top w:val="nil"/>
              <w:left w:val="nil"/>
              <w:bottom w:val="nil"/>
              <w:right w:val="nil"/>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r>
    </w:tbl>
    <w:p>
      <w:pPr>
        <w:pStyle w:val="2"/>
        <w:keepNext w:val="0"/>
        <w:keepLines w:val="0"/>
        <w:pageBreakBefore w:val="0"/>
        <w:shd w:val="clear"/>
        <w:kinsoku/>
        <w:wordWrap/>
        <w:overflowPunct/>
        <w:topLinePunct w:val="0"/>
        <w:autoSpaceDE/>
        <w:autoSpaceDN/>
        <w:bidi w:val="0"/>
        <w:adjustRightInd/>
        <w:snapToGrid/>
        <w:spacing w:beforeLines="0"/>
        <w:ind w:leftChars="0" w:firstLine="0" w:firstLineChars="0"/>
        <w:rPr>
          <w:rFonts w:hint="eastAsia" w:ascii="仿宋_GB2312" w:hAnsi="Calibri" w:eastAsia="仿宋_GB2312" w:cs="仿宋"/>
          <w:color w:val="auto"/>
          <w:kern w:val="0"/>
          <w:sz w:val="32"/>
          <w:szCs w:val="32"/>
          <w:highlight w:val="none"/>
          <w:lang w:val="en-US" w:eastAsia="zh-CN" w:bidi="ar-SA"/>
        </w:rPr>
      </w:pPr>
    </w:p>
    <w:p>
      <w:pPr>
        <w:pStyle w:val="2"/>
        <w:keepNext w:val="0"/>
        <w:keepLines w:val="0"/>
        <w:pageBreakBefore w:val="0"/>
        <w:shd w:val="clear"/>
        <w:kinsoku/>
        <w:wordWrap/>
        <w:overflowPunct/>
        <w:topLinePunct w:val="0"/>
        <w:autoSpaceDE/>
        <w:autoSpaceDN/>
        <w:bidi w:val="0"/>
        <w:adjustRightInd/>
        <w:snapToGrid/>
        <w:spacing w:beforeLines="0"/>
        <w:ind w:leftChars="0" w:firstLine="0" w:firstLineChars="0"/>
        <w:rPr>
          <w:rFonts w:hint="eastAsia" w:ascii="仿宋_GB2312" w:hAnsi="Calibri" w:eastAsia="仿宋_GB2312" w:cs="仿宋"/>
          <w:color w:val="auto"/>
          <w:kern w:val="0"/>
          <w:sz w:val="32"/>
          <w:szCs w:val="32"/>
          <w:highlight w:val="none"/>
          <w:lang w:val="en-US" w:eastAsia="zh-CN" w:bidi="ar-SA"/>
        </w:rPr>
      </w:pPr>
    </w:p>
    <w:p>
      <w:pPr>
        <w:pStyle w:val="2"/>
        <w:keepNext w:val="0"/>
        <w:keepLines w:val="0"/>
        <w:pageBreakBefore w:val="0"/>
        <w:shd w:val="clear"/>
        <w:kinsoku/>
        <w:wordWrap/>
        <w:overflowPunct/>
        <w:topLinePunct w:val="0"/>
        <w:autoSpaceDE/>
        <w:autoSpaceDN/>
        <w:bidi w:val="0"/>
        <w:adjustRightInd/>
        <w:snapToGrid/>
        <w:spacing w:beforeLines="0"/>
        <w:ind w:leftChars="0" w:firstLine="0" w:firstLineChars="0"/>
        <w:rPr>
          <w:rFonts w:hint="eastAsia" w:ascii="仿宋_GB2312" w:hAnsi="Calibri" w:eastAsia="仿宋_GB2312" w:cs="仿宋"/>
          <w:color w:val="auto"/>
          <w:kern w:val="0"/>
          <w:sz w:val="32"/>
          <w:szCs w:val="32"/>
          <w:highlight w:val="none"/>
          <w:lang w:val="en-US" w:eastAsia="zh-CN" w:bidi="ar-SA"/>
        </w:rPr>
      </w:pPr>
    </w:p>
    <w:tbl>
      <w:tblPr>
        <w:tblStyle w:val="16"/>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4"/>
        <w:gridCol w:w="2051"/>
        <w:gridCol w:w="1775"/>
        <w:gridCol w:w="2263"/>
        <w:gridCol w:w="521"/>
        <w:gridCol w:w="1677"/>
        <w:gridCol w:w="521"/>
        <w:gridCol w:w="1091"/>
        <w:gridCol w:w="505"/>
        <w:gridCol w:w="456"/>
        <w:gridCol w:w="25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1"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2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113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51080022T000007241493-车辆配置和装饰费用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2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67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广元市人民政府办公室部门</w:t>
            </w:r>
          </w:p>
        </w:tc>
        <w:tc>
          <w:tcPr>
            <w:tcW w:w="1091"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35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广元市人民政府驻北京联络处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67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67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保证本单位工作顺利开展，保证运转效率。</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2022年10月份购置一辆公务用车，并于11月份为公务用车更新了车辆配置和装饰，保证了本单位工作顺利开展，保证运转效率。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113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经过主管部门和市财政局的监督、指导和督促最终</w:t>
            </w:r>
            <w:r>
              <w:rPr>
                <w:rFonts w:hint="eastAsia" w:ascii="宋体" w:hAnsi="宋体" w:cs="宋体"/>
                <w:i w:val="0"/>
                <w:iCs w:val="0"/>
                <w:color w:val="auto"/>
                <w:sz w:val="18"/>
                <w:szCs w:val="18"/>
                <w:highlight w:val="none"/>
                <w:u w:val="none"/>
                <w:lang w:val="en-US" w:eastAsia="zh-CN"/>
              </w:rPr>
              <w:t>完成了车辆配置及其他装饰工作</w:t>
            </w:r>
            <w:r>
              <w:rPr>
                <w:rFonts w:hint="eastAsia" w:ascii="宋体" w:hAnsi="宋体" w:eastAsia="宋体" w:cs="宋体"/>
                <w:i w:val="0"/>
                <w:iCs w:val="0"/>
                <w:color w:val="auto"/>
                <w:sz w:val="18"/>
                <w:szCs w:val="18"/>
                <w:highlight w:val="none"/>
                <w:u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2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购置数量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辆</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1辆</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质量指标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车辆配置及装饰质量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优良中低差</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时效指标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购买完成时限</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2022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年</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2022年</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日常确保用车安全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25万元</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可持续影响指标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使用时间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长期保障</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长期保障</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服务对象满意度指标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使用人员满意度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高中低</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成本指标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经济成本指标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购买价格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0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default" w:ascii="宋体" w:hAnsi="宋体" w:eastAsia="宋体" w:cs="宋体"/>
                <w:i w:val="0"/>
                <w:iCs w:val="0"/>
                <w:color w:val="auto"/>
                <w:sz w:val="18"/>
                <w:szCs w:val="18"/>
                <w:highlight w:val="none"/>
                <w:u w:val="none"/>
                <w:lang w:val="en-US"/>
              </w:rPr>
            </w:pPr>
            <w:r>
              <w:rPr>
                <w:rFonts w:hint="eastAsia" w:ascii="宋体" w:hAnsi="宋体" w:cs="宋体"/>
                <w:i w:val="0"/>
                <w:iCs w:val="0"/>
                <w:color w:val="auto"/>
                <w:kern w:val="0"/>
                <w:sz w:val="18"/>
                <w:szCs w:val="18"/>
                <w:highlight w:val="none"/>
                <w:u w:val="none"/>
                <w:lang w:val="en-US" w:eastAsia="zh-CN" w:bidi="ar"/>
              </w:rPr>
              <w:t>90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90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严格按照规定，未超标准装饰所配置车辆，并保障了单位的顺利运转。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default" w:ascii="黑体" w:hAnsi="黑体" w:eastAsia="黑体" w:cs="黑体"/>
                <w:i w:val="0"/>
                <w:iCs w:val="0"/>
                <w:color w:val="auto"/>
                <w:sz w:val="18"/>
                <w:szCs w:val="18"/>
                <w:highlight w:val="none"/>
                <w:u w:val="none"/>
                <w:lang w:val="en-US"/>
              </w:rPr>
            </w:pPr>
            <w:r>
              <w:rPr>
                <w:rFonts w:hint="eastAsia" w:ascii="黑体" w:hAnsi="黑体" w:eastAsia="黑体" w:cs="黑体"/>
                <w:i w:val="0"/>
                <w:iCs w:val="0"/>
                <w:color w:val="auto"/>
                <w:kern w:val="0"/>
                <w:sz w:val="18"/>
                <w:szCs w:val="18"/>
                <w:highlight w:val="none"/>
                <w:u w:val="none"/>
                <w:lang w:val="en-US" w:eastAsia="zh-CN" w:bidi="ar"/>
              </w:rPr>
              <w:t>项目负责人：石洪连</w:t>
            </w:r>
          </w:p>
        </w:tc>
        <w:tc>
          <w:tcPr>
            <w:tcW w:w="68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财务负责人：曹兴全</w:t>
            </w:r>
          </w:p>
        </w:tc>
      </w:tr>
    </w:tbl>
    <w:p>
      <w:pPr>
        <w:pStyle w:val="2"/>
        <w:keepNext w:val="0"/>
        <w:keepLines w:val="0"/>
        <w:pageBreakBefore w:val="0"/>
        <w:shd w:val="clear"/>
        <w:kinsoku/>
        <w:wordWrap/>
        <w:overflowPunct/>
        <w:topLinePunct w:val="0"/>
        <w:autoSpaceDE/>
        <w:autoSpaceDN/>
        <w:bidi w:val="0"/>
        <w:adjustRightInd/>
        <w:snapToGrid/>
        <w:spacing w:beforeLines="0"/>
        <w:ind w:leftChars="0" w:firstLine="0" w:firstLineChars="0"/>
        <w:rPr>
          <w:rFonts w:hint="eastAsia" w:ascii="仿宋_GB2312" w:hAnsi="Calibri" w:eastAsia="仿宋_GB2312" w:cs="仿宋"/>
          <w:color w:val="auto"/>
          <w:kern w:val="0"/>
          <w:sz w:val="32"/>
          <w:szCs w:val="32"/>
          <w:highlight w:val="none"/>
          <w:lang w:val="en-US" w:eastAsia="zh-CN" w:bidi="ar-SA"/>
        </w:rPr>
      </w:pPr>
    </w:p>
    <w:p>
      <w:pPr>
        <w:pStyle w:val="2"/>
        <w:keepNext w:val="0"/>
        <w:keepLines w:val="0"/>
        <w:pageBreakBefore w:val="0"/>
        <w:shd w:val="clear"/>
        <w:kinsoku/>
        <w:wordWrap/>
        <w:overflowPunct/>
        <w:topLinePunct w:val="0"/>
        <w:autoSpaceDE/>
        <w:autoSpaceDN/>
        <w:bidi w:val="0"/>
        <w:adjustRightInd/>
        <w:snapToGrid/>
        <w:spacing w:beforeLines="0"/>
        <w:ind w:leftChars="0" w:firstLine="0" w:firstLineChars="0"/>
        <w:rPr>
          <w:rFonts w:hint="eastAsia" w:ascii="仿宋_GB2312" w:hAnsi="Calibri" w:eastAsia="仿宋_GB2312" w:cs="仿宋"/>
          <w:color w:val="auto"/>
          <w:kern w:val="0"/>
          <w:sz w:val="32"/>
          <w:szCs w:val="32"/>
          <w:highlight w:val="none"/>
          <w:lang w:val="en-US" w:eastAsia="zh-CN" w:bidi="ar-SA"/>
        </w:rPr>
      </w:pPr>
    </w:p>
    <w:p>
      <w:pPr>
        <w:pStyle w:val="2"/>
        <w:keepNext w:val="0"/>
        <w:keepLines w:val="0"/>
        <w:pageBreakBefore w:val="0"/>
        <w:shd w:val="clear"/>
        <w:kinsoku/>
        <w:wordWrap/>
        <w:overflowPunct/>
        <w:topLinePunct w:val="0"/>
        <w:autoSpaceDE/>
        <w:autoSpaceDN/>
        <w:bidi w:val="0"/>
        <w:adjustRightInd/>
        <w:snapToGrid/>
        <w:spacing w:beforeLines="0"/>
        <w:ind w:leftChars="0" w:firstLine="0" w:firstLineChars="0"/>
        <w:rPr>
          <w:rFonts w:hint="eastAsia" w:ascii="仿宋_GB2312" w:hAnsi="Calibri" w:eastAsia="仿宋_GB2312" w:cs="仿宋"/>
          <w:color w:val="auto"/>
          <w:kern w:val="0"/>
          <w:sz w:val="32"/>
          <w:szCs w:val="32"/>
          <w:highlight w:val="none"/>
          <w:lang w:val="en-US" w:eastAsia="zh-CN" w:bidi="ar-SA"/>
        </w:rPr>
      </w:pPr>
    </w:p>
    <w:p>
      <w:pPr>
        <w:pStyle w:val="2"/>
        <w:keepNext w:val="0"/>
        <w:keepLines w:val="0"/>
        <w:pageBreakBefore w:val="0"/>
        <w:shd w:val="clear"/>
        <w:kinsoku/>
        <w:wordWrap/>
        <w:overflowPunct/>
        <w:topLinePunct w:val="0"/>
        <w:autoSpaceDE/>
        <w:autoSpaceDN/>
        <w:bidi w:val="0"/>
        <w:adjustRightInd/>
        <w:snapToGrid/>
        <w:spacing w:beforeLines="0"/>
        <w:ind w:leftChars="0" w:firstLine="0" w:firstLineChars="0"/>
        <w:rPr>
          <w:rFonts w:hint="eastAsia" w:ascii="仿宋_GB2312" w:hAnsi="Calibri" w:eastAsia="仿宋_GB2312" w:cs="仿宋"/>
          <w:color w:val="auto"/>
          <w:kern w:val="0"/>
          <w:sz w:val="32"/>
          <w:szCs w:val="32"/>
          <w:highlight w:val="none"/>
          <w:lang w:val="en-US" w:eastAsia="zh-CN" w:bidi="ar-SA"/>
        </w:rPr>
      </w:pPr>
    </w:p>
    <w:tbl>
      <w:tblPr>
        <w:tblStyle w:val="16"/>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1"/>
        <w:gridCol w:w="2012"/>
        <w:gridCol w:w="1743"/>
        <w:gridCol w:w="2236"/>
        <w:gridCol w:w="518"/>
        <w:gridCol w:w="1645"/>
        <w:gridCol w:w="518"/>
        <w:gridCol w:w="1084"/>
        <w:gridCol w:w="576"/>
        <w:gridCol w:w="576"/>
        <w:gridCol w:w="25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广元市人民政府办公室部门</w:t>
            </w:r>
          </w:p>
        </w:tc>
        <w:tc>
          <w:tcPr>
            <w:tcW w:w="1091"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广元市人民政府驻北京联络处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保障单位日常运转，提高预算编制质量，严格执行预算</w:t>
            </w:r>
            <w:r>
              <w:rPr>
                <w:rFonts w:hint="eastAsia" w:ascii="宋体" w:hAnsi="宋体" w:cs="宋体"/>
                <w:i w:val="0"/>
                <w:iCs w:val="0"/>
                <w:color w:val="auto"/>
                <w:kern w:val="0"/>
                <w:sz w:val="18"/>
                <w:szCs w:val="18"/>
                <w:highlight w:val="none"/>
                <w:u w:val="none"/>
                <w:lang w:val="en-US" w:eastAsia="zh-CN" w:bidi="ar"/>
              </w:rPr>
              <w:t>。</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严格执行了党政机关“过紧日子”十三条措施，保障了单位的日常运转。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严格按照批准的预算和经费支出范围办理，严格审批手续，统筹兼顾、保证重点，合理安排支出，无以拨列支情况。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黑体" w:hAnsi="黑体" w:eastAsia="黑体" w:cs="黑体"/>
                <w:i/>
                <w:iCs/>
                <w:color w:val="auto"/>
                <w:sz w:val="18"/>
                <w:szCs w:val="18"/>
                <w:highlight w:val="none"/>
                <w:u w:val="none"/>
              </w:rPr>
            </w:pPr>
            <w:r>
              <w:rPr>
                <w:rFonts w:hint="eastAsia" w:ascii="黑体" w:hAnsi="黑体" w:eastAsia="黑体" w:cs="黑体"/>
                <w:i/>
                <w:iCs/>
                <w:color w:val="auto"/>
                <w:kern w:val="0"/>
                <w:sz w:val="18"/>
                <w:szCs w:val="18"/>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1.50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预算编制准确率（计算方法为：∣（执行数-预算数）/预算数∣）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效益指标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经济效益指标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“三公经费”控制率[计算方法为：（三公经费实际支出数/预算安排数]×100%）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运转保障率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default" w:ascii="宋体" w:hAnsi="宋体" w:eastAsia="宋体" w:cs="宋体"/>
                <w:i w:val="0"/>
                <w:iCs w:val="0"/>
                <w:color w:val="auto"/>
                <w:sz w:val="18"/>
                <w:szCs w:val="18"/>
                <w:highlight w:val="none"/>
                <w:u w:val="none"/>
                <w:lang w:val="en-US"/>
              </w:rPr>
            </w:pPr>
            <w:r>
              <w:rPr>
                <w:rFonts w:hint="eastAsia" w:ascii="宋体" w:hAnsi="宋体" w:cs="宋体"/>
                <w:i w:val="0"/>
                <w:iCs w:val="0"/>
                <w:color w:val="auto"/>
                <w:kern w:val="0"/>
                <w:sz w:val="18"/>
                <w:szCs w:val="18"/>
                <w:highlight w:val="none"/>
                <w:u w:val="none"/>
                <w:lang w:val="en-US" w:eastAsia="zh-CN" w:bidi="ar"/>
              </w:rPr>
              <w:t>90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90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严格执行相关规定，保障了单位的正常运转。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default" w:ascii="黑体" w:hAnsi="黑体" w:eastAsia="黑体" w:cs="黑体"/>
                <w:i w:val="0"/>
                <w:iCs w:val="0"/>
                <w:color w:val="auto"/>
                <w:sz w:val="18"/>
                <w:szCs w:val="18"/>
                <w:highlight w:val="none"/>
                <w:u w:val="none"/>
                <w:lang w:val="en-US"/>
              </w:rPr>
            </w:pPr>
            <w:r>
              <w:rPr>
                <w:rFonts w:hint="eastAsia" w:ascii="黑体" w:hAnsi="黑体" w:eastAsia="黑体" w:cs="黑体"/>
                <w:i w:val="0"/>
                <w:iCs w:val="0"/>
                <w:color w:val="auto"/>
                <w:kern w:val="0"/>
                <w:sz w:val="18"/>
                <w:szCs w:val="18"/>
                <w:highlight w:val="none"/>
                <w:u w:val="none"/>
                <w:lang w:val="en-US" w:eastAsia="zh-CN" w:bidi="ar"/>
              </w:rPr>
              <w:t>项目负责人：石洪连</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财务负责人：曹兴全</w:t>
            </w:r>
          </w:p>
        </w:tc>
      </w:tr>
    </w:tbl>
    <w:p>
      <w:pPr>
        <w:pStyle w:val="2"/>
        <w:keepNext w:val="0"/>
        <w:keepLines w:val="0"/>
        <w:pageBreakBefore w:val="0"/>
        <w:shd w:val="clear"/>
        <w:kinsoku/>
        <w:wordWrap/>
        <w:overflowPunct/>
        <w:topLinePunct w:val="0"/>
        <w:autoSpaceDE/>
        <w:autoSpaceDN/>
        <w:bidi w:val="0"/>
        <w:adjustRightInd/>
        <w:snapToGrid/>
        <w:spacing w:beforeLines="0"/>
        <w:ind w:leftChars="0" w:firstLine="0" w:firstLineChars="0"/>
        <w:rPr>
          <w:rFonts w:hint="eastAsia" w:ascii="仿宋_GB2312" w:hAnsi="Calibri" w:eastAsia="仿宋_GB2312" w:cs="仿宋"/>
          <w:color w:val="auto"/>
          <w:kern w:val="0"/>
          <w:sz w:val="32"/>
          <w:szCs w:val="32"/>
          <w:highlight w:val="none"/>
          <w:lang w:val="en-US" w:eastAsia="zh-CN" w:bidi="ar-SA"/>
        </w:rPr>
      </w:pPr>
    </w:p>
    <w:p>
      <w:pPr>
        <w:pStyle w:val="2"/>
        <w:keepNext w:val="0"/>
        <w:keepLines w:val="0"/>
        <w:pageBreakBefore w:val="0"/>
        <w:shd w:val="clear"/>
        <w:kinsoku/>
        <w:wordWrap/>
        <w:overflowPunct/>
        <w:topLinePunct w:val="0"/>
        <w:autoSpaceDE/>
        <w:autoSpaceDN/>
        <w:bidi w:val="0"/>
        <w:adjustRightInd/>
        <w:snapToGrid/>
        <w:spacing w:beforeLines="0"/>
        <w:ind w:leftChars="0" w:firstLine="0" w:firstLineChars="0"/>
        <w:rPr>
          <w:rFonts w:hint="eastAsia" w:ascii="仿宋_GB2312" w:hAnsi="Calibri" w:eastAsia="仿宋_GB2312" w:cs="仿宋"/>
          <w:color w:val="auto"/>
          <w:kern w:val="0"/>
          <w:sz w:val="32"/>
          <w:szCs w:val="32"/>
          <w:highlight w:val="none"/>
          <w:lang w:val="en-US" w:eastAsia="zh-CN" w:bidi="ar-SA"/>
        </w:rPr>
      </w:pPr>
    </w:p>
    <w:tbl>
      <w:tblPr>
        <w:tblStyle w:val="16"/>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4"/>
        <w:gridCol w:w="2046"/>
        <w:gridCol w:w="1770"/>
        <w:gridCol w:w="2257"/>
        <w:gridCol w:w="2712"/>
        <w:gridCol w:w="1090"/>
        <w:gridCol w:w="505"/>
        <w:gridCol w:w="486"/>
        <w:gridCol w:w="25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2" w:hRule="atLeast"/>
        </w:trPr>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项目名称</w:t>
            </w:r>
          </w:p>
        </w:tc>
        <w:tc>
          <w:tcPr>
            <w:tcW w:w="1137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51080023R000007612345-规范后市级基础绩效奖及生活补助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主管部门</w:t>
            </w:r>
          </w:p>
        </w:tc>
        <w:tc>
          <w:tcPr>
            <w:tcW w:w="67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广元市人民政府办公室部门</w:t>
            </w:r>
          </w:p>
        </w:tc>
        <w:tc>
          <w:tcPr>
            <w:tcW w:w="1090"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35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广元市人民政府驻北京联络处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7"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项目基本情况</w:t>
            </w:r>
          </w:p>
        </w:tc>
        <w:tc>
          <w:tcPr>
            <w:tcW w:w="20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1.项目年度目标完成情况</w:t>
            </w:r>
          </w:p>
        </w:tc>
        <w:tc>
          <w:tcPr>
            <w:tcW w:w="67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项目年度目标</w:t>
            </w:r>
          </w:p>
        </w:tc>
        <w:tc>
          <w:tcPr>
            <w:tcW w:w="463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20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67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1"/>
                <w:szCs w:val="11"/>
                <w:highlight w:val="none"/>
                <w:u w:val="none"/>
                <w:lang w:val="en-US" w:eastAsia="zh-CN"/>
              </w:rPr>
            </w:pPr>
            <w:r>
              <w:rPr>
                <w:rFonts w:hint="eastAsia"/>
                <w:sz w:val="20"/>
                <w:szCs w:val="18"/>
                <w:highlight w:val="none"/>
              </w:rPr>
              <w:t>严格执行相关政策，保障</w:t>
            </w:r>
            <w:r>
              <w:rPr>
                <w:rFonts w:ascii="宋体" w:hAnsi="宋体" w:eastAsia="宋体" w:cs="宋体"/>
                <w:i w:val="0"/>
                <w:iCs w:val="0"/>
                <w:color w:val="auto"/>
                <w:kern w:val="0"/>
                <w:sz w:val="18"/>
                <w:szCs w:val="18"/>
                <w:highlight w:val="none"/>
                <w:u w:val="none"/>
                <w:lang w:val="en-US" w:eastAsia="zh-CN" w:bidi="ar"/>
              </w:rPr>
              <w:t>基础绩效奖及生活补助</w:t>
            </w:r>
            <w:r>
              <w:rPr>
                <w:rFonts w:hint="eastAsia"/>
                <w:sz w:val="20"/>
                <w:szCs w:val="18"/>
                <w:highlight w:val="none"/>
              </w:rPr>
              <w:t>及时发放、足额发放，减少结余资金</w:t>
            </w:r>
            <w:r>
              <w:rPr>
                <w:rFonts w:hint="eastAsia"/>
                <w:sz w:val="20"/>
                <w:szCs w:val="18"/>
                <w:highlight w:val="none"/>
                <w:lang w:eastAsia="zh-CN"/>
              </w:rPr>
              <w:t>。</w:t>
            </w:r>
          </w:p>
        </w:tc>
        <w:tc>
          <w:tcPr>
            <w:tcW w:w="463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黑体" w:hAnsi="黑体" w:eastAsia="宋体" w:cs="黑体"/>
                <w:i w:val="0"/>
                <w:iCs w:val="0"/>
                <w:color w:val="auto"/>
                <w:sz w:val="11"/>
                <w:szCs w:val="11"/>
                <w:highlight w:val="none"/>
                <w:u w:val="none"/>
                <w:lang w:val="en-US" w:eastAsia="zh-CN"/>
              </w:rPr>
            </w:pPr>
            <w:r>
              <w:rPr>
                <w:rFonts w:hint="eastAsia"/>
                <w:sz w:val="20"/>
                <w:szCs w:val="18"/>
                <w:highlight w:val="none"/>
              </w:rPr>
              <w:t>严格执行相关政策，保障</w:t>
            </w:r>
            <w:r>
              <w:rPr>
                <w:rFonts w:ascii="宋体" w:hAnsi="宋体" w:eastAsia="宋体" w:cs="宋体"/>
                <w:i w:val="0"/>
                <w:iCs w:val="0"/>
                <w:color w:val="auto"/>
                <w:kern w:val="0"/>
                <w:sz w:val="18"/>
                <w:szCs w:val="18"/>
                <w:highlight w:val="none"/>
                <w:u w:val="none"/>
                <w:lang w:val="en-US" w:eastAsia="zh-CN" w:bidi="ar"/>
              </w:rPr>
              <w:t>基础绩效奖及生活补助</w:t>
            </w:r>
            <w:r>
              <w:rPr>
                <w:rFonts w:hint="eastAsia"/>
                <w:sz w:val="20"/>
                <w:szCs w:val="18"/>
                <w:highlight w:val="none"/>
              </w:rPr>
              <w:t>及时发放、足额发放，减少结余资金</w:t>
            </w:r>
            <w:r>
              <w:rPr>
                <w:rFonts w:hint="eastAsia"/>
                <w:sz w:val="20"/>
                <w:szCs w:val="18"/>
                <w:highlight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2.项目实施内容及过程概述</w:t>
            </w:r>
          </w:p>
        </w:tc>
        <w:tc>
          <w:tcPr>
            <w:tcW w:w="1137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按时为职工发放基础绩效奖和生活补助。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预算执行情况（10分）</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年度预算数（万元）</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年初预算</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调整后预算数</w:t>
            </w:r>
          </w:p>
        </w:tc>
        <w:tc>
          <w:tcPr>
            <w:tcW w:w="2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总额</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3.65</w:t>
            </w:r>
          </w:p>
        </w:tc>
        <w:tc>
          <w:tcPr>
            <w:tcW w:w="2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3.19</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87.49%</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25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default" w:ascii="黑体" w:hAnsi="黑体" w:eastAsia="黑体" w:cs="黑体"/>
                <w:i/>
                <w:iCs/>
                <w:color w:val="auto"/>
                <w:sz w:val="18"/>
                <w:szCs w:val="18"/>
                <w:highlight w:val="none"/>
                <w:u w:val="none"/>
                <w:lang w:val="en-US"/>
              </w:rPr>
            </w:pPr>
            <w:r>
              <w:rPr>
                <w:rFonts w:hint="eastAsia" w:ascii="黑体" w:hAnsi="黑体" w:eastAsia="黑体" w:cs="黑体"/>
                <w:i/>
                <w:iCs/>
                <w:color w:val="auto"/>
                <w:kern w:val="0"/>
                <w:sz w:val="18"/>
                <w:szCs w:val="18"/>
                <w:highlight w:val="none"/>
                <w:u w:val="none"/>
                <w:lang w:val="en-US" w:eastAsia="zh-CN" w:bidi="ar"/>
              </w:rPr>
              <w:t>剩余资金用于支付职工绩效奖部分公积金及个税，但已在其他剩余预算中支出。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其中：财政资金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3.65</w:t>
            </w:r>
          </w:p>
        </w:tc>
        <w:tc>
          <w:tcPr>
            <w:tcW w:w="2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3.19</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87.49%</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财政专户管理资金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单位资金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2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其他资金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c>
          <w:tcPr>
            <w:tcW w:w="2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微软雅黑" w:hAnsi="微软雅黑" w:eastAsia="微软雅黑" w:cs="微软雅黑"/>
                <w:i/>
                <w:iCs/>
                <w:color w:val="auto"/>
                <w:sz w:val="16"/>
                <w:szCs w:val="16"/>
                <w:highlight w:val="none"/>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黑体" w:hAnsi="黑体" w:eastAsia="黑体" w:cs="黑体"/>
                <w:i/>
                <w:iCs/>
                <w:color w:val="auto"/>
                <w:sz w:val="18"/>
                <w:szCs w:val="18"/>
                <w:highlight w:val="none"/>
                <w:u w:val="none"/>
              </w:rPr>
            </w:pPr>
          </w:p>
        </w:tc>
      </w:tr>
    </w:tbl>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kern w:val="0"/>
          <w:sz w:val="18"/>
          <w:szCs w:val="18"/>
          <w:highlight w:val="none"/>
          <w:u w:val="none"/>
          <w:lang w:val="en-US" w:eastAsia="zh-CN" w:bidi="ar"/>
        </w:rPr>
        <w:sectPr>
          <w:footerReference r:id="rId13" w:type="first"/>
          <w:footerReference r:id="rId12" w:type="default"/>
          <w:pgSz w:w="16838" w:h="11906" w:orient="landscape"/>
          <w:pgMar w:top="1800" w:right="1440" w:bottom="1800" w:left="1440" w:header="851" w:footer="992" w:gutter="0"/>
          <w:pgNumType w:fmt="decimal" w:start="11"/>
          <w:cols w:space="425" w:num="1"/>
          <w:titlePg/>
          <w:docGrid w:type="lines" w:linePitch="312" w:charSpace="0"/>
        </w:sectPr>
      </w:pPr>
    </w:p>
    <w:tbl>
      <w:tblPr>
        <w:tblStyle w:val="16"/>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1"/>
        <w:gridCol w:w="2015"/>
        <w:gridCol w:w="1744"/>
        <w:gridCol w:w="2237"/>
        <w:gridCol w:w="518"/>
        <w:gridCol w:w="1649"/>
        <w:gridCol w:w="518"/>
        <w:gridCol w:w="1077"/>
        <w:gridCol w:w="576"/>
        <w:gridCol w:w="576"/>
        <w:gridCol w:w="25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绩效指标（90分）</w:t>
            </w: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一级指标</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三级指标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指标性质</w:t>
            </w:r>
          </w:p>
        </w:tc>
        <w:tc>
          <w:tcPr>
            <w:tcW w:w="1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指标值</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度量单位</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得分</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1" w:type="dxa"/>
            <w:vMerge w:val="continue"/>
            <w:tcBorders>
              <w:left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产出指标</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数量指标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科目调整次数</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w:t>
            </w:r>
          </w:p>
        </w:tc>
        <w:tc>
          <w:tcPr>
            <w:tcW w:w="1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10</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次</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0" w:leftChars="0" w:firstLine="0" w:firstLineChars="0"/>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0" w:leftChars="0" w:firstLine="0" w:firstLineChars="0"/>
              <w:jc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22.5</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0" w:leftChars="0" w:firstLine="0" w:firstLineChars="0"/>
              <w:jc w:val="center"/>
              <w:rPr>
                <w:rFonts w:hint="eastAsia" w:ascii="微软雅黑" w:hAnsi="微软雅黑" w:eastAsia="微软雅黑" w:cs="微软雅黑"/>
                <w:i/>
                <w:iCs/>
                <w:color w:val="auto"/>
                <w:kern w:val="2"/>
                <w:sz w:val="16"/>
                <w:szCs w:val="16"/>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1" w:type="dxa"/>
            <w:vMerge w:val="continue"/>
            <w:tcBorders>
              <w:left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质量指标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预算编制准确率（计算方法为：∣（执行数-预算数）/预算数∣）</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w:t>
            </w:r>
          </w:p>
        </w:tc>
        <w:tc>
          <w:tcPr>
            <w:tcW w:w="1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5</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0" w:leftChars="0" w:firstLine="0" w:firstLineChars="0"/>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0" w:leftChars="0" w:firstLine="0" w:firstLineChars="0"/>
              <w:jc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22.5</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0" w:leftChars="0" w:firstLine="0" w:firstLineChars="0"/>
              <w:jc w:val="center"/>
              <w:rPr>
                <w:rFonts w:hint="eastAsia" w:ascii="微软雅黑" w:hAnsi="微软雅黑" w:eastAsia="微软雅黑" w:cs="微软雅黑"/>
                <w:i/>
                <w:iCs/>
                <w:color w:val="auto"/>
                <w:kern w:val="2"/>
                <w:sz w:val="16"/>
                <w:szCs w:val="16"/>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1" w:type="dxa"/>
            <w:vMerge w:val="continue"/>
            <w:tcBorders>
              <w:left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效益指标</w:t>
            </w:r>
          </w:p>
        </w:tc>
        <w:tc>
          <w:tcPr>
            <w:tcW w:w="1744"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经济效益指标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“三公经费”控制率[计算方法为：（三公经费实际支出数/预算安排数]×100%）</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w:t>
            </w:r>
          </w:p>
        </w:tc>
        <w:tc>
          <w:tcPr>
            <w:tcW w:w="1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100</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0" w:leftChars="0" w:firstLine="0" w:firstLineChars="0"/>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0" w:leftChars="0" w:firstLine="0" w:firstLineChars="0"/>
              <w:jc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22.5</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0" w:leftChars="0" w:firstLine="0" w:firstLineChars="0"/>
              <w:jc w:val="center"/>
              <w:rPr>
                <w:rFonts w:hint="eastAsia" w:ascii="微软雅黑" w:hAnsi="微软雅黑" w:eastAsia="微软雅黑" w:cs="微软雅黑"/>
                <w:i/>
                <w:iCs/>
                <w:color w:val="auto"/>
                <w:kern w:val="2"/>
                <w:sz w:val="16"/>
                <w:szCs w:val="16"/>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1"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0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1744"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jc w:val="center"/>
              <w:rPr>
                <w:rFonts w:hint="eastAsia" w:ascii="宋体" w:hAnsi="宋体" w:eastAsia="宋体" w:cs="宋体"/>
                <w:i w:val="0"/>
                <w:iCs w:val="0"/>
                <w:color w:val="auto"/>
                <w:sz w:val="18"/>
                <w:szCs w:val="18"/>
                <w:highlight w:val="none"/>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运转保障率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w:t>
            </w:r>
          </w:p>
        </w:tc>
        <w:tc>
          <w:tcPr>
            <w:tcW w:w="1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100</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0" w:leftChars="0" w:firstLine="0" w:firstLineChars="0"/>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ascii="宋体" w:hAnsi="宋体" w:eastAsia="宋体" w:cs="宋体"/>
                <w:i w:val="0"/>
                <w:iCs w:val="0"/>
                <w:color w:val="auto"/>
                <w:kern w:val="0"/>
                <w:sz w:val="18"/>
                <w:szCs w:val="18"/>
                <w:highlight w:val="none"/>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0" w:leftChars="0" w:firstLine="0" w:firstLineChars="0"/>
              <w:jc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22.5</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0" w:leftChars="0" w:firstLine="0" w:firstLineChars="0"/>
              <w:jc w:val="center"/>
              <w:rPr>
                <w:rFonts w:hint="eastAsia" w:ascii="微软雅黑" w:hAnsi="微软雅黑" w:eastAsia="微软雅黑" w:cs="微软雅黑"/>
                <w:i/>
                <w:iCs/>
                <w:color w:val="auto"/>
                <w:kern w:val="2"/>
                <w:sz w:val="16"/>
                <w:szCs w:val="16"/>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043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hint="default" w:ascii="宋体" w:hAnsi="宋体" w:eastAsia="宋体" w:cs="宋体"/>
                <w:i w:val="0"/>
                <w:iCs w:val="0"/>
                <w:color w:val="auto"/>
                <w:sz w:val="18"/>
                <w:szCs w:val="18"/>
                <w:highlight w:val="none"/>
                <w:u w:val="none"/>
                <w:lang w:val="en-US"/>
              </w:rPr>
            </w:pPr>
            <w:r>
              <w:rPr>
                <w:rFonts w:hint="eastAsia" w:ascii="宋体" w:hAnsi="宋体" w:cs="宋体"/>
                <w:i w:val="0"/>
                <w:iCs w:val="0"/>
                <w:color w:val="auto"/>
                <w:kern w:val="0"/>
                <w:sz w:val="18"/>
                <w:szCs w:val="18"/>
                <w:highlight w:val="none"/>
                <w:u w:val="none"/>
                <w:lang w:val="en-US" w:eastAsia="zh-CN" w:bidi="ar"/>
              </w:rPr>
              <w:t>90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90</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shd w:val="clear"/>
              <w:kinsoku/>
              <w:wordWrap/>
              <w:overflowPunct/>
              <w:topLinePunct w:val="0"/>
              <w:autoSpaceDE/>
              <w:autoSpaceDN/>
              <w:bidi w:val="0"/>
              <w:adjustRightInd/>
              <w:snapToGrid/>
              <w:ind w:leftChars="0" w:firstLine="0" w:firstLineChars="0"/>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sz w:val="16"/>
                <w:szCs w:val="16"/>
                <w:highlight w:val="none"/>
                <w:u w:val="none"/>
              </w:rPr>
              <w:t>严格执行相关规定，保障干部的基本利益。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center"/>
              <w:textAlignment w:val="center"/>
              <w:rPr>
                <w:rFonts w:ascii="宋体" w:hAnsi="宋体" w:eastAsia="宋体" w:cs="宋体"/>
                <w:i w:val="0"/>
                <w:iCs w:val="0"/>
                <w:color w:val="auto"/>
                <w:sz w:val="18"/>
                <w:szCs w:val="18"/>
                <w:highlight w:val="none"/>
                <w:u w:val="none"/>
              </w:rPr>
            </w:pPr>
            <w:r>
              <w:rPr>
                <w:rFonts w:ascii="宋体" w:hAnsi="宋体" w:eastAsia="宋体" w:cs="宋体"/>
                <w:i w:val="0"/>
                <w:iCs w:val="0"/>
                <w:color w:val="auto"/>
                <w:kern w:val="0"/>
                <w:sz w:val="18"/>
                <w:szCs w:val="18"/>
                <w:highlight w:val="none"/>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微软雅黑" w:hAnsi="微软雅黑" w:eastAsia="微软雅黑" w:cs="微软雅黑"/>
                <w:i/>
                <w:iCs/>
                <w:color w:val="auto"/>
                <w:sz w:val="16"/>
                <w:szCs w:val="16"/>
                <w:highlight w:val="none"/>
                <w:u w:val="none"/>
                <w:lang w:val="en-US" w:eastAsia="zh-CN"/>
              </w:rPr>
            </w:pPr>
            <w:r>
              <w:rPr>
                <w:rFonts w:hint="eastAsia" w:ascii="微软雅黑" w:hAnsi="微软雅黑" w:eastAsia="微软雅黑" w:cs="微软雅黑"/>
                <w:i/>
                <w:iCs/>
                <w:color w:val="auto"/>
                <w:sz w:val="16"/>
                <w:szCs w:val="16"/>
                <w:highlight w:val="none"/>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1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default" w:ascii="黑体" w:hAnsi="黑体" w:eastAsia="黑体" w:cs="黑体"/>
                <w:i w:val="0"/>
                <w:iCs w:val="0"/>
                <w:color w:val="auto"/>
                <w:sz w:val="18"/>
                <w:szCs w:val="18"/>
                <w:highlight w:val="none"/>
                <w:u w:val="none"/>
                <w:lang w:val="en-US"/>
              </w:rPr>
            </w:pPr>
            <w:r>
              <w:rPr>
                <w:rFonts w:hint="eastAsia" w:ascii="黑体" w:hAnsi="黑体" w:eastAsia="黑体" w:cs="黑体"/>
                <w:i w:val="0"/>
                <w:iCs w:val="0"/>
                <w:color w:val="auto"/>
                <w:kern w:val="0"/>
                <w:sz w:val="18"/>
                <w:szCs w:val="18"/>
                <w:highlight w:val="none"/>
                <w:u w:val="none"/>
                <w:lang w:val="en-US" w:eastAsia="zh-CN" w:bidi="ar"/>
              </w:rPr>
              <w:t>项目负责人：石洪连</w:t>
            </w:r>
          </w:p>
        </w:tc>
        <w:tc>
          <w:tcPr>
            <w:tcW w:w="690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ind w:leftChars="0" w:firstLine="0" w:firstLineChars="0"/>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财务负责人：曹兴全</w:t>
            </w:r>
          </w:p>
        </w:tc>
      </w:tr>
    </w:tbl>
    <w:p>
      <w:pPr>
        <w:pStyle w:val="2"/>
        <w:shd w:val="clear"/>
        <w:rPr>
          <w:rFonts w:hint="eastAsia" w:ascii="仿宋_GB2312" w:hAnsi="Calibri" w:eastAsia="仿宋_GB2312" w:cs="仿宋"/>
          <w:color w:val="auto"/>
          <w:kern w:val="0"/>
          <w:sz w:val="32"/>
          <w:szCs w:val="32"/>
          <w:highlight w:val="none"/>
          <w:lang w:val="en-US" w:eastAsia="zh-CN" w:bidi="ar-SA"/>
        </w:rPr>
        <w:sectPr>
          <w:footerReference r:id="rId15" w:type="first"/>
          <w:footerReference r:id="rId14" w:type="default"/>
          <w:pgSz w:w="16838" w:h="11906" w:orient="landscape"/>
          <w:pgMar w:top="1800" w:right="1440" w:bottom="1800" w:left="1440" w:header="851" w:footer="992" w:gutter="0"/>
          <w:pgNumType w:fmt="decimal"/>
          <w:cols w:space="425" w:num="1"/>
          <w:titlePg/>
          <w:docGrid w:type="lines" w:linePitch="312" w:charSpace="0"/>
        </w:sectPr>
      </w:pPr>
    </w:p>
    <w:p>
      <w:pPr>
        <w:pStyle w:val="2"/>
        <w:shd w:val="clear"/>
        <w:rPr>
          <w:rFonts w:hint="eastAsia" w:ascii="仿宋_GB2312" w:hAnsi="Calibri" w:eastAsia="仿宋_GB2312" w:cs="仿宋"/>
          <w:color w:val="auto"/>
          <w:kern w:val="0"/>
          <w:sz w:val="32"/>
          <w:szCs w:val="32"/>
          <w:highlight w:val="none"/>
          <w:lang w:val="en-US" w:eastAsia="zh-CN" w:bidi="ar-SA"/>
        </w:rPr>
      </w:pPr>
    </w:p>
    <w:p>
      <w:pPr>
        <w:pStyle w:val="2"/>
        <w:shd w:val="clear"/>
        <w:rPr>
          <w:rFonts w:hint="eastAsia" w:ascii="仿宋_GB2312" w:hAnsi="Calibri" w:eastAsia="仿宋_GB2312" w:cs="仿宋"/>
          <w:color w:val="auto"/>
          <w:kern w:val="0"/>
          <w:sz w:val="32"/>
          <w:szCs w:val="32"/>
          <w:highlight w:val="none"/>
          <w:lang w:val="en-US" w:eastAsia="zh-CN" w:bidi="ar-SA"/>
        </w:rPr>
      </w:pPr>
    </w:p>
    <w:p>
      <w:pPr>
        <w:pStyle w:val="3"/>
        <w:shd w:val="clear"/>
        <w:bidi w:val="0"/>
        <w:rPr>
          <w:rFonts w:hint="eastAsia"/>
          <w:b/>
          <w:bCs/>
          <w:color w:val="auto"/>
          <w:highlight w:val="none"/>
        </w:rPr>
      </w:pPr>
      <w:bookmarkStart w:id="70" w:name="_Toc28806"/>
      <w:r>
        <w:rPr>
          <w:rFonts w:hint="eastAsia"/>
          <w:b/>
          <w:bCs/>
          <w:color w:val="auto"/>
          <w:highlight w:val="none"/>
        </w:rPr>
        <w:t>第五部分 附表</w:t>
      </w:r>
      <w:bookmarkEnd w:id="66"/>
      <w:bookmarkEnd w:id="69"/>
      <w:bookmarkEnd w:id="70"/>
      <w:bookmarkStart w:id="71" w:name="_Toc15396619"/>
    </w:p>
    <w:p>
      <w:pPr>
        <w:pStyle w:val="4"/>
        <w:keepNext/>
        <w:keepLines/>
        <w:pageBreakBefore w:val="0"/>
        <w:widowControl w:val="0"/>
        <w:shd w:val="clear"/>
        <w:kinsoku/>
        <w:wordWrap/>
        <w:overflowPunct/>
        <w:topLinePunct w:val="0"/>
        <w:autoSpaceDE/>
        <w:autoSpaceDN/>
        <w:bidi w:val="0"/>
        <w:adjustRightInd/>
        <w:snapToGrid/>
        <w:spacing w:line="560" w:lineRule="exact"/>
        <w:textAlignment w:val="auto"/>
        <w:rPr>
          <w:rFonts w:hint="eastAsia" w:ascii="宋体" w:hAnsi="宋体" w:eastAsia="宋体" w:cs="宋体"/>
          <w:b w:val="0"/>
          <w:bCs w:val="0"/>
          <w:color w:val="auto"/>
          <w:sz w:val="28"/>
          <w:szCs w:val="28"/>
          <w:highlight w:val="none"/>
        </w:rPr>
      </w:pPr>
    </w:p>
    <w:p>
      <w:pPr>
        <w:pStyle w:val="4"/>
        <w:keepNext/>
        <w:keepLines/>
        <w:pageBreakBefore w:val="0"/>
        <w:widowControl w:val="0"/>
        <w:shd w:val="clear"/>
        <w:kinsoku/>
        <w:wordWrap/>
        <w:overflowPunct/>
        <w:topLinePunct w:val="0"/>
        <w:autoSpaceDE/>
        <w:autoSpaceDN/>
        <w:bidi w:val="0"/>
        <w:adjustRightInd/>
        <w:snapToGrid/>
        <w:spacing w:line="560" w:lineRule="exact"/>
        <w:textAlignment w:val="auto"/>
        <w:rPr>
          <w:rFonts w:hint="eastAsia" w:ascii="宋体" w:hAnsi="宋体" w:eastAsia="宋体" w:cs="宋体"/>
          <w:b w:val="0"/>
          <w:bCs w:val="0"/>
          <w:color w:val="auto"/>
          <w:sz w:val="28"/>
          <w:szCs w:val="28"/>
          <w:highlight w:val="none"/>
        </w:rPr>
      </w:pPr>
      <w:bookmarkStart w:id="72" w:name="_Toc26236"/>
      <w:r>
        <w:rPr>
          <w:rFonts w:hint="eastAsia" w:ascii="宋体" w:hAnsi="宋体" w:eastAsia="宋体" w:cs="宋体"/>
          <w:b w:val="0"/>
          <w:bCs w:val="0"/>
          <w:color w:val="auto"/>
          <w:sz w:val="28"/>
          <w:szCs w:val="28"/>
          <w:highlight w:val="none"/>
        </w:rPr>
        <w:t>一、收入支出决算总表</w:t>
      </w:r>
      <w:bookmarkEnd w:id="71"/>
      <w:bookmarkEnd w:id="72"/>
    </w:p>
    <w:p>
      <w:pPr>
        <w:pStyle w:val="4"/>
        <w:keepNext/>
        <w:keepLines/>
        <w:pageBreakBefore w:val="0"/>
        <w:widowControl w:val="0"/>
        <w:shd w:val="clear"/>
        <w:kinsoku/>
        <w:wordWrap/>
        <w:overflowPunct/>
        <w:topLinePunct w:val="0"/>
        <w:autoSpaceDE/>
        <w:autoSpaceDN/>
        <w:bidi w:val="0"/>
        <w:adjustRightInd/>
        <w:snapToGrid/>
        <w:spacing w:line="560" w:lineRule="exact"/>
        <w:textAlignment w:val="auto"/>
        <w:rPr>
          <w:rFonts w:hint="eastAsia" w:ascii="宋体" w:hAnsi="宋体" w:eastAsia="宋体" w:cs="宋体"/>
          <w:b w:val="0"/>
          <w:bCs w:val="0"/>
          <w:color w:val="auto"/>
          <w:sz w:val="28"/>
          <w:szCs w:val="28"/>
          <w:highlight w:val="none"/>
        </w:rPr>
      </w:pPr>
      <w:bookmarkStart w:id="73" w:name="_Toc15396620"/>
      <w:bookmarkStart w:id="74" w:name="_Toc10761"/>
      <w:r>
        <w:rPr>
          <w:rFonts w:hint="eastAsia" w:ascii="宋体" w:hAnsi="宋体" w:eastAsia="宋体" w:cs="宋体"/>
          <w:b w:val="0"/>
          <w:bCs w:val="0"/>
          <w:color w:val="auto"/>
          <w:sz w:val="28"/>
          <w:szCs w:val="28"/>
          <w:highlight w:val="none"/>
        </w:rPr>
        <w:t>二、收入决算表</w:t>
      </w:r>
      <w:bookmarkEnd w:id="73"/>
      <w:bookmarkEnd w:id="74"/>
    </w:p>
    <w:p>
      <w:pPr>
        <w:pStyle w:val="4"/>
        <w:keepNext/>
        <w:keepLines/>
        <w:pageBreakBefore w:val="0"/>
        <w:widowControl w:val="0"/>
        <w:shd w:val="clear"/>
        <w:kinsoku/>
        <w:wordWrap/>
        <w:overflowPunct/>
        <w:topLinePunct w:val="0"/>
        <w:autoSpaceDE/>
        <w:autoSpaceDN/>
        <w:bidi w:val="0"/>
        <w:adjustRightInd/>
        <w:snapToGrid/>
        <w:spacing w:line="560" w:lineRule="exact"/>
        <w:textAlignment w:val="auto"/>
        <w:rPr>
          <w:rFonts w:hint="eastAsia" w:ascii="宋体" w:hAnsi="宋体" w:eastAsia="宋体" w:cs="宋体"/>
          <w:b w:val="0"/>
          <w:bCs w:val="0"/>
          <w:color w:val="auto"/>
          <w:sz w:val="28"/>
          <w:szCs w:val="28"/>
          <w:highlight w:val="none"/>
        </w:rPr>
      </w:pPr>
      <w:bookmarkStart w:id="75" w:name="_Toc16066"/>
      <w:bookmarkStart w:id="76" w:name="_Toc15396621"/>
      <w:r>
        <w:rPr>
          <w:rFonts w:hint="eastAsia" w:ascii="宋体" w:hAnsi="宋体" w:eastAsia="宋体" w:cs="宋体"/>
          <w:b w:val="0"/>
          <w:bCs w:val="0"/>
          <w:color w:val="auto"/>
          <w:sz w:val="28"/>
          <w:szCs w:val="28"/>
          <w:highlight w:val="none"/>
        </w:rPr>
        <w:t>三、支出决算表</w:t>
      </w:r>
      <w:bookmarkEnd w:id="75"/>
      <w:bookmarkEnd w:id="76"/>
    </w:p>
    <w:p>
      <w:pPr>
        <w:pStyle w:val="4"/>
        <w:keepNext/>
        <w:keepLines/>
        <w:pageBreakBefore w:val="0"/>
        <w:widowControl w:val="0"/>
        <w:shd w:val="clear"/>
        <w:kinsoku/>
        <w:wordWrap/>
        <w:overflowPunct/>
        <w:topLinePunct w:val="0"/>
        <w:autoSpaceDE/>
        <w:autoSpaceDN/>
        <w:bidi w:val="0"/>
        <w:adjustRightInd/>
        <w:snapToGrid/>
        <w:spacing w:line="560" w:lineRule="exact"/>
        <w:textAlignment w:val="auto"/>
        <w:rPr>
          <w:rFonts w:hint="eastAsia" w:ascii="宋体" w:hAnsi="宋体" w:eastAsia="宋体" w:cs="宋体"/>
          <w:b w:val="0"/>
          <w:bCs w:val="0"/>
          <w:color w:val="auto"/>
          <w:sz w:val="28"/>
          <w:szCs w:val="28"/>
          <w:highlight w:val="none"/>
        </w:rPr>
      </w:pPr>
      <w:bookmarkStart w:id="77" w:name="_Toc13162"/>
      <w:bookmarkStart w:id="78" w:name="_Toc15396622"/>
      <w:r>
        <w:rPr>
          <w:rFonts w:hint="eastAsia" w:ascii="宋体" w:hAnsi="宋体" w:eastAsia="宋体" w:cs="宋体"/>
          <w:b w:val="0"/>
          <w:bCs w:val="0"/>
          <w:color w:val="auto"/>
          <w:sz w:val="28"/>
          <w:szCs w:val="28"/>
          <w:highlight w:val="none"/>
        </w:rPr>
        <w:t>四、财政拨款收入支出决算总表</w:t>
      </w:r>
      <w:bookmarkEnd w:id="77"/>
      <w:bookmarkEnd w:id="78"/>
    </w:p>
    <w:p>
      <w:pPr>
        <w:pStyle w:val="4"/>
        <w:keepNext/>
        <w:keepLines/>
        <w:pageBreakBefore w:val="0"/>
        <w:widowControl w:val="0"/>
        <w:shd w:val="clear"/>
        <w:kinsoku/>
        <w:wordWrap/>
        <w:overflowPunct/>
        <w:topLinePunct w:val="0"/>
        <w:autoSpaceDE/>
        <w:autoSpaceDN/>
        <w:bidi w:val="0"/>
        <w:adjustRightInd/>
        <w:snapToGrid/>
        <w:spacing w:line="560" w:lineRule="exact"/>
        <w:textAlignment w:val="auto"/>
        <w:rPr>
          <w:rFonts w:hint="eastAsia" w:ascii="宋体" w:hAnsi="宋体" w:eastAsia="宋体" w:cs="宋体"/>
          <w:b w:val="0"/>
          <w:bCs w:val="0"/>
          <w:color w:val="auto"/>
          <w:sz w:val="28"/>
          <w:szCs w:val="28"/>
          <w:highlight w:val="none"/>
        </w:rPr>
      </w:pPr>
      <w:bookmarkStart w:id="79" w:name="_Toc2605"/>
      <w:bookmarkStart w:id="80" w:name="_Toc15396623"/>
      <w:r>
        <w:rPr>
          <w:rFonts w:hint="eastAsia" w:ascii="宋体" w:hAnsi="宋体" w:eastAsia="宋体" w:cs="宋体"/>
          <w:b w:val="0"/>
          <w:bCs w:val="0"/>
          <w:color w:val="auto"/>
          <w:sz w:val="28"/>
          <w:szCs w:val="28"/>
          <w:highlight w:val="none"/>
        </w:rPr>
        <w:t>五、财政拨款支出决算明细表</w:t>
      </w:r>
      <w:bookmarkEnd w:id="79"/>
      <w:bookmarkEnd w:id="80"/>
      <w:bookmarkStart w:id="81" w:name="_Toc15396624"/>
    </w:p>
    <w:p>
      <w:pPr>
        <w:pStyle w:val="4"/>
        <w:keepNext/>
        <w:keepLines/>
        <w:pageBreakBefore w:val="0"/>
        <w:widowControl w:val="0"/>
        <w:shd w:val="clear"/>
        <w:kinsoku/>
        <w:wordWrap/>
        <w:overflowPunct/>
        <w:topLinePunct w:val="0"/>
        <w:autoSpaceDE/>
        <w:autoSpaceDN/>
        <w:bidi w:val="0"/>
        <w:adjustRightInd/>
        <w:snapToGrid/>
        <w:spacing w:line="560" w:lineRule="exact"/>
        <w:textAlignment w:val="auto"/>
        <w:rPr>
          <w:rFonts w:hint="eastAsia" w:ascii="宋体" w:hAnsi="宋体" w:eastAsia="宋体" w:cs="宋体"/>
          <w:b w:val="0"/>
          <w:bCs w:val="0"/>
          <w:color w:val="auto"/>
          <w:sz w:val="28"/>
          <w:szCs w:val="28"/>
          <w:highlight w:val="none"/>
        </w:rPr>
      </w:pPr>
      <w:bookmarkStart w:id="82" w:name="_Toc16416"/>
      <w:r>
        <w:rPr>
          <w:rFonts w:hint="eastAsia" w:ascii="宋体" w:hAnsi="宋体" w:eastAsia="宋体" w:cs="宋体"/>
          <w:b w:val="0"/>
          <w:bCs w:val="0"/>
          <w:color w:val="auto"/>
          <w:sz w:val="28"/>
          <w:szCs w:val="28"/>
          <w:highlight w:val="none"/>
        </w:rPr>
        <w:t>六、一般公共预算财政拨款支出决算表</w:t>
      </w:r>
      <w:bookmarkEnd w:id="81"/>
      <w:bookmarkEnd w:id="82"/>
    </w:p>
    <w:p>
      <w:pPr>
        <w:pStyle w:val="4"/>
        <w:keepNext/>
        <w:keepLines/>
        <w:pageBreakBefore w:val="0"/>
        <w:widowControl w:val="0"/>
        <w:shd w:val="clear"/>
        <w:kinsoku/>
        <w:wordWrap/>
        <w:overflowPunct/>
        <w:topLinePunct w:val="0"/>
        <w:autoSpaceDE/>
        <w:autoSpaceDN/>
        <w:bidi w:val="0"/>
        <w:adjustRightInd/>
        <w:snapToGrid/>
        <w:spacing w:line="560" w:lineRule="exact"/>
        <w:textAlignment w:val="auto"/>
        <w:rPr>
          <w:rFonts w:hint="eastAsia" w:ascii="宋体" w:hAnsi="宋体" w:eastAsia="宋体" w:cs="宋体"/>
          <w:b w:val="0"/>
          <w:bCs w:val="0"/>
          <w:color w:val="auto"/>
          <w:sz w:val="28"/>
          <w:szCs w:val="28"/>
          <w:highlight w:val="none"/>
        </w:rPr>
      </w:pPr>
      <w:bookmarkStart w:id="83" w:name="_Toc15396625"/>
      <w:bookmarkStart w:id="84" w:name="_Toc9790"/>
      <w:r>
        <w:rPr>
          <w:rFonts w:hint="eastAsia" w:ascii="宋体" w:hAnsi="宋体" w:eastAsia="宋体" w:cs="宋体"/>
          <w:b w:val="0"/>
          <w:bCs w:val="0"/>
          <w:color w:val="auto"/>
          <w:sz w:val="28"/>
          <w:szCs w:val="28"/>
          <w:highlight w:val="none"/>
        </w:rPr>
        <w:t>七、一般公共预算财政拨款支出决算明细表</w:t>
      </w:r>
      <w:bookmarkEnd w:id="83"/>
      <w:bookmarkEnd w:id="84"/>
    </w:p>
    <w:p>
      <w:pPr>
        <w:pStyle w:val="4"/>
        <w:keepNext/>
        <w:keepLines/>
        <w:pageBreakBefore w:val="0"/>
        <w:widowControl w:val="0"/>
        <w:shd w:val="clear"/>
        <w:kinsoku/>
        <w:wordWrap/>
        <w:overflowPunct/>
        <w:topLinePunct w:val="0"/>
        <w:autoSpaceDE/>
        <w:autoSpaceDN/>
        <w:bidi w:val="0"/>
        <w:adjustRightInd/>
        <w:snapToGrid/>
        <w:spacing w:line="560" w:lineRule="exact"/>
        <w:textAlignment w:val="auto"/>
        <w:rPr>
          <w:rFonts w:hint="eastAsia" w:ascii="宋体" w:hAnsi="宋体" w:eastAsia="宋体" w:cs="宋体"/>
          <w:b w:val="0"/>
          <w:bCs w:val="0"/>
          <w:color w:val="auto"/>
          <w:sz w:val="28"/>
          <w:szCs w:val="28"/>
          <w:highlight w:val="none"/>
        </w:rPr>
      </w:pPr>
      <w:bookmarkStart w:id="85" w:name="_Toc30705"/>
      <w:bookmarkStart w:id="86" w:name="_Toc15396626"/>
      <w:r>
        <w:rPr>
          <w:rFonts w:hint="eastAsia" w:ascii="宋体" w:hAnsi="宋体" w:eastAsia="宋体" w:cs="宋体"/>
          <w:b w:val="0"/>
          <w:bCs w:val="0"/>
          <w:color w:val="auto"/>
          <w:sz w:val="28"/>
          <w:szCs w:val="28"/>
          <w:highlight w:val="none"/>
        </w:rPr>
        <w:t>八、一般公共预算财政拨款基本支出决算表</w:t>
      </w:r>
      <w:bookmarkEnd w:id="85"/>
      <w:bookmarkEnd w:id="86"/>
    </w:p>
    <w:p>
      <w:pPr>
        <w:pStyle w:val="4"/>
        <w:keepNext/>
        <w:keepLines/>
        <w:pageBreakBefore w:val="0"/>
        <w:widowControl w:val="0"/>
        <w:shd w:val="clear"/>
        <w:kinsoku/>
        <w:wordWrap/>
        <w:overflowPunct/>
        <w:topLinePunct w:val="0"/>
        <w:autoSpaceDE/>
        <w:autoSpaceDN/>
        <w:bidi w:val="0"/>
        <w:adjustRightInd/>
        <w:snapToGrid/>
        <w:spacing w:line="560" w:lineRule="exact"/>
        <w:textAlignment w:val="auto"/>
        <w:rPr>
          <w:rFonts w:hint="eastAsia" w:ascii="宋体" w:hAnsi="宋体" w:eastAsia="宋体" w:cs="宋体"/>
          <w:b w:val="0"/>
          <w:bCs w:val="0"/>
          <w:color w:val="auto"/>
          <w:sz w:val="28"/>
          <w:szCs w:val="28"/>
          <w:highlight w:val="none"/>
        </w:rPr>
      </w:pPr>
      <w:bookmarkStart w:id="87" w:name="_Toc15396627"/>
      <w:bookmarkStart w:id="88" w:name="_Toc25313"/>
      <w:r>
        <w:rPr>
          <w:rFonts w:hint="eastAsia" w:ascii="宋体" w:hAnsi="宋体" w:eastAsia="宋体" w:cs="宋体"/>
          <w:b w:val="0"/>
          <w:bCs w:val="0"/>
          <w:color w:val="auto"/>
          <w:sz w:val="28"/>
          <w:szCs w:val="28"/>
          <w:highlight w:val="none"/>
        </w:rPr>
        <w:t>九、一般公共预算财政拨款项目支出决算表</w:t>
      </w:r>
      <w:bookmarkEnd w:id="87"/>
      <w:bookmarkEnd w:id="88"/>
    </w:p>
    <w:p>
      <w:pPr>
        <w:pStyle w:val="4"/>
        <w:keepNext/>
        <w:keepLines/>
        <w:pageBreakBefore w:val="0"/>
        <w:widowControl w:val="0"/>
        <w:shd w:val="clear"/>
        <w:kinsoku/>
        <w:wordWrap/>
        <w:overflowPunct/>
        <w:topLinePunct w:val="0"/>
        <w:autoSpaceDE/>
        <w:autoSpaceDN/>
        <w:bidi w:val="0"/>
        <w:adjustRightInd/>
        <w:snapToGrid/>
        <w:spacing w:line="560" w:lineRule="exact"/>
        <w:textAlignment w:val="auto"/>
        <w:rPr>
          <w:rFonts w:hint="eastAsia" w:ascii="宋体" w:hAnsi="宋体" w:eastAsia="宋体" w:cs="宋体"/>
          <w:b w:val="0"/>
          <w:bCs w:val="0"/>
          <w:color w:val="auto"/>
          <w:sz w:val="28"/>
          <w:szCs w:val="28"/>
          <w:highlight w:val="none"/>
        </w:rPr>
      </w:pPr>
      <w:bookmarkStart w:id="89" w:name="_Toc15396628"/>
      <w:bookmarkStart w:id="90" w:name="_Toc32105"/>
      <w:r>
        <w:rPr>
          <w:rFonts w:hint="eastAsia" w:ascii="宋体" w:hAnsi="宋体" w:eastAsia="宋体" w:cs="宋体"/>
          <w:b w:val="0"/>
          <w:bCs w:val="0"/>
          <w:color w:val="auto"/>
          <w:sz w:val="28"/>
          <w:szCs w:val="28"/>
          <w:highlight w:val="none"/>
        </w:rPr>
        <w:t>十、</w:t>
      </w:r>
      <w:bookmarkEnd w:id="89"/>
      <w:r>
        <w:rPr>
          <w:rFonts w:hint="eastAsia" w:ascii="宋体" w:hAnsi="宋体" w:eastAsia="宋体" w:cs="宋体"/>
          <w:b w:val="0"/>
          <w:bCs w:val="0"/>
          <w:color w:val="auto"/>
          <w:sz w:val="28"/>
          <w:szCs w:val="28"/>
          <w:highlight w:val="none"/>
        </w:rPr>
        <w:t>政府性基金预算财政拨款收入支出决算表</w:t>
      </w:r>
      <w:bookmarkEnd w:id="90"/>
    </w:p>
    <w:p>
      <w:pPr>
        <w:pStyle w:val="4"/>
        <w:keepNext/>
        <w:keepLines/>
        <w:pageBreakBefore w:val="0"/>
        <w:widowControl w:val="0"/>
        <w:shd w:val="clear"/>
        <w:kinsoku/>
        <w:wordWrap/>
        <w:overflowPunct/>
        <w:topLinePunct w:val="0"/>
        <w:autoSpaceDE/>
        <w:autoSpaceDN/>
        <w:bidi w:val="0"/>
        <w:adjustRightInd/>
        <w:snapToGrid/>
        <w:spacing w:line="560" w:lineRule="exact"/>
        <w:textAlignment w:val="auto"/>
        <w:rPr>
          <w:rFonts w:hint="eastAsia" w:ascii="宋体" w:hAnsi="宋体" w:eastAsia="宋体" w:cs="宋体"/>
          <w:b w:val="0"/>
          <w:bCs w:val="0"/>
          <w:color w:val="auto"/>
          <w:sz w:val="28"/>
          <w:szCs w:val="28"/>
          <w:highlight w:val="none"/>
        </w:rPr>
      </w:pPr>
      <w:bookmarkStart w:id="91" w:name="_Toc15396629"/>
      <w:bookmarkStart w:id="92" w:name="_Toc27001"/>
      <w:r>
        <w:rPr>
          <w:rFonts w:hint="eastAsia" w:ascii="宋体" w:hAnsi="宋体" w:eastAsia="宋体" w:cs="宋体"/>
          <w:b w:val="0"/>
          <w:bCs w:val="0"/>
          <w:color w:val="auto"/>
          <w:sz w:val="28"/>
          <w:szCs w:val="28"/>
          <w:highlight w:val="none"/>
        </w:rPr>
        <w:t>十一、</w:t>
      </w:r>
      <w:bookmarkEnd w:id="91"/>
      <w:r>
        <w:rPr>
          <w:rFonts w:hint="eastAsia" w:ascii="宋体" w:hAnsi="宋体" w:eastAsia="宋体" w:cs="宋体"/>
          <w:b w:val="0"/>
          <w:bCs w:val="0"/>
          <w:color w:val="auto"/>
          <w:sz w:val="28"/>
          <w:szCs w:val="28"/>
          <w:highlight w:val="none"/>
        </w:rPr>
        <w:t>国有资本经营预算</w:t>
      </w:r>
      <w:r>
        <w:rPr>
          <w:rFonts w:hint="eastAsia" w:ascii="宋体" w:hAnsi="宋体" w:eastAsia="宋体" w:cs="宋体"/>
          <w:b w:val="0"/>
          <w:bCs w:val="0"/>
          <w:color w:val="auto"/>
          <w:sz w:val="28"/>
          <w:szCs w:val="28"/>
          <w:highlight w:val="none"/>
          <w:lang w:eastAsia="zh-CN"/>
        </w:rPr>
        <w:t>财政拨款收入</w:t>
      </w:r>
      <w:r>
        <w:rPr>
          <w:rFonts w:hint="eastAsia" w:ascii="宋体" w:hAnsi="宋体" w:eastAsia="宋体" w:cs="宋体"/>
          <w:b w:val="0"/>
          <w:bCs w:val="0"/>
          <w:color w:val="auto"/>
          <w:sz w:val="28"/>
          <w:szCs w:val="28"/>
          <w:highlight w:val="none"/>
        </w:rPr>
        <w:t>支出决算表</w:t>
      </w:r>
      <w:bookmarkEnd w:id="92"/>
    </w:p>
    <w:p>
      <w:pPr>
        <w:pStyle w:val="4"/>
        <w:keepNext/>
        <w:keepLines/>
        <w:pageBreakBefore w:val="0"/>
        <w:widowControl w:val="0"/>
        <w:shd w:val="clear"/>
        <w:kinsoku/>
        <w:wordWrap/>
        <w:overflowPunct/>
        <w:topLinePunct w:val="0"/>
        <w:autoSpaceDE/>
        <w:autoSpaceDN/>
        <w:bidi w:val="0"/>
        <w:adjustRightInd/>
        <w:snapToGrid/>
        <w:spacing w:line="560" w:lineRule="exact"/>
        <w:textAlignment w:val="auto"/>
        <w:rPr>
          <w:rFonts w:hint="eastAsia" w:ascii="宋体" w:hAnsi="宋体" w:eastAsia="宋体" w:cs="宋体"/>
          <w:b w:val="0"/>
          <w:bCs w:val="0"/>
          <w:color w:val="auto"/>
          <w:sz w:val="28"/>
          <w:szCs w:val="28"/>
          <w:highlight w:val="none"/>
        </w:rPr>
      </w:pPr>
      <w:bookmarkStart w:id="93" w:name="_Toc15396630"/>
      <w:bookmarkStart w:id="94" w:name="_Toc18751"/>
      <w:r>
        <w:rPr>
          <w:rFonts w:hint="eastAsia" w:ascii="宋体" w:hAnsi="宋体" w:eastAsia="宋体" w:cs="宋体"/>
          <w:b w:val="0"/>
          <w:bCs w:val="0"/>
          <w:color w:val="auto"/>
          <w:sz w:val="28"/>
          <w:szCs w:val="28"/>
          <w:highlight w:val="none"/>
        </w:rPr>
        <w:t>十二、</w:t>
      </w:r>
      <w:bookmarkEnd w:id="93"/>
      <w:r>
        <w:rPr>
          <w:rFonts w:hint="eastAsia" w:ascii="宋体" w:hAnsi="宋体" w:eastAsia="宋体" w:cs="宋体"/>
          <w:b w:val="0"/>
          <w:bCs w:val="0"/>
          <w:color w:val="auto"/>
          <w:sz w:val="28"/>
          <w:szCs w:val="28"/>
          <w:highlight w:val="none"/>
          <w:lang w:eastAsia="zh-CN"/>
        </w:rPr>
        <w:t>国有资本经营预算财政拨款支出决算表</w:t>
      </w:r>
      <w:bookmarkEnd w:id="94"/>
    </w:p>
    <w:p>
      <w:pPr>
        <w:pStyle w:val="4"/>
        <w:keepNext/>
        <w:keepLines/>
        <w:pageBreakBefore w:val="0"/>
        <w:widowControl w:val="0"/>
        <w:shd w:val="clear"/>
        <w:kinsoku/>
        <w:wordWrap/>
        <w:overflowPunct/>
        <w:topLinePunct w:val="0"/>
        <w:autoSpaceDE/>
        <w:autoSpaceDN/>
        <w:bidi w:val="0"/>
        <w:adjustRightInd/>
        <w:snapToGrid/>
        <w:spacing w:line="560" w:lineRule="exact"/>
        <w:textAlignment w:val="auto"/>
        <w:rPr>
          <w:rFonts w:hint="eastAsia" w:ascii="宋体" w:hAnsi="宋体" w:eastAsia="宋体" w:cs="宋体"/>
          <w:b w:val="0"/>
          <w:bCs w:val="0"/>
          <w:color w:val="auto"/>
          <w:sz w:val="28"/>
          <w:szCs w:val="28"/>
          <w:highlight w:val="none"/>
          <w:lang w:eastAsia="zh-CN"/>
        </w:rPr>
      </w:pPr>
      <w:bookmarkStart w:id="95" w:name="_Toc15396631"/>
      <w:bookmarkStart w:id="96" w:name="_Toc31037"/>
      <w:r>
        <w:rPr>
          <w:rFonts w:hint="eastAsia" w:ascii="宋体" w:hAnsi="宋体" w:eastAsia="宋体" w:cs="宋体"/>
          <w:b w:val="0"/>
          <w:bCs w:val="0"/>
          <w:color w:val="auto"/>
          <w:sz w:val="28"/>
          <w:szCs w:val="28"/>
          <w:highlight w:val="none"/>
        </w:rPr>
        <w:t>十三、</w:t>
      </w:r>
      <w:bookmarkEnd w:id="95"/>
      <w:r>
        <w:rPr>
          <w:rFonts w:hint="eastAsia" w:ascii="宋体" w:hAnsi="宋体" w:eastAsia="宋体" w:cs="宋体"/>
          <w:b w:val="0"/>
          <w:bCs w:val="0"/>
          <w:color w:val="auto"/>
          <w:sz w:val="28"/>
          <w:szCs w:val="28"/>
          <w:highlight w:val="none"/>
          <w:lang w:eastAsia="zh-CN"/>
        </w:rPr>
        <w:t>财政拨款“三公”经费支出决算表</w:t>
      </w:r>
      <w:bookmarkEnd w:id="96"/>
    </w:p>
    <w:sectPr>
      <w:pgSz w:w="11906" w:h="16838"/>
      <w:pgMar w:top="1440" w:right="1800" w:bottom="1440" w:left="1800" w:header="851" w:footer="992" w:gutter="0"/>
      <w:pgNumType w:fmt="decimal"/>
      <w:cols w:space="425"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微软雅黑">
    <w:altName w:val="黑体"/>
    <w:panose1 w:val="020B0503020204020204"/>
    <w:charset w:val="86"/>
    <w:family w:val="auto"/>
    <w:pitch w:val="default"/>
    <w:sig w:usb0="00000000" w:usb1="00000000"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p>
    <w:pPr>
      <w:pStyle w:val="9"/>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8TPSHQIAACkEAAAOAAAAZHJz&#10;L2Uyb0RvYy54bWytU82O0zAQviPxDpbvNGlRV1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9eT/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IDxM9IdAgAAKQQAAA4AAAAAAAAAAQAgAAAANQEAAGRycy9lMm9Eb2MueG1sUEsF&#10;BgAAAAAGAAYAWQEAAMQFAAAAAA==&#10;">
              <v:fill on="f" focussize="0,0"/>
              <v:stroke on="f" weight="0.5pt"/>
              <v:imagedata o:title=""/>
              <o:lock v:ext="edit" aspectratio="f"/>
              <v:textbox inset="0mm,0mm,0mm,0mm" style="mso-fit-shape-to-text:t;">
                <w:txbxContent>
                  <w:p>
                    <w:pPr>
                      <w:pStyle w:val="9"/>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p>
    <w:pPr>
      <w:pStyle w:val="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K8tgzBwCAAApBAAADgAAAAAAAAABACAAAAA1AQAAZHJzL2Uyb0RvYy54bWxQSwUG&#10;AAAAAAYABgBZAQAAwwUAAAAA&#10;">
              <v:fill on="f" focussize="0,0"/>
              <v:stroke on="f" weight="0.5pt"/>
              <v:imagedata o:title=""/>
              <o:lock v:ext="edit" aspectratio="f"/>
              <v:textbox inset="0mm,0mm,0mm,0mm" style="mso-fit-shape-to-text:t;">
                <w:txbxContent>
                  <w:p>
                    <w:pPr>
                      <w:pStyle w:val="9"/>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FsIeAxwCAAArBAAADgAAAAAAAAABACAAAAA1AQAAZHJzL2Uyb0RvYy54bWxQSwUG&#10;AAAAAAYABgBZAQAAwwUAAAAA&#10;">
              <v:fill on="f" focussize="0,0"/>
              <v:stroke on="f" weight="0.5pt"/>
              <v:imagedata o:title=""/>
              <o:lock v:ext="edit" aspectratio="f"/>
              <v:textbox inset="0mm,0mm,0mm,0mm" style="mso-fit-shape-to-text:t;">
                <w:txbxContent>
                  <w:p>
                    <w:pPr>
                      <w:pStyle w:val="9"/>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v:textbox>
            </v:shape>
          </w:pict>
        </mc:Fallback>
      </mc:AlternateContent>
    </w:r>
  </w:p>
  <w:p>
    <w:pPr>
      <w:pStyle w:val="9"/>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GQA+L8aAgAAKwQAAA4AAAAAAAAAAQAgAAAANQEAAGRycy9lMm9Eb2MueG1sUEsFBgAA&#10;AAAGAAYAWQEAAMEFAAAAAA==&#10;">
              <v:fill on="f" focussize="0,0"/>
              <v:stroke on="f" weight="0.5pt"/>
              <v:imagedata o:title=""/>
              <o:lock v:ext="edit" aspectratio="f"/>
              <v:textbox inset="0mm,0mm,0mm,0mm" style="mso-fit-shape-to-text:t;">
                <w:txbxContent>
                  <w:p>
                    <w:pPr>
                      <w:pStyle w:val="9"/>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v:textbox>
            </v:shape>
          </w:pict>
        </mc:Fallback>
      </mc:AlternateContent>
    </w:r>
  </w:p>
  <w:p>
    <w:pPr>
      <w:pStyle w:val="9"/>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zQKKhHAIAACs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0CioRwCAAArBAAADgAAAAAAAAABACAAAAA1AQAAZHJzL2Uyb0RvYy54bWxQSwUG&#10;AAAAAAYABgBZAQAAwwUAAAAA&#10;">
              <v:fill on="f" focussize="0,0"/>
              <v:stroke on="f" weight="0.5pt"/>
              <v:imagedata o:title=""/>
              <o:lock v:ext="edit" aspectratio="f"/>
              <v:textbox inset="0mm,0mm,0mm,0mm" style="mso-fit-shape-to-text:t;">
                <w:txbxContent>
                  <w:p>
                    <w:pPr>
                      <w:pStyle w:val="9"/>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9"/>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p>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818A09A"/>
    <w:multiLevelType w:val="singleLevel"/>
    <w:tmpl w:val="3818A09A"/>
    <w:lvl w:ilvl="0" w:tentative="0">
      <w:start w:val="1"/>
      <w:numFmt w:val="chineseCounting"/>
      <w:suff w:val="nothing"/>
      <w:lvlText w:val="%1、"/>
      <w:lvlJc w:val="left"/>
      <w:rPr>
        <w:rFonts w:hint="eastAsia"/>
      </w:rPr>
    </w:lvl>
  </w:abstractNum>
  <w:abstractNum w:abstractNumId="4">
    <w:nsid w:val="6787542E"/>
    <w:multiLevelType w:val="singleLevel"/>
    <w:tmpl w:val="6787542E"/>
    <w:lvl w:ilvl="0" w:tentative="0">
      <w:start w:val="1"/>
      <w:numFmt w:val="chineseCounting"/>
      <w:suff w:val="space"/>
      <w:lvlText w:val="第%1部分"/>
      <w:lvlJc w:val="left"/>
      <w:rPr>
        <w:rFonts w:hint="eastAsia"/>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2OWM3NjEyNjk2NTUwMWZiMWFmZGE4NzkzODUwZGE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61BC5"/>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2277368"/>
    <w:rsid w:val="053A62B5"/>
    <w:rsid w:val="08061B76"/>
    <w:rsid w:val="0A2032A3"/>
    <w:rsid w:val="0A4A209B"/>
    <w:rsid w:val="0B8A37D8"/>
    <w:rsid w:val="0F557518"/>
    <w:rsid w:val="10C055FF"/>
    <w:rsid w:val="118107EC"/>
    <w:rsid w:val="11DD6519"/>
    <w:rsid w:val="16BB723D"/>
    <w:rsid w:val="18015F3F"/>
    <w:rsid w:val="1BE8440E"/>
    <w:rsid w:val="1D155CEE"/>
    <w:rsid w:val="20F57F95"/>
    <w:rsid w:val="240371BF"/>
    <w:rsid w:val="248C5333"/>
    <w:rsid w:val="25711CC6"/>
    <w:rsid w:val="25C741E6"/>
    <w:rsid w:val="27842671"/>
    <w:rsid w:val="29421AC0"/>
    <w:rsid w:val="29FD04D3"/>
    <w:rsid w:val="2ABE7A3E"/>
    <w:rsid w:val="2B2F07C6"/>
    <w:rsid w:val="2CA234A8"/>
    <w:rsid w:val="2EFA178C"/>
    <w:rsid w:val="30772CFB"/>
    <w:rsid w:val="30B46D73"/>
    <w:rsid w:val="319F7F4E"/>
    <w:rsid w:val="383D272C"/>
    <w:rsid w:val="394D1E60"/>
    <w:rsid w:val="39AE70AB"/>
    <w:rsid w:val="3ADE3FB6"/>
    <w:rsid w:val="3C0C0783"/>
    <w:rsid w:val="3D840E45"/>
    <w:rsid w:val="3E965490"/>
    <w:rsid w:val="3F9F3A96"/>
    <w:rsid w:val="41085755"/>
    <w:rsid w:val="42A220FD"/>
    <w:rsid w:val="48BF60AB"/>
    <w:rsid w:val="493C27E9"/>
    <w:rsid w:val="496F39ED"/>
    <w:rsid w:val="49FF41D3"/>
    <w:rsid w:val="4AFC64BF"/>
    <w:rsid w:val="4BE068DB"/>
    <w:rsid w:val="4BF6002B"/>
    <w:rsid w:val="4D9D06EF"/>
    <w:rsid w:val="4ECE2238"/>
    <w:rsid w:val="51DB4B86"/>
    <w:rsid w:val="55333C3E"/>
    <w:rsid w:val="58C63C68"/>
    <w:rsid w:val="5D0905C7"/>
    <w:rsid w:val="5D177A41"/>
    <w:rsid w:val="5DD21301"/>
    <w:rsid w:val="60E77FAB"/>
    <w:rsid w:val="64CA39A1"/>
    <w:rsid w:val="675602B1"/>
    <w:rsid w:val="67B81568"/>
    <w:rsid w:val="69630ADE"/>
    <w:rsid w:val="69C907A6"/>
    <w:rsid w:val="6C4A05C8"/>
    <w:rsid w:val="6D3B1A89"/>
    <w:rsid w:val="71BF4EC2"/>
    <w:rsid w:val="72734D90"/>
    <w:rsid w:val="7412278C"/>
    <w:rsid w:val="758B29A5"/>
    <w:rsid w:val="769F401E"/>
    <w:rsid w:val="7904082E"/>
    <w:rsid w:val="79E7B28D"/>
    <w:rsid w:val="7A2F02BA"/>
    <w:rsid w:val="7ADBD5B1"/>
    <w:rsid w:val="7AFEB626"/>
    <w:rsid w:val="7D7A60FC"/>
    <w:rsid w:val="7F781FA0"/>
    <w:rsid w:val="7F9F20EE"/>
    <w:rsid w:val="9E3A10E2"/>
    <w:rsid w:val="CFBE2B37"/>
    <w:rsid w:val="F2E1F9D4"/>
    <w:rsid w:val="F7880819"/>
    <w:rsid w:val="FDEB6A5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420" w:firstLineChars="200"/>
      <w:jc w:val="both"/>
    </w:pPr>
    <w:rPr>
      <w:rFonts w:ascii="Times New Roman" w:hAnsi="Times New Roman" w:eastAsia="宋体" w:cs="Times New Roman"/>
      <w:kern w:val="2"/>
      <w:sz w:val="28"/>
      <w:szCs w:val="24"/>
      <w:lang w:val="en-US" w:eastAsia="zh-CN" w:bidi="ar-SA"/>
    </w:rPr>
  </w:style>
  <w:style w:type="paragraph" w:styleId="3">
    <w:name w:val="heading 1"/>
    <w:basedOn w:val="1"/>
    <w:next w:val="1"/>
    <w:link w:val="20"/>
    <w:qFormat/>
    <w:uiPriority w:val="9"/>
    <w:pPr>
      <w:keepNext/>
      <w:keepLines/>
      <w:spacing w:line="560" w:lineRule="exact"/>
      <w:jc w:val="center"/>
      <w:outlineLvl w:val="0"/>
    </w:pPr>
    <w:rPr>
      <w:rFonts w:ascii="Times New Roman" w:hAnsi="Times New Roman" w:eastAsia="黑体"/>
      <w:b/>
      <w:bCs/>
      <w:kern w:val="44"/>
      <w:sz w:val="44"/>
      <w:szCs w:val="44"/>
    </w:rPr>
  </w:style>
  <w:style w:type="paragraph" w:styleId="4">
    <w:name w:val="heading 2"/>
    <w:basedOn w:val="1"/>
    <w:next w:val="1"/>
    <w:link w:val="21"/>
    <w:unhideWhenUsed/>
    <w:qFormat/>
    <w:uiPriority w:val="9"/>
    <w:pPr>
      <w:keepNext/>
      <w:keepLines/>
      <w:spacing w:line="400" w:lineRule="exact"/>
      <w:ind w:firstLine="420" w:firstLineChars="200"/>
      <w:outlineLvl w:val="1"/>
    </w:pPr>
    <w:rPr>
      <w:rFonts w:asciiTheme="majorAscii" w:hAnsiTheme="majorAscii" w:eastAsiaTheme="majorEastAsia" w:cstheme="majorBidi"/>
      <w:b/>
      <w:bCs/>
      <w:sz w:val="32"/>
      <w:szCs w:val="32"/>
    </w:rPr>
  </w:style>
  <w:style w:type="paragraph" w:styleId="5">
    <w:name w:val="heading 3"/>
    <w:basedOn w:val="1"/>
    <w:next w:val="1"/>
    <w:link w:val="22"/>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8"/>
    <w:qFormat/>
    <w:uiPriority w:val="99"/>
    <w:pPr>
      <w:spacing w:beforeLines="30"/>
    </w:pPr>
    <w:rPr>
      <w:rFonts w:ascii="仿宋_GB2312" w:eastAsia="仿宋_GB2312"/>
      <w:kern w:val="0"/>
      <w:sz w:val="30"/>
    </w:rPr>
  </w:style>
  <w:style w:type="paragraph" w:styleId="6">
    <w:name w:val="Body Text Indent"/>
    <w:basedOn w:val="1"/>
    <w:qFormat/>
    <w:uiPriority w:val="0"/>
    <w:pPr>
      <w:spacing w:after="120"/>
      <w:ind w:leftChars="200"/>
    </w:pPr>
    <w:rPr>
      <w:rFonts w:ascii="仿宋_GB2312"/>
      <w:szCs w:val="32"/>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32"/>
    <w:semiHidden/>
    <w:unhideWhenUsed/>
    <w:qFormat/>
    <w:uiPriority w:val="99"/>
    <w:rPr>
      <w:sz w:val="18"/>
      <w:szCs w:val="18"/>
    </w:rPr>
  </w:style>
  <w:style w:type="paragraph" w:styleId="9">
    <w:name w:val="footer"/>
    <w:basedOn w:val="1"/>
    <w:link w:val="26"/>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4"/>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Subtitle"/>
    <w:basedOn w:val="1"/>
    <w:qFormat/>
    <w:uiPriority w:val="99"/>
    <w:pPr>
      <w:spacing w:before="240" w:after="60" w:line="312" w:lineRule="auto"/>
      <w:jc w:val="center"/>
      <w:outlineLvl w:val="1"/>
    </w:pPr>
    <w:rPr>
      <w:rFonts w:ascii="Arial" w:hAnsi="Arial" w:cs="Arial"/>
      <w:b/>
      <w:bCs/>
      <w:kern w:val="28"/>
      <w:sz w:val="32"/>
      <w:szCs w:val="32"/>
    </w:rPr>
  </w:style>
  <w:style w:type="paragraph" w:styleId="13">
    <w:name w:val="table of figures"/>
    <w:basedOn w:val="1"/>
    <w:next w:val="1"/>
    <w:unhideWhenUsed/>
    <w:qFormat/>
    <w:uiPriority w:val="99"/>
    <w:pPr>
      <w:ind w:left="200" w:leftChars="200" w:hanging="200" w:hangingChars="200"/>
    </w:pPr>
  </w:style>
  <w:style w:type="paragraph" w:styleId="14">
    <w:name w:val="toc 2"/>
    <w:basedOn w:val="1"/>
    <w:next w:val="1"/>
    <w:unhideWhenUsed/>
    <w:qFormat/>
    <w:uiPriority w:val="39"/>
    <w:pPr>
      <w:tabs>
        <w:tab w:val="right" w:leader="dot" w:pos="8296"/>
      </w:tabs>
      <w:ind w:left="420" w:leftChars="200"/>
    </w:pPr>
  </w:style>
  <w:style w:type="paragraph" w:styleId="15">
    <w:name w:val="Body Text First Indent 2"/>
    <w:basedOn w:val="6"/>
    <w:unhideWhenUsed/>
    <w:qFormat/>
    <w:uiPriority w:val="99"/>
    <w:pPr>
      <w:ind w:firstLine="420" w:firstLine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customStyle="1" w:styleId="20">
    <w:name w:val="标题 1 Char"/>
    <w:basedOn w:val="17"/>
    <w:link w:val="3"/>
    <w:qFormat/>
    <w:uiPriority w:val="9"/>
    <w:rPr>
      <w:rFonts w:ascii="Times New Roman" w:hAnsi="Times New Roman" w:eastAsia="黑体"/>
      <w:b/>
      <w:bCs/>
      <w:kern w:val="44"/>
      <w:sz w:val="44"/>
      <w:szCs w:val="44"/>
    </w:rPr>
  </w:style>
  <w:style w:type="character" w:customStyle="1" w:styleId="21">
    <w:name w:val="标题 2 Char"/>
    <w:basedOn w:val="17"/>
    <w:link w:val="4"/>
    <w:qFormat/>
    <w:uiPriority w:val="9"/>
    <w:rPr>
      <w:rFonts w:asciiTheme="majorAscii" w:hAnsiTheme="majorAscii" w:eastAsiaTheme="majorEastAsia" w:cstheme="majorBidi"/>
      <w:b/>
      <w:bCs/>
      <w:kern w:val="2"/>
      <w:sz w:val="32"/>
      <w:szCs w:val="32"/>
    </w:rPr>
  </w:style>
  <w:style w:type="character" w:customStyle="1" w:styleId="22">
    <w:name w:val="标题 3 Char"/>
    <w:basedOn w:val="17"/>
    <w:link w:val="5"/>
    <w:qFormat/>
    <w:uiPriority w:val="9"/>
    <w:rPr>
      <w:rFonts w:ascii="Times New Roman" w:hAnsi="Times New Roman"/>
      <w:b/>
      <w:bCs/>
      <w:kern w:val="2"/>
      <w:sz w:val="32"/>
      <w:szCs w:val="32"/>
    </w:rPr>
  </w:style>
  <w:style w:type="character" w:customStyle="1" w:styleId="23">
    <w:name w:val="Header Char"/>
    <w:basedOn w:val="17"/>
    <w:semiHidden/>
    <w:qFormat/>
    <w:uiPriority w:val="99"/>
    <w:rPr>
      <w:rFonts w:ascii="Times New Roman" w:hAnsi="Times New Roman"/>
      <w:sz w:val="18"/>
      <w:szCs w:val="18"/>
    </w:rPr>
  </w:style>
  <w:style w:type="character" w:customStyle="1" w:styleId="24">
    <w:name w:val="页眉 Char"/>
    <w:link w:val="10"/>
    <w:semiHidden/>
    <w:qFormat/>
    <w:locked/>
    <w:uiPriority w:val="99"/>
    <w:rPr>
      <w:sz w:val="18"/>
    </w:rPr>
  </w:style>
  <w:style w:type="character" w:customStyle="1" w:styleId="25">
    <w:name w:val="Footer Char"/>
    <w:basedOn w:val="17"/>
    <w:semiHidden/>
    <w:qFormat/>
    <w:uiPriority w:val="99"/>
    <w:rPr>
      <w:rFonts w:ascii="Times New Roman" w:hAnsi="Times New Roman"/>
      <w:sz w:val="18"/>
      <w:szCs w:val="18"/>
    </w:rPr>
  </w:style>
  <w:style w:type="character" w:customStyle="1" w:styleId="26">
    <w:name w:val="页脚 Char"/>
    <w:link w:val="9"/>
    <w:qFormat/>
    <w:locked/>
    <w:uiPriority w:val="99"/>
    <w:rPr>
      <w:sz w:val="18"/>
    </w:rPr>
  </w:style>
  <w:style w:type="character" w:customStyle="1" w:styleId="27">
    <w:name w:val="Body Text Char"/>
    <w:basedOn w:val="17"/>
    <w:semiHidden/>
    <w:qFormat/>
    <w:uiPriority w:val="99"/>
    <w:rPr>
      <w:rFonts w:ascii="Times New Roman" w:hAnsi="Times New Roman"/>
      <w:szCs w:val="24"/>
    </w:rPr>
  </w:style>
  <w:style w:type="character" w:customStyle="1" w:styleId="28">
    <w:name w:val="正文文本 Char"/>
    <w:link w:val="2"/>
    <w:qFormat/>
    <w:locked/>
    <w:uiPriority w:val="99"/>
    <w:rPr>
      <w:rFonts w:ascii="仿宋_GB2312" w:hAnsi="Times New Roman" w:eastAsia="仿宋_GB2312"/>
      <w:sz w:val="24"/>
    </w:rPr>
  </w:style>
  <w:style w:type="paragraph" w:customStyle="1" w:styleId="2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0">
    <w:name w:val="List Paragraph"/>
    <w:basedOn w:val="1"/>
    <w:qFormat/>
    <w:uiPriority w:val="34"/>
    <w:pPr>
      <w:ind w:firstLine="420" w:firstLineChars="200"/>
    </w:p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7"/>
    <w:link w:val="8"/>
    <w:semiHidden/>
    <w:qFormat/>
    <w:uiPriority w:val="99"/>
    <w:rPr>
      <w:rFonts w:ascii="Times New Roman" w:hAnsi="Times New Roman"/>
      <w:kern w:val="2"/>
      <w:sz w:val="18"/>
      <w:szCs w:val="18"/>
    </w:rPr>
  </w:style>
  <w:style w:type="paragraph" w:customStyle="1" w:styleId="33">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WPSOffice手动目录 1"/>
    <w:qFormat/>
    <w:uiPriority w:val="0"/>
    <w:pPr>
      <w:ind w:leftChars="0"/>
    </w:pPr>
    <w:rPr>
      <w:rFonts w:ascii="Times New Roman" w:hAnsi="Times New Roman" w:eastAsia="宋体" w:cs="Times New Roman"/>
      <w:sz w:val="20"/>
      <w:szCs w:val="20"/>
    </w:rPr>
  </w:style>
  <w:style w:type="paragraph" w:customStyle="1" w:styleId="3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chart" Target="charts/chart3.xml"/><Relationship Id="rId2" Type="http://schemas.openxmlformats.org/officeDocument/2006/relationships/settings" Target="settings.xml"/><Relationship Id="rId19" Type="http://schemas.openxmlformats.org/officeDocument/2006/relationships/chart" Target="charts/chart2.xml"/><Relationship Id="rId18" Type="http://schemas.openxmlformats.org/officeDocument/2006/relationships/chart" Target="charts/chart1.xml"/><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24037;&#20316;&#31807;1"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24037;&#20316;&#31807;1"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24037;&#20316;&#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dk1">
                    <a:lumMod val="75000"/>
                    <a:lumOff val="25000"/>
                  </a:schemeClr>
                </a:solidFill>
                <a:latin typeface="+mn-lt"/>
                <a:ea typeface="+mn-ea"/>
                <a:cs typeface="+mn-cs"/>
              </a:defRPr>
            </a:pPr>
            <a:r>
              <a:t>支出决算结构图</a:t>
            </a:r>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[工作簿1]Sheet1!$A$13:$A$14</c:f>
              <c:strCache>
                <c:ptCount val="2"/>
                <c:pt idx="0">
                  <c:v>基本支出</c:v>
                </c:pt>
                <c:pt idx="1">
                  <c:v>项目支出</c:v>
                </c:pt>
              </c:strCache>
            </c:strRef>
          </c:cat>
          <c:val>
            <c:numRef>
              <c:f>[工作簿1]Sheet1!$B$13:$B$14</c:f>
              <c:numCache>
                <c:formatCode>0.00%</c:formatCode>
                <c:ptCount val="2"/>
                <c:pt idx="0">
                  <c:v>0.3365</c:v>
                </c:pt>
                <c:pt idx="1">
                  <c:v>0.6635</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dk1">
                    <a:lumMod val="75000"/>
                    <a:lumOff val="25000"/>
                  </a:schemeClr>
                </a:solidFill>
                <a:latin typeface="+mn-lt"/>
                <a:ea typeface="+mn-ea"/>
                <a:cs typeface="+mn-cs"/>
              </a:defRPr>
            </a:pPr>
            <a:r>
              <a:t>一般公共预算财政拨款支出决算结构图</a:t>
            </a:r>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Lbls>
            <c:dLbl>
              <c:idx val="1"/>
              <c:layout>
                <c:manualLayout>
                  <c:x val="-0.0710799457727883"/>
                  <c:y val="0.0103598710010067"/>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2"/>
              <c:layout>
                <c:manualLayout>
                  <c:x val="0.00206531611658006"/>
                  <c:y val="-0.0206016709366409"/>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3"/>
              <c:layout>
                <c:manualLayout>
                  <c:x val="0.077244184022668"/>
                  <c:y val="-0.00597742393158691"/>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[工作簿1]Sheet1!$A$22:$A$25</c:f>
              <c:strCache>
                <c:ptCount val="4"/>
                <c:pt idx="0">
                  <c:v>一般公共服务支出</c:v>
                </c:pt>
                <c:pt idx="1">
                  <c:v>社会保障和就业支出</c:v>
                </c:pt>
                <c:pt idx="2">
                  <c:v>卫生健康支出</c:v>
                </c:pt>
                <c:pt idx="3">
                  <c:v>住房保障支出</c:v>
                </c:pt>
              </c:strCache>
            </c:strRef>
          </c:cat>
          <c:val>
            <c:numRef>
              <c:f>[工作簿1]Sheet1!$B$22:$B$25</c:f>
              <c:numCache>
                <c:formatCode>0.00%</c:formatCode>
                <c:ptCount val="4"/>
                <c:pt idx="0">
                  <c:v>0.9462</c:v>
                </c:pt>
                <c:pt idx="1">
                  <c:v>0.019</c:v>
                </c:pt>
                <c:pt idx="2">
                  <c:v>0.0093</c:v>
                </c:pt>
                <c:pt idx="3">
                  <c:v>0.0257</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dk1">
                    <a:lumMod val="75000"/>
                    <a:lumOff val="25000"/>
                  </a:schemeClr>
                </a:solidFill>
                <a:latin typeface="+mn-lt"/>
                <a:ea typeface="+mn-ea"/>
                <a:cs typeface="+mn-cs"/>
              </a:defRPr>
            </a:pPr>
            <a:r>
              <a:t>“三公”经费财政拨款支出结构图</a:t>
            </a:r>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Lbls>
            <c:dLbl>
              <c:idx val="0"/>
              <c:layout>
                <c:manualLayout>
                  <c:x val="0.0822169687417914"/>
                  <c:y val="-0.00889801505817933"/>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2"/>
              <c:layout>
                <c:manualLayout>
                  <c:x val="-0.0912580642236337"/>
                  <c:y val="-0.000635132951861102"/>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[工作簿1]Sheet1!$A$47:$A$49</c:f>
              <c:strCache>
                <c:ptCount val="3"/>
                <c:pt idx="0">
                  <c:v>因公出国（境）经费</c:v>
                </c:pt>
                <c:pt idx="1">
                  <c:v>公务用车购置及运行维护费</c:v>
                </c:pt>
                <c:pt idx="2">
                  <c:v>公务接待费</c:v>
                </c:pt>
              </c:strCache>
            </c:strRef>
          </c:cat>
          <c:val>
            <c:numRef>
              <c:f>[工作簿1]Sheet1!$B$47:$B$49</c:f>
              <c:numCache>
                <c:formatCode>0.00%</c:formatCode>
                <c:ptCount val="3"/>
                <c:pt idx="0">
                  <c:v>0</c:v>
                </c:pt>
                <c:pt idx="1">
                  <c:v>0.9968</c:v>
                </c:pt>
                <c:pt idx="2">
                  <c:v>0.0032</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24</Pages>
  <Words>1299</Words>
  <Characters>7410</Characters>
  <Lines>61</Lines>
  <Paragraphs>17</Paragraphs>
  <TotalTime>16</TotalTime>
  <ScaleCrop>false</ScaleCrop>
  <LinksUpToDate>false</LinksUpToDate>
  <CharactersWithSpaces>8692</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2020-08-05T17:49:00Z</dcterms:created>
  <dc:creator>曹颖</dc:creator>
  <cp:lastModifiedBy> </cp:lastModifiedBy>
  <cp:lastPrinted>2023-10-16T02:33:00Z</cp:lastPrinted>
  <dcterms:modified xsi:type="dcterms:W3CDTF">2023-10-24T18:45:06Z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31F8A238AA924C9F8E1C2054EED1A7F4_13</vt:lpwstr>
  </property>
</Properties>
</file>