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简体" w:hAnsi="宋体" w:eastAsia="方正小标宋简体"/>
          <w:color w:val="auto"/>
          <w:sz w:val="72"/>
          <w:szCs w:val="72"/>
          <w:highlight w:val="none"/>
        </w:rPr>
      </w:pPr>
      <w:bookmarkStart w:id="0" w:name="_Toc15377425"/>
      <w:bookmarkStart w:id="1" w:name="_Toc15378441"/>
      <w:bookmarkStart w:id="2" w:name="_Toc15377193"/>
      <w:bookmarkStart w:id="3" w:name="_Toc15396597"/>
      <w:bookmarkStart w:id="4" w:name="_Toc15396475"/>
      <w:bookmarkStart w:id="5"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6" w:name="_Toc2123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0"/>
      <w:bookmarkEnd w:id="1"/>
      <w:bookmarkEnd w:id="2"/>
      <w:bookmarkEnd w:id="3"/>
      <w:bookmarkEnd w:id="4"/>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96476"/>
      <w:bookmarkStart w:id="8" w:name="_Toc15396598"/>
      <w:bookmarkStart w:id="9" w:name="_Toc15378442"/>
      <w:bookmarkStart w:id="10" w:name="_Toc15377194"/>
      <w:bookmarkStart w:id="11" w:name="_Toc10394"/>
      <w:bookmarkStart w:id="12" w:name="_Toc15377426"/>
      <w:r>
        <w:rPr>
          <w:rFonts w:hint="eastAsia" w:ascii="方正小标宋简体" w:hAnsi="方正小标宋简体" w:eastAsia="方正小标宋简体" w:cs="方正小标宋简体"/>
          <w:color w:val="auto"/>
          <w:sz w:val="72"/>
          <w:szCs w:val="72"/>
          <w:highlight w:val="none"/>
          <w:lang w:eastAsia="zh-CN"/>
        </w:rPr>
        <w:t>广元市</w:t>
      </w:r>
      <w:bookmarkEnd w:id="5"/>
      <w:bookmarkStart w:id="13" w:name="_Toc15306268"/>
      <w:r>
        <w:rPr>
          <w:rFonts w:hint="eastAsia" w:ascii="方正小标宋简体" w:hAnsi="方正小标宋简体" w:eastAsia="方正小标宋简体" w:cs="方正小标宋简体"/>
          <w:color w:val="auto"/>
          <w:sz w:val="72"/>
          <w:szCs w:val="72"/>
          <w:highlight w:val="none"/>
          <w:lang w:eastAsia="zh-CN"/>
        </w:rPr>
        <w:t>互联网信息中心单位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2"/>
        <w:rPr>
          <w:color w:val="auto"/>
          <w:sz w:val="32"/>
          <w:szCs w:val="32"/>
          <w:highlight w:val="none"/>
        </w:rPr>
      </w:pPr>
      <w:r>
        <w:rPr>
          <w:rFonts w:hint="eastAsia"/>
          <w:color w:val="auto"/>
          <w:sz w:val="32"/>
          <w:szCs w:val="32"/>
          <w:highlight w:val="none"/>
        </w:rPr>
        <w:t>公开时间：20</w:t>
      </w:r>
      <w:r>
        <w:rPr>
          <w:rFonts w:hint="eastAsia"/>
          <w:color w:val="auto"/>
          <w:sz w:val="32"/>
          <w:szCs w:val="32"/>
          <w:highlight w:val="none"/>
          <w:lang w:val="en-US" w:eastAsia="zh-CN"/>
        </w:rPr>
        <w:t>23</w:t>
      </w:r>
      <w:r>
        <w:rPr>
          <w:rFonts w:hint="eastAsia"/>
          <w:color w:val="auto"/>
          <w:sz w:val="32"/>
          <w:szCs w:val="32"/>
          <w:highlight w:val="none"/>
        </w:rPr>
        <w:t>年</w:t>
      </w:r>
      <w:r>
        <w:rPr>
          <w:rFonts w:hint="eastAsia"/>
          <w:color w:val="auto"/>
          <w:sz w:val="32"/>
          <w:szCs w:val="32"/>
          <w:highlight w:val="none"/>
          <w:lang w:val="en-US" w:eastAsia="zh-CN"/>
        </w:rPr>
        <w:t>10</w:t>
      </w:r>
      <w:r>
        <w:rPr>
          <w:rFonts w:hint="eastAsia"/>
          <w:color w:val="auto"/>
          <w:sz w:val="32"/>
          <w:szCs w:val="32"/>
          <w:highlight w:val="none"/>
        </w:rPr>
        <w:t>月</w:t>
      </w:r>
      <w:r>
        <w:rPr>
          <w:rFonts w:hint="eastAsia"/>
          <w:color w:val="auto"/>
          <w:sz w:val="32"/>
          <w:szCs w:val="32"/>
          <w:highlight w:val="none"/>
          <w:lang w:val="en-US" w:eastAsia="zh-CN"/>
        </w:rPr>
        <w:t xml:space="preserve"> 17</w:t>
      </w:r>
      <w:bookmarkStart w:id="105" w:name="_GoBack"/>
      <w:bookmarkEnd w:id="105"/>
      <w:r>
        <w:rPr>
          <w:rFonts w:hint="eastAsia"/>
          <w:color w:val="auto"/>
          <w:sz w:val="32"/>
          <w:szCs w:val="32"/>
          <w:highlight w:val="none"/>
        </w:rPr>
        <w:t>日</w:t>
      </w:r>
    </w:p>
    <w:sdt>
      <w:sdtPr>
        <w:rPr>
          <w:rFonts w:ascii="宋体" w:hAnsi="宋体" w:eastAsia="宋体" w:cs="Times New Roman"/>
          <w:kern w:val="2"/>
          <w:sz w:val="21"/>
          <w:szCs w:val="24"/>
          <w:lang w:val="en-US" w:eastAsia="zh-CN" w:bidi="ar-SA"/>
        </w:rPr>
        <w:id w:val="147462963"/>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Lines="0" w:afterLines="0"/>
            <w:jc w:val="center"/>
            <w:rPr>
              <w:b/>
            </w:rPr>
          </w:pPr>
          <w:r>
            <w:fldChar w:fldCharType="begin"/>
          </w:r>
          <w:r>
            <w:instrText xml:space="preserve">TOC \o "1-2" \h \u </w:instrText>
          </w:r>
          <w:r>
            <w:fldChar w:fldCharType="separate"/>
          </w:r>
        </w:p>
        <w:p>
          <w:pPr>
            <w:pStyle w:val="36"/>
            <w:tabs>
              <w:tab w:val="right" w:leader="dot" w:pos="8845"/>
            </w:tabs>
            <w:rPr>
              <w:b/>
            </w:rPr>
          </w:pPr>
          <w:r>
            <w:rPr>
              <w:b/>
            </w:rPr>
            <w:fldChar w:fldCharType="begin"/>
          </w:r>
          <w:r>
            <w:rPr>
              <w:b/>
            </w:rPr>
            <w:instrText xml:space="preserve"> HYPERLINK \l _Toc15020 </w:instrText>
          </w:r>
          <w:r>
            <w:rPr>
              <w:b/>
            </w:rPr>
            <w:fldChar w:fldCharType="separate"/>
          </w:r>
          <w:r>
            <w:rPr>
              <w:rFonts w:hint="eastAsia" w:ascii="黑体" w:hAnsi="黑体" w:eastAsia="黑体"/>
              <w:b/>
              <w:highlight w:val="none"/>
            </w:rPr>
            <w:t>第一部分</w:t>
          </w:r>
          <w:r>
            <w:rPr>
              <w:rFonts w:hint="eastAsia" w:ascii="黑体" w:hAnsi="黑体" w:eastAsia="黑体"/>
              <w:b/>
              <w:bCs w:val="0"/>
              <w:highlight w:val="none"/>
            </w:rPr>
            <w:t>部门概况</w:t>
          </w:r>
          <w:r>
            <w:rPr>
              <w:b/>
            </w:rPr>
            <w:tab/>
          </w:r>
          <w:r>
            <w:rPr>
              <w:b/>
            </w:rPr>
            <w:fldChar w:fldCharType="begin"/>
          </w:r>
          <w:r>
            <w:rPr>
              <w:b/>
            </w:rPr>
            <w:instrText xml:space="preserve"> PAGEREF _Toc15020 \h </w:instrText>
          </w:r>
          <w:r>
            <w:rPr>
              <w:b/>
            </w:rPr>
            <w:fldChar w:fldCharType="separate"/>
          </w:r>
          <w:r>
            <w:rPr>
              <w:b/>
            </w:rPr>
            <w:t>1</w:t>
          </w:r>
          <w:r>
            <w:rPr>
              <w:b/>
            </w:rPr>
            <w:fldChar w:fldCharType="end"/>
          </w:r>
          <w:r>
            <w:rPr>
              <w:b/>
            </w:rPr>
            <w:fldChar w:fldCharType="end"/>
          </w:r>
        </w:p>
        <w:p>
          <w:pPr>
            <w:pStyle w:val="37"/>
            <w:tabs>
              <w:tab w:val="right" w:leader="dot" w:pos="8845"/>
            </w:tabs>
          </w:pPr>
          <w:r>
            <w:fldChar w:fldCharType="begin"/>
          </w:r>
          <w:r>
            <w:instrText xml:space="preserve"> HYPERLINK \l _Toc20004 </w:instrText>
          </w:r>
          <w:r>
            <w:fldChar w:fldCharType="separate"/>
          </w:r>
          <w:r>
            <w:rPr>
              <w:rFonts w:hint="eastAsia" w:ascii="黑体" w:hAnsi="黑体" w:eastAsia="黑体"/>
              <w:szCs w:val="32"/>
              <w:highlight w:val="none"/>
              <w:lang w:eastAsia="zh-CN"/>
            </w:rPr>
            <w:t>一、部门职责</w:t>
          </w:r>
          <w:r>
            <w:tab/>
          </w:r>
          <w:r>
            <w:fldChar w:fldCharType="begin"/>
          </w:r>
          <w:r>
            <w:instrText xml:space="preserve"> PAGEREF _Toc20004 \h </w:instrText>
          </w:r>
          <w:r>
            <w:fldChar w:fldCharType="separate"/>
          </w:r>
          <w:r>
            <w:t>1</w:t>
          </w:r>
          <w:r>
            <w:fldChar w:fldCharType="end"/>
          </w:r>
          <w:r>
            <w:fldChar w:fldCharType="end"/>
          </w:r>
        </w:p>
        <w:p>
          <w:pPr>
            <w:pStyle w:val="37"/>
            <w:tabs>
              <w:tab w:val="right" w:leader="dot" w:pos="8845"/>
            </w:tabs>
          </w:pPr>
          <w:r>
            <w:fldChar w:fldCharType="begin"/>
          </w:r>
          <w:r>
            <w:instrText xml:space="preserve"> HYPERLINK \l _Toc28324 </w:instrText>
          </w:r>
          <w:r>
            <w:fldChar w:fldCharType="separate"/>
          </w:r>
          <w:r>
            <w:rPr>
              <w:rFonts w:hint="eastAsia" w:ascii="黑体" w:hAnsi="黑体" w:eastAsia="黑体"/>
              <w:szCs w:val="32"/>
              <w:highlight w:val="none"/>
              <w:lang w:eastAsia="zh-CN"/>
            </w:rPr>
            <w:t>二、机构设置</w:t>
          </w:r>
          <w:r>
            <w:tab/>
          </w:r>
          <w:r>
            <w:fldChar w:fldCharType="begin"/>
          </w:r>
          <w:r>
            <w:instrText xml:space="preserve"> PAGEREF _Toc28324 \h </w:instrText>
          </w:r>
          <w:r>
            <w:fldChar w:fldCharType="separate"/>
          </w:r>
          <w:r>
            <w:t>1</w:t>
          </w:r>
          <w:r>
            <w:fldChar w:fldCharType="end"/>
          </w:r>
          <w:r>
            <w:fldChar w:fldCharType="end"/>
          </w:r>
        </w:p>
        <w:p>
          <w:pPr>
            <w:pStyle w:val="36"/>
            <w:tabs>
              <w:tab w:val="right" w:leader="dot" w:pos="8845"/>
            </w:tabs>
            <w:rPr>
              <w:b/>
            </w:rPr>
          </w:pPr>
          <w:r>
            <w:rPr>
              <w:b/>
            </w:rPr>
            <w:fldChar w:fldCharType="begin"/>
          </w:r>
          <w:r>
            <w:rPr>
              <w:b/>
            </w:rPr>
            <w:instrText xml:space="preserve"> HYPERLINK \l _Toc5275 </w:instrText>
          </w:r>
          <w:r>
            <w:rPr>
              <w:b/>
            </w:rPr>
            <w:fldChar w:fldCharType="separate"/>
          </w:r>
          <w:r>
            <w:rPr>
              <w:rFonts w:hint="eastAsia" w:ascii="黑体" w:hAnsi="黑体" w:eastAsia="黑体"/>
              <w:b/>
              <w:highlight w:val="none"/>
            </w:rPr>
            <w:t>第二部分</w:t>
          </w:r>
          <w:r>
            <w:rPr>
              <w:rFonts w:hint="eastAsia" w:ascii="黑体" w:hAnsi="黑体" w:eastAsia="黑体"/>
              <w:b/>
              <w:highlight w:val="none"/>
              <w:lang w:val="en-US" w:eastAsia="zh-CN"/>
            </w:rPr>
            <w:t>2022年度</w:t>
          </w:r>
          <w:r>
            <w:rPr>
              <w:rFonts w:hint="eastAsia" w:ascii="黑体" w:hAnsi="黑体" w:eastAsia="黑体"/>
              <w:b/>
              <w:highlight w:val="none"/>
            </w:rPr>
            <w:t>部门决算情况说明</w:t>
          </w:r>
          <w:r>
            <w:rPr>
              <w:b/>
            </w:rPr>
            <w:tab/>
          </w:r>
          <w:r>
            <w:rPr>
              <w:b/>
            </w:rPr>
            <w:fldChar w:fldCharType="begin"/>
          </w:r>
          <w:r>
            <w:rPr>
              <w:b/>
            </w:rPr>
            <w:instrText xml:space="preserve"> PAGEREF _Toc5275 \h </w:instrText>
          </w:r>
          <w:r>
            <w:rPr>
              <w:b/>
            </w:rPr>
            <w:fldChar w:fldCharType="separate"/>
          </w:r>
          <w:r>
            <w:rPr>
              <w:b/>
            </w:rPr>
            <w:t>1</w:t>
          </w:r>
          <w:r>
            <w:rPr>
              <w:b/>
            </w:rPr>
            <w:fldChar w:fldCharType="end"/>
          </w:r>
          <w:r>
            <w:rPr>
              <w:b/>
            </w:rPr>
            <w:fldChar w:fldCharType="end"/>
          </w:r>
        </w:p>
        <w:p>
          <w:pPr>
            <w:pStyle w:val="37"/>
            <w:tabs>
              <w:tab w:val="right" w:leader="dot" w:pos="8845"/>
            </w:tabs>
          </w:pPr>
          <w:r>
            <w:fldChar w:fldCharType="begin"/>
          </w:r>
          <w:r>
            <w:instrText xml:space="preserve"> HYPERLINK \l _Toc959 </w:instrText>
          </w:r>
          <w:r>
            <w:fldChar w:fldCharType="separate"/>
          </w:r>
          <w:r>
            <w:rPr>
              <w:rFonts w:hint="default" w:ascii="黑体" w:hAnsi="黑体" w:eastAsia="黑体"/>
              <w:szCs w:val="32"/>
            </w:rPr>
            <w:t>一、</w:t>
          </w:r>
          <w:r>
            <w:rPr>
              <w:rFonts w:hint="eastAsia" w:ascii="黑体" w:hAnsi="黑体" w:eastAsia="黑体"/>
              <w:szCs w:val="32"/>
              <w:highlight w:val="none"/>
            </w:rPr>
            <w:t>收入支出决算总体情况说明</w:t>
          </w:r>
          <w:r>
            <w:tab/>
          </w:r>
          <w:r>
            <w:fldChar w:fldCharType="begin"/>
          </w:r>
          <w:r>
            <w:instrText xml:space="preserve"> PAGEREF _Toc959 \h </w:instrText>
          </w:r>
          <w:r>
            <w:fldChar w:fldCharType="separate"/>
          </w:r>
          <w:r>
            <w:t>1</w:t>
          </w:r>
          <w:r>
            <w:fldChar w:fldCharType="end"/>
          </w:r>
          <w:r>
            <w:fldChar w:fldCharType="end"/>
          </w:r>
        </w:p>
        <w:p>
          <w:pPr>
            <w:pStyle w:val="37"/>
            <w:tabs>
              <w:tab w:val="right" w:leader="dot" w:pos="8845"/>
            </w:tabs>
          </w:pPr>
          <w:r>
            <w:fldChar w:fldCharType="begin"/>
          </w:r>
          <w:r>
            <w:instrText xml:space="preserve"> HYPERLINK \l _Toc27875 </w:instrText>
          </w:r>
          <w: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_Toc27875 \h </w:instrText>
          </w:r>
          <w:r>
            <w:fldChar w:fldCharType="separate"/>
          </w:r>
          <w:r>
            <w:t>2</w:t>
          </w:r>
          <w:r>
            <w:fldChar w:fldCharType="end"/>
          </w:r>
          <w:r>
            <w:fldChar w:fldCharType="end"/>
          </w:r>
        </w:p>
        <w:p>
          <w:pPr>
            <w:pStyle w:val="37"/>
            <w:tabs>
              <w:tab w:val="right" w:leader="dot" w:pos="8845"/>
            </w:tabs>
          </w:pPr>
          <w:r>
            <w:fldChar w:fldCharType="begin"/>
          </w:r>
          <w:r>
            <w:instrText xml:space="preserve"> HYPERLINK \l _Toc16042 </w:instrText>
          </w:r>
          <w: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_Toc16042 \h </w:instrText>
          </w:r>
          <w:r>
            <w:fldChar w:fldCharType="separate"/>
          </w:r>
          <w:r>
            <w:t>2</w:t>
          </w:r>
          <w:r>
            <w:fldChar w:fldCharType="end"/>
          </w:r>
          <w:r>
            <w:fldChar w:fldCharType="end"/>
          </w:r>
        </w:p>
        <w:p>
          <w:pPr>
            <w:pStyle w:val="37"/>
            <w:tabs>
              <w:tab w:val="right" w:leader="dot" w:pos="8845"/>
            </w:tabs>
          </w:pPr>
          <w:r>
            <w:fldChar w:fldCharType="begin"/>
          </w:r>
          <w:r>
            <w:instrText xml:space="preserve"> HYPERLINK \l _Toc15122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_Toc15122 \h </w:instrText>
          </w:r>
          <w:r>
            <w:fldChar w:fldCharType="separate"/>
          </w:r>
          <w:r>
            <w:t>3</w:t>
          </w:r>
          <w:r>
            <w:fldChar w:fldCharType="end"/>
          </w:r>
          <w:r>
            <w:fldChar w:fldCharType="end"/>
          </w:r>
        </w:p>
        <w:p>
          <w:pPr>
            <w:pStyle w:val="37"/>
            <w:tabs>
              <w:tab w:val="right" w:leader="dot" w:pos="8845"/>
            </w:tabs>
          </w:pPr>
          <w:r>
            <w:fldChar w:fldCharType="begin"/>
          </w:r>
          <w:r>
            <w:instrText xml:space="preserve"> HYPERLINK \l _Toc17458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_Toc17458 \h </w:instrText>
          </w:r>
          <w:r>
            <w:fldChar w:fldCharType="separate"/>
          </w:r>
          <w:r>
            <w:t>3</w:t>
          </w:r>
          <w:r>
            <w:fldChar w:fldCharType="end"/>
          </w:r>
          <w:r>
            <w:fldChar w:fldCharType="end"/>
          </w:r>
        </w:p>
        <w:p>
          <w:pPr>
            <w:pStyle w:val="37"/>
            <w:tabs>
              <w:tab w:val="right" w:leader="dot" w:pos="8845"/>
            </w:tabs>
          </w:pPr>
          <w:r>
            <w:fldChar w:fldCharType="begin"/>
          </w:r>
          <w:r>
            <w:instrText xml:space="preserve"> HYPERLINK \l _Toc7315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_Toc7315 \h </w:instrText>
          </w:r>
          <w:r>
            <w:fldChar w:fldCharType="separate"/>
          </w:r>
          <w:r>
            <w:t>5</w:t>
          </w:r>
          <w:r>
            <w:fldChar w:fldCharType="end"/>
          </w:r>
          <w:r>
            <w:fldChar w:fldCharType="end"/>
          </w:r>
        </w:p>
        <w:p>
          <w:pPr>
            <w:pStyle w:val="37"/>
            <w:tabs>
              <w:tab w:val="right" w:leader="dot" w:pos="8845"/>
            </w:tabs>
          </w:pPr>
          <w:r>
            <w:fldChar w:fldCharType="begin"/>
          </w:r>
          <w:r>
            <w:instrText xml:space="preserve"> HYPERLINK \l _Toc23375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_Toc23375 \h </w:instrText>
          </w:r>
          <w:r>
            <w:fldChar w:fldCharType="separate"/>
          </w:r>
          <w:r>
            <w:t>6</w:t>
          </w:r>
          <w:r>
            <w:fldChar w:fldCharType="end"/>
          </w:r>
          <w:r>
            <w:fldChar w:fldCharType="end"/>
          </w:r>
        </w:p>
        <w:p>
          <w:pPr>
            <w:pStyle w:val="37"/>
            <w:tabs>
              <w:tab w:val="right" w:leader="dot" w:pos="8845"/>
            </w:tabs>
          </w:pPr>
          <w:r>
            <w:fldChar w:fldCharType="begin"/>
          </w:r>
          <w:r>
            <w:instrText xml:space="preserve"> HYPERLINK \l _Toc5234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_Toc5234 \h </w:instrText>
          </w:r>
          <w:r>
            <w:fldChar w:fldCharType="separate"/>
          </w:r>
          <w:r>
            <w:t>7</w:t>
          </w:r>
          <w:r>
            <w:fldChar w:fldCharType="end"/>
          </w:r>
          <w:r>
            <w:fldChar w:fldCharType="end"/>
          </w:r>
        </w:p>
        <w:p>
          <w:pPr>
            <w:pStyle w:val="37"/>
            <w:tabs>
              <w:tab w:val="right" w:leader="dot" w:pos="8845"/>
            </w:tabs>
          </w:pPr>
          <w:r>
            <w:fldChar w:fldCharType="begin"/>
          </w:r>
          <w:r>
            <w:instrText xml:space="preserve"> HYPERLINK \l _Toc18807 </w:instrText>
          </w:r>
          <w: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_Toc18807 \h </w:instrText>
          </w:r>
          <w:r>
            <w:fldChar w:fldCharType="separate"/>
          </w:r>
          <w:r>
            <w:t>7</w:t>
          </w:r>
          <w:r>
            <w:fldChar w:fldCharType="end"/>
          </w:r>
          <w:r>
            <w:fldChar w:fldCharType="end"/>
          </w:r>
        </w:p>
        <w:p>
          <w:pPr>
            <w:pStyle w:val="37"/>
            <w:tabs>
              <w:tab w:val="right" w:leader="dot" w:pos="8845"/>
            </w:tabs>
          </w:pPr>
          <w:r>
            <w:fldChar w:fldCharType="begin"/>
          </w:r>
          <w:r>
            <w:instrText xml:space="preserve"> HYPERLINK \l _Toc1992 </w:instrText>
          </w:r>
          <w: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_Toc1992 \h </w:instrText>
          </w:r>
          <w:r>
            <w:fldChar w:fldCharType="separate"/>
          </w:r>
          <w:r>
            <w:t>7</w:t>
          </w:r>
          <w:r>
            <w:fldChar w:fldCharType="end"/>
          </w:r>
          <w:r>
            <w:fldChar w:fldCharType="end"/>
          </w:r>
        </w:p>
        <w:p>
          <w:pPr>
            <w:pStyle w:val="36"/>
            <w:tabs>
              <w:tab w:val="right" w:leader="dot" w:pos="8845"/>
            </w:tabs>
            <w:rPr>
              <w:b/>
            </w:rPr>
          </w:pPr>
          <w:r>
            <w:rPr>
              <w:b/>
            </w:rPr>
            <w:fldChar w:fldCharType="begin"/>
          </w:r>
          <w:r>
            <w:rPr>
              <w:b/>
            </w:rPr>
            <w:instrText xml:space="preserve"> HYPERLINK \l _Toc30884 </w:instrText>
          </w:r>
          <w:r>
            <w:rPr>
              <w:b/>
            </w:rPr>
            <w:fldChar w:fldCharType="separate"/>
          </w:r>
          <w:r>
            <w:rPr>
              <w:rFonts w:hint="eastAsia" w:ascii="黑体" w:hAnsi="黑体" w:eastAsia="黑体"/>
              <w:b/>
            </w:rPr>
            <w:t>第三部分</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_Toc30884 \h </w:instrText>
          </w:r>
          <w:r>
            <w:rPr>
              <w:b/>
            </w:rPr>
            <w:fldChar w:fldCharType="separate"/>
          </w:r>
          <w:r>
            <w:rPr>
              <w:b/>
            </w:rPr>
            <w:t>9</w:t>
          </w:r>
          <w:r>
            <w:rPr>
              <w:b/>
            </w:rPr>
            <w:fldChar w:fldCharType="end"/>
          </w:r>
          <w:r>
            <w:rPr>
              <w:b/>
            </w:rPr>
            <w:fldChar w:fldCharType="end"/>
          </w:r>
        </w:p>
        <w:p>
          <w:pPr>
            <w:pStyle w:val="36"/>
            <w:tabs>
              <w:tab w:val="right" w:leader="dot" w:pos="8845"/>
            </w:tabs>
            <w:rPr>
              <w:b/>
            </w:rPr>
          </w:pPr>
          <w:r>
            <w:rPr>
              <w:b/>
            </w:rPr>
            <w:fldChar w:fldCharType="begin"/>
          </w:r>
          <w:r>
            <w:rPr>
              <w:b/>
            </w:rPr>
            <w:instrText xml:space="preserve"> HYPERLINK \l _Toc19824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四部分附件</w:t>
          </w:r>
          <w:r>
            <w:rPr>
              <w:b/>
            </w:rPr>
            <w:tab/>
          </w:r>
          <w:r>
            <w:rPr>
              <w:b/>
            </w:rPr>
            <w:fldChar w:fldCharType="begin"/>
          </w:r>
          <w:r>
            <w:rPr>
              <w:b/>
            </w:rPr>
            <w:instrText xml:space="preserve"> PAGEREF _Toc19824 \h </w:instrText>
          </w:r>
          <w:r>
            <w:rPr>
              <w:b/>
            </w:rPr>
            <w:fldChar w:fldCharType="separate"/>
          </w:r>
          <w:r>
            <w:rPr>
              <w:b/>
            </w:rPr>
            <w:t>11</w:t>
          </w:r>
          <w:r>
            <w:rPr>
              <w:b/>
            </w:rPr>
            <w:fldChar w:fldCharType="end"/>
          </w:r>
          <w:r>
            <w:rPr>
              <w:b/>
            </w:rPr>
            <w:fldChar w:fldCharType="end"/>
          </w:r>
        </w:p>
        <w:p>
          <w:pPr>
            <w:pStyle w:val="36"/>
            <w:tabs>
              <w:tab w:val="right" w:leader="dot" w:pos="8845"/>
            </w:tabs>
            <w:rPr>
              <w:b/>
            </w:rPr>
          </w:pPr>
          <w:r>
            <w:rPr>
              <w:b/>
            </w:rPr>
            <w:fldChar w:fldCharType="begin"/>
          </w:r>
          <w:r>
            <w:rPr>
              <w:b/>
            </w:rPr>
            <w:instrText xml:space="preserve"> HYPERLINK \l _Toc9858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五部分附表</w:t>
          </w:r>
          <w:r>
            <w:rPr>
              <w:b/>
            </w:rPr>
            <w:tab/>
          </w:r>
          <w:r>
            <w:rPr>
              <w:b/>
            </w:rPr>
            <w:fldChar w:fldCharType="begin"/>
          </w:r>
          <w:r>
            <w:rPr>
              <w:b/>
            </w:rPr>
            <w:instrText xml:space="preserve"> PAGEREF _Toc9858 \h </w:instrText>
          </w:r>
          <w:r>
            <w:rPr>
              <w:b/>
            </w:rPr>
            <w:fldChar w:fldCharType="separate"/>
          </w:r>
          <w:r>
            <w:rPr>
              <w:b/>
            </w:rPr>
            <w:t>27</w:t>
          </w:r>
          <w:r>
            <w:rPr>
              <w:b/>
            </w:rPr>
            <w:fldChar w:fldCharType="end"/>
          </w:r>
          <w:r>
            <w:rPr>
              <w:b/>
            </w:rPr>
            <w:fldChar w:fldCharType="end"/>
          </w:r>
        </w:p>
        <w:p>
          <w:pPr>
            <w:pStyle w:val="37"/>
            <w:tabs>
              <w:tab w:val="right" w:leader="dot" w:pos="8845"/>
            </w:tabs>
          </w:pPr>
          <w:r>
            <w:fldChar w:fldCharType="begin"/>
          </w:r>
          <w:r>
            <w:instrText xml:space="preserve"> HYPERLINK \l _Toc32435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_Toc32435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_Toc29328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_Toc29328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_Toc12956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_Toc12956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_Toc11459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_Toc11459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_Toc10203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_Toc10203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_Toc28825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_Toc28825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_Toc17468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_Toc17468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_Toc27629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_Toc27629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_Toc18560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_Toc18560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_Toc17792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_Toc17792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_Toc11589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_Toc11589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_Toc21719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_Toc21719 \h </w:instrText>
          </w:r>
          <w:r>
            <w:fldChar w:fldCharType="separate"/>
          </w:r>
          <w:r>
            <w:t>27</w:t>
          </w:r>
          <w:r>
            <w:fldChar w:fldCharType="end"/>
          </w:r>
          <w:r>
            <w:fldChar w:fldCharType="end"/>
          </w:r>
        </w:p>
        <w:p>
          <w:pPr>
            <w:pStyle w:val="37"/>
            <w:tabs>
              <w:tab w:val="right" w:leader="dot" w:pos="8845"/>
            </w:tabs>
          </w:pPr>
          <w:r>
            <w:fldChar w:fldCharType="begin"/>
          </w:r>
          <w:r>
            <w:instrText xml:space="preserve"> HYPERLINK \l _Toc4080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_Toc4080 \h </w:instrText>
          </w:r>
          <w:r>
            <w:fldChar w:fldCharType="separate"/>
          </w:r>
          <w:r>
            <w:t>27</w:t>
          </w:r>
          <w:r>
            <w:fldChar w:fldCharType="end"/>
          </w:r>
          <w:r>
            <w:fldChar w:fldCharType="end"/>
          </w:r>
        </w:p>
        <w:p>
          <w:r>
            <w:rPr>
              <w:b/>
            </w:rPr>
            <w:fldChar w:fldCharType="end"/>
          </w:r>
        </w:p>
      </w:sdtContent>
    </w:sdt>
    <w:p>
      <w:pPr>
        <w:pStyle w:val="3"/>
        <w:jc w:val="center"/>
        <w:rPr>
          <w:rFonts w:hint="eastAsia" w:ascii="黑体" w:hAnsi="黑体" w:eastAsia="黑体"/>
          <w:b w:val="0"/>
          <w:color w:val="auto"/>
          <w:highlight w:val="none"/>
        </w:rPr>
        <w:sectPr>
          <w:headerReference r:id="rId5" w:type="default"/>
          <w:footerReference r:id="rId6" w:type="default"/>
          <w:pgSz w:w="11906" w:h="16838"/>
          <w:pgMar w:top="2098" w:right="1474" w:bottom="1984" w:left="1587" w:header="851" w:footer="992" w:gutter="0"/>
          <w:pgNumType w:fmt="decimal" w:start="1"/>
          <w:cols w:space="425" w:num="1"/>
          <w:titlePg/>
          <w:docGrid w:type="lines" w:linePitch="312" w:charSpace="0"/>
        </w:sectPr>
      </w:pPr>
      <w:bookmarkStart w:id="14" w:name="_Toc15396599"/>
      <w:bookmarkStart w:id="15" w:name="_Toc15020"/>
      <w:bookmarkStart w:id="16" w:name="_Toc15377196"/>
    </w:p>
    <w:p>
      <w:pPr>
        <w:pStyle w:val="3"/>
        <w:jc w:val="center"/>
        <w:rPr>
          <w:rStyle w:val="19"/>
          <w:rFonts w:ascii="黑体" w:hAnsi="黑体" w:eastAsia="黑体"/>
          <w:b/>
          <w:bCs w:val="0"/>
          <w:color w:val="auto"/>
          <w:highlight w:val="none"/>
        </w:rPr>
      </w:pPr>
      <w:r>
        <w:rPr>
          <w:rFonts w:hint="eastAsia" w:ascii="黑体" w:hAnsi="黑体" w:eastAsia="黑体"/>
          <w:b w:val="0"/>
          <w:color w:val="auto"/>
          <w:highlight w:val="none"/>
        </w:rPr>
        <w:t>第一部分</w:t>
      </w:r>
      <w:r>
        <w:rPr>
          <w:rStyle w:val="19"/>
          <w:rFonts w:hint="eastAsia" w:ascii="黑体" w:hAnsi="黑体" w:eastAsia="黑体"/>
          <w:b w:val="0"/>
          <w:bCs w:val="0"/>
          <w:color w:val="auto"/>
          <w:highlight w:val="none"/>
        </w:rPr>
        <w:t>部门概况</w:t>
      </w:r>
      <w:bookmarkEnd w:id="14"/>
      <w:bookmarkEnd w:id="15"/>
      <w:bookmarkEnd w:id="16"/>
    </w:p>
    <w:p>
      <w:pPr>
        <w:widowControl/>
        <w:jc w:val="left"/>
        <w:rPr>
          <w:rFonts w:ascii="黑体" w:eastAsia="黑体"/>
          <w:color w:val="auto"/>
          <w:sz w:val="32"/>
          <w:szCs w:val="32"/>
          <w:highlight w:val="none"/>
        </w:rPr>
      </w:pPr>
    </w:p>
    <w:p>
      <w:pPr>
        <w:pStyle w:val="31"/>
        <w:numPr>
          <w:ilvl w:val="0"/>
          <w:numId w:val="0"/>
        </w:numPr>
        <w:spacing w:line="600" w:lineRule="exact"/>
        <w:ind w:left="640" w:leftChars="0"/>
        <w:outlineLvl w:val="1"/>
        <w:rPr>
          <w:rFonts w:hint="eastAsia" w:ascii="黑体" w:hAnsi="黑体" w:eastAsia="黑体"/>
          <w:color w:val="auto"/>
          <w:sz w:val="32"/>
          <w:szCs w:val="32"/>
          <w:highlight w:val="none"/>
        </w:rPr>
      </w:pPr>
      <w:bookmarkStart w:id="17" w:name="_Toc20004"/>
      <w:r>
        <w:rPr>
          <w:rFonts w:hint="eastAsia" w:ascii="黑体" w:hAnsi="黑体" w:eastAsia="黑体"/>
          <w:color w:val="auto"/>
          <w:sz w:val="32"/>
          <w:szCs w:val="32"/>
          <w:highlight w:val="none"/>
          <w:lang w:eastAsia="zh-CN"/>
        </w:rPr>
        <w:t>一、部门职责</w:t>
      </w:r>
      <w:bookmarkEnd w:id="17"/>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担应急指挥中心24小时值班任务；负责网上涉广舆情监测、收集、研判和引导；向市委市政府提供网络舆情分析报告；负责全市互联网违法不良信息巡查，接受、处理举报；负责网络安全监测、通报、应急处置等。</w:t>
      </w:r>
    </w:p>
    <w:p>
      <w:pPr>
        <w:pStyle w:val="31"/>
        <w:numPr>
          <w:ilvl w:val="0"/>
          <w:numId w:val="0"/>
        </w:numPr>
        <w:spacing w:line="600" w:lineRule="exact"/>
        <w:ind w:left="640" w:leftChars="0"/>
        <w:outlineLvl w:val="1"/>
        <w:rPr>
          <w:rFonts w:hint="eastAsia" w:ascii="黑体" w:hAnsi="黑体" w:eastAsia="黑体"/>
          <w:color w:val="auto"/>
          <w:sz w:val="32"/>
          <w:szCs w:val="32"/>
          <w:highlight w:val="none"/>
          <w:lang w:eastAsia="zh-CN"/>
        </w:rPr>
      </w:pPr>
      <w:bookmarkStart w:id="18" w:name="_Toc28324"/>
      <w:bookmarkStart w:id="19" w:name="_Toc15396601"/>
      <w:bookmarkStart w:id="20" w:name="_Toc15377200"/>
      <w:r>
        <w:rPr>
          <w:rFonts w:hint="eastAsia" w:ascii="黑体" w:hAnsi="黑体" w:eastAsia="黑体"/>
          <w:color w:val="auto"/>
          <w:sz w:val="32"/>
          <w:szCs w:val="32"/>
          <w:highlight w:val="none"/>
          <w:lang w:eastAsia="zh-CN"/>
        </w:rPr>
        <w:t>二、机构设置</w:t>
      </w:r>
      <w:bookmarkEnd w:id="18"/>
      <w:bookmarkEnd w:id="19"/>
      <w:bookmarkEnd w:id="2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广元市互联网信息中心是中共广元市委宣传部下属二级单位，性质为参照公务员法管理的事业单位。</w:t>
      </w:r>
    </w:p>
    <w:p>
      <w:pPr>
        <w:pStyle w:val="2"/>
        <w:rPr>
          <w:rFonts w:hint="eastAsia"/>
          <w:lang w:val="en-US" w:eastAsia="zh-CN"/>
        </w:rPr>
      </w:pPr>
    </w:p>
    <w:p>
      <w:pPr>
        <w:pStyle w:val="3"/>
        <w:jc w:val="center"/>
        <w:rPr>
          <w:rFonts w:hint="eastAsia" w:ascii="黑体" w:hAnsi="黑体" w:eastAsia="黑体"/>
          <w:b w:val="0"/>
          <w:color w:val="auto"/>
          <w:highlight w:val="none"/>
        </w:rPr>
      </w:pPr>
      <w:bookmarkStart w:id="21" w:name="_Toc5275"/>
      <w:bookmarkStart w:id="22" w:name="_Toc15396602"/>
      <w:bookmarkStart w:id="23" w:name="_Toc15377204"/>
      <w:r>
        <w:rPr>
          <w:rFonts w:hint="eastAsia" w:ascii="黑体" w:hAnsi="黑体" w:eastAsia="黑体"/>
          <w:b w:val="0"/>
          <w:color w:val="auto"/>
          <w:highlight w:val="none"/>
        </w:rPr>
        <w:t>第二部分</w:t>
      </w:r>
      <w:r>
        <w:rPr>
          <w:rFonts w:hint="eastAsia" w:ascii="黑体" w:hAnsi="黑体" w:eastAsia="黑体"/>
          <w:b w:val="0"/>
          <w:color w:val="auto"/>
          <w:highlight w:val="none"/>
          <w:lang w:val="en-US" w:eastAsia="zh-CN"/>
        </w:rPr>
        <w:t>2022年度</w:t>
      </w:r>
      <w:r>
        <w:rPr>
          <w:rFonts w:hint="eastAsia" w:ascii="黑体" w:hAnsi="黑体" w:eastAsia="黑体"/>
          <w:b w:val="0"/>
          <w:color w:val="auto"/>
          <w:highlight w:val="none"/>
        </w:rPr>
        <w:t>部门决算情况说明</w:t>
      </w:r>
      <w:bookmarkEnd w:id="21"/>
      <w:bookmarkEnd w:id="22"/>
      <w:bookmarkEnd w:id="23"/>
    </w:p>
    <w:p>
      <w:pPr>
        <w:pStyle w:val="31"/>
        <w:numPr>
          <w:ilvl w:val="0"/>
          <w:numId w:val="1"/>
        </w:numPr>
        <w:spacing w:line="600" w:lineRule="exact"/>
        <w:ind w:firstLineChars="0"/>
        <w:outlineLvl w:val="1"/>
        <w:rPr>
          <w:rFonts w:hint="eastAsia" w:ascii="黑体" w:hAnsi="黑体" w:eastAsia="黑体"/>
          <w:color w:val="auto"/>
          <w:sz w:val="32"/>
          <w:szCs w:val="32"/>
          <w:highlight w:val="none"/>
        </w:rPr>
      </w:pPr>
      <w:bookmarkStart w:id="24" w:name="_Toc959"/>
      <w:bookmarkStart w:id="25" w:name="_Toc15396603"/>
      <w:bookmarkStart w:id="26" w:name="_Toc15377205"/>
      <w:r>
        <w:rPr>
          <w:rFonts w:hint="eastAsia" w:ascii="黑体" w:hAnsi="黑体" w:eastAsia="黑体"/>
          <w:color w:val="auto"/>
          <w:sz w:val="32"/>
          <w:szCs w:val="32"/>
          <w:highlight w:val="none"/>
        </w:rPr>
        <w:t>收入支出决算总体情况说明</w:t>
      </w:r>
      <w:bookmarkEnd w:id="24"/>
      <w:bookmarkEnd w:id="25"/>
      <w:bookmarkEnd w:id="26"/>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368.09</w:t>
      </w:r>
      <w:r>
        <w:rPr>
          <w:rFonts w:hint="eastAsia" w:ascii="仿宋_GB2312" w:hAnsi="仿宋_GB2312" w:eastAsia="仿宋_GB2312" w:cs="仿宋_GB2312"/>
          <w:sz w:val="32"/>
          <w:szCs w:val="32"/>
        </w:rPr>
        <w:t>万元。与20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年相比，收、支总计各减少</w:t>
      </w:r>
      <w:r>
        <w:rPr>
          <w:rFonts w:hint="eastAsia" w:ascii="仿宋_GB2312" w:hAnsi="仿宋_GB2312" w:eastAsia="仿宋_GB2312" w:cs="仿宋_GB2312"/>
          <w:sz w:val="32"/>
          <w:szCs w:val="32"/>
          <w:lang w:val="en-US" w:eastAsia="zh-CN"/>
        </w:rPr>
        <w:t>227.92</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38.24</w:t>
      </w:r>
      <w:r>
        <w:rPr>
          <w:rFonts w:hint="eastAsia" w:ascii="仿宋_GB2312" w:hAnsi="仿宋_GB2312" w:eastAsia="仿宋_GB2312" w:cs="仿宋_GB2312"/>
          <w:sz w:val="32"/>
          <w:szCs w:val="32"/>
        </w:rPr>
        <w:t>%。主要变动原因是</w:t>
      </w:r>
      <w:r>
        <w:rPr>
          <w:rFonts w:hint="eastAsia" w:ascii="仿宋_GB2312" w:hAnsi="仿宋_GB2312" w:eastAsia="仿宋_GB2312" w:cs="仿宋_GB2312"/>
          <w:sz w:val="32"/>
          <w:szCs w:val="32"/>
          <w:lang w:eastAsia="zh-CN"/>
        </w:rPr>
        <w:t>项目减少。</w:t>
      </w:r>
    </w:p>
    <w:p>
      <w:pPr>
        <w:pStyle w:val="22"/>
        <w:rPr>
          <w:rFonts w:hint="eastAsia"/>
          <w:lang w:eastAsia="zh-CN"/>
        </w:rPr>
      </w:pPr>
      <w:r>
        <w:rPr>
          <w:rFonts w:hint="eastAsia"/>
          <w:lang w:eastAsia="zh-CN"/>
        </w:rPr>
        <w:drawing>
          <wp:inline distT="0" distB="0" distL="114300" distR="114300">
            <wp:extent cx="3924300" cy="2423795"/>
            <wp:effectExtent l="5080" t="4445" r="13970" b="1016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31"/>
        <w:numPr>
          <w:ilvl w:val="0"/>
          <w:numId w:val="1"/>
        </w:numPr>
        <w:spacing w:line="600" w:lineRule="exact"/>
        <w:ind w:firstLineChars="0"/>
        <w:outlineLvl w:val="1"/>
        <w:rPr>
          <w:rStyle w:val="20"/>
          <w:rFonts w:ascii="黑体" w:hAnsi="黑体" w:eastAsia="黑体"/>
          <w:b w:val="0"/>
          <w:color w:val="auto"/>
          <w:highlight w:val="none"/>
        </w:rPr>
      </w:pPr>
      <w:bookmarkStart w:id="27" w:name="_Toc15396604"/>
      <w:bookmarkStart w:id="28" w:name="_Toc15377206"/>
      <w:bookmarkStart w:id="29" w:name="_Toc27875"/>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ascii="仿宋" w:hAnsi="仿宋" w:eastAsia="仿宋"/>
          <w:color w:val="auto"/>
          <w:sz w:val="32"/>
          <w:szCs w:val="32"/>
          <w:highlight w:val="none"/>
        </w:rPr>
      </w:pPr>
      <w:bookmarkStart w:id="30" w:name="_Toc16568"/>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347.71</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347.71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0"/>
    </w:p>
    <w:p>
      <w:pPr>
        <w:spacing w:line="600" w:lineRule="exact"/>
        <w:ind w:firstLine="640" w:firstLineChars="200"/>
        <w:outlineLvl w:val="9"/>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733425</wp:posOffset>
            </wp:positionH>
            <wp:positionV relativeFrom="page">
              <wp:posOffset>5570220</wp:posOffset>
            </wp:positionV>
            <wp:extent cx="3481705" cy="2121535"/>
            <wp:effectExtent l="4445" t="4445" r="19050" b="762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22"/>
        <w:rPr>
          <w:rFonts w:hint="eastAsia" w:ascii="仿宋" w:hAnsi="仿宋" w:eastAsia="仿宋"/>
          <w:color w:val="auto"/>
          <w:sz w:val="32"/>
          <w:szCs w:val="32"/>
          <w:highlight w:val="none"/>
          <w:lang w:eastAsia="zh-CN"/>
        </w:rPr>
      </w:pPr>
    </w:p>
    <w:p>
      <w:pPr>
        <w:pStyle w:val="22"/>
        <w:rPr>
          <w:rFonts w:hint="eastAsia" w:ascii="仿宋" w:hAnsi="仿宋" w:eastAsia="仿宋"/>
          <w:color w:val="auto"/>
          <w:sz w:val="32"/>
          <w:szCs w:val="32"/>
          <w:highlight w:val="none"/>
          <w:lang w:eastAsia="zh-CN"/>
        </w:rPr>
      </w:pPr>
    </w:p>
    <w:p>
      <w:pPr>
        <w:pStyle w:val="22"/>
        <w:jc w:val="both"/>
        <w:rPr>
          <w:rFonts w:hint="eastAsia" w:ascii="仿宋" w:hAnsi="仿宋" w:eastAsia="仿宋"/>
          <w:color w:val="auto"/>
          <w:sz w:val="32"/>
          <w:szCs w:val="32"/>
          <w:highlight w:val="none"/>
          <w:lang w:eastAsia="zh-CN"/>
        </w:rPr>
      </w:pPr>
    </w:p>
    <w:p>
      <w:pPr>
        <w:pStyle w:val="22"/>
        <w:jc w:val="center"/>
        <w:rPr>
          <w:rFonts w:hint="eastAsia" w:ascii="仿宋" w:hAnsi="仿宋" w:eastAsia="仿宋"/>
          <w:color w:val="auto"/>
          <w:sz w:val="32"/>
          <w:szCs w:val="32"/>
          <w:highlight w:val="none"/>
          <w:lang w:eastAsia="zh-CN"/>
        </w:rPr>
      </w:pPr>
    </w:p>
    <w:p>
      <w:pPr>
        <w:pStyle w:val="22"/>
        <w:ind w:firstLine="0" w:firstLineChars="0"/>
        <w:rPr>
          <w:rFonts w:hint="eastAsia" w:ascii="仿宋" w:hAnsi="仿宋" w:eastAsia="仿宋"/>
          <w:color w:val="auto"/>
          <w:sz w:val="32"/>
          <w:szCs w:val="32"/>
          <w:highlight w:val="none"/>
          <w:lang w:eastAsia="zh-CN"/>
        </w:rPr>
      </w:pPr>
    </w:p>
    <w:p>
      <w:pPr>
        <w:spacing w:line="600" w:lineRule="exact"/>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pPr>
        <w:pStyle w:val="31"/>
        <w:numPr>
          <w:ilvl w:val="0"/>
          <w:numId w:val="1"/>
        </w:numPr>
        <w:spacing w:line="600" w:lineRule="exact"/>
        <w:ind w:firstLineChars="0"/>
        <w:outlineLvl w:val="1"/>
        <w:rPr>
          <w:rStyle w:val="20"/>
          <w:rFonts w:ascii="黑体" w:hAnsi="黑体" w:eastAsia="黑体"/>
          <w:b w:val="0"/>
          <w:color w:val="auto"/>
          <w:highlight w:val="none"/>
        </w:rPr>
      </w:pPr>
      <w:bookmarkStart w:id="31" w:name="_Toc15396605"/>
      <w:bookmarkStart w:id="32" w:name="_Toc15377207"/>
      <w:bookmarkStart w:id="33" w:name="_Toc16042"/>
      <w:r>
        <w:rPr>
          <w:rFonts w:hint="eastAsia" w:ascii="黑体" w:hAnsi="黑体" w:eastAsia="黑体"/>
          <w:color w:val="auto"/>
          <w:sz w:val="32"/>
          <w:szCs w:val="32"/>
          <w:highlight w:val="none"/>
        </w:rPr>
        <w:t>支</w:t>
      </w:r>
      <w:r>
        <w:rPr>
          <w:rStyle w:val="20"/>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outlineLvl w:val="1"/>
        <w:rPr>
          <w:rFonts w:hint="eastAsia" w:ascii="仿宋" w:hAnsi="仿宋" w:eastAsia="仿宋"/>
          <w:color w:val="auto"/>
          <w:sz w:val="32"/>
          <w:szCs w:val="32"/>
          <w:highlight w:val="none"/>
          <w:lang w:eastAsia="zh-CN"/>
        </w:rPr>
      </w:pPr>
      <w:bookmarkStart w:id="34" w:name="_Toc8948"/>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368.09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324.35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88.12</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43.74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11.88</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34"/>
    </w:p>
    <w:p>
      <w:pPr>
        <w:pStyle w:val="22"/>
        <w:rPr>
          <w:rFonts w:hint="eastAsia" w:eastAsia="仿宋"/>
          <w:lang w:eastAsia="zh-CN"/>
        </w:rPr>
      </w:pPr>
      <w:r>
        <w:rPr>
          <w:rFonts w:hint="eastAsia" w:eastAsia="仿宋"/>
          <w:lang w:eastAsia="zh-CN"/>
        </w:rPr>
        <w:drawing>
          <wp:inline distT="0" distB="0" distL="114300" distR="114300">
            <wp:extent cx="3277235" cy="2143125"/>
            <wp:effectExtent l="4445" t="4445" r="1397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outlineLvl w:val="1"/>
        <w:rPr>
          <w:rFonts w:hint="eastAsia" w:ascii="仿宋" w:hAnsi="仿宋" w:eastAsia="仿宋"/>
          <w:color w:val="auto"/>
          <w:sz w:val="32"/>
          <w:szCs w:val="32"/>
          <w:highlight w:val="none"/>
        </w:rPr>
      </w:pPr>
      <w:bookmarkStart w:id="35" w:name="_Toc15462"/>
      <w:r>
        <w:rPr>
          <w:rFonts w:hint="eastAsia" w:ascii="仿宋" w:hAnsi="仿宋" w:eastAsia="仿宋"/>
          <w:color w:val="auto"/>
          <w:sz w:val="32"/>
          <w:szCs w:val="32"/>
          <w:highlight w:val="none"/>
        </w:rPr>
        <w:t>（图3：支出决算结构图）</w:t>
      </w:r>
      <w:bookmarkEnd w:id="35"/>
      <w:bookmarkStart w:id="36" w:name="_Toc15377208"/>
      <w:bookmarkStart w:id="37" w:name="_Toc15396606"/>
    </w:p>
    <w:p>
      <w:pPr>
        <w:spacing w:line="600" w:lineRule="exact"/>
        <w:ind w:firstLine="640" w:firstLineChars="200"/>
        <w:outlineLvl w:val="1"/>
        <w:rPr>
          <w:rStyle w:val="20"/>
          <w:rFonts w:ascii="黑体" w:hAnsi="黑体" w:eastAsia="黑体"/>
          <w:b w:val="0"/>
          <w:color w:val="auto"/>
          <w:highlight w:val="none"/>
        </w:rPr>
      </w:pPr>
      <w:bookmarkStart w:id="38" w:name="_Toc15122"/>
      <w:r>
        <w:rPr>
          <w:rFonts w:hint="eastAsia" w:ascii="黑体" w:hAnsi="黑体" w:eastAsia="黑体"/>
          <w:color w:val="auto"/>
          <w:sz w:val="32"/>
          <w:szCs w:val="32"/>
          <w:highlight w:val="none"/>
        </w:rPr>
        <w:t>四、财</w:t>
      </w:r>
      <w:r>
        <w:rPr>
          <w:rStyle w:val="20"/>
          <w:rFonts w:hint="eastAsia" w:ascii="黑体" w:hAnsi="黑体" w:eastAsia="黑体"/>
          <w:b w:val="0"/>
          <w:color w:val="auto"/>
          <w:highlight w:val="none"/>
        </w:rPr>
        <w:t>政拨款收入支出决算总体情况说明</w:t>
      </w:r>
      <w:bookmarkEnd w:id="36"/>
      <w:bookmarkEnd w:id="37"/>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368.09</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年相比，财政拨款收、支总计各减少</w:t>
      </w:r>
      <w:r>
        <w:rPr>
          <w:rFonts w:hint="eastAsia" w:ascii="仿宋" w:hAnsi="仿宋" w:eastAsia="仿宋"/>
          <w:color w:val="auto"/>
          <w:sz w:val="32"/>
          <w:szCs w:val="32"/>
          <w:highlight w:val="none"/>
          <w:lang w:val="en-US" w:eastAsia="zh-CN"/>
        </w:rPr>
        <w:t>227.92</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38.24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项目减少。</w:t>
      </w:r>
    </w:p>
    <w:p>
      <w:pPr>
        <w:pStyle w:val="2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3783330" cy="2403475"/>
            <wp:effectExtent l="4445" t="4445" r="22225" b="1143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firstLineChars="200"/>
        <w:outlineLvl w:val="1"/>
        <w:rPr>
          <w:rStyle w:val="20"/>
          <w:rFonts w:ascii="黑体" w:hAnsi="黑体" w:eastAsia="黑体"/>
          <w:b w:val="0"/>
          <w:color w:val="auto"/>
          <w:highlight w:val="none"/>
        </w:rPr>
      </w:pPr>
      <w:bookmarkStart w:id="39" w:name="_Toc15396607"/>
      <w:bookmarkStart w:id="40" w:name="_Toc17458"/>
      <w:bookmarkStart w:id="41"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般公共预算财政拨款支出决算情况说明</w:t>
      </w:r>
      <w:bookmarkEnd w:id="39"/>
      <w:bookmarkEnd w:id="40"/>
      <w:bookmarkEnd w:id="41"/>
    </w:p>
    <w:p>
      <w:pPr>
        <w:spacing w:line="600" w:lineRule="exact"/>
        <w:ind w:firstLine="642" w:firstLineChars="200"/>
        <w:outlineLvl w:val="2"/>
        <w:rPr>
          <w:rFonts w:ascii="仿宋" w:hAnsi="仿宋" w:eastAsia="仿宋"/>
          <w:b/>
          <w:color w:val="auto"/>
          <w:sz w:val="32"/>
          <w:szCs w:val="32"/>
          <w:highlight w:val="none"/>
        </w:rPr>
      </w:pPr>
      <w:bookmarkStart w:id="42" w:name="_Toc15377210"/>
      <w:r>
        <w:rPr>
          <w:rFonts w:hint="eastAsia" w:ascii="仿宋" w:hAnsi="仿宋" w:eastAsia="仿宋"/>
          <w:b/>
          <w:color w:val="auto"/>
          <w:sz w:val="32"/>
          <w:szCs w:val="32"/>
          <w:highlight w:val="none"/>
        </w:rPr>
        <w:t>（一）一般公共预算财政拨款支出决算总体情况</w:t>
      </w:r>
      <w:bookmarkEnd w:id="42"/>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368.09</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减少</w:t>
      </w:r>
      <w:r>
        <w:rPr>
          <w:rFonts w:hint="eastAsia" w:ascii="仿宋" w:hAnsi="仿宋" w:eastAsia="仿宋"/>
          <w:color w:val="auto"/>
          <w:sz w:val="32"/>
          <w:szCs w:val="32"/>
          <w:highlight w:val="none"/>
          <w:lang w:val="en-US" w:eastAsia="zh-CN"/>
        </w:rPr>
        <w:t>227.92</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38.24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项目减少。</w:t>
      </w:r>
    </w:p>
    <w:p>
      <w:pPr>
        <w:pStyle w:val="2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3228975" cy="2254250"/>
            <wp:effectExtent l="4445" t="4445" r="5080" b="825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642" w:firstLineChars="200"/>
        <w:outlineLvl w:val="2"/>
        <w:rPr>
          <w:rFonts w:ascii="仿宋" w:hAnsi="仿宋" w:eastAsia="仿宋"/>
          <w:b/>
          <w:color w:val="auto"/>
          <w:sz w:val="32"/>
          <w:szCs w:val="32"/>
          <w:highlight w:val="none"/>
        </w:rPr>
      </w:pPr>
      <w:bookmarkStart w:id="43" w:name="_Toc15377211"/>
      <w:r>
        <w:rPr>
          <w:rFonts w:hint="eastAsia" w:ascii="仿宋" w:hAnsi="仿宋" w:eastAsia="仿宋"/>
          <w:b/>
          <w:color w:val="auto"/>
          <w:sz w:val="32"/>
          <w:szCs w:val="32"/>
          <w:highlight w:val="none"/>
        </w:rPr>
        <w:t>（二）一般公共预算财政拨款支出决算结构情况</w:t>
      </w:r>
      <w:bookmarkEnd w:id="43"/>
    </w:p>
    <w:p>
      <w:pPr>
        <w:spacing w:line="600" w:lineRule="exact"/>
        <w:ind w:firstLine="640"/>
        <w:rPr>
          <w:rFonts w:hint="eastAsia" w:ascii="仿宋" w:hAnsi="仿宋" w:eastAsia="仿宋"/>
          <w:color w:val="auto"/>
          <w:sz w:val="32"/>
          <w:szCs w:val="32"/>
          <w:highlight w:val="none"/>
        </w:rPr>
      </w:pPr>
      <w:r>
        <w:rPr>
          <w:rFonts w:hint="eastAsia" w:eastAsia="仿宋"/>
          <w:lang w:eastAsia="zh-CN"/>
        </w:rPr>
        <w:drawing>
          <wp:anchor distT="0" distB="0" distL="114300" distR="114300" simplePos="0" relativeHeight="251660288" behindDoc="1" locked="0" layoutInCell="1" allowOverlap="1">
            <wp:simplePos x="0" y="0"/>
            <wp:positionH relativeFrom="column">
              <wp:posOffset>201295</wp:posOffset>
            </wp:positionH>
            <wp:positionV relativeFrom="paragraph">
              <wp:posOffset>1673860</wp:posOffset>
            </wp:positionV>
            <wp:extent cx="5120005" cy="2215515"/>
            <wp:effectExtent l="4445" t="4445" r="9525" b="18415"/>
            <wp:wrapTight wrapText="bothSides">
              <wp:wrapPolygon>
                <wp:start x="-19" y="-43"/>
                <wp:lineTo x="-19" y="21594"/>
                <wp:lineTo x="21600" y="21594"/>
                <wp:lineTo x="21600" y="-43"/>
                <wp:lineTo x="-19" y="-43"/>
              </wp:wrapPolygon>
            </wp:wrapTight>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368.09</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299.76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81.44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26.95万</w:t>
      </w:r>
      <w:r>
        <w:rPr>
          <w:rFonts w:hint="eastAsia" w:ascii="仿宋" w:hAnsi="仿宋" w:eastAsia="仿宋"/>
          <w:color w:val="auto"/>
          <w:sz w:val="32"/>
          <w:szCs w:val="32"/>
          <w:highlight w:val="none"/>
        </w:rPr>
        <w:t>元，占</w:t>
      </w:r>
      <w:r>
        <w:rPr>
          <w:rFonts w:hint="eastAsia" w:ascii="仿宋" w:hAnsi="仿宋" w:eastAsia="仿宋"/>
          <w:color w:val="auto"/>
          <w:sz w:val="32"/>
          <w:szCs w:val="32"/>
          <w:highlight w:val="none"/>
          <w:lang w:val="en-US" w:eastAsia="zh-CN"/>
        </w:rPr>
        <w:t>7.3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14.66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b w:val="0"/>
          <w:bCs w:val="0"/>
          <w:color w:val="auto"/>
          <w:sz w:val="32"/>
          <w:szCs w:val="32"/>
          <w:highlight w:val="none"/>
          <w:lang w:val="en-US" w:eastAsia="zh-CN"/>
        </w:rPr>
        <w:t>26.72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7.26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2"/>
        <w:rPr>
          <w:rFonts w:hint="eastAsia" w:eastAsia="仿宋"/>
          <w:lang w:eastAsia="zh-CN"/>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2" w:firstLineChars="200"/>
        <w:outlineLvl w:val="2"/>
        <w:rPr>
          <w:rFonts w:ascii="仿宋" w:hAnsi="仿宋" w:eastAsia="仿宋"/>
          <w:b/>
          <w:color w:val="auto"/>
          <w:sz w:val="32"/>
          <w:szCs w:val="32"/>
          <w:highlight w:val="none"/>
        </w:rPr>
      </w:pPr>
      <w:bookmarkStart w:id="44" w:name="_Toc15377212"/>
      <w:r>
        <w:rPr>
          <w:rFonts w:hint="eastAsia" w:ascii="仿宋" w:hAnsi="仿宋" w:eastAsia="仿宋"/>
          <w:b/>
          <w:color w:val="auto"/>
          <w:sz w:val="32"/>
          <w:szCs w:val="32"/>
          <w:highlight w:val="none"/>
        </w:rPr>
        <w:t>（三）一般公共预算财政拨款支出决算具体情况</w:t>
      </w:r>
      <w:bookmarkEnd w:id="44"/>
    </w:p>
    <w:p>
      <w:pPr>
        <w:spacing w:line="600" w:lineRule="exact"/>
        <w:ind w:firstLine="642" w:firstLineChars="200"/>
        <w:outlineLvl w:val="1"/>
        <w:rPr>
          <w:rFonts w:ascii="仿宋" w:hAnsi="仿宋" w:eastAsia="仿宋"/>
          <w:color w:val="auto"/>
          <w:sz w:val="32"/>
          <w:szCs w:val="32"/>
          <w:highlight w:val="none"/>
        </w:rPr>
      </w:pPr>
      <w:bookmarkStart w:id="45" w:name="_Toc15377213"/>
      <w:bookmarkStart w:id="46" w:name="_Toc9942"/>
      <w:bookmarkStart w:id="47" w:name="_Toc15377444"/>
      <w:bookmarkStart w:id="48" w:name="_Toc1537846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368.09</w:t>
      </w:r>
      <w:r>
        <w:rPr>
          <w:rFonts w:hint="eastAsia" w:ascii="仿宋" w:hAnsi="仿宋" w:eastAsia="仿宋"/>
          <w:color w:val="auto"/>
          <w:sz w:val="32"/>
          <w:szCs w:val="32"/>
          <w:highlight w:val="none"/>
        </w:rPr>
        <w:t>，</w:t>
      </w:r>
      <w:r>
        <w:rPr>
          <w:rStyle w:val="17"/>
          <w:rFonts w:hint="eastAsia" w:ascii="仿宋" w:hAnsi="仿宋" w:eastAsia="仿宋"/>
          <w:bCs/>
          <w:color w:val="auto"/>
          <w:sz w:val="32"/>
          <w:szCs w:val="32"/>
          <w:highlight w:val="none"/>
        </w:rPr>
        <w:t>完成预算</w:t>
      </w:r>
      <w:r>
        <w:rPr>
          <w:rStyle w:val="17"/>
          <w:rFonts w:hint="eastAsia" w:ascii="仿宋" w:hAnsi="仿宋" w:eastAsia="仿宋"/>
          <w:bCs/>
          <w:color w:val="auto"/>
          <w:sz w:val="32"/>
          <w:szCs w:val="32"/>
          <w:highlight w:val="none"/>
          <w:lang w:val="en-US" w:eastAsia="zh-CN"/>
        </w:rPr>
        <w:t>100</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。其中：</w:t>
      </w:r>
      <w:bookmarkEnd w:id="45"/>
      <w:bookmarkEnd w:id="46"/>
      <w:bookmarkEnd w:id="47"/>
      <w:bookmarkEnd w:id="48"/>
    </w:p>
    <w:p>
      <w:pPr>
        <w:numPr>
          <w:ilvl w:val="0"/>
          <w:numId w:val="0"/>
        </w:numPr>
        <w:spacing w:line="600" w:lineRule="exact"/>
        <w:ind w:firstLine="642" w:firstLineChars="200"/>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pPr>
      <w:r>
        <w:rPr>
          <w:rStyle w:val="17"/>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1.</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一般公共服务（类）</w:t>
      </w:r>
      <w:r>
        <w:rPr>
          <w:rStyle w:val="17"/>
          <w:rFonts w:hint="eastAsia" w:ascii="仿宋_GB2312" w:hAnsi="仿宋_GB2312" w:eastAsia="仿宋_GB2312" w:cs="仿宋_GB2312"/>
          <w:bCs/>
          <w:color w:val="000000" w:themeColor="text1"/>
          <w:sz w:val="32"/>
          <w:szCs w:val="32"/>
          <w14:textFill>
            <w14:solidFill>
              <w14:schemeClr w14:val="tx1"/>
            </w14:solidFill>
          </w14:textFill>
        </w:rPr>
        <w:t>宣传事务（款）行政运行（项）</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出决算为</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256.01</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万元，完成预算</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100</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%，决算数等于预算数</w:t>
      </w:r>
      <w:r>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w:t>
      </w:r>
    </w:p>
    <w:p>
      <w:pPr>
        <w:numPr>
          <w:ilvl w:val="0"/>
          <w:numId w:val="0"/>
        </w:numPr>
        <w:spacing w:line="600" w:lineRule="exact"/>
        <w:ind w:firstLine="642" w:firstLineChars="200"/>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pPr>
      <w:r>
        <w:rPr>
          <w:rStyle w:val="17"/>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2.</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一般公共服务（类）</w:t>
      </w:r>
      <w:r>
        <w:rPr>
          <w:rStyle w:val="17"/>
          <w:rFonts w:hint="eastAsia" w:ascii="仿宋_GB2312" w:hAnsi="仿宋_GB2312" w:eastAsia="仿宋_GB2312" w:cs="仿宋_GB2312"/>
          <w:bCs/>
          <w:color w:val="000000" w:themeColor="text1"/>
          <w:sz w:val="32"/>
          <w:szCs w:val="32"/>
          <w14:textFill>
            <w14:solidFill>
              <w14:schemeClr w14:val="tx1"/>
            </w14:solidFill>
          </w14:textFill>
        </w:rPr>
        <w:t>宣传事务（款）</w:t>
      </w:r>
      <w:r>
        <w:rPr>
          <w:rStyle w:val="17"/>
          <w:rFonts w:hint="eastAsia" w:ascii="仿宋_GB2312" w:hAnsi="仿宋_GB2312" w:eastAsia="仿宋_GB2312" w:cs="仿宋_GB2312"/>
          <w:bCs/>
          <w:color w:val="000000" w:themeColor="text1"/>
          <w:sz w:val="32"/>
          <w:szCs w:val="32"/>
          <w:lang w:eastAsia="zh-CN"/>
          <w14:textFill>
            <w14:solidFill>
              <w14:schemeClr w14:val="tx1"/>
            </w14:solidFill>
          </w14:textFill>
        </w:rPr>
        <w:t>一般行政管理事务</w:t>
      </w:r>
      <w:r>
        <w:rPr>
          <w:rStyle w:val="17"/>
          <w:rFonts w:hint="eastAsia" w:ascii="仿宋_GB2312" w:hAnsi="仿宋_GB2312" w:eastAsia="仿宋_GB2312" w:cs="仿宋_GB2312"/>
          <w:bCs/>
          <w:color w:val="000000" w:themeColor="text1"/>
          <w:sz w:val="32"/>
          <w:szCs w:val="32"/>
          <w14:textFill>
            <w14:solidFill>
              <w14:schemeClr w14:val="tx1"/>
            </w14:solidFill>
          </w14:textFill>
        </w:rPr>
        <w:t>（项）</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出决算为</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23.36</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万元，完成预算</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100</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%，决算数等于预算数</w:t>
      </w:r>
      <w:r>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w:t>
      </w:r>
    </w:p>
    <w:p>
      <w:pPr>
        <w:numPr>
          <w:ilvl w:val="0"/>
          <w:numId w:val="0"/>
        </w:numPr>
        <w:spacing w:line="600" w:lineRule="exact"/>
        <w:ind w:firstLine="642" w:firstLineChars="200"/>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pPr>
      <w:r>
        <w:rPr>
          <w:rStyle w:val="17"/>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3.</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一般公共服务（类）</w:t>
      </w:r>
      <w:r>
        <w:rPr>
          <w:rStyle w:val="17"/>
          <w:rFonts w:hint="eastAsia" w:ascii="仿宋_GB2312" w:hAnsi="仿宋_GB2312" w:eastAsia="仿宋_GB2312" w:cs="仿宋_GB2312"/>
          <w:bCs/>
          <w:color w:val="000000" w:themeColor="text1"/>
          <w:sz w:val="32"/>
          <w:szCs w:val="32"/>
          <w:lang w:eastAsia="zh-CN"/>
          <w14:textFill>
            <w14:solidFill>
              <w14:schemeClr w14:val="tx1"/>
            </w14:solidFill>
          </w14:textFill>
        </w:rPr>
        <w:t>网信事务</w:t>
      </w:r>
      <w:r>
        <w:rPr>
          <w:rStyle w:val="17"/>
          <w:rFonts w:hint="eastAsia" w:ascii="仿宋_GB2312" w:hAnsi="仿宋_GB2312" w:eastAsia="仿宋_GB2312" w:cs="仿宋_GB2312"/>
          <w:bCs/>
          <w:color w:val="000000" w:themeColor="text1"/>
          <w:sz w:val="32"/>
          <w:szCs w:val="32"/>
          <w14:textFill>
            <w14:solidFill>
              <w14:schemeClr w14:val="tx1"/>
            </w14:solidFill>
          </w14:textFill>
        </w:rPr>
        <w:t>（款）</w:t>
      </w:r>
      <w:r>
        <w:rPr>
          <w:rStyle w:val="17"/>
          <w:rFonts w:hint="eastAsia" w:ascii="仿宋_GB2312" w:hAnsi="仿宋_GB2312" w:eastAsia="仿宋_GB2312" w:cs="仿宋_GB2312"/>
          <w:bCs/>
          <w:color w:val="000000" w:themeColor="text1"/>
          <w:sz w:val="32"/>
          <w:szCs w:val="32"/>
          <w:lang w:eastAsia="zh-CN"/>
          <w14:textFill>
            <w14:solidFill>
              <w14:schemeClr w14:val="tx1"/>
            </w14:solidFill>
          </w14:textFill>
        </w:rPr>
        <w:t>信息安全事务</w:t>
      </w:r>
      <w:r>
        <w:rPr>
          <w:rStyle w:val="17"/>
          <w:rFonts w:hint="eastAsia" w:ascii="仿宋_GB2312" w:hAnsi="仿宋_GB2312" w:eastAsia="仿宋_GB2312" w:cs="仿宋_GB2312"/>
          <w:bCs/>
          <w:color w:val="000000" w:themeColor="text1"/>
          <w:sz w:val="32"/>
          <w:szCs w:val="32"/>
          <w14:textFill>
            <w14:solidFill>
              <w14:schemeClr w14:val="tx1"/>
            </w14:solidFill>
          </w14:textFill>
        </w:rPr>
        <w:t>（项）</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w:t>
      </w:r>
      <w:r>
        <w:rPr>
          <w:rStyle w:val="17"/>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出决算为</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15.71</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万元，完成预算</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100</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%，决算数等于预算数</w:t>
      </w:r>
      <w:r>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w:t>
      </w:r>
    </w:p>
    <w:p>
      <w:pPr>
        <w:numPr>
          <w:ilvl w:val="0"/>
          <w:numId w:val="0"/>
        </w:numPr>
        <w:spacing w:line="600" w:lineRule="exact"/>
        <w:ind w:firstLine="642" w:firstLineChars="200"/>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pPr>
      <w:r>
        <w:rPr>
          <w:rStyle w:val="17"/>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4.</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一般公共服务（类）</w:t>
      </w:r>
      <w:r>
        <w:rPr>
          <w:rStyle w:val="17"/>
          <w:rFonts w:hint="eastAsia" w:ascii="仿宋_GB2312" w:hAnsi="仿宋_GB2312" w:eastAsia="仿宋_GB2312" w:cs="仿宋_GB2312"/>
          <w:bCs/>
          <w:color w:val="000000" w:themeColor="text1"/>
          <w:sz w:val="32"/>
          <w:szCs w:val="32"/>
          <w:lang w:eastAsia="zh-CN"/>
          <w14:textFill>
            <w14:solidFill>
              <w14:schemeClr w14:val="tx1"/>
            </w14:solidFill>
          </w14:textFill>
        </w:rPr>
        <w:t>网信事务</w:t>
      </w:r>
      <w:r>
        <w:rPr>
          <w:rStyle w:val="17"/>
          <w:rFonts w:hint="eastAsia" w:ascii="仿宋_GB2312" w:hAnsi="仿宋_GB2312" w:eastAsia="仿宋_GB2312" w:cs="仿宋_GB2312"/>
          <w:bCs/>
          <w:color w:val="000000" w:themeColor="text1"/>
          <w:sz w:val="32"/>
          <w:szCs w:val="32"/>
          <w14:textFill>
            <w14:solidFill>
              <w14:schemeClr w14:val="tx1"/>
            </w14:solidFill>
          </w14:textFill>
        </w:rPr>
        <w:t>（款）</w:t>
      </w:r>
      <w:r>
        <w:rPr>
          <w:rStyle w:val="17"/>
          <w:rFonts w:hint="eastAsia" w:ascii="仿宋_GB2312" w:hAnsi="仿宋_GB2312" w:eastAsia="仿宋_GB2312" w:cs="仿宋_GB2312"/>
          <w:bCs/>
          <w:color w:val="000000" w:themeColor="text1"/>
          <w:sz w:val="32"/>
          <w:szCs w:val="32"/>
          <w:lang w:eastAsia="zh-CN"/>
          <w14:textFill>
            <w14:solidFill>
              <w14:schemeClr w14:val="tx1"/>
            </w14:solidFill>
          </w14:textFill>
        </w:rPr>
        <w:t>其他网信事务</w:t>
      </w:r>
      <w:r>
        <w:rPr>
          <w:rStyle w:val="17"/>
          <w:rFonts w:hint="eastAsia" w:ascii="仿宋_GB2312" w:hAnsi="仿宋_GB2312" w:eastAsia="仿宋_GB2312" w:cs="仿宋_GB2312"/>
          <w:bCs/>
          <w:color w:val="000000" w:themeColor="text1"/>
          <w:sz w:val="32"/>
          <w:szCs w:val="32"/>
          <w14:textFill>
            <w14:solidFill>
              <w14:schemeClr w14:val="tx1"/>
            </w14:solidFill>
          </w14:textFill>
        </w:rPr>
        <w:t>（项）</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w:t>
      </w:r>
      <w:r>
        <w:rPr>
          <w:rStyle w:val="17"/>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出决算为</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4.67</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万元，完成预算</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100</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%，决算数等于预算数</w:t>
      </w:r>
      <w:r>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w:t>
      </w:r>
    </w:p>
    <w:p>
      <w:pPr>
        <w:numPr>
          <w:ilvl w:val="0"/>
          <w:numId w:val="0"/>
        </w:numPr>
        <w:spacing w:line="600" w:lineRule="exact"/>
        <w:ind w:firstLine="642" w:firstLineChars="200"/>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pPr>
      <w:r>
        <w:rPr>
          <w:rStyle w:val="17"/>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5</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.社会保障和就业（类）</w:t>
      </w:r>
      <w:r>
        <w:rPr>
          <w:rStyle w:val="17"/>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行政事业单位养老</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（款）</w:t>
      </w:r>
      <w:r>
        <w:rPr>
          <w:rStyle w:val="17"/>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机关事业单位基本养养老保险费</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（项）:</w:t>
      </w:r>
      <w:r>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出决算为</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26.95</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万元，完成预算</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100</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%，决算数等于预算数</w:t>
      </w:r>
      <w:r>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w:t>
      </w:r>
    </w:p>
    <w:p>
      <w:pPr>
        <w:numPr>
          <w:ilvl w:val="0"/>
          <w:numId w:val="0"/>
        </w:numPr>
        <w:spacing w:line="600" w:lineRule="exact"/>
        <w:ind w:firstLine="642" w:firstLineChars="200"/>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pPr>
      <w:r>
        <w:rPr>
          <w:rStyle w:val="17"/>
          <w:rFonts w:hint="eastAsia" w:ascii="仿宋_GB2312" w:hAnsi="仿宋_GB2312" w:eastAsia="仿宋_GB2312" w:cs="仿宋_GB2312"/>
          <w:bCs/>
          <w:color w:val="000000" w:themeColor="text1"/>
          <w:sz w:val="32"/>
          <w:szCs w:val="32"/>
          <w:highlight w:val="none"/>
          <w:lang w:val="en-US" w:eastAsia="zh-CN"/>
          <w14:textFill>
            <w14:solidFill>
              <w14:schemeClr w14:val="tx1"/>
            </w14:solidFill>
          </w14:textFill>
        </w:rPr>
        <w:t>6</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卫生健康</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（类）</w:t>
      </w:r>
      <w:r>
        <w:rPr>
          <w:rStyle w:val="17"/>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行政事业单位医疗</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（款）</w:t>
      </w:r>
      <w:r>
        <w:rPr>
          <w:rStyle w:val="17"/>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行政单位医疗缴费（</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项）:</w:t>
      </w:r>
      <w:r>
        <w:rPr>
          <w:rStyle w:val="17"/>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出决算为</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14.66</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万元，完成预算</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100</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%，决算数等于预算数</w:t>
      </w:r>
      <w:r>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w:t>
      </w:r>
    </w:p>
    <w:p>
      <w:pPr>
        <w:numPr>
          <w:ilvl w:val="0"/>
          <w:numId w:val="0"/>
        </w:numPr>
        <w:spacing w:line="600" w:lineRule="exact"/>
        <w:ind w:firstLine="642" w:firstLineChars="200"/>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color w:val="000000" w:themeColor="text1"/>
          <w:sz w:val="32"/>
          <w:szCs w:val="32"/>
          <w:highlight w:val="none"/>
          <w:lang w:val="en-US" w:eastAsia="zh-CN"/>
          <w14:textFill>
            <w14:solidFill>
              <w14:schemeClr w14:val="tx1"/>
            </w14:solidFill>
          </w14:textFill>
        </w:rPr>
        <w:t>7.</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住房保障</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（类）</w:t>
      </w:r>
      <w:r>
        <w:rPr>
          <w:rStyle w:val="17"/>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住房改革</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（款）</w:t>
      </w:r>
      <w:r>
        <w:rPr>
          <w:rStyle w:val="17"/>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住房公积金缴费（</w:t>
      </w:r>
      <w:r>
        <w:rPr>
          <w:rStyle w:val="17"/>
          <w:rFonts w:hint="eastAsia" w:ascii="仿宋_GB2312" w:hAnsi="仿宋_GB2312" w:eastAsia="仿宋_GB2312" w:cs="仿宋_GB2312"/>
          <w:bCs/>
          <w:color w:val="000000" w:themeColor="text1"/>
          <w:sz w:val="32"/>
          <w:szCs w:val="32"/>
          <w:highlight w:val="none"/>
          <w14:textFill>
            <w14:solidFill>
              <w14:schemeClr w14:val="tx1"/>
            </w14:solidFill>
          </w14:textFill>
        </w:rPr>
        <w:t>项）:</w:t>
      </w:r>
      <w:r>
        <w:rPr>
          <w:rStyle w:val="17"/>
          <w:rFonts w:hint="eastAsia" w:ascii="仿宋_GB2312" w:hAnsi="仿宋_GB2312" w:eastAsia="仿宋_GB2312" w:cs="仿宋_GB2312"/>
          <w:bCs/>
          <w:color w:val="000000" w:themeColor="text1"/>
          <w:sz w:val="32"/>
          <w:szCs w:val="32"/>
          <w:highlight w:val="none"/>
          <w:lang w:eastAsia="zh-CN"/>
          <w14:textFill>
            <w14:solidFill>
              <w14:schemeClr w14:val="tx1"/>
            </w14:solidFill>
          </w14:textFill>
        </w:rPr>
        <w:t>：</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出决算为</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26.72</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万元，完成预算</w:t>
      </w:r>
      <w:r>
        <w:rPr>
          <w:rStyle w:val="17"/>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100</w:t>
      </w:r>
      <w:r>
        <w:rPr>
          <w:rStyle w:val="17"/>
          <w:rFonts w:hint="eastAsia" w:ascii="仿宋_GB2312" w:hAnsi="仿宋_GB2312" w:eastAsia="仿宋_GB2312" w:cs="仿宋_GB2312"/>
          <w:b w:val="0"/>
          <w:bCs/>
          <w:color w:val="000000" w:themeColor="text1"/>
          <w:sz w:val="32"/>
          <w:szCs w:val="32"/>
          <w:highlight w:val="none"/>
          <w14:textFill>
            <w14:solidFill>
              <w14:schemeClr w14:val="tx1"/>
            </w14:solidFill>
          </w14:textFill>
        </w:rPr>
        <w:t>%，决算数等于预算数</w:t>
      </w:r>
      <w:r>
        <w:rPr>
          <w:rStyle w:val="17"/>
          <w:rFonts w:hint="eastAsia" w:ascii="仿宋_GB2312" w:hAnsi="仿宋_GB2312" w:eastAsia="仿宋_GB2312" w:cs="仿宋_GB2312"/>
          <w:b w:val="0"/>
          <w:bCs/>
          <w:color w:val="000000" w:themeColor="text1"/>
          <w:sz w:val="32"/>
          <w:szCs w:val="32"/>
          <w:highlight w:val="none"/>
          <w:lang w:eastAsia="zh-CN"/>
          <w14:textFill>
            <w14:solidFill>
              <w14:schemeClr w14:val="tx1"/>
            </w14:solidFill>
          </w14:textFill>
        </w:rPr>
        <w:t>。</w:t>
      </w:r>
    </w:p>
    <w:p>
      <w:pPr>
        <w:tabs>
          <w:tab w:val="right" w:pos="8306"/>
        </w:tabs>
        <w:spacing w:line="600" w:lineRule="exact"/>
        <w:ind w:firstLine="640"/>
        <w:outlineLvl w:val="1"/>
        <w:rPr>
          <w:rStyle w:val="20"/>
          <w:color w:val="auto"/>
          <w:highlight w:val="none"/>
        </w:rPr>
      </w:pPr>
      <w:bookmarkStart w:id="49" w:name="_Toc15396608"/>
      <w:bookmarkStart w:id="50" w:name="_Toc15377214"/>
      <w:bookmarkStart w:id="51" w:name="_Toc731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般公共预算财政拨款基本支出决算情况说明</w:t>
      </w:r>
      <w:bookmarkEnd w:id="49"/>
      <w:bookmarkEnd w:id="50"/>
      <w:bookmarkEnd w:id="51"/>
      <w:r>
        <w:rPr>
          <w:rStyle w:val="2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324.35</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281.29</w:t>
      </w:r>
      <w:r>
        <w:rPr>
          <w:rFonts w:hint="eastAsia" w:ascii="仿宋" w:hAnsi="仿宋" w:eastAsia="仿宋"/>
          <w:color w:val="auto"/>
          <w:sz w:val="32"/>
          <w:szCs w:val="32"/>
          <w:highlight w:val="none"/>
        </w:rPr>
        <w:t>万元，主要包括：基本工资、津贴补贴、奖金、机关事业单位基本养老保险缴费、</w:t>
      </w:r>
      <w:r>
        <w:rPr>
          <w:rFonts w:hint="eastAsia" w:ascii="仿宋" w:hAnsi="仿宋" w:eastAsia="仿宋"/>
          <w:color w:val="auto"/>
          <w:sz w:val="32"/>
          <w:szCs w:val="32"/>
          <w:highlight w:val="none"/>
          <w:lang w:eastAsia="zh-CN"/>
        </w:rPr>
        <w:t>职工</w:t>
      </w:r>
      <w:r>
        <w:rPr>
          <w:rFonts w:hint="eastAsia" w:ascii="仿宋" w:hAnsi="仿宋" w:eastAsia="仿宋"/>
          <w:color w:val="auto"/>
          <w:sz w:val="32"/>
          <w:szCs w:val="32"/>
          <w:highlight w:val="none"/>
          <w:lang w:val="en-US" w:eastAsia="zh-CN"/>
        </w:rPr>
        <w:t>基本</w:t>
      </w:r>
      <w:r>
        <w:rPr>
          <w:rFonts w:hint="eastAsia" w:ascii="仿宋" w:hAnsi="仿宋" w:eastAsia="仿宋"/>
          <w:color w:val="auto"/>
          <w:sz w:val="32"/>
          <w:szCs w:val="32"/>
          <w:highlight w:val="none"/>
          <w:lang w:eastAsia="zh-CN"/>
        </w:rPr>
        <w:t>医疗保险缴费、</w:t>
      </w:r>
      <w:r>
        <w:rPr>
          <w:rFonts w:hint="eastAsia" w:ascii="仿宋" w:hAnsi="仿宋" w:eastAsia="仿宋"/>
          <w:color w:val="auto"/>
          <w:sz w:val="32"/>
          <w:szCs w:val="32"/>
          <w:highlight w:val="none"/>
        </w:rPr>
        <w:t>住房公积金。</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43.06</w:t>
      </w:r>
      <w:r>
        <w:rPr>
          <w:rFonts w:hint="eastAsia" w:ascii="仿宋" w:hAnsi="仿宋" w:eastAsia="仿宋"/>
          <w:color w:val="auto"/>
          <w:sz w:val="32"/>
          <w:szCs w:val="32"/>
          <w:highlight w:val="none"/>
        </w:rPr>
        <w:t>万元，主要包括：办公费、印刷费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水费、电费、差旅费、租赁费、会议费、公务接待费、劳务费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工会经费、福利费、其他交通费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其他商品和服务支出。</w:t>
      </w:r>
    </w:p>
    <w:p>
      <w:pPr>
        <w:spacing w:line="600" w:lineRule="exact"/>
        <w:ind w:firstLine="640"/>
        <w:outlineLvl w:val="1"/>
        <w:rPr>
          <w:rStyle w:val="20"/>
          <w:rFonts w:ascii="黑体" w:hAnsi="黑体" w:eastAsia="黑体"/>
          <w:b w:val="0"/>
          <w:color w:val="auto"/>
          <w:highlight w:val="none"/>
        </w:rPr>
      </w:pPr>
      <w:bookmarkStart w:id="52" w:name="_Toc23375"/>
      <w:bookmarkStart w:id="53" w:name="_Toc15377215"/>
      <w:bookmarkStart w:id="54" w:name="_Toc15396609"/>
      <w:r>
        <w:rPr>
          <w:rFonts w:hint="eastAsia" w:ascii="黑体" w:eastAsia="黑体"/>
          <w:color w:val="auto"/>
          <w:sz w:val="32"/>
          <w:szCs w:val="32"/>
          <w:highlight w:val="none"/>
        </w:rPr>
        <w:t>七、</w:t>
      </w:r>
      <w:r>
        <w:rPr>
          <w:rStyle w:val="20"/>
          <w:rFonts w:hint="eastAsia" w:ascii="黑体" w:hAnsi="黑体" w:eastAsia="黑体"/>
          <w:b w:val="0"/>
          <w:color w:val="auto"/>
          <w:highlight w:val="none"/>
        </w:rPr>
        <w:t>财政拨款</w:t>
      </w:r>
      <w:r>
        <w:rPr>
          <w:rStyle w:val="20"/>
          <w:rFonts w:hint="eastAsia" w:ascii="黑体" w:hAnsi="黑体" w:eastAsia="黑体"/>
          <w:color w:val="auto"/>
          <w:highlight w:val="none"/>
        </w:rPr>
        <w:t>“</w:t>
      </w:r>
      <w:r>
        <w:rPr>
          <w:rStyle w:val="20"/>
          <w:rFonts w:hint="eastAsia" w:ascii="黑体" w:hAnsi="黑体" w:eastAsia="黑体"/>
          <w:b w:val="0"/>
          <w:color w:val="auto"/>
          <w:highlight w:val="none"/>
        </w:rPr>
        <w:t>三公”经费支出决算情况说明</w:t>
      </w:r>
      <w:bookmarkEnd w:id="52"/>
      <w:bookmarkEnd w:id="53"/>
      <w:bookmarkEnd w:id="54"/>
    </w:p>
    <w:p>
      <w:pPr>
        <w:spacing w:line="600" w:lineRule="exact"/>
        <w:ind w:firstLine="640"/>
        <w:outlineLvl w:val="2"/>
        <w:rPr>
          <w:rFonts w:ascii="仿宋" w:hAnsi="仿宋" w:eastAsia="仿宋"/>
          <w:b/>
          <w:color w:val="auto"/>
          <w:sz w:val="32"/>
          <w:szCs w:val="32"/>
          <w:highlight w:val="none"/>
        </w:rPr>
      </w:pPr>
      <w:bookmarkStart w:id="55" w:name="_Toc15377216"/>
      <w:r>
        <w:rPr>
          <w:rFonts w:hint="eastAsia" w:ascii="仿宋" w:hAnsi="仿宋" w:eastAsia="仿宋"/>
          <w:b/>
          <w:color w:val="auto"/>
          <w:sz w:val="32"/>
          <w:szCs w:val="32"/>
          <w:highlight w:val="none"/>
        </w:rPr>
        <w:t>（一）“三公”经费财政拨款支出决算总体情况说明</w:t>
      </w:r>
      <w:bookmarkEnd w:id="5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0.7</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减少0.06万元，下降7.9%。</w:t>
      </w:r>
      <w:r>
        <w:rPr>
          <w:rFonts w:hint="eastAsia" w:ascii="仿宋" w:hAnsi="仿宋" w:eastAsia="仿宋"/>
          <w:color w:val="auto"/>
          <w:sz w:val="32"/>
          <w:szCs w:val="32"/>
          <w:highlight w:val="none"/>
        </w:rPr>
        <w:t>决算数与预算数持平。</w:t>
      </w:r>
    </w:p>
    <w:p>
      <w:pPr>
        <w:spacing w:line="600" w:lineRule="exact"/>
        <w:ind w:firstLine="640"/>
        <w:outlineLvl w:val="2"/>
        <w:rPr>
          <w:rFonts w:ascii="仿宋" w:hAnsi="仿宋" w:eastAsia="仿宋"/>
          <w:b/>
          <w:color w:val="auto"/>
          <w:sz w:val="32"/>
          <w:szCs w:val="32"/>
          <w:highlight w:val="none"/>
        </w:rPr>
      </w:pPr>
      <w:bookmarkStart w:id="56" w:name="_Toc15377217"/>
      <w:r>
        <w:rPr>
          <w:rFonts w:hint="eastAsia" w:ascii="仿宋" w:hAnsi="仿宋" w:eastAsia="仿宋"/>
          <w:b/>
          <w:color w:val="auto"/>
          <w:sz w:val="32"/>
          <w:szCs w:val="32"/>
          <w:highlight w:val="none"/>
        </w:rPr>
        <w:t>（二）“三公”经费财政拨款支出决算具体情况说明</w:t>
      </w:r>
      <w:bookmarkEnd w:id="56"/>
    </w:p>
    <w:p>
      <w:pPr>
        <w:keepNext w:val="0"/>
        <w:keepLines w:val="0"/>
        <w:widowControl/>
        <w:suppressLineNumbers w:val="0"/>
        <w:spacing w:before="0" w:beforeAutospacing="0" w:after="0" w:afterAutospacing="0" w:line="576" w:lineRule="atLeast"/>
        <w:ind w:left="0" w:right="0" w:firstLine="640"/>
        <w:jc w:val="both"/>
        <w:rPr>
          <w:rFonts w:ascii="仿宋_GB2312" w:hAnsi="Times New Roman" w:eastAsia="仿宋_GB2312" w:cs="仿宋_GB2312"/>
          <w:i w:val="0"/>
          <w:iCs w:val="0"/>
          <w:caps w:val="0"/>
          <w:color w:val="000000"/>
          <w:spacing w:val="0"/>
          <w:kern w:val="0"/>
          <w:sz w:val="32"/>
          <w:szCs w:val="32"/>
          <w:lang w:val="en-US" w:eastAsia="zh-CN" w:bidi="ar"/>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w:t>
      </w:r>
      <w:r>
        <w:rPr>
          <w:rFonts w:ascii="仿宋_GB2312" w:hAnsi="Times New Roman" w:eastAsia="仿宋_GB2312" w:cs="仿宋_GB2312"/>
          <w:i w:val="0"/>
          <w:iCs w:val="0"/>
          <w:caps w:val="0"/>
          <w:color w:val="000000"/>
          <w:spacing w:val="0"/>
          <w:kern w:val="0"/>
          <w:sz w:val="32"/>
          <w:szCs w:val="32"/>
          <w:lang w:val="en-US" w:eastAsia="zh-CN" w:bidi="ar"/>
        </w:rPr>
        <w:t>2022年“三公”经费财政拨款支出决算中，因公出国（境）费支出决算0万元，</w:t>
      </w:r>
    </w:p>
    <w:p>
      <w:pPr>
        <w:keepNext w:val="0"/>
        <w:keepLines w:val="0"/>
        <w:widowControl/>
        <w:suppressLineNumbers w:val="0"/>
        <w:spacing w:before="0" w:beforeAutospacing="0" w:after="0" w:afterAutospacing="0" w:line="576" w:lineRule="atLeast"/>
        <w:ind w:left="0" w:leftChars="0" w:right="0" w:firstLine="0" w:firstLineChars="0"/>
        <w:jc w:val="both"/>
        <w:rPr>
          <w:rFonts w:ascii="仿宋_GB2312" w:hAnsi="Times New Roman" w:eastAsia="仿宋_GB2312" w:cs="仿宋_GB2312"/>
          <w:i w:val="0"/>
          <w:iCs w:val="0"/>
          <w:caps w:val="0"/>
          <w:color w:val="000000"/>
          <w:spacing w:val="0"/>
          <w:kern w:val="0"/>
          <w:sz w:val="32"/>
          <w:szCs w:val="32"/>
          <w:lang w:val="en-US" w:eastAsia="zh-CN" w:bidi="ar"/>
        </w:rPr>
      </w:pPr>
      <w:r>
        <w:rPr>
          <w:rFonts w:ascii="仿宋_GB2312" w:hAnsi="Times New Roman" w:eastAsia="仿宋_GB2312" w:cs="仿宋_GB2312"/>
          <w:i w:val="0"/>
          <w:iCs w:val="0"/>
          <w:caps w:val="0"/>
          <w:color w:val="000000"/>
          <w:spacing w:val="0"/>
          <w:kern w:val="0"/>
          <w:sz w:val="32"/>
          <w:szCs w:val="32"/>
          <w:lang w:val="en-US" w:eastAsia="zh-CN" w:bidi="ar"/>
        </w:rPr>
        <w:t>占0%；公务用车购置及运行维护费支出决算</w:t>
      </w:r>
      <w:r>
        <w:rPr>
          <w:rFonts w:ascii="仿宋_GB2312" w:hAnsi="Times New Roman" w:eastAsia="仿宋_GB2312" w:cs="仿宋_GB2312"/>
          <w:i w:val="0"/>
          <w:iCs w:val="0"/>
          <w:caps w:val="0"/>
          <w:color w:val="000000"/>
          <w:spacing w:val="0"/>
          <w:kern w:val="0"/>
          <w:sz w:val="32"/>
          <w:szCs w:val="32"/>
          <w:lang w:eastAsia="zh-CN" w:bidi="ar"/>
        </w:rPr>
        <w:t>0.7</w:t>
      </w:r>
      <w:r>
        <w:rPr>
          <w:rFonts w:ascii="仿宋_GB2312" w:hAnsi="Times New Roman" w:eastAsia="仿宋_GB2312" w:cs="仿宋_GB2312"/>
          <w:i w:val="0"/>
          <w:iCs w:val="0"/>
          <w:caps w:val="0"/>
          <w:color w:val="000000"/>
          <w:spacing w:val="0"/>
          <w:kern w:val="0"/>
          <w:sz w:val="32"/>
          <w:szCs w:val="32"/>
          <w:lang w:val="en-US" w:eastAsia="zh-CN" w:bidi="ar"/>
        </w:rPr>
        <w:t>万元，占100%；公务接待费支出决算0万元，占0%。具体情况如下：</w:t>
      </w:r>
    </w:p>
    <w:p>
      <w:pPr>
        <w:spacing w:line="600" w:lineRule="exact"/>
        <w:ind w:left="0" w:leftChars="0" w:firstLine="0" w:firstLineChars="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511175</wp:posOffset>
            </wp:positionH>
            <wp:positionV relativeFrom="paragraph">
              <wp:posOffset>-7185660</wp:posOffset>
            </wp:positionV>
            <wp:extent cx="2774315" cy="1764030"/>
            <wp:effectExtent l="4445" t="4445" r="21590" b="22225"/>
            <wp:wrapTopAndBottom/>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pPr>
        <w:spacing w:line="600" w:lineRule="exact"/>
        <w:ind w:firstLine="640"/>
        <w:rPr>
          <w:rFonts w:hint="eastAsia" w:ascii="仿宋" w:hAnsi="仿宋" w:eastAsia="仿宋"/>
          <w:color w:val="auto"/>
          <w:sz w:val="32"/>
          <w:szCs w:val="32"/>
          <w:highlight w:val="none"/>
        </w:rPr>
      </w:pPr>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7"/>
          <w:rFonts w:hint="eastAsia" w:ascii="仿宋" w:hAnsi="仿宋" w:eastAsia="仿宋"/>
          <w:b w:val="0"/>
          <w:bCs/>
          <w:color w:val="auto"/>
          <w:sz w:val="32"/>
          <w:szCs w:val="32"/>
          <w:highlight w:val="none"/>
          <w:lang w:eastAsia="zh-CN"/>
        </w:rPr>
        <w:t>年初未安排预算</w:t>
      </w:r>
      <w:r>
        <w:rPr>
          <w:rStyle w:val="17"/>
          <w:rFonts w:hint="default" w:ascii="仿宋" w:hAnsi="仿宋" w:eastAsia="仿宋"/>
          <w:b w:val="0"/>
          <w:bCs/>
          <w:color w:val="auto"/>
          <w:sz w:val="32"/>
          <w:szCs w:val="32"/>
          <w:highlight w:val="none"/>
          <w:lang w:eastAsia="zh-CN"/>
        </w:rPr>
        <w:t>，较上年无变化</w:t>
      </w:r>
      <w:r>
        <w:rPr>
          <w:rStyle w:val="17"/>
          <w:rFonts w:hint="eastAsia" w:ascii="仿宋" w:hAnsi="仿宋" w:eastAsia="仿宋"/>
          <w:b w:val="0"/>
          <w:bCs/>
          <w:color w:val="auto"/>
          <w:sz w:val="32"/>
          <w:szCs w:val="32"/>
          <w:highlight w:val="none"/>
        </w:rPr>
        <w:t>。</w:t>
      </w:r>
    </w:p>
    <w:p>
      <w:pPr>
        <w:spacing w:line="600" w:lineRule="exact"/>
        <w:ind w:firstLine="640"/>
        <w:rPr>
          <w:rFonts w:hint="default"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7"/>
          <w:rFonts w:hint="eastAsia" w:ascii="仿宋" w:hAnsi="仿宋" w:eastAsia="仿宋"/>
          <w:b w:val="0"/>
          <w:bCs/>
          <w:color w:val="auto"/>
          <w:sz w:val="32"/>
          <w:szCs w:val="32"/>
          <w:highlight w:val="none"/>
          <w:lang w:eastAsia="zh-CN"/>
        </w:rPr>
        <w:t>年初未安排预算</w:t>
      </w:r>
      <w:r>
        <w:rPr>
          <w:rStyle w:val="17"/>
          <w:rFonts w:hint="default" w:ascii="仿宋" w:hAnsi="仿宋" w:eastAsia="仿宋"/>
          <w:b w:val="0"/>
          <w:bCs/>
          <w:color w:val="auto"/>
          <w:sz w:val="32"/>
          <w:szCs w:val="32"/>
          <w:highlight w:val="none"/>
          <w:lang w:eastAsia="zh-CN"/>
        </w:rPr>
        <w:t>，较上年无变化，截至2022年12月底我单位无公务用车。</w:t>
      </w:r>
    </w:p>
    <w:p>
      <w:pPr>
        <w:spacing w:line="600" w:lineRule="exact"/>
        <w:ind w:firstLine="640"/>
        <w:rPr>
          <w:rFonts w:hint="eastAsia" w:ascii="仿宋_GB2312" w:eastAsia="仿宋_GB2312"/>
          <w:color w:val="auto"/>
          <w:sz w:val="32"/>
          <w:szCs w:val="32"/>
          <w:highlight w:val="none"/>
          <w:lang w:eastAsia="zh-CN"/>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0.7</w:t>
      </w:r>
      <w:r>
        <w:rPr>
          <w:rFonts w:hint="eastAsia" w:ascii="仿宋_GB2312" w:eastAsia="仿宋_GB2312"/>
          <w:color w:val="auto"/>
          <w:sz w:val="32"/>
          <w:szCs w:val="32"/>
          <w:highlight w:val="none"/>
        </w:rPr>
        <w:t>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val="en-US" w:eastAsia="zh-CN"/>
        </w:rPr>
        <w:t>2021年</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0.06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与</w:t>
      </w:r>
      <w:r>
        <w:rPr>
          <w:rFonts w:hint="eastAsia" w:ascii="仿宋_GB2312" w:eastAsia="仿宋_GB2312"/>
          <w:color w:val="auto"/>
          <w:sz w:val="32"/>
          <w:szCs w:val="32"/>
          <w:highlight w:val="none"/>
          <w:lang w:val="en-US" w:eastAsia="zh-CN"/>
        </w:rPr>
        <w:t>2021年</w:t>
      </w:r>
      <w:r>
        <w:rPr>
          <w:rFonts w:hint="eastAsia" w:ascii="仿宋_GB2312" w:eastAsia="仿宋_GB2312"/>
          <w:color w:val="auto"/>
          <w:sz w:val="32"/>
          <w:szCs w:val="32"/>
          <w:highlight w:val="none"/>
          <w:lang w:eastAsia="zh-CN"/>
        </w:rPr>
        <w:t>基本持平。</w:t>
      </w:r>
    </w:p>
    <w:p>
      <w:pPr>
        <w:spacing w:line="600" w:lineRule="exact"/>
        <w:ind w:firstLine="640"/>
        <w:rPr>
          <w:rFonts w:hint="eastAsia" w:ascii="仿宋_GB2312" w:eastAsia="仿宋_GB2312"/>
          <w:color w:val="auto"/>
          <w:sz w:val="32"/>
          <w:szCs w:val="32"/>
          <w:highlight w:val="none"/>
          <w:lang w:val="en-US" w:eastAsia="zh-CN"/>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0.7</w:t>
      </w:r>
      <w:r>
        <w:rPr>
          <w:rFonts w:hint="eastAsia" w:ascii="仿宋_GB2312" w:eastAsia="仿宋_GB2312"/>
          <w:color w:val="auto"/>
          <w:sz w:val="32"/>
          <w:szCs w:val="32"/>
          <w:highlight w:val="none"/>
        </w:rPr>
        <w:t>万元，主要用于执行公务、开展业务活动开支的用餐费等。国内公务接待</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70</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0.7</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网安周活动工作餐、省委网信办检查工作等接待用餐共计0.7万元。</w:t>
      </w:r>
    </w:p>
    <w:p>
      <w:pPr>
        <w:spacing w:line="600" w:lineRule="exact"/>
        <w:ind w:firstLine="642" w:firstLineChars="200"/>
        <w:rPr>
          <w:rFonts w:ascii="仿宋_GB2312" w:eastAsia="仿宋_GB2312"/>
          <w:color w:val="auto"/>
          <w:sz w:val="32"/>
          <w:szCs w:val="32"/>
          <w:highlight w:val="none"/>
        </w:rPr>
      </w:pPr>
      <w:r>
        <w:rPr>
          <w:rFonts w:hint="eastAsia" w:ascii="仿宋" w:hAnsi="仿宋" w:eastAsia="仿宋" w:cs="仿宋"/>
          <w:b/>
          <w:bCs w:val="0"/>
          <w:kern w:val="2"/>
          <w:sz w:val="32"/>
          <w:szCs w:val="32"/>
          <w:lang w:val="en-US" w:eastAsia="zh-CN" w:bidi="ar"/>
        </w:rPr>
        <w:t>外事接待支出</w:t>
      </w:r>
      <w:r>
        <w:rPr>
          <w:rFonts w:hint="eastAsia" w:ascii="仿宋" w:hAnsi="仿宋" w:eastAsia="仿宋" w:cs="仿宋"/>
          <w:kern w:val="2"/>
          <w:sz w:val="32"/>
          <w:szCs w:val="32"/>
          <w:lang w:val="en-US" w:eastAsia="zh-CN" w:bidi="ar"/>
        </w:rPr>
        <w:t>0</w:t>
      </w:r>
      <w:r>
        <w:rPr>
          <w:rFonts w:hint="default" w:ascii="仿宋_GB2312" w:hAnsi="Times New Roman" w:eastAsia="仿宋_GB2312" w:cs="仿宋_GB2312"/>
          <w:kern w:val="2"/>
          <w:sz w:val="32"/>
          <w:szCs w:val="32"/>
          <w:lang w:val="en-US" w:eastAsia="zh-CN" w:bidi="ar"/>
        </w:rPr>
        <w:t>万元，外事接待0批次，0人次，共计支出0万元。</w:t>
      </w:r>
    </w:p>
    <w:p>
      <w:pPr>
        <w:spacing w:line="600" w:lineRule="exact"/>
        <w:ind w:firstLine="640"/>
        <w:outlineLvl w:val="1"/>
        <w:rPr>
          <w:rStyle w:val="20"/>
          <w:rFonts w:ascii="黑体" w:hAnsi="黑体" w:eastAsia="黑体"/>
          <w:color w:val="auto"/>
          <w:highlight w:val="none"/>
        </w:rPr>
      </w:pPr>
      <w:bookmarkStart w:id="57" w:name="_Toc15396610"/>
      <w:bookmarkStart w:id="58" w:name="_Toc5234"/>
      <w:bookmarkStart w:id="59" w:name="_Toc15377218"/>
      <w:r>
        <w:rPr>
          <w:rFonts w:hint="eastAsia" w:ascii="黑体" w:eastAsia="黑体"/>
          <w:color w:val="auto"/>
          <w:sz w:val="32"/>
          <w:szCs w:val="32"/>
          <w:highlight w:val="none"/>
        </w:rPr>
        <w:t>八、</w:t>
      </w:r>
      <w:r>
        <w:rPr>
          <w:rStyle w:val="20"/>
          <w:rFonts w:hint="eastAsia" w:ascii="黑体" w:hAnsi="黑体" w:eastAsia="黑体"/>
          <w:b w:val="0"/>
          <w:color w:val="auto"/>
          <w:highlight w:val="none"/>
        </w:rPr>
        <w:t>政府性基金预算支出决算情况说明</w:t>
      </w:r>
      <w:bookmarkEnd w:id="57"/>
      <w:bookmarkEnd w:id="58"/>
      <w:bookmarkEnd w:id="59"/>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0"/>
          <w:rFonts w:ascii="黑体" w:hAnsi="黑体" w:eastAsia="黑体"/>
          <w:b w:val="0"/>
          <w:color w:val="auto"/>
          <w:highlight w:val="none"/>
        </w:rPr>
      </w:pPr>
      <w:bookmarkStart w:id="60" w:name="_Toc18807"/>
      <w:bookmarkStart w:id="61" w:name="_Toc15396611"/>
      <w:bookmarkStart w:id="62" w:name="_Toc15377219"/>
      <w:r>
        <w:rPr>
          <w:rStyle w:val="20"/>
          <w:rFonts w:hint="eastAsia" w:ascii="黑体" w:hAnsi="黑体" w:eastAsia="黑体"/>
          <w:b w:val="0"/>
          <w:color w:val="auto"/>
          <w:highlight w:val="none"/>
        </w:rPr>
        <w:t>国有资本经营预算支出决算情况说明</w:t>
      </w:r>
      <w:bookmarkEnd w:id="60"/>
      <w:bookmarkEnd w:id="61"/>
      <w:bookmarkEnd w:id="62"/>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0"/>
          <w:rFonts w:hint="eastAsia" w:ascii="黑体" w:hAnsi="黑体" w:eastAsia="黑体"/>
          <w:b w:val="0"/>
          <w:color w:val="auto"/>
          <w:highlight w:val="none"/>
        </w:rPr>
      </w:pPr>
      <w:bookmarkStart w:id="63" w:name="_Toc1992"/>
      <w:bookmarkStart w:id="64" w:name="_Toc15396612"/>
      <w:bookmarkStart w:id="65" w:name="_Toc15377221"/>
      <w:r>
        <w:rPr>
          <w:rStyle w:val="20"/>
          <w:rFonts w:hint="eastAsia" w:ascii="黑体" w:hAnsi="黑体" w:eastAsia="黑体"/>
          <w:b w:val="0"/>
          <w:color w:val="auto"/>
          <w:highlight w:val="none"/>
        </w:rPr>
        <w:t>其他重要事项的情况说明</w:t>
      </w:r>
      <w:bookmarkEnd w:id="63"/>
      <w:bookmarkEnd w:id="64"/>
      <w:bookmarkEnd w:id="65"/>
    </w:p>
    <w:p>
      <w:pPr>
        <w:spacing w:line="600" w:lineRule="exact"/>
        <w:ind w:firstLine="642" w:firstLineChars="200"/>
        <w:outlineLvl w:val="2"/>
        <w:rPr>
          <w:rFonts w:ascii="仿宋" w:hAnsi="仿宋" w:eastAsia="仿宋"/>
          <w:color w:val="auto"/>
          <w:sz w:val="32"/>
          <w:szCs w:val="32"/>
          <w:highlight w:val="none"/>
        </w:rPr>
      </w:pPr>
      <w:bookmarkStart w:id="66" w:name="_Toc15377222"/>
      <w:r>
        <w:rPr>
          <w:rFonts w:hint="eastAsia" w:ascii="仿宋" w:hAnsi="仿宋" w:eastAsia="仿宋"/>
          <w:b/>
          <w:color w:val="auto"/>
          <w:sz w:val="32"/>
          <w:szCs w:val="32"/>
          <w:highlight w:val="none"/>
        </w:rPr>
        <w:t>（一）机关运行经费支出情况</w:t>
      </w:r>
      <w:bookmarkEnd w:id="66"/>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广元市互联网信息中心</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43.06</w:t>
      </w:r>
      <w:r>
        <w:rPr>
          <w:rFonts w:hint="eastAsia" w:ascii="仿宋_GB2312" w:eastAsia="仿宋_GB2312"/>
          <w:color w:val="auto"/>
          <w:sz w:val="32"/>
          <w:szCs w:val="32"/>
          <w:highlight w:val="none"/>
        </w:rPr>
        <w:t>万元，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年决算数持平</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7" w:name="_Toc15377223"/>
      <w:r>
        <w:rPr>
          <w:rFonts w:hint="eastAsia" w:ascii="仿宋" w:hAnsi="仿宋" w:eastAsia="仿宋"/>
          <w:b/>
          <w:color w:val="auto"/>
          <w:sz w:val="32"/>
          <w:szCs w:val="32"/>
          <w:highlight w:val="none"/>
        </w:rPr>
        <w:t>（二）政府采购支出情况</w:t>
      </w:r>
      <w:bookmarkEnd w:id="67"/>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8" w:name="_Toc15377224"/>
      <w:r>
        <w:rPr>
          <w:rFonts w:hint="eastAsia" w:ascii="仿宋" w:hAnsi="仿宋" w:eastAsia="仿宋"/>
          <w:b/>
          <w:color w:val="auto"/>
          <w:sz w:val="32"/>
          <w:szCs w:val="32"/>
          <w:highlight w:val="none"/>
        </w:rPr>
        <w:t>（三）国有资产占有使用情况</w:t>
      </w:r>
      <w:bookmarkEnd w:id="68"/>
    </w:p>
    <w:p>
      <w:pPr>
        <w:keepNext w:val="0"/>
        <w:keepLines w:val="0"/>
        <w:widowControl/>
        <w:suppressLineNumbers w:val="0"/>
        <w:spacing w:before="0" w:beforeAutospacing="0" w:after="0" w:afterAutospacing="0" w:line="600" w:lineRule="atLeast"/>
        <w:ind w:left="0" w:right="0" w:firstLine="640"/>
        <w:jc w:val="left"/>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无车辆。</w:t>
      </w:r>
      <w:r>
        <w:rPr>
          <w:rFonts w:ascii="仿宋" w:hAnsi="仿宋" w:eastAsia="仿宋" w:cs="仿宋"/>
          <w:i w:val="0"/>
          <w:iCs w:val="0"/>
          <w:caps w:val="0"/>
          <w:color w:val="000000"/>
          <w:spacing w:val="0"/>
          <w:kern w:val="0"/>
          <w:sz w:val="32"/>
          <w:szCs w:val="32"/>
          <w:lang w:val="en-US" w:eastAsia="zh-CN" w:bidi="ar"/>
        </w:rPr>
        <w:t>单价</w:t>
      </w:r>
      <w:r>
        <w:rPr>
          <w:rFonts w:hint="default" w:ascii="仿宋" w:hAnsi="仿宋" w:eastAsia="仿宋" w:cs="仿宋"/>
          <w:i w:val="0"/>
          <w:iCs w:val="0"/>
          <w:caps w:val="0"/>
          <w:color w:val="000000"/>
          <w:spacing w:val="0"/>
          <w:kern w:val="0"/>
          <w:sz w:val="32"/>
          <w:szCs w:val="32"/>
          <w:lang w:val="en-US" w:eastAsia="zh-CN" w:bidi="ar"/>
        </w:rPr>
        <w:t>100万元以上专用设备0台（套）。</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widowControl/>
        <w:ind w:firstLine="640" w:firstLineChars="200"/>
        <w:jc w:val="left"/>
        <w:rPr>
          <w:rFonts w:ascii="仿宋_GB2312" w:eastAsia="仿宋_GB2312"/>
          <w:b/>
          <w:color w:val="auto"/>
          <w:sz w:val="32"/>
          <w:szCs w:val="32"/>
          <w:highlight w:val="yellow"/>
        </w:rPr>
      </w:pPr>
      <w:r>
        <w:rPr>
          <w:rFonts w:hint="eastAsia" w:ascii="仿宋_GB2312" w:hAnsi="仿宋_GB2312" w:eastAsia="仿宋_GB2312" w:cs="仿宋_GB2312"/>
          <w:color w:val="auto"/>
          <w:sz w:val="32"/>
          <w:szCs w:val="32"/>
          <w:highlight w:val="none"/>
        </w:rPr>
        <w:t>根据预算绩效管理要求，本部门在202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color w:val="auto"/>
          <w:sz w:val="32"/>
          <w:szCs w:val="32"/>
          <w:highlight w:val="none"/>
          <w:lang w:eastAsia="zh-CN"/>
        </w:rPr>
        <w:t>网络安全宣传周、网信人才基地建设、应急指挥中心</w:t>
      </w:r>
      <w:r>
        <w:rPr>
          <w:rFonts w:hint="eastAsia" w:ascii="仿宋_GB2312" w:hAnsi="仿宋_GB2312" w:eastAsia="仿宋_GB2312" w:cs="仿宋_GB2312"/>
          <w:color w:val="auto"/>
          <w:sz w:val="32"/>
          <w:szCs w:val="32"/>
          <w:highlight w:val="none"/>
          <w:lang w:val="en-US" w:eastAsia="zh-CN"/>
        </w:rPr>
        <w:t>24小时值班</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个项目开展绩效监控。含部门预算项目绩效</w:t>
      </w:r>
      <w:r>
        <w:rPr>
          <w:rFonts w:hint="default"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rPr>
        <w:t>见附件。</w:t>
      </w:r>
      <w:r>
        <w:rPr>
          <w:rFonts w:ascii="仿宋_GB2312" w:eastAsia="仿宋_GB2312"/>
          <w:b/>
          <w:color w:val="auto"/>
          <w:sz w:val="32"/>
          <w:szCs w:val="32"/>
          <w:highlight w:val="yellow"/>
        </w:rPr>
        <w:br w:type="page"/>
      </w:r>
    </w:p>
    <w:p>
      <w:pPr>
        <w:numPr>
          <w:ilvl w:val="0"/>
          <w:numId w:val="3"/>
        </w:numPr>
        <w:spacing w:line="600" w:lineRule="exact"/>
        <w:ind w:firstLine="660" w:firstLineChars="150"/>
        <w:jc w:val="center"/>
        <w:outlineLvl w:val="0"/>
        <w:rPr>
          <w:rStyle w:val="19"/>
          <w:rFonts w:ascii="黑体" w:hAnsi="黑体" w:eastAsia="黑体"/>
          <w:b w:val="0"/>
          <w:color w:val="auto"/>
          <w:highlight w:val="none"/>
        </w:rPr>
      </w:pPr>
      <w:bookmarkStart w:id="69" w:name="_Toc15396613"/>
      <w:bookmarkStart w:id="70" w:name="_Toc30884"/>
      <w:bookmarkStart w:id="71" w:name="_Toc15377225"/>
      <w:r>
        <w:rPr>
          <w:rFonts w:hint="eastAsia" w:ascii="黑体" w:hAnsi="黑体" w:eastAsia="黑体"/>
          <w:color w:val="auto"/>
          <w:sz w:val="44"/>
          <w:szCs w:val="44"/>
          <w:highlight w:val="none"/>
        </w:rPr>
        <w:t>名</w:t>
      </w:r>
      <w:r>
        <w:rPr>
          <w:rStyle w:val="19"/>
          <w:rFonts w:hint="eastAsia" w:ascii="黑体" w:hAnsi="黑体" w:eastAsia="黑体"/>
          <w:b w:val="0"/>
          <w:color w:val="auto"/>
          <w:highlight w:val="none"/>
        </w:rPr>
        <w:t>词解释</w:t>
      </w:r>
      <w:bookmarkEnd w:id="69"/>
      <w:bookmarkEnd w:id="70"/>
      <w:bookmarkEnd w:id="71"/>
    </w:p>
    <w:p>
      <w:pPr>
        <w:pStyle w:val="2"/>
      </w:pPr>
    </w:p>
    <w:p>
      <w:pPr>
        <w:numPr>
          <w:ilvl w:val="0"/>
          <w:numId w:val="4"/>
        </w:numPr>
        <w:ind w:firstLine="400" w:firstLineChars="0"/>
        <w:outlineLvl w:val="1"/>
        <w:rPr>
          <w:rFonts w:hint="default" w:ascii="仿宋_GB2312" w:eastAsia="仿宋_GB2312"/>
          <w:color w:val="auto"/>
          <w:sz w:val="32"/>
          <w:szCs w:val="32"/>
          <w:highlight w:val="none"/>
          <w:lang w:val="en-US" w:eastAsia="zh-CN"/>
        </w:rPr>
      </w:pPr>
      <w:bookmarkStart w:id="72" w:name="_Toc5843"/>
      <w:r>
        <w:rPr>
          <w:rFonts w:hint="eastAsia" w:ascii="仿宋_GB2312" w:eastAsia="仿宋_GB2312"/>
          <w:color w:val="auto"/>
          <w:sz w:val="32"/>
          <w:szCs w:val="32"/>
          <w:highlight w:val="none"/>
          <w:lang w:val="en-US" w:eastAsia="zh-CN"/>
        </w:rPr>
        <w:t>财政</w:t>
      </w:r>
      <w:r>
        <w:rPr>
          <w:rFonts w:hint="default" w:ascii="仿宋_GB2312" w:eastAsia="仿宋_GB2312"/>
          <w:color w:val="auto"/>
          <w:sz w:val="32"/>
          <w:szCs w:val="32"/>
          <w:highlight w:val="none"/>
          <w:lang w:val="en-US" w:eastAsia="zh-CN"/>
        </w:rPr>
        <w:t>拨款收入：指市级财政当年拨付的资金。</w:t>
      </w:r>
      <w:bookmarkEnd w:id="72"/>
    </w:p>
    <w:p>
      <w:pPr>
        <w:numPr>
          <w:ilvl w:val="0"/>
          <w:numId w:val="4"/>
        </w:numPr>
        <w:ind w:firstLine="400" w:firstLineChars="0"/>
        <w:rPr>
          <w:rFonts w:hint="eastAsia"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年初结转和结余：指以前年度尚未完成，结转到本年仍按原规定用途继续使用的资金。</w:t>
      </w:r>
      <w:r>
        <w:rPr>
          <w:rFonts w:hint="eastAsia" w:ascii="仿宋_GB2312" w:eastAsia="仿宋_GB2312"/>
          <w:color w:val="auto"/>
          <w:sz w:val="32"/>
          <w:szCs w:val="32"/>
          <w:highlight w:val="none"/>
          <w:lang w:val="en-US" w:eastAsia="zh-CN"/>
        </w:rPr>
        <w:commentReference w:id="0"/>
      </w:r>
    </w:p>
    <w:p>
      <w:pPr>
        <w:numPr>
          <w:ilvl w:val="0"/>
          <w:numId w:val="4"/>
        </w:numPr>
        <w:ind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一般公共服务（类）宣传事务（款）行政运行（项）：反映行政单位（包括实行公务员管理的事业单位）的基本支出。</w:t>
      </w:r>
    </w:p>
    <w:p>
      <w:pPr>
        <w:numPr>
          <w:ilvl w:val="0"/>
          <w:numId w:val="4"/>
        </w:numPr>
        <w:ind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一般公共服务（类）宣传事务（款）一般行政管理事务（项）：反映行政单位（包括实行公务员管理的事业单位）未单独设置项级科目的其他项目支出。</w:t>
      </w:r>
    </w:p>
    <w:p>
      <w:pPr>
        <w:numPr>
          <w:ilvl w:val="0"/>
          <w:numId w:val="4"/>
        </w:numPr>
        <w:ind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一般公共服务（类）网信事务（款）信息安全事务（项）：反映信息安全事业单位项目支出。</w:t>
      </w:r>
    </w:p>
    <w:p>
      <w:pPr>
        <w:numPr>
          <w:ilvl w:val="0"/>
          <w:numId w:val="4"/>
        </w:numPr>
        <w:ind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一般公共服务（类）网信事务（款）其他网信事务（项）：反映除上述项目以外其他用于网信事务的支出。</w:t>
      </w:r>
    </w:p>
    <w:p>
      <w:pPr>
        <w:numPr>
          <w:ilvl w:val="0"/>
          <w:numId w:val="4"/>
        </w:numPr>
        <w:ind w:firstLine="400" w:firstLineChars="0"/>
        <w:rPr>
          <w:rFonts w:hint="eastAsia"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社会保障和就业（类）行政事业单位养老支出（款）机关事业单位基本养老保险缴费支出（项）：指部门实施养老保险制度后，由单位缴纳的养老保险费的支出。</w:t>
      </w:r>
      <w:r>
        <w:rPr>
          <w:rFonts w:hint="eastAsia" w:ascii="仿宋_GB2312" w:eastAsia="仿宋_GB2312"/>
          <w:color w:val="auto"/>
          <w:sz w:val="32"/>
          <w:szCs w:val="32"/>
          <w:highlight w:val="none"/>
          <w:lang w:val="en-US" w:eastAsia="zh-CN"/>
        </w:rPr>
        <w:commentReference w:id="1"/>
      </w:r>
    </w:p>
    <w:p>
      <w:pPr>
        <w:numPr>
          <w:ilvl w:val="0"/>
          <w:numId w:val="4"/>
        </w:numPr>
        <w:ind w:firstLine="400" w:firstLineChars="0"/>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卫生健康（类）行政事业单位医疗（款）</w:t>
      </w:r>
      <w:r>
        <w:rPr>
          <w:rFonts w:hint="eastAsia" w:ascii="仿宋_GB2312" w:eastAsia="仿宋_GB2312"/>
          <w:color w:val="auto"/>
          <w:sz w:val="32"/>
          <w:szCs w:val="32"/>
          <w:highlight w:val="none"/>
          <w:lang w:val="en-US" w:eastAsia="zh-CN"/>
        </w:rPr>
        <w:t>行政</w:t>
      </w:r>
      <w:r>
        <w:rPr>
          <w:rFonts w:hint="default" w:ascii="仿宋_GB2312" w:eastAsia="仿宋_GB2312"/>
          <w:color w:val="auto"/>
          <w:sz w:val="32"/>
          <w:szCs w:val="32"/>
          <w:highlight w:val="none"/>
          <w:lang w:val="en-US" w:eastAsia="zh-CN"/>
        </w:rPr>
        <w:t>单位医疗（项）：指</w:t>
      </w:r>
      <w:r>
        <w:rPr>
          <w:rFonts w:hint="eastAsia" w:ascii="仿宋_GB2312" w:eastAsia="仿宋_GB2312"/>
          <w:color w:val="auto"/>
          <w:sz w:val="32"/>
          <w:szCs w:val="32"/>
          <w:highlight w:val="none"/>
          <w:lang w:val="en-US" w:eastAsia="zh-CN"/>
        </w:rPr>
        <w:t>行政</w:t>
      </w:r>
      <w:r>
        <w:rPr>
          <w:rFonts w:hint="default" w:ascii="仿宋_GB2312" w:eastAsia="仿宋_GB2312"/>
          <w:color w:val="auto"/>
          <w:sz w:val="32"/>
          <w:szCs w:val="32"/>
          <w:highlight w:val="none"/>
          <w:lang w:val="en-US" w:eastAsia="zh-CN"/>
        </w:rPr>
        <w:t>单位用于缴纳单位基本医疗保险支出。</w:t>
      </w:r>
    </w:p>
    <w:p>
      <w:pPr>
        <w:numPr>
          <w:ilvl w:val="0"/>
          <w:numId w:val="4"/>
        </w:numPr>
        <w:ind w:firstLine="400" w:firstLineChars="0"/>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住房保障（类）住房改革支出（款）住房公积金（项）：指按照《住房公积金管理条例》的规定，由单位及其在职职工缴存的长期住房储金。</w:t>
      </w:r>
    </w:p>
    <w:p>
      <w:pPr>
        <w:numPr>
          <w:ilvl w:val="0"/>
          <w:numId w:val="4"/>
        </w:numPr>
        <w:ind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基本支出：指为保障机构正常运转、完成日常工作任务而发生的人员支出和公用支出。</w:t>
      </w:r>
    </w:p>
    <w:p>
      <w:pPr>
        <w:numPr>
          <w:ilvl w:val="0"/>
          <w:numId w:val="4"/>
        </w:numPr>
        <w:ind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p>
    <w:p>
      <w:pPr>
        <w:numPr>
          <w:ilvl w:val="0"/>
          <w:numId w:val="4"/>
        </w:numPr>
        <w:ind w:firstLine="400" w:firstLineChars="0"/>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三公”经费：纳入广元市互联网信息中心预算管理的“三公”经费，是指部门用财政拨款安排的因公出国（境）费用、公务用车购置及运行费和公务接待费。其中，因公出国（境）费用反映单位公务出国（境）的国际旅费、国外城市间交通费、住宿费、伙食费、培训费、公杂费等支出；公务接待费反映单位按规定开支的各类公务接待支出。</w:t>
      </w:r>
    </w:p>
    <w:p>
      <w:pPr>
        <w:numPr>
          <w:ilvl w:val="0"/>
          <w:numId w:val="4"/>
        </w:numPr>
        <w:ind w:firstLine="400" w:firstLineChars="0"/>
        <w:rPr>
          <w:rFonts w:hint="default" w:ascii="仿宋_GB2312" w:eastAsia="仿宋_GB2312"/>
          <w:color w:val="auto"/>
          <w:sz w:val="32"/>
          <w:szCs w:val="32"/>
          <w:highlight w:val="none"/>
          <w:lang w:val="en-US" w:eastAsia="zh-CN"/>
        </w:rPr>
        <w:sectPr>
          <w:footerReference r:id="rId8" w:type="first"/>
          <w:footerReference r:id="rId7" w:type="default"/>
          <w:pgSz w:w="11906" w:h="16838"/>
          <w:pgMar w:top="2098" w:right="1474" w:bottom="1984" w:left="1587" w:header="851" w:footer="992" w:gutter="0"/>
          <w:pgNumType w:fmt="decimal" w:start="1"/>
          <w:cols w:space="0" w:num="1"/>
          <w:titlePg/>
          <w:rtlGutter w:val="0"/>
          <w:docGrid w:type="lines" w:linePitch="312" w:charSpace="0"/>
        </w:sectPr>
      </w:pPr>
      <w:r>
        <w:rPr>
          <w:rFonts w:hint="default" w:ascii="仿宋_GB2312" w:eastAsia="仿宋_GB2312"/>
          <w:color w:val="auto"/>
          <w:sz w:val="32"/>
          <w:szCs w:val="32"/>
          <w:highlight w:val="none"/>
          <w:lang w:val="en-US" w:eastAsia="zh-CN"/>
        </w:rPr>
        <w:t>机关运行经费：指部门和单位用于购买货物和服务的各项资金，包括办公及印刷费、邮电费、差旅费、会议费、福利费、日常维修费、专用材料及一般设备购置费、办公用房水电费、办公用房物业管理费以及其他费用。</w:t>
      </w:r>
    </w:p>
    <w:p>
      <w:pPr>
        <w:pStyle w:val="2"/>
        <w:rPr>
          <w:rFonts w:hint="default"/>
          <w:lang w:val="en-US" w:eastAsia="zh-CN"/>
        </w:rPr>
      </w:pPr>
    </w:p>
    <w:p>
      <w:pPr>
        <w:spacing w:line="600" w:lineRule="exact"/>
        <w:jc w:val="center"/>
        <w:outlineLvl w:val="0"/>
        <w:rPr>
          <w:rStyle w:val="19"/>
          <w:rFonts w:hint="eastAsia" w:ascii="黑体" w:hAnsi="黑体" w:eastAsia="黑体"/>
          <w:b w:val="0"/>
          <w:color w:val="auto"/>
          <w:highlight w:val="none"/>
          <w:lang w:eastAsia="zh-CN"/>
        </w:rPr>
      </w:pPr>
      <w:bookmarkStart w:id="73" w:name="_Toc19824"/>
      <w:bookmarkStart w:id="74" w:name="_Toc15396614"/>
      <w:bookmarkStart w:id="75" w:name="_Toc15377226"/>
      <w:r>
        <w:rPr>
          <w:rFonts w:hint="eastAsia" w:ascii="黑体" w:hAnsi="黑体" w:eastAsia="黑体"/>
          <w:color w:val="auto"/>
          <w:sz w:val="44"/>
          <w:szCs w:val="44"/>
          <w:highlight w:val="none"/>
        </w:rPr>
        <w:t>第</w:t>
      </w:r>
      <w:r>
        <w:rPr>
          <w:rStyle w:val="19"/>
          <w:rFonts w:hint="eastAsia" w:ascii="黑体" w:hAnsi="黑体" w:eastAsia="黑体"/>
          <w:b w:val="0"/>
          <w:color w:val="auto"/>
          <w:highlight w:val="none"/>
        </w:rPr>
        <w:t>四部分附件</w:t>
      </w:r>
      <w:bookmarkEnd w:id="73"/>
      <w:bookmarkEnd w:id="74"/>
    </w:p>
    <w:p>
      <w:pPr>
        <w:keepNext w:val="0"/>
        <w:keepLines w:val="0"/>
        <w:pageBreakBefore w:val="0"/>
        <w:kinsoku/>
        <w:wordWrap/>
        <w:overflowPunct/>
        <w:topLinePunct w:val="0"/>
        <w:autoSpaceDE/>
        <w:autoSpaceDN/>
        <w:bidi w:val="0"/>
        <w:spacing w:line="572" w:lineRule="exact"/>
        <w:jc w:val="left"/>
        <w:textAlignment w:val="auto"/>
        <w:outlineLvl w:val="1"/>
        <w:rPr>
          <w:rFonts w:hint="eastAsia" w:ascii="黑体" w:hAnsi="黑体" w:eastAsia="黑体" w:cs="黑体"/>
          <w:color w:val="auto"/>
          <w:sz w:val="32"/>
          <w:szCs w:val="32"/>
          <w:highlight w:val="none"/>
        </w:rPr>
      </w:pPr>
      <w:bookmarkStart w:id="76" w:name="_Toc3021"/>
      <w:r>
        <w:rPr>
          <w:rFonts w:hint="eastAsia" w:ascii="黑体" w:hAnsi="黑体" w:eastAsia="黑体" w:cs="黑体"/>
          <w:color w:val="auto"/>
          <w:sz w:val="32"/>
          <w:szCs w:val="32"/>
          <w:highlight w:val="none"/>
        </w:rPr>
        <w:t>附件</w:t>
      </w:r>
      <w:bookmarkEnd w:id="76"/>
    </w:p>
    <w:p>
      <w:pPr>
        <w:pStyle w:val="2"/>
        <w:rPr>
          <w:rFonts w:hint="eastAsia" w:ascii="黑体" w:hAnsi="黑体" w:eastAsia="黑体" w:cs="黑体"/>
          <w:color w:val="auto"/>
          <w:sz w:val="32"/>
          <w:szCs w:val="32"/>
          <w:highlight w:val="none"/>
        </w:rPr>
      </w:pPr>
    </w:p>
    <w:tbl>
      <w:tblPr>
        <w:tblStyle w:val="15"/>
        <w:tblW w:w="8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8"/>
        <w:gridCol w:w="1180"/>
        <w:gridCol w:w="797"/>
        <w:gridCol w:w="769"/>
        <w:gridCol w:w="514"/>
        <w:gridCol w:w="740"/>
        <w:gridCol w:w="514"/>
        <w:gridCol w:w="846"/>
        <w:gridCol w:w="504"/>
        <w:gridCol w:w="486"/>
        <w:gridCol w:w="17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73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83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51080021T000000057360-应急指挥中心24小时值班费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3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73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广元市互联网信息中心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3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3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应急指挥中心全年7*24小时值班，及时交办、跟踪督办涉广舆情及网民反映民生问题，确保网上舆论可管可控；及时贯彻落实并反馈上级红色指令、工作指令办理情况。</w:t>
            </w:r>
          </w:p>
        </w:tc>
        <w:tc>
          <w:tcPr>
            <w:tcW w:w="34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 xml:space="preserve">全年应急指挥中心7*24小时值班人员到位，上级工作指令及时传达。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83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全年应急指挥中心7*24小时值班人员到位，上级工作指令及时传达。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8.00</w:t>
            </w: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8.00</w:t>
            </w: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全年值班</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2022年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完成上级指令</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网络舆情监测</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24小时在岗</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重大舆情监测</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上级指令完成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01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0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保障了全年7*24小时值班，上级工作指令完成高效。自评得分100分。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0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0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0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w:t>
            </w:r>
          </w:p>
        </w:tc>
        <w:tc>
          <w:tcPr>
            <w:tcW w:w="4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w:t>
            </w:r>
          </w:p>
        </w:tc>
      </w:tr>
    </w:tbl>
    <w:p>
      <w:pPr>
        <w:pStyle w:val="2"/>
        <w:rPr>
          <w:rFonts w:hint="eastAsia" w:ascii="黑体" w:hAnsi="黑体" w:eastAsia="黑体" w:cs="黑体"/>
          <w:color w:val="auto"/>
          <w:sz w:val="32"/>
          <w:szCs w:val="32"/>
          <w:highlight w:val="none"/>
        </w:rPr>
      </w:pPr>
    </w:p>
    <w:p>
      <w:pPr>
        <w:pStyle w:val="2"/>
        <w:tabs>
          <w:tab w:val="left" w:pos="5316"/>
        </w:tabs>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ab/>
      </w:r>
    </w:p>
    <w:p>
      <w:pPr>
        <w:pStyle w:val="2"/>
        <w:tabs>
          <w:tab w:val="left" w:pos="5316"/>
        </w:tabs>
        <w:rPr>
          <w:rFonts w:hint="eastAsia" w:ascii="黑体" w:hAnsi="黑体" w:eastAsia="黑体" w:cs="黑体"/>
          <w:color w:val="auto"/>
          <w:sz w:val="32"/>
          <w:szCs w:val="32"/>
          <w:highlight w:val="none"/>
          <w:lang w:eastAsia="zh-CN"/>
        </w:rPr>
      </w:pPr>
    </w:p>
    <w:p>
      <w:pPr>
        <w:pStyle w:val="2"/>
        <w:tabs>
          <w:tab w:val="left" w:pos="5316"/>
        </w:tabs>
        <w:rPr>
          <w:rFonts w:hint="eastAsia" w:ascii="黑体" w:hAnsi="黑体" w:eastAsia="黑体" w:cs="黑体"/>
          <w:color w:val="auto"/>
          <w:sz w:val="32"/>
          <w:szCs w:val="32"/>
          <w:highlight w:val="none"/>
          <w:lang w:eastAsia="zh-CN"/>
        </w:rPr>
      </w:pPr>
    </w:p>
    <w:p>
      <w:pPr>
        <w:pStyle w:val="2"/>
        <w:tabs>
          <w:tab w:val="left" w:pos="5316"/>
        </w:tabs>
        <w:rPr>
          <w:rFonts w:hint="eastAsia" w:ascii="黑体" w:hAnsi="黑体" w:eastAsia="黑体" w:cs="黑体"/>
          <w:color w:val="auto"/>
          <w:sz w:val="32"/>
          <w:szCs w:val="32"/>
          <w:highlight w:val="none"/>
          <w:lang w:eastAsia="zh-CN"/>
        </w:rPr>
      </w:pPr>
    </w:p>
    <w:p>
      <w:pPr>
        <w:pStyle w:val="2"/>
        <w:rPr>
          <w:rFonts w:hint="eastAsia" w:ascii="黑体" w:hAnsi="黑体" w:eastAsia="黑体" w:cs="黑体"/>
          <w:color w:val="auto"/>
          <w:sz w:val="32"/>
          <w:szCs w:val="32"/>
          <w:highlight w:val="none"/>
        </w:rPr>
      </w:pPr>
    </w:p>
    <w:tbl>
      <w:tblPr>
        <w:tblStyle w:val="15"/>
        <w:tblW w:w="8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8"/>
        <w:gridCol w:w="1178"/>
        <w:gridCol w:w="797"/>
        <w:gridCol w:w="768"/>
        <w:gridCol w:w="514"/>
        <w:gridCol w:w="745"/>
        <w:gridCol w:w="514"/>
        <w:gridCol w:w="846"/>
        <w:gridCol w:w="504"/>
        <w:gridCol w:w="486"/>
        <w:gridCol w:w="1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73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83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51080021T000000057379-网络舆情监测和关键信息基础设施网络安全监测管理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3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73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广元市互联网信息中心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3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4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3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1.网上涉广负面舆情监测、收集、研判和协调处置；2.全市网络舆情态势分析，编辑舆情分析报告提供市委市政府领导决策参考；3.“建言献策”栏目的维护和群众咨询、建议、投诉代拟稿相关信息的交办以及各级各部门回应的联络、督促；4.负责全市关键信息基础设施网络安全的监测、网络安全事件和重大安全隐患的通报、预警等工作，为关键信息基础设施网络安全检查提供技术支持和人力保障。</w:t>
            </w:r>
          </w:p>
        </w:tc>
        <w:tc>
          <w:tcPr>
            <w:tcW w:w="34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涉广舆情监测、收集、研判及时高效。全年未发生重大网络安全事故。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83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涉广舆情监测、收集、研判及时高效。全年未发生重大网络安全事故。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5.86</w:t>
            </w: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5.86</w:t>
            </w: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 指标1：关键信息基础设施网络安全监测管理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 指标1：全年监测专网使用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58640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5.864万元</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 指标2：网络安全宣传</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效果指标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2022年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 指标1：全市网络舆情应对处置工作成效良好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01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0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涉广舆情监测、收集、研判及时高效。全年未发生重大网络安全事故。自评得分100分。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0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0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bl>
    <w:p>
      <w:pPr>
        <w:pStyle w:val="2"/>
        <w:rPr>
          <w:rFonts w:hint="eastAsia" w:ascii="黑体" w:hAnsi="黑体" w:eastAsia="黑体" w:cs="黑体"/>
          <w:color w:val="auto"/>
          <w:sz w:val="32"/>
          <w:szCs w:val="32"/>
          <w:highlight w:val="none"/>
        </w:rPr>
        <w:sectPr>
          <w:pgSz w:w="11906" w:h="16838"/>
          <w:pgMar w:top="2098" w:right="1474" w:bottom="1984" w:left="1587" w:header="851" w:footer="992" w:gutter="0"/>
          <w:pgNumType w:fmt="decimal" w:start="1"/>
          <w:cols w:space="0" w:num="1"/>
          <w:titlePg/>
          <w:rtlGutter w:val="0"/>
          <w:docGrid w:type="lines" w:linePitch="315" w:charSpace="0"/>
        </w:sectPr>
      </w:pPr>
    </w:p>
    <w:tbl>
      <w:tblPr>
        <w:tblStyle w:val="15"/>
        <w:tblW w:w="8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8"/>
        <w:gridCol w:w="1178"/>
        <w:gridCol w:w="797"/>
        <w:gridCol w:w="768"/>
        <w:gridCol w:w="514"/>
        <w:gridCol w:w="745"/>
        <w:gridCol w:w="514"/>
        <w:gridCol w:w="846"/>
        <w:gridCol w:w="504"/>
        <w:gridCol w:w="486"/>
        <w:gridCol w:w="1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8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8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51080022T000000384109-网络安全宣传周活动经费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8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3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84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2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广元市互联网信息中心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3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3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举办网络安全宣传周启动仪式；开展网络安全展览；编制网络安全宣传资料</w:t>
            </w:r>
          </w:p>
        </w:tc>
        <w:tc>
          <w:tcPr>
            <w:tcW w:w="3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举办网络安全宣传周活动1批次；开展网络安全展览。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8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举办网络安全宣传周活动1批次；开展网络安全展览。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举办网络安全宣传周启动仪式</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1批次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编制网络安全宣传资料</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家/个/批次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1批次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网络安全宣传周</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2022年</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展览、资料制作</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50000</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5万元</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开展网络安全展览</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场次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好</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群众网络安全意识得到提高</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0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0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举办网络安全宣传周活动1批次；开展网络安全展览。自评得分100分。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0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0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bl>
    <w:p>
      <w:pPr>
        <w:pStyle w:val="2"/>
        <w:jc w:val="center"/>
        <w:rPr>
          <w:rFonts w:hint="eastAsia" w:ascii="黑体" w:hAnsi="黑体" w:eastAsia="黑体" w:cs="黑体"/>
          <w:color w:val="auto"/>
          <w:sz w:val="32"/>
          <w:szCs w:val="32"/>
          <w:highlight w:val="none"/>
        </w:rPr>
      </w:pPr>
    </w:p>
    <w:p>
      <w:pPr>
        <w:pStyle w:val="2"/>
        <w:jc w:val="center"/>
        <w:rPr>
          <w:rFonts w:hint="eastAsia" w:ascii="黑体" w:hAnsi="黑体" w:eastAsia="黑体" w:cs="黑体"/>
          <w:color w:val="auto"/>
          <w:sz w:val="32"/>
          <w:szCs w:val="32"/>
          <w:highlight w:val="none"/>
        </w:rPr>
      </w:pPr>
    </w:p>
    <w:p>
      <w:pPr>
        <w:pStyle w:val="2"/>
        <w:jc w:val="center"/>
        <w:rPr>
          <w:rFonts w:hint="eastAsia" w:ascii="黑体" w:hAnsi="黑体" w:eastAsia="黑体" w:cs="黑体"/>
          <w:color w:val="auto"/>
          <w:sz w:val="32"/>
          <w:szCs w:val="32"/>
          <w:highlight w:val="none"/>
        </w:rPr>
      </w:pPr>
    </w:p>
    <w:p>
      <w:pPr>
        <w:pStyle w:val="2"/>
        <w:jc w:val="center"/>
        <w:rPr>
          <w:rFonts w:hint="eastAsia" w:ascii="黑体" w:hAnsi="黑体" w:eastAsia="黑体" w:cs="黑体"/>
          <w:color w:val="auto"/>
          <w:sz w:val="32"/>
          <w:szCs w:val="32"/>
          <w:highlight w:val="none"/>
        </w:rPr>
      </w:pPr>
    </w:p>
    <w:p>
      <w:pPr>
        <w:pStyle w:val="2"/>
        <w:jc w:val="center"/>
        <w:rPr>
          <w:rFonts w:hint="eastAsia" w:ascii="黑体" w:hAnsi="黑体" w:eastAsia="黑体" w:cs="黑体"/>
          <w:color w:val="auto"/>
          <w:sz w:val="32"/>
          <w:szCs w:val="32"/>
          <w:highlight w:val="none"/>
        </w:rPr>
      </w:pPr>
    </w:p>
    <w:p>
      <w:pPr>
        <w:pStyle w:val="2"/>
        <w:jc w:val="center"/>
        <w:rPr>
          <w:rFonts w:hint="eastAsia" w:ascii="黑体" w:hAnsi="黑体" w:eastAsia="黑体" w:cs="黑体"/>
          <w:color w:val="auto"/>
          <w:sz w:val="32"/>
          <w:szCs w:val="32"/>
          <w:highlight w:val="none"/>
        </w:rPr>
      </w:pPr>
    </w:p>
    <w:p>
      <w:pPr>
        <w:pStyle w:val="2"/>
        <w:jc w:val="center"/>
        <w:rPr>
          <w:rFonts w:hint="eastAsia" w:ascii="黑体" w:hAnsi="黑体" w:eastAsia="黑体" w:cs="黑体"/>
          <w:color w:val="auto"/>
          <w:sz w:val="32"/>
          <w:szCs w:val="32"/>
          <w:highlight w:val="none"/>
        </w:rPr>
      </w:pPr>
    </w:p>
    <w:p>
      <w:pPr>
        <w:pStyle w:val="2"/>
        <w:jc w:val="center"/>
        <w:rPr>
          <w:rFonts w:hint="eastAsia" w:ascii="黑体" w:hAnsi="黑体" w:eastAsia="黑体" w:cs="黑体"/>
          <w:color w:val="auto"/>
          <w:sz w:val="32"/>
          <w:szCs w:val="32"/>
          <w:highlight w:val="none"/>
        </w:rPr>
      </w:pPr>
    </w:p>
    <w:tbl>
      <w:tblPr>
        <w:tblStyle w:val="15"/>
        <w:tblW w:w="873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8"/>
        <w:gridCol w:w="1178"/>
        <w:gridCol w:w="797"/>
        <w:gridCol w:w="768"/>
        <w:gridCol w:w="514"/>
        <w:gridCol w:w="745"/>
        <w:gridCol w:w="514"/>
        <w:gridCol w:w="846"/>
        <w:gridCol w:w="504"/>
        <w:gridCol w:w="487"/>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8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8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51080022T000000385919-网信人才基地建设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8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3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84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2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广元市互联网信息中心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3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3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全市网信人才培养，网信人才基地建设。</w:t>
            </w:r>
          </w:p>
        </w:tc>
        <w:tc>
          <w:tcPr>
            <w:tcW w:w="3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网信人才基地运行良好。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8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网信人才基地运行良好。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w:t>
            </w: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w:t>
            </w: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展览或培训</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基地建设</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完成时间</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2022年</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需要资金</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30000</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3万元</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网信人才基地运行良好</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网信人才基地参训学院满意度</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好</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0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0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网信人才基地运行良好。自评得分100分。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0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05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bl>
    <w:p>
      <w:pPr>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br w:type="page"/>
      </w:r>
    </w:p>
    <w:tbl>
      <w:tblPr>
        <w:tblStyle w:val="15"/>
        <w:tblW w:w="8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9"/>
        <w:gridCol w:w="1187"/>
        <w:gridCol w:w="800"/>
        <w:gridCol w:w="771"/>
        <w:gridCol w:w="515"/>
        <w:gridCol w:w="746"/>
        <w:gridCol w:w="515"/>
        <w:gridCol w:w="846"/>
        <w:gridCol w:w="504"/>
        <w:gridCol w:w="453"/>
        <w:gridCol w:w="17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8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51080022T000005834486-媒体舆情监测和网站服务资金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3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84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2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广元市互联网信息中心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3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5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3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舆情监测、关基设施网络安全保障经费。</w:t>
            </w:r>
          </w:p>
        </w:tc>
        <w:tc>
          <w:tcPr>
            <w:tcW w:w="35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全年舆情监测高效，网络安全保障有力。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86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全年舆情监测高效，网络安全保障有力。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4.67</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4.67</w:t>
            </w:r>
          </w:p>
        </w:tc>
        <w:tc>
          <w:tcPr>
            <w:tcW w:w="17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4.67</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4.67</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4.67</w:t>
            </w:r>
          </w:p>
        </w:tc>
        <w:tc>
          <w:tcPr>
            <w:tcW w:w="17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4.67</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7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完成时限</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2022年</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完成成本</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46700</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4.67万元</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效果指标</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无重大负面舆论</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舆论引导有力</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网络安全保障</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好</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05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结合自评情况，说明项目自评总分，说明项目实施取得的成效或成果。（200字以内）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0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bl>
    <w:p>
      <w:pPr>
        <w:keepNext w:val="0"/>
        <w:keepLines w:val="0"/>
        <w:widowControl/>
        <w:suppressLineNumbers w:val="0"/>
        <w:jc w:val="center"/>
        <w:textAlignment w:val="center"/>
        <w:rPr>
          <w:rFonts w:hint="eastAsia" w:ascii="黑体" w:hAnsi="宋体" w:eastAsia="黑体" w:cs="黑体"/>
          <w:b/>
          <w:i w:val="0"/>
          <w:color w:val="000000"/>
          <w:kern w:val="0"/>
          <w:sz w:val="30"/>
          <w:szCs w:val="30"/>
          <w:u w:val="none"/>
          <w:lang w:val="en-US" w:eastAsia="zh-CN" w:bidi="ar"/>
        </w:rPr>
      </w:pPr>
      <w:bookmarkStart w:id="77" w:name="_Toc9858"/>
      <w:bookmarkStart w:id="78" w:name="_Toc15396618"/>
      <w:r>
        <w:rPr>
          <w:rFonts w:hint="eastAsia" w:ascii="黑体" w:hAnsi="宋体" w:eastAsia="黑体" w:cs="黑体"/>
          <w:b/>
          <w:i w:val="0"/>
          <w:color w:val="000000"/>
          <w:kern w:val="0"/>
          <w:sz w:val="30"/>
          <w:szCs w:val="30"/>
          <w:u w:val="none"/>
          <w:lang w:val="en-US" w:eastAsia="zh-CN" w:bidi="ar"/>
        </w:rPr>
        <w:br w:type="page"/>
      </w:r>
    </w:p>
    <w:tbl>
      <w:tblPr>
        <w:tblStyle w:val="15"/>
        <w:tblW w:w="8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7"/>
        <w:gridCol w:w="1172"/>
        <w:gridCol w:w="800"/>
        <w:gridCol w:w="772"/>
        <w:gridCol w:w="513"/>
        <w:gridCol w:w="756"/>
        <w:gridCol w:w="513"/>
        <w:gridCol w:w="846"/>
        <w:gridCol w:w="504"/>
        <w:gridCol w:w="486"/>
        <w:gridCol w:w="16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87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8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68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51080022T000005803146-广元市网信系统技术体系建设一期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8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3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84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广元市互联网信息中心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3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33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项目合同尾款</w:t>
            </w:r>
          </w:p>
        </w:tc>
        <w:tc>
          <w:tcPr>
            <w:tcW w:w="35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平台正常运行。合同尾款支付及时。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68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确保平台正常运行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7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15.71</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15.71</w:t>
            </w:r>
          </w:p>
        </w:tc>
        <w:tc>
          <w:tcPr>
            <w:tcW w:w="17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15.71</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6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15.71</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15.71</w:t>
            </w:r>
          </w:p>
        </w:tc>
        <w:tc>
          <w:tcPr>
            <w:tcW w:w="17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15.71</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7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7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平台运行良好</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批</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35</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完成时间</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需要资金</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157100</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157100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保障项目按合同约定执行</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04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805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平台正常运行，自评得分100分。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805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805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bl>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19"/>
          <w:rFonts w:hint="eastAsia" w:ascii="黑体" w:hAnsi="黑体" w:eastAsia="黑体"/>
          <w:b w:val="0"/>
          <w:color w:val="auto"/>
          <w:highlight w:val="none"/>
        </w:rPr>
        <w:t>五部分附表</w:t>
      </w:r>
      <w:bookmarkEnd w:id="75"/>
      <w:bookmarkEnd w:id="77"/>
      <w:bookmarkEnd w:id="78"/>
      <w:bookmarkStart w:id="79" w:name="_Toc15396619"/>
    </w:p>
    <w:p>
      <w:pPr>
        <w:pStyle w:val="4"/>
        <w:rPr>
          <w:rFonts w:ascii="仿宋" w:hAnsi="仿宋" w:eastAsia="仿宋"/>
          <w:color w:val="auto"/>
          <w:highlight w:val="none"/>
        </w:rPr>
      </w:pPr>
      <w:bookmarkStart w:id="80" w:name="_Toc32435"/>
      <w:r>
        <w:rPr>
          <w:rFonts w:hint="eastAsia" w:ascii="仿宋" w:hAnsi="仿宋" w:eastAsia="仿宋"/>
          <w:b w:val="0"/>
          <w:color w:val="auto"/>
          <w:highlight w:val="none"/>
        </w:rPr>
        <w:t>一、收</w:t>
      </w:r>
      <w:r>
        <w:rPr>
          <w:rStyle w:val="20"/>
          <w:rFonts w:hint="eastAsia" w:ascii="仿宋" w:hAnsi="仿宋" w:eastAsia="仿宋"/>
          <w:b w:val="0"/>
          <w:bCs w:val="0"/>
          <w:color w:val="auto"/>
          <w:highlight w:val="none"/>
        </w:rPr>
        <w:t>入支出决算总表</w:t>
      </w:r>
      <w:bookmarkEnd w:id="79"/>
      <w:bookmarkEnd w:id="80"/>
    </w:p>
    <w:p>
      <w:pPr>
        <w:pStyle w:val="4"/>
        <w:rPr>
          <w:rFonts w:ascii="仿宋" w:hAnsi="仿宋" w:eastAsia="仿宋"/>
          <w:color w:val="auto"/>
          <w:highlight w:val="none"/>
        </w:rPr>
      </w:pPr>
      <w:bookmarkStart w:id="81" w:name="_Toc29328"/>
      <w:bookmarkStart w:id="82" w:name="_Toc15396620"/>
      <w:r>
        <w:rPr>
          <w:rFonts w:hint="eastAsia" w:ascii="仿宋" w:hAnsi="仿宋" w:eastAsia="仿宋"/>
          <w:b w:val="0"/>
          <w:color w:val="auto"/>
          <w:highlight w:val="none"/>
        </w:rPr>
        <w:t>二、收</w:t>
      </w:r>
      <w:r>
        <w:rPr>
          <w:rStyle w:val="20"/>
          <w:rFonts w:hint="eastAsia" w:ascii="仿宋" w:hAnsi="仿宋" w:eastAsia="仿宋"/>
          <w:b w:val="0"/>
          <w:bCs w:val="0"/>
          <w:color w:val="auto"/>
          <w:highlight w:val="none"/>
        </w:rPr>
        <w:t>入决算表</w:t>
      </w:r>
      <w:bookmarkEnd w:id="81"/>
      <w:bookmarkEnd w:id="82"/>
    </w:p>
    <w:p>
      <w:pPr>
        <w:pStyle w:val="4"/>
        <w:rPr>
          <w:rFonts w:ascii="仿宋" w:hAnsi="仿宋" w:eastAsia="仿宋"/>
          <w:color w:val="auto"/>
          <w:highlight w:val="none"/>
        </w:rPr>
      </w:pPr>
      <w:bookmarkStart w:id="83" w:name="_Toc15396621"/>
      <w:bookmarkStart w:id="84" w:name="_Toc12956"/>
      <w:r>
        <w:rPr>
          <w:rStyle w:val="2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0"/>
          <w:rFonts w:hint="eastAsia" w:ascii="仿宋" w:hAnsi="仿宋" w:eastAsia="仿宋"/>
          <w:b w:val="0"/>
          <w:bCs w:val="0"/>
          <w:color w:val="auto"/>
          <w:highlight w:val="none"/>
        </w:rPr>
        <w:t>出决算表</w:t>
      </w:r>
      <w:bookmarkEnd w:id="83"/>
      <w:bookmarkEnd w:id="84"/>
    </w:p>
    <w:p>
      <w:pPr>
        <w:pStyle w:val="4"/>
        <w:rPr>
          <w:rFonts w:ascii="仿宋" w:hAnsi="仿宋" w:eastAsia="仿宋"/>
          <w:b w:val="0"/>
          <w:color w:val="auto"/>
          <w:highlight w:val="none"/>
        </w:rPr>
      </w:pPr>
      <w:bookmarkStart w:id="85" w:name="_Toc11459"/>
      <w:bookmarkStart w:id="86" w:name="_Toc15396622"/>
      <w:r>
        <w:rPr>
          <w:rStyle w:val="2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0"/>
          <w:rFonts w:hint="eastAsia" w:ascii="仿宋" w:hAnsi="仿宋" w:eastAsia="仿宋"/>
          <w:b w:val="0"/>
          <w:bCs w:val="0"/>
          <w:color w:val="auto"/>
          <w:highlight w:val="none"/>
        </w:rPr>
        <w:t>政拨款收入支出决算总表</w:t>
      </w:r>
      <w:bookmarkEnd w:id="85"/>
      <w:bookmarkEnd w:id="86"/>
    </w:p>
    <w:p>
      <w:pPr>
        <w:pStyle w:val="4"/>
        <w:rPr>
          <w:rStyle w:val="20"/>
          <w:rFonts w:ascii="仿宋" w:hAnsi="仿宋" w:eastAsia="仿宋"/>
          <w:b w:val="0"/>
          <w:bCs w:val="0"/>
          <w:color w:val="auto"/>
          <w:highlight w:val="none"/>
        </w:rPr>
      </w:pPr>
      <w:bookmarkStart w:id="87" w:name="_Toc10203"/>
      <w:bookmarkStart w:id="88" w:name="_Toc15396623"/>
      <w:r>
        <w:rPr>
          <w:rStyle w:val="2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0"/>
          <w:rFonts w:hint="eastAsia" w:ascii="仿宋" w:hAnsi="仿宋" w:eastAsia="仿宋"/>
          <w:b w:val="0"/>
          <w:bCs w:val="0"/>
          <w:color w:val="auto"/>
          <w:highlight w:val="none"/>
        </w:rPr>
        <w:t>政拨款支出决算明细表</w:t>
      </w:r>
      <w:bookmarkEnd w:id="87"/>
      <w:bookmarkEnd w:id="88"/>
      <w:bookmarkStart w:id="89" w:name="_Toc15396624"/>
    </w:p>
    <w:p>
      <w:pPr>
        <w:pStyle w:val="4"/>
        <w:rPr>
          <w:rFonts w:ascii="仿宋" w:hAnsi="仿宋" w:eastAsia="仿宋"/>
          <w:color w:val="auto"/>
          <w:highlight w:val="none"/>
        </w:rPr>
      </w:pPr>
      <w:bookmarkStart w:id="90" w:name="_Toc28825"/>
      <w:r>
        <w:rPr>
          <w:rStyle w:val="2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般公共预算财政拨款支出决算表</w:t>
      </w:r>
      <w:bookmarkEnd w:id="89"/>
      <w:bookmarkEnd w:id="90"/>
    </w:p>
    <w:p>
      <w:pPr>
        <w:pStyle w:val="4"/>
        <w:rPr>
          <w:rFonts w:ascii="仿宋" w:hAnsi="仿宋" w:eastAsia="仿宋"/>
          <w:color w:val="auto"/>
          <w:highlight w:val="none"/>
        </w:rPr>
      </w:pPr>
      <w:bookmarkStart w:id="91" w:name="_Toc15396625"/>
      <w:bookmarkStart w:id="92" w:name="_Toc17468"/>
      <w:r>
        <w:rPr>
          <w:rStyle w:val="2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般公共预算财政拨款支出决算明细表</w:t>
      </w:r>
      <w:bookmarkEnd w:id="91"/>
      <w:bookmarkEnd w:id="92"/>
    </w:p>
    <w:p>
      <w:pPr>
        <w:pStyle w:val="4"/>
        <w:rPr>
          <w:rFonts w:ascii="仿宋" w:hAnsi="仿宋" w:eastAsia="仿宋"/>
          <w:color w:val="auto"/>
          <w:highlight w:val="none"/>
        </w:rPr>
      </w:pPr>
      <w:bookmarkStart w:id="93" w:name="_Toc15396626"/>
      <w:bookmarkStart w:id="94" w:name="_Toc27629"/>
      <w:r>
        <w:rPr>
          <w:rStyle w:val="2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般公共预算财政拨款基本支出决算表</w:t>
      </w:r>
      <w:bookmarkEnd w:id="93"/>
      <w:bookmarkEnd w:id="94"/>
    </w:p>
    <w:p>
      <w:pPr>
        <w:pStyle w:val="4"/>
        <w:rPr>
          <w:rFonts w:ascii="仿宋" w:hAnsi="仿宋" w:eastAsia="仿宋"/>
          <w:color w:val="auto"/>
          <w:highlight w:val="none"/>
        </w:rPr>
      </w:pPr>
      <w:bookmarkStart w:id="95" w:name="_Toc15396627"/>
      <w:bookmarkStart w:id="96" w:name="_Toc18560"/>
      <w:r>
        <w:rPr>
          <w:rStyle w:val="2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般公共预算财政拨款项目支出决算表</w:t>
      </w:r>
      <w:bookmarkEnd w:id="95"/>
      <w:bookmarkEnd w:id="96"/>
    </w:p>
    <w:p>
      <w:pPr>
        <w:pStyle w:val="4"/>
        <w:rPr>
          <w:rFonts w:ascii="仿宋" w:hAnsi="仿宋" w:eastAsia="仿宋"/>
          <w:color w:val="auto"/>
          <w:highlight w:val="none"/>
        </w:rPr>
      </w:pPr>
      <w:bookmarkStart w:id="97" w:name="_Toc15396628"/>
      <w:bookmarkStart w:id="98" w:name="_Toc17792"/>
      <w:r>
        <w:rPr>
          <w:rStyle w:val="20"/>
          <w:rFonts w:hint="eastAsia" w:ascii="仿宋" w:hAnsi="仿宋" w:eastAsia="仿宋"/>
          <w:b w:val="0"/>
          <w:bCs w:val="0"/>
          <w:color w:val="auto"/>
          <w:highlight w:val="none"/>
        </w:rPr>
        <w:t>十、</w:t>
      </w:r>
      <w:bookmarkEnd w:id="97"/>
      <w:r>
        <w:rPr>
          <w:rFonts w:hint="eastAsia" w:ascii="仿宋" w:hAnsi="仿宋" w:eastAsia="仿宋"/>
          <w:b w:val="0"/>
          <w:color w:val="auto"/>
          <w:highlight w:val="none"/>
        </w:rPr>
        <w:t>政</w:t>
      </w:r>
      <w:r>
        <w:rPr>
          <w:rStyle w:val="20"/>
          <w:rFonts w:hint="eastAsia" w:ascii="仿宋" w:hAnsi="仿宋" w:eastAsia="仿宋"/>
          <w:b w:val="0"/>
          <w:bCs w:val="0"/>
          <w:color w:val="auto"/>
          <w:highlight w:val="none"/>
        </w:rPr>
        <w:t>府性基金预算财政拨款收入支出决算表</w:t>
      </w:r>
      <w:bookmarkEnd w:id="98"/>
    </w:p>
    <w:p>
      <w:pPr>
        <w:pStyle w:val="4"/>
        <w:rPr>
          <w:rFonts w:ascii="仿宋" w:hAnsi="仿宋" w:eastAsia="仿宋"/>
          <w:color w:val="auto"/>
          <w:highlight w:val="none"/>
        </w:rPr>
      </w:pPr>
      <w:bookmarkStart w:id="99" w:name="_Toc15396629"/>
      <w:bookmarkStart w:id="100" w:name="_Toc11589"/>
      <w:r>
        <w:rPr>
          <w:rStyle w:val="20"/>
          <w:rFonts w:hint="eastAsia" w:ascii="仿宋" w:hAnsi="仿宋" w:eastAsia="仿宋"/>
          <w:b w:val="0"/>
          <w:bCs w:val="0"/>
          <w:color w:val="auto"/>
          <w:highlight w:val="none"/>
        </w:rPr>
        <w:t>十一、</w:t>
      </w:r>
      <w:bookmarkEnd w:id="99"/>
      <w:r>
        <w:rPr>
          <w:rFonts w:hint="eastAsia" w:ascii="仿宋" w:hAnsi="仿宋" w:eastAsia="仿宋"/>
          <w:b w:val="0"/>
          <w:color w:val="auto"/>
          <w:highlight w:val="none"/>
        </w:rPr>
        <w:t>国</w:t>
      </w:r>
      <w:r>
        <w:rPr>
          <w:rStyle w:val="20"/>
          <w:rFonts w:hint="eastAsia" w:ascii="仿宋" w:hAnsi="仿宋" w:eastAsia="仿宋"/>
          <w:b w:val="0"/>
          <w:bCs w:val="0"/>
          <w:color w:val="auto"/>
          <w:highlight w:val="none"/>
        </w:rPr>
        <w:t>有资本经营预算</w:t>
      </w:r>
      <w:r>
        <w:rPr>
          <w:rStyle w:val="20"/>
          <w:rFonts w:hint="eastAsia" w:ascii="仿宋" w:hAnsi="仿宋" w:eastAsia="仿宋"/>
          <w:b w:val="0"/>
          <w:bCs w:val="0"/>
          <w:color w:val="auto"/>
          <w:highlight w:val="none"/>
          <w:lang w:eastAsia="zh-CN"/>
        </w:rPr>
        <w:t>财政拨款收入</w:t>
      </w:r>
      <w:r>
        <w:rPr>
          <w:rStyle w:val="20"/>
          <w:rFonts w:hint="eastAsia" w:ascii="仿宋" w:hAnsi="仿宋" w:eastAsia="仿宋"/>
          <w:b w:val="0"/>
          <w:bCs w:val="0"/>
          <w:color w:val="auto"/>
          <w:highlight w:val="none"/>
        </w:rPr>
        <w:t>支出决算表</w:t>
      </w:r>
      <w:bookmarkEnd w:id="100"/>
    </w:p>
    <w:p>
      <w:pPr>
        <w:pStyle w:val="4"/>
        <w:rPr>
          <w:rFonts w:ascii="仿宋" w:hAnsi="仿宋" w:eastAsia="仿宋"/>
          <w:color w:val="auto"/>
          <w:highlight w:val="none"/>
        </w:rPr>
      </w:pPr>
      <w:bookmarkStart w:id="101" w:name="_Toc15396630"/>
      <w:bookmarkStart w:id="102" w:name="_Toc21719"/>
      <w:r>
        <w:rPr>
          <w:rStyle w:val="20"/>
          <w:rFonts w:hint="eastAsia" w:ascii="仿宋" w:hAnsi="仿宋" w:eastAsia="仿宋"/>
          <w:b w:val="0"/>
          <w:bCs w:val="0"/>
          <w:color w:val="auto"/>
          <w:highlight w:val="none"/>
        </w:rPr>
        <w:t>十二、</w:t>
      </w:r>
      <w:bookmarkEnd w:id="101"/>
      <w:r>
        <w:rPr>
          <w:rStyle w:val="20"/>
          <w:rFonts w:hint="eastAsia" w:ascii="仿宋" w:hAnsi="仿宋" w:eastAsia="仿宋"/>
          <w:b w:val="0"/>
          <w:bCs w:val="0"/>
          <w:color w:val="auto"/>
          <w:highlight w:val="none"/>
          <w:lang w:eastAsia="zh-CN"/>
        </w:rPr>
        <w:t>国有资本经营预算财政拨款支出决算表</w:t>
      </w:r>
      <w:bookmarkEnd w:id="102"/>
    </w:p>
    <w:p>
      <w:pPr>
        <w:pStyle w:val="4"/>
        <w:rPr>
          <w:rFonts w:hint="eastAsia" w:eastAsia="仿宋"/>
          <w:color w:val="auto"/>
          <w:highlight w:val="none"/>
          <w:lang w:eastAsia="zh-CN"/>
        </w:rPr>
      </w:pPr>
      <w:bookmarkStart w:id="103" w:name="_Toc15396631"/>
      <w:bookmarkStart w:id="104" w:name="_Toc4080"/>
      <w:r>
        <w:rPr>
          <w:rStyle w:val="20"/>
          <w:rFonts w:hint="eastAsia" w:ascii="仿宋" w:hAnsi="仿宋" w:eastAsia="仿宋"/>
          <w:b w:val="0"/>
          <w:bCs w:val="0"/>
          <w:color w:val="auto"/>
          <w:highlight w:val="none"/>
        </w:rPr>
        <w:t>十三、</w:t>
      </w:r>
      <w:bookmarkEnd w:id="103"/>
      <w:r>
        <w:rPr>
          <w:rStyle w:val="20"/>
          <w:rFonts w:hint="eastAsia" w:ascii="仿宋" w:hAnsi="仿宋" w:eastAsia="仿宋"/>
          <w:b w:val="0"/>
          <w:bCs w:val="0"/>
          <w:color w:val="auto"/>
          <w:highlight w:val="none"/>
          <w:lang w:eastAsia="zh-CN"/>
        </w:rPr>
        <w:t>财政拨款“三公”经费支出决算表</w:t>
      </w:r>
      <w:bookmarkEnd w:id="104"/>
    </w:p>
    <w:sectPr>
      <w:pgSz w:w="11906" w:h="16838"/>
      <w:pgMar w:top="2098" w:right="1474" w:bottom="1984" w:left="1587" w:header="851" w:footer="992" w:gutter="0"/>
      <w:pgNumType w:fmt="decimal" w:start="1"/>
      <w:cols w:space="0" w:num="1"/>
      <w:titlePg/>
      <w:rtlGutter w:val="0"/>
      <w:docGrid w:type="lines" w:linePitch="315"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user" w:date="2023-07-15T16:37:00Z" w:initials="u">
    <w:p w14:paraId="FFFF4CAA">
      <w:pPr>
        <w:keepNext w:val="0"/>
        <w:keepLines w:val="0"/>
        <w:widowControl/>
        <w:suppressLineNumbers w:val="0"/>
        <w:jc w:val="left"/>
        <w:rPr>
          <w:rFonts w:hint="default" w:eastAsia="宋体"/>
          <w:lang w:val="en-US" w:eastAsia="zh-CN"/>
        </w:rPr>
      </w:pPr>
      <w:r>
        <w:rPr>
          <w:rFonts w:hint="eastAsia"/>
          <w:lang w:val="en-US" w:eastAsia="zh-CN"/>
        </w:rPr>
        <w:t>提行增加名词解释1.</w:t>
      </w:r>
      <w:r>
        <w:rPr>
          <w:rFonts w:hint="eastAsia" w:ascii="宋体" w:hAnsi="宋体" w:eastAsia="宋体" w:cs="宋体"/>
          <w:b/>
          <w:bCs/>
          <w:color w:val="000000"/>
          <w:kern w:val="0"/>
          <w:sz w:val="22"/>
          <w:szCs w:val="22"/>
          <w:lang w:val="en-US" w:eastAsia="zh-CN" w:bidi="ar"/>
        </w:rPr>
        <w:t>一般公共服务</w:t>
      </w:r>
      <w:r>
        <w:rPr>
          <w:rFonts w:hint="eastAsia"/>
          <w:lang w:val="en-US" w:eastAsia="zh-CN"/>
        </w:rPr>
        <w:t>（类）</w:t>
      </w:r>
      <w:r>
        <w:rPr>
          <w:rFonts w:hint="eastAsia" w:ascii="宋体" w:hAnsi="宋体" w:eastAsia="宋体" w:cs="宋体"/>
          <w:color w:val="000000"/>
          <w:kern w:val="0"/>
          <w:sz w:val="22"/>
          <w:szCs w:val="22"/>
          <w:lang w:val="en-US" w:eastAsia="zh-CN" w:bidi="ar"/>
        </w:rPr>
        <w:t>宣传事务</w:t>
      </w:r>
      <w:r>
        <w:rPr>
          <w:rFonts w:hint="eastAsia" w:ascii="宋体" w:hAnsi="宋体" w:cs="宋体"/>
          <w:color w:val="000000"/>
          <w:kern w:val="0"/>
          <w:sz w:val="22"/>
          <w:szCs w:val="22"/>
          <w:lang w:val="en-US" w:eastAsia="zh-CN" w:bidi="ar"/>
        </w:rPr>
        <w:t>（款）</w:t>
      </w:r>
      <w:r>
        <w:rPr>
          <w:rFonts w:hint="eastAsia"/>
          <w:lang w:val="en-US" w:eastAsia="zh-CN"/>
        </w:rPr>
        <w:t>行政运行（项）：指......；2.</w:t>
      </w:r>
      <w:r>
        <w:rPr>
          <w:rFonts w:hint="eastAsia" w:ascii="宋体" w:hAnsi="宋体" w:eastAsia="宋体" w:cs="宋体"/>
          <w:b/>
          <w:bCs/>
          <w:color w:val="000000"/>
          <w:kern w:val="0"/>
          <w:sz w:val="22"/>
          <w:szCs w:val="22"/>
          <w:lang w:val="en-US" w:eastAsia="zh-CN" w:bidi="ar"/>
        </w:rPr>
        <w:t>一般公共服务</w:t>
      </w:r>
      <w:r>
        <w:rPr>
          <w:rFonts w:hint="eastAsia"/>
          <w:lang w:val="en-US" w:eastAsia="zh-CN"/>
        </w:rPr>
        <w:t>（类）</w:t>
      </w:r>
      <w:r>
        <w:rPr>
          <w:rFonts w:hint="eastAsia" w:ascii="宋体" w:hAnsi="宋体" w:eastAsia="宋体" w:cs="宋体"/>
          <w:color w:val="000000"/>
          <w:kern w:val="0"/>
          <w:sz w:val="22"/>
          <w:szCs w:val="22"/>
          <w:lang w:val="en-US" w:eastAsia="zh-CN" w:bidi="ar"/>
        </w:rPr>
        <w:t>网信事务</w:t>
      </w:r>
      <w:r>
        <w:rPr>
          <w:rFonts w:hint="eastAsia" w:ascii="宋体" w:hAnsi="宋体" w:cs="宋体"/>
          <w:color w:val="000000"/>
          <w:kern w:val="0"/>
          <w:sz w:val="22"/>
          <w:szCs w:val="22"/>
          <w:lang w:val="en-US" w:eastAsia="zh-CN" w:bidi="ar"/>
        </w:rPr>
        <w:t>（款）</w:t>
      </w:r>
      <w:r>
        <w:rPr>
          <w:rFonts w:hint="eastAsia"/>
          <w:lang w:val="en-US" w:eastAsia="zh-CN"/>
        </w:rPr>
        <w:t>信息安全事务（项）：指......；3.</w:t>
      </w:r>
      <w:r>
        <w:rPr>
          <w:rFonts w:hint="eastAsia" w:ascii="宋体" w:hAnsi="宋体" w:eastAsia="宋体" w:cs="宋体"/>
          <w:b/>
          <w:bCs/>
          <w:color w:val="000000"/>
          <w:kern w:val="0"/>
          <w:sz w:val="22"/>
          <w:szCs w:val="22"/>
          <w:lang w:val="en-US" w:eastAsia="zh-CN" w:bidi="ar"/>
        </w:rPr>
        <w:t>一般公共服务</w:t>
      </w:r>
      <w:r>
        <w:rPr>
          <w:rFonts w:hint="eastAsia"/>
          <w:lang w:val="en-US" w:eastAsia="zh-CN"/>
        </w:rPr>
        <w:t>（类）</w:t>
      </w:r>
      <w:r>
        <w:rPr>
          <w:rFonts w:hint="eastAsia" w:ascii="宋体" w:hAnsi="宋体" w:eastAsia="宋体" w:cs="宋体"/>
          <w:color w:val="000000"/>
          <w:kern w:val="0"/>
          <w:sz w:val="22"/>
          <w:szCs w:val="22"/>
          <w:lang w:val="en-US" w:eastAsia="zh-CN" w:bidi="ar"/>
        </w:rPr>
        <w:t>网信事务</w:t>
      </w:r>
      <w:r>
        <w:rPr>
          <w:rFonts w:hint="eastAsia" w:ascii="宋体" w:hAnsi="宋体" w:cs="宋体"/>
          <w:color w:val="000000"/>
          <w:kern w:val="0"/>
          <w:sz w:val="22"/>
          <w:szCs w:val="22"/>
          <w:lang w:val="en-US" w:eastAsia="zh-CN" w:bidi="ar"/>
        </w:rPr>
        <w:t>（款）</w:t>
      </w:r>
      <w:r>
        <w:rPr>
          <w:rFonts w:hint="eastAsia"/>
          <w:lang w:val="en-US" w:eastAsia="zh-CN"/>
        </w:rPr>
        <w:t>其他网信事务支出（项）：指......；</w:t>
      </w:r>
    </w:p>
  </w:comment>
  <w:comment w:id="1" w:author="user" w:date="2023-07-15T16:35:00Z" w:initials="u">
    <w:p w14:paraId="3E6B8B4C">
      <w:pPr>
        <w:pStyle w:val="6"/>
        <w:rPr>
          <w:rFonts w:hint="default" w:eastAsia="宋体"/>
          <w:lang w:val="en-US" w:eastAsia="zh-CN"/>
        </w:rPr>
      </w:pPr>
      <w:r>
        <w:rPr>
          <w:rFonts w:hint="eastAsia"/>
          <w:lang w:val="en-US" w:eastAsia="zh-CN"/>
        </w:rPr>
        <w:t>提行增加名词解释：</w:t>
      </w:r>
      <w:r>
        <w:rPr>
          <w:rFonts w:hint="default" w:ascii="微软雅黑" w:hAnsi="微软雅黑" w:eastAsia="微软雅黑" w:cs="微软雅黑"/>
          <w:i w:val="0"/>
          <w:caps w:val="0"/>
          <w:color w:val="000000"/>
          <w:spacing w:val="0"/>
          <w:kern w:val="0"/>
          <w:sz w:val="27"/>
          <w:szCs w:val="27"/>
          <w:shd w:val="clear" w:color="auto" w:fill="FFFFFF"/>
          <w:lang w:val="en-US" w:eastAsia="zh-CN" w:bidi="ar"/>
        </w:rPr>
        <w:t>社会保障和就业（类）</w:t>
      </w:r>
      <w:r>
        <w:rPr>
          <w:rFonts w:hint="eastAsia"/>
          <w:lang w:val="en-US" w:eastAsia="zh-CN"/>
        </w:rPr>
        <w:t>其他社会保障和就业支出（款）其他社会保障和就业支出（项）：指......</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FFFF4CAA" w15:done="0"/>
  <w15:commentEx w15:paraId="3E6B8B4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Georgia"/>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simhei">
    <w:altName w:val="Mangal"/>
    <w:panose1 w:val="00000000000000000000"/>
    <w:charset w:val="00"/>
    <w:family w:val="auto"/>
    <w:pitch w:val="default"/>
    <w:sig w:usb0="0000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Georgia">
    <w:panose1 w:val="02040502050405020303"/>
    <w:charset w:val="00"/>
    <w:family w:val="auto"/>
    <w:pitch w:val="default"/>
    <w:sig w:usb0="00000287" w:usb1="00000000" w:usb2="00000000" w:usb3="00000000" w:csb0="2000009F" w:csb1="00000000"/>
  </w:font>
  <w:font w:name="Mangal">
    <w:panose1 w:val="00000400000000000000"/>
    <w:charset w:val="00"/>
    <w:family w:val="auto"/>
    <w:pitch w:val="default"/>
    <w:sig w:usb0="00008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sz w:val="28"/>
        <w:szCs w:val="28"/>
      </w:rPr>
    </w:pPr>
  </w:p>
  <w:p>
    <w:pPr>
      <w:pStyle w:val="10"/>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iMuAO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DiMuAOGwIAACkEAAAOAAAAAAAAAAEAIAAAADU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p>
    <w:pPr>
      <w:pStyle w:val="10"/>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252D821"/>
    <w:multiLevelType w:val="singleLevel"/>
    <w:tmpl w:val="D252D821"/>
    <w:lvl w:ilvl="0" w:tentative="0">
      <w:start w:val="1"/>
      <w:numFmt w:val="decimal"/>
      <w:suff w:val="nothing"/>
      <w:lvlText w:val="%1．"/>
      <w:lvlJc w:val="left"/>
      <w:pPr>
        <w:ind w:left="0" w:firstLine="400"/>
      </w:pPr>
      <w:rPr>
        <w:rFonts w:hint="default"/>
      </w:rPr>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HorizontalSpacing w:val="105"/>
  <w:drawingGridVerticalSpacing w:val="158"/>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44AAE"/>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143E91"/>
    <w:rsid w:val="066E0107"/>
    <w:rsid w:val="07996F6E"/>
    <w:rsid w:val="0A2032A3"/>
    <w:rsid w:val="0E372635"/>
    <w:rsid w:val="0F98263C"/>
    <w:rsid w:val="101860EC"/>
    <w:rsid w:val="108F5D13"/>
    <w:rsid w:val="10C055FF"/>
    <w:rsid w:val="11635C72"/>
    <w:rsid w:val="118107EC"/>
    <w:rsid w:val="13D50BC4"/>
    <w:rsid w:val="13E5D8B8"/>
    <w:rsid w:val="15734C79"/>
    <w:rsid w:val="16BB723D"/>
    <w:rsid w:val="1BE8440E"/>
    <w:rsid w:val="1D155CEE"/>
    <w:rsid w:val="1F5F47F9"/>
    <w:rsid w:val="1FDB7C0C"/>
    <w:rsid w:val="1FF35744"/>
    <w:rsid w:val="23860B96"/>
    <w:rsid w:val="240371BF"/>
    <w:rsid w:val="26C26CF7"/>
    <w:rsid w:val="29FD04D3"/>
    <w:rsid w:val="2C8A61B5"/>
    <w:rsid w:val="2DF04E50"/>
    <w:rsid w:val="2F040D46"/>
    <w:rsid w:val="306D4B10"/>
    <w:rsid w:val="319F7F4E"/>
    <w:rsid w:val="32A9493D"/>
    <w:rsid w:val="3304709D"/>
    <w:rsid w:val="36AA5135"/>
    <w:rsid w:val="376D39B2"/>
    <w:rsid w:val="37E16F03"/>
    <w:rsid w:val="37F73B2E"/>
    <w:rsid w:val="38D469F0"/>
    <w:rsid w:val="39E538E2"/>
    <w:rsid w:val="3AAF6A0C"/>
    <w:rsid w:val="3D776013"/>
    <w:rsid w:val="3D98207C"/>
    <w:rsid w:val="3DF78CF8"/>
    <w:rsid w:val="3E78745D"/>
    <w:rsid w:val="3EBF7818"/>
    <w:rsid w:val="3F5FA6E1"/>
    <w:rsid w:val="3FBFC398"/>
    <w:rsid w:val="3FDFBC05"/>
    <w:rsid w:val="3FE91660"/>
    <w:rsid w:val="3FEBAEC5"/>
    <w:rsid w:val="44E268DA"/>
    <w:rsid w:val="4A627F82"/>
    <w:rsid w:val="4B0E749A"/>
    <w:rsid w:val="4B4F25DA"/>
    <w:rsid w:val="4BE068DB"/>
    <w:rsid w:val="4D577224"/>
    <w:rsid w:val="4EAB630A"/>
    <w:rsid w:val="4ECE2238"/>
    <w:rsid w:val="537E6D0A"/>
    <w:rsid w:val="54933179"/>
    <w:rsid w:val="56F74A96"/>
    <w:rsid w:val="58FBE0EF"/>
    <w:rsid w:val="59FD8B6A"/>
    <w:rsid w:val="5AF92295"/>
    <w:rsid w:val="5AFFBD7F"/>
    <w:rsid w:val="5CD71FC4"/>
    <w:rsid w:val="5CEF3C38"/>
    <w:rsid w:val="5DE46C1C"/>
    <w:rsid w:val="5E4D91C6"/>
    <w:rsid w:val="5FEF2050"/>
    <w:rsid w:val="60F71A58"/>
    <w:rsid w:val="659FB210"/>
    <w:rsid w:val="65DFFB84"/>
    <w:rsid w:val="67FCB331"/>
    <w:rsid w:val="6B9DD36B"/>
    <w:rsid w:val="6BB72712"/>
    <w:rsid w:val="6BF868E4"/>
    <w:rsid w:val="6C4A05C8"/>
    <w:rsid w:val="6DF3A95E"/>
    <w:rsid w:val="6E7E3605"/>
    <w:rsid w:val="6F199688"/>
    <w:rsid w:val="6FD937B9"/>
    <w:rsid w:val="6FF5CC65"/>
    <w:rsid w:val="6FF83FFC"/>
    <w:rsid w:val="6FFAAC72"/>
    <w:rsid w:val="715C0E4B"/>
    <w:rsid w:val="72734D90"/>
    <w:rsid w:val="72C232B3"/>
    <w:rsid w:val="7335E319"/>
    <w:rsid w:val="73AD73D5"/>
    <w:rsid w:val="73B6EB34"/>
    <w:rsid w:val="744731E5"/>
    <w:rsid w:val="76E3355F"/>
    <w:rsid w:val="778769C8"/>
    <w:rsid w:val="78ADA66B"/>
    <w:rsid w:val="79EE5BA4"/>
    <w:rsid w:val="79FF4F52"/>
    <w:rsid w:val="7A894339"/>
    <w:rsid w:val="7AFEA8DF"/>
    <w:rsid w:val="7BCD11AB"/>
    <w:rsid w:val="7BFB3971"/>
    <w:rsid w:val="7D15E6B9"/>
    <w:rsid w:val="7DFBA1E1"/>
    <w:rsid w:val="7E6E0EAF"/>
    <w:rsid w:val="7EEF11D3"/>
    <w:rsid w:val="7EF3FC2E"/>
    <w:rsid w:val="7EFF8E4E"/>
    <w:rsid w:val="7F19DE48"/>
    <w:rsid w:val="7FA30C79"/>
    <w:rsid w:val="7FB7269E"/>
    <w:rsid w:val="7FC96657"/>
    <w:rsid w:val="7FDDEEBD"/>
    <w:rsid w:val="7FDF03CE"/>
    <w:rsid w:val="7FFA727C"/>
    <w:rsid w:val="97FFB483"/>
    <w:rsid w:val="9EF5A378"/>
    <w:rsid w:val="9F3BDAA1"/>
    <w:rsid w:val="A3FFAF75"/>
    <w:rsid w:val="A7FF5AE8"/>
    <w:rsid w:val="A8FF70BA"/>
    <w:rsid w:val="AAFF1616"/>
    <w:rsid w:val="ABF27EDF"/>
    <w:rsid w:val="AC6F00DA"/>
    <w:rsid w:val="AE774CA5"/>
    <w:rsid w:val="B5FF263F"/>
    <w:rsid w:val="B77F450F"/>
    <w:rsid w:val="B7BF9F06"/>
    <w:rsid w:val="B7EA290F"/>
    <w:rsid w:val="C2972826"/>
    <w:rsid w:val="C3AB6C65"/>
    <w:rsid w:val="CBDF186B"/>
    <w:rsid w:val="CDEA58D4"/>
    <w:rsid w:val="CF7B97DE"/>
    <w:rsid w:val="CFA552FF"/>
    <w:rsid w:val="D4E31103"/>
    <w:rsid w:val="D7FDE888"/>
    <w:rsid w:val="D8D6DB89"/>
    <w:rsid w:val="DB6F4CAB"/>
    <w:rsid w:val="DCDF8C23"/>
    <w:rsid w:val="DCF76504"/>
    <w:rsid w:val="DDF39B09"/>
    <w:rsid w:val="DDFBE73F"/>
    <w:rsid w:val="DF6F9789"/>
    <w:rsid w:val="DFEF19F9"/>
    <w:rsid w:val="E6B8A8A1"/>
    <w:rsid w:val="E7C6DECD"/>
    <w:rsid w:val="E9FD5B05"/>
    <w:rsid w:val="EAAF1E0D"/>
    <w:rsid w:val="EAEE56ED"/>
    <w:rsid w:val="EB672FD1"/>
    <w:rsid w:val="EBFFB23D"/>
    <w:rsid w:val="EDF79EB8"/>
    <w:rsid w:val="EE73872F"/>
    <w:rsid w:val="EFEF540D"/>
    <w:rsid w:val="EFFD6B7A"/>
    <w:rsid w:val="F5EA3691"/>
    <w:rsid w:val="F6D79ECB"/>
    <w:rsid w:val="F6FF964B"/>
    <w:rsid w:val="F7B96F97"/>
    <w:rsid w:val="F7BE78CD"/>
    <w:rsid w:val="F7EE5F66"/>
    <w:rsid w:val="FA474E86"/>
    <w:rsid w:val="FB663778"/>
    <w:rsid w:val="FB7FBC88"/>
    <w:rsid w:val="FBF53B67"/>
    <w:rsid w:val="FBF96A95"/>
    <w:rsid w:val="FD2FE54A"/>
    <w:rsid w:val="FD7F23FA"/>
    <w:rsid w:val="FECF4B10"/>
    <w:rsid w:val="FEF7A7F2"/>
    <w:rsid w:val="FF4B5C79"/>
    <w:rsid w:val="FF678101"/>
    <w:rsid w:val="FFB707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9"/>
    <w:qFormat/>
    <w:uiPriority w:val="99"/>
    <w:pPr>
      <w:spacing w:beforeLines="30"/>
    </w:pPr>
    <w:rPr>
      <w:rFonts w:ascii="仿宋_GB2312" w:eastAsia="仿宋_GB2312"/>
      <w:kern w:val="0"/>
      <w:sz w:val="30"/>
    </w:rPr>
  </w:style>
  <w:style w:type="paragraph" w:styleId="6">
    <w:name w:val="annotation text"/>
    <w:basedOn w:val="1"/>
    <w:qFormat/>
    <w:uiPriority w:val="0"/>
    <w:pPr>
      <w:jc w:val="left"/>
    </w:p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3"/>
    <w:semiHidden/>
    <w:unhideWhenUsed/>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7"/>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paragraph" w:customStyle="1" w:styleId="22">
    <w:name w:val="正文1"/>
    <w:basedOn w:val="1"/>
    <w:qFormat/>
    <w:uiPriority w:val="0"/>
    <w:pPr>
      <w:adjustRightInd w:val="0"/>
      <w:ind w:firstLine="560" w:firstLineChars="200"/>
    </w:pPr>
    <w:rPr>
      <w:rFonts w:ascii="宋体" w:hAnsi="宋体"/>
      <w:sz w:val="28"/>
    </w:rPr>
  </w:style>
  <w:style w:type="paragraph" w:customStyle="1" w:styleId="23">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4">
    <w:name w:val="Header Char"/>
    <w:basedOn w:val="16"/>
    <w:semiHidden/>
    <w:qFormat/>
    <w:uiPriority w:val="99"/>
    <w:rPr>
      <w:rFonts w:ascii="Times New Roman" w:hAnsi="Times New Roman"/>
      <w:sz w:val="18"/>
      <w:szCs w:val="18"/>
    </w:rPr>
  </w:style>
  <w:style w:type="character" w:customStyle="1" w:styleId="25">
    <w:name w:val="页眉 Char"/>
    <w:link w:val="11"/>
    <w:semiHidden/>
    <w:qFormat/>
    <w:locked/>
    <w:uiPriority w:val="99"/>
    <w:rPr>
      <w:sz w:val="18"/>
    </w:rPr>
  </w:style>
  <w:style w:type="character" w:customStyle="1" w:styleId="26">
    <w:name w:val="Footer Char"/>
    <w:basedOn w:val="16"/>
    <w:semiHidden/>
    <w:qFormat/>
    <w:uiPriority w:val="99"/>
    <w:rPr>
      <w:rFonts w:ascii="Times New Roman" w:hAnsi="Times New Roman"/>
      <w:sz w:val="18"/>
      <w:szCs w:val="18"/>
    </w:rPr>
  </w:style>
  <w:style w:type="character" w:customStyle="1" w:styleId="27">
    <w:name w:val="页脚 Char"/>
    <w:link w:val="10"/>
    <w:qFormat/>
    <w:locked/>
    <w:uiPriority w:val="99"/>
    <w:rPr>
      <w:sz w:val="18"/>
    </w:rPr>
  </w:style>
  <w:style w:type="character" w:customStyle="1" w:styleId="28">
    <w:name w:val="Body Text Char"/>
    <w:basedOn w:val="16"/>
    <w:semiHidden/>
    <w:qFormat/>
    <w:uiPriority w:val="99"/>
    <w:rPr>
      <w:rFonts w:ascii="Times New Roman" w:hAnsi="Times New Roman"/>
      <w:szCs w:val="24"/>
    </w:rPr>
  </w:style>
  <w:style w:type="character" w:customStyle="1" w:styleId="29">
    <w:name w:val="正文文本 Char"/>
    <w:link w:val="2"/>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6"/>
    <w:link w:val="9"/>
    <w:semiHidden/>
    <w:qFormat/>
    <w:uiPriority w:val="99"/>
    <w:rPr>
      <w:rFonts w:ascii="Times New Roman" w:hAnsi="Times New Roman"/>
      <w:kern w:val="2"/>
      <w:sz w:val="18"/>
      <w:szCs w:val="18"/>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
                </c:pt>
              </c:strCache>
            </c:strRef>
          </c:tx>
          <c:spPr>
            <a:solidFill>
              <a:schemeClr val="accent1"/>
            </a:solidFill>
            <a:ln>
              <a:noFill/>
            </a:ln>
            <a:effectLst/>
          </c:spPr>
          <c:invertIfNegative val="false"/>
          <c:dLbls>
            <c:delete val="true"/>
          </c:dLbls>
          <c:cat>
            <c:strRef>
              <c:f>Sheet1!$A$2:$A$3</c:f>
              <c:strCache>
                <c:ptCount val="2"/>
                <c:pt idx="0">
                  <c:v>2021年</c:v>
                </c:pt>
                <c:pt idx="1">
                  <c:v>2022年</c:v>
                </c:pt>
              </c:strCache>
            </c:strRef>
          </c:cat>
          <c:val>
            <c:numRef>
              <c:f>Sheet1!$B$2:$B$3</c:f>
              <c:numCache>
                <c:formatCode>General</c:formatCode>
                <c:ptCount val="2"/>
                <c:pt idx="0">
                  <c:v>596.01</c:v>
                </c:pt>
                <c:pt idx="1">
                  <c:v>368.09</c:v>
                </c:pt>
              </c:numCache>
            </c:numRef>
          </c:val>
        </c:ser>
        <c:ser>
          <c:idx val="1"/>
          <c:order val="1"/>
          <c:tx>
            <c:strRef>
              <c:f>Sheet1!#REF!</c:f>
              <c:strCache>
                <c:ptCount val="1"/>
                <c:pt idx="0">
                  <c:v/>
                </c:pt>
              </c:strCache>
            </c:strRef>
          </c:tx>
          <c:spPr>
            <a:solidFill>
              <a:schemeClr val="accent2"/>
            </a:solidFill>
            <a:ln>
              <a:noFill/>
            </a:ln>
            <a:effectLst/>
          </c:spPr>
          <c:invertIfNegative val="false"/>
          <c:dLbls>
            <c:delete val="true"/>
          </c:dLbls>
          <c:cat>
            <c:strRef>
              <c:f>Sheet1!$A$2:$A$3</c:f>
              <c:strCache>
                <c:ptCount val="2"/>
                <c:pt idx="0">
                  <c:v>2021年</c:v>
                </c:pt>
                <c:pt idx="1">
                  <c:v>2022年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Sheet1!$A$2:$A$3</c:f>
              <c:strCache>
                <c:ptCount val="2"/>
                <c:pt idx="0">
                  <c:v>2021年</c:v>
                </c:pt>
                <c:pt idx="1">
                  <c:v>2022年</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219"/>
        <c:overlap val="-27"/>
        <c:axId val="473975671"/>
        <c:axId val="136891029"/>
      </c:barChart>
      <c:catAx>
        <c:axId val="47397567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36891029"/>
        <c:crosses val="autoZero"/>
        <c:auto val="true"/>
        <c:lblAlgn val="ctr"/>
        <c:lblOffset val="100"/>
        <c:noMultiLvlLbl val="false"/>
      </c:catAx>
      <c:valAx>
        <c:axId val="136891029"/>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73975671"/>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
                </c:pt>
              </c:strCache>
            </c:strRef>
          </c:tx>
          <c:spPr/>
          <c:explosion val="0"/>
          <c:dPt>
            <c:idx val="0"/>
            <c:bubble3D val="false"/>
            <c:spPr>
              <a:solidFill>
                <a:schemeClr val="accent1"/>
              </a:solidFill>
              <a:ln w="19050">
                <a:solidFill>
                  <a:schemeClr val="lt1"/>
                </a:solidFill>
              </a:ln>
              <a:effectLst/>
            </c:spPr>
          </c:dPt>
          <c:dLbls>
            <c:delete val="true"/>
          </c:dLbls>
          <c:cat>
            <c:strRef>
              <c:f>Sheet1!$A$2</c:f>
              <c:strCache>
                <c:ptCount val="1"/>
                <c:pt idx="0">
                  <c:v>一般公共预算财政拨款收入</c:v>
                </c:pt>
              </c:strCache>
            </c:strRef>
          </c:cat>
          <c:val>
            <c:numRef>
              <c:f>Sheet1!$B$2</c:f>
              <c:numCache>
                <c:formatCode>General</c:formatCode>
                <c:ptCount val="1"/>
                <c:pt idx="0">
                  <c:v>100</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elete val="true"/>
          </c:dLbls>
          <c:cat>
            <c:strRef>
              <c:f>Sheet1!$A$2:$A$3</c:f>
              <c:strCache>
                <c:ptCount val="2"/>
                <c:pt idx="0">
                  <c:v>基本支出占比</c:v>
                </c:pt>
                <c:pt idx="1">
                  <c:v>项目支出占比</c:v>
                </c:pt>
              </c:strCache>
            </c:strRef>
          </c:cat>
          <c:val>
            <c:numRef>
              <c:f>Sheet1!$B$2:$B$3</c:f>
              <c:numCache>
                <c:formatCode>General</c:formatCode>
                <c:ptCount val="2"/>
                <c:pt idx="0">
                  <c:v>88.12</c:v>
                </c:pt>
                <c:pt idx="1">
                  <c:v>11.88</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barChart>
        <c:barDir val="col"/>
        <c:grouping val="stacked"/>
        <c:varyColors val="false"/>
        <c:ser>
          <c:idx val="0"/>
          <c:order val="0"/>
          <c:tx>
            <c:strRef>
              <c:f>Sheet1!$B$1</c:f>
              <c:strCache>
                <c:ptCount val="1"/>
                <c:pt idx="0">
                  <c:v/>
                </c:pt>
              </c:strCache>
            </c:strRef>
          </c:tx>
          <c:spPr>
            <a:solidFill>
              <a:schemeClr val="accent1"/>
            </a:solidFill>
            <a:ln>
              <a:noFill/>
            </a:ln>
            <a:effectLst/>
          </c:spPr>
          <c:invertIfNegative val="false"/>
          <c:dLbls>
            <c:delete val="true"/>
          </c:dLbls>
          <c:cat>
            <c:strRef>
              <c:f>Sheet1!$A$2:$A$3</c:f>
              <c:strCache>
                <c:ptCount val="2"/>
                <c:pt idx="0">
                  <c:v>2021年</c:v>
                </c:pt>
                <c:pt idx="1">
                  <c:v>2022年</c:v>
                </c:pt>
              </c:strCache>
            </c:strRef>
          </c:cat>
          <c:val>
            <c:numRef>
              <c:f>Sheet1!$B$2:$B$3</c:f>
              <c:numCache>
                <c:formatCode>General</c:formatCode>
                <c:ptCount val="2"/>
                <c:pt idx="0">
                  <c:v>596.01</c:v>
                </c:pt>
                <c:pt idx="1">
                  <c:v>368.09</c:v>
                </c:pt>
              </c:numCache>
            </c:numRef>
          </c:val>
        </c:ser>
        <c:dLbls>
          <c:showLegendKey val="false"/>
          <c:showVal val="false"/>
          <c:showCatName val="false"/>
          <c:showSerName val="false"/>
          <c:showPercent val="false"/>
          <c:showBubbleSize val="false"/>
        </c:dLbls>
        <c:gapWidth val="150"/>
        <c:overlap val="100"/>
        <c:axId val="104810027"/>
        <c:axId val="417925853"/>
      </c:barChart>
      <c:catAx>
        <c:axId val="104810027"/>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17925853"/>
        <c:crosses val="autoZero"/>
        <c:auto val="true"/>
        <c:lblAlgn val="ctr"/>
        <c:lblOffset val="100"/>
        <c:noMultiLvlLbl val="false"/>
      </c:catAx>
      <c:valAx>
        <c:axId val="417925853"/>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4810027"/>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stacked"/>
        <c:varyColors val="false"/>
        <c:ser>
          <c:idx val="0"/>
          <c:order val="0"/>
          <c:tx>
            <c:strRef>
              <c:f>Sheet1!$B$1</c:f>
              <c:strCache>
                <c:ptCount val="1"/>
                <c:pt idx="0">
                  <c:v/>
                </c:pt>
              </c:strCache>
            </c:strRef>
          </c:tx>
          <c:spPr>
            <a:solidFill>
              <a:schemeClr val="accent1"/>
            </a:solidFill>
            <a:ln>
              <a:noFill/>
            </a:ln>
            <a:effectLst/>
          </c:spPr>
          <c:invertIfNegative val="false"/>
          <c:dLbls>
            <c:delete val="true"/>
          </c:dLbls>
          <c:cat>
            <c:strRef>
              <c:f>Sheet1!$A$2:$A$3</c:f>
              <c:strCache>
                <c:ptCount val="2"/>
                <c:pt idx="0">
                  <c:v>2021年</c:v>
                </c:pt>
                <c:pt idx="1">
                  <c:v>2022年</c:v>
                </c:pt>
              </c:strCache>
            </c:strRef>
          </c:cat>
          <c:val>
            <c:numRef>
              <c:f>Sheet1!$B$2:$B$3</c:f>
              <c:numCache>
                <c:formatCode>General</c:formatCode>
                <c:ptCount val="2"/>
                <c:pt idx="0">
                  <c:v>596.01</c:v>
                </c:pt>
                <c:pt idx="1">
                  <c:v>368.09</c:v>
                </c:pt>
              </c:numCache>
            </c:numRef>
          </c:val>
        </c:ser>
        <c:ser>
          <c:idx val="1"/>
          <c:order val="1"/>
          <c:tx>
            <c:strRef>
              <c:f>Sheet1!#REF!</c:f>
              <c:strCache>
                <c:ptCount val="1"/>
                <c:pt idx="0">
                  <c:v/>
                </c:pt>
              </c:strCache>
            </c:strRef>
          </c:tx>
          <c:spPr>
            <a:solidFill>
              <a:schemeClr val="accent2"/>
            </a:solidFill>
            <a:ln>
              <a:noFill/>
            </a:ln>
            <a:effectLst/>
          </c:spPr>
          <c:invertIfNegative val="false"/>
          <c:dLbls>
            <c:delete val="true"/>
          </c:dLbls>
          <c:cat>
            <c:strRef>
              <c:f>Sheet1!$A$2:$A$3</c:f>
              <c:strCache>
                <c:ptCount val="2"/>
                <c:pt idx="0">
                  <c:v>2021年</c:v>
                </c:pt>
                <c:pt idx="1">
                  <c:v>2022年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Sheet1!$A$2:$A$3</c:f>
              <c:strCache>
                <c:ptCount val="2"/>
                <c:pt idx="0">
                  <c:v>2021年</c:v>
                </c:pt>
                <c:pt idx="1">
                  <c:v>2022年</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150"/>
        <c:overlap val="100"/>
        <c:axId val="705914050"/>
        <c:axId val="497190422"/>
      </c:barChart>
      <c:catAx>
        <c:axId val="70591405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97190422"/>
        <c:crosses val="autoZero"/>
        <c:auto val="true"/>
        <c:lblAlgn val="ctr"/>
        <c:lblOffset val="100"/>
        <c:noMultiLvlLbl val="false"/>
      </c:catAx>
      <c:valAx>
        <c:axId val="497190422"/>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0591405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delete val="true"/>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81.44</c:v>
                </c:pt>
                <c:pt idx="1">
                  <c:v>7.3</c:v>
                </c:pt>
                <c:pt idx="2">
                  <c:v>4</c:v>
                </c:pt>
                <c:pt idx="3">
                  <c:v>7.26</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
                </c:pt>
              </c:strCache>
            </c:strRef>
          </c:tx>
          <c:spPr/>
          <c:explosion val="0"/>
          <c:dPt>
            <c:idx val="0"/>
            <c:bubble3D val="false"/>
            <c:spPr>
              <a:solidFill>
                <a:schemeClr val="accent1"/>
              </a:solidFill>
              <a:ln w="19050">
                <a:solidFill>
                  <a:schemeClr val="lt1"/>
                </a:solidFill>
              </a:ln>
              <a:effectLst/>
            </c:spPr>
          </c:dPt>
          <c:dLbls>
            <c:delete val="true"/>
          </c:dLbls>
          <c:cat>
            <c:strRef>
              <c:f>Sheet1!$A$2</c:f>
              <c:strCache>
                <c:ptCount val="1"/>
                <c:pt idx="0">
                  <c:v>公务接待</c:v>
                </c:pt>
              </c:strCache>
            </c:strRef>
          </c:cat>
          <c:val>
            <c:numRef>
              <c:f>Sheet1!$B$2</c:f>
              <c:numCache>
                <c:formatCode>General</c:formatCode>
                <c:ptCount val="1"/>
                <c:pt idx="0">
                  <c:v>100</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53</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2020-08-07T17:49:00Z</dcterms:created>
  <dc:creator>曹颖</dc:creator>
  <cp:lastModifiedBy> </cp:lastModifiedBy>
  <cp:lastPrinted>2023-10-13T06:52:00Z</cp:lastPrinted>
  <dcterms:modified xsi:type="dcterms:W3CDTF">2023-10-24T15:57:50Z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1BF328E4FCBC46E183310AF8D9815CC9</vt:lpwstr>
  </property>
</Properties>
</file>