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微软雅黑" w:hAnsi="宋体" w:eastAsia="微软雅黑"/>
          <w:color w:val="auto"/>
          <w:sz w:val="21"/>
          <w:szCs w:val="21"/>
          <w:highlight w:val="none"/>
        </w:rPr>
      </w:pPr>
      <w:bookmarkStart w:id="0" w:name="_Toc15306267"/>
    </w:p>
    <w:p>
      <w:pPr>
        <w:spacing w:line="600" w:lineRule="exact"/>
        <w:jc w:val="center"/>
        <w:outlineLvl w:val="9"/>
        <w:rPr>
          <w:rFonts w:ascii="微软雅黑" w:hAnsi="宋体" w:eastAsia="微软雅黑"/>
          <w:color w:val="auto"/>
          <w:sz w:val="72"/>
          <w:szCs w:val="72"/>
          <w:highlight w:val="none"/>
        </w:rPr>
      </w:pPr>
    </w:p>
    <w:p>
      <w:pPr>
        <w:pStyle w:val="2"/>
      </w:pPr>
    </w:p>
    <w:p>
      <w:pPr>
        <w:spacing w:line="600" w:lineRule="exact"/>
        <w:jc w:val="center"/>
        <w:outlineLvl w:val="9"/>
        <w:rPr>
          <w:rFonts w:ascii="微软雅黑" w:hAnsi="宋体" w:eastAsia="微软雅黑"/>
          <w:color w:val="auto"/>
          <w:sz w:val="72"/>
          <w:szCs w:val="72"/>
          <w:highlight w:val="none"/>
        </w:rPr>
      </w:pPr>
    </w:p>
    <w:p>
      <w:pPr>
        <w:adjustRightInd w:val="0"/>
        <w:snapToGrid w:val="0"/>
        <w:spacing w:line="360" w:lineRule="auto"/>
        <w:jc w:val="center"/>
        <w:outlineLvl w:val="0"/>
        <w:rPr>
          <w:rFonts w:hint="eastAsia" w:ascii="微软雅黑" w:hAnsi="微软雅黑" w:eastAsia="微软雅黑" w:cs="微软雅黑"/>
          <w:color w:val="auto"/>
          <w:sz w:val="72"/>
          <w:szCs w:val="72"/>
          <w:highlight w:val="none"/>
        </w:rPr>
      </w:pPr>
      <w:bookmarkStart w:id="1" w:name="_Toc15396475"/>
      <w:bookmarkStart w:id="2" w:name="_Toc15377193"/>
      <w:bookmarkStart w:id="3" w:name="_Toc31319"/>
      <w:bookmarkStart w:id="4" w:name="_Toc15377425"/>
      <w:bookmarkStart w:id="5" w:name="_Toc15396597"/>
      <w:bookmarkStart w:id="6" w:name="_Toc15378441"/>
      <w:r>
        <w:rPr>
          <w:rFonts w:hint="eastAsia" w:ascii="微软雅黑" w:hAnsi="微软雅黑" w:eastAsia="微软雅黑" w:cs="微软雅黑"/>
          <w:color w:val="auto"/>
          <w:sz w:val="72"/>
          <w:szCs w:val="72"/>
          <w:highlight w:val="none"/>
        </w:rPr>
        <w:t>20</w:t>
      </w:r>
      <w:r>
        <w:rPr>
          <w:rFonts w:hint="eastAsia" w:ascii="微软雅黑" w:hAnsi="微软雅黑" w:eastAsia="微软雅黑" w:cs="微软雅黑"/>
          <w:color w:val="auto"/>
          <w:sz w:val="72"/>
          <w:szCs w:val="72"/>
          <w:highlight w:val="none"/>
          <w:lang w:val="en-US" w:eastAsia="zh-CN"/>
        </w:rPr>
        <w:t>22</w:t>
      </w:r>
      <w:r>
        <w:rPr>
          <w:rFonts w:hint="eastAsia" w:ascii="微软雅黑" w:hAnsi="微软雅黑" w:eastAsia="微软雅黑" w:cs="微软雅黑"/>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微软雅黑" w:hAnsi="微软雅黑" w:eastAsia="微软雅黑" w:cs="微软雅黑"/>
          <w:color w:val="auto"/>
          <w:sz w:val="72"/>
          <w:szCs w:val="72"/>
          <w:highlight w:val="none"/>
        </w:rPr>
      </w:pPr>
      <w:bookmarkStart w:id="7" w:name="_Toc15378442"/>
      <w:bookmarkStart w:id="8" w:name="_Toc14111"/>
      <w:bookmarkStart w:id="9" w:name="_Toc15396598"/>
      <w:bookmarkStart w:id="10" w:name="_Toc15377194"/>
      <w:bookmarkStart w:id="11" w:name="_Toc15396476"/>
      <w:bookmarkStart w:id="12" w:name="_Toc15377426"/>
      <w:r>
        <w:rPr>
          <w:rFonts w:hint="eastAsia" w:ascii="微软雅黑" w:hAnsi="微软雅黑" w:eastAsia="微软雅黑" w:cs="微软雅黑"/>
          <w:color w:val="auto"/>
          <w:sz w:val="72"/>
          <w:szCs w:val="72"/>
          <w:highlight w:val="none"/>
          <w:lang w:eastAsia="zh-CN"/>
        </w:rPr>
        <w:t>广元市</w:t>
      </w:r>
      <w:bookmarkEnd w:id="0"/>
      <w:bookmarkStart w:id="13" w:name="_Toc15306268"/>
      <w:r>
        <w:rPr>
          <w:rFonts w:hint="eastAsia" w:ascii="微软雅黑" w:hAnsi="微软雅黑" w:eastAsia="微软雅黑" w:cs="微软雅黑"/>
          <w:color w:val="auto"/>
          <w:sz w:val="72"/>
          <w:szCs w:val="72"/>
          <w:highlight w:val="none"/>
          <w:lang w:eastAsia="zh-CN"/>
        </w:rPr>
        <w:t>教师发展中心单位</w:t>
      </w:r>
      <w:r>
        <w:rPr>
          <w:rFonts w:hint="eastAsia" w:ascii="微软雅黑" w:hAnsi="微软雅黑" w:eastAsia="微软雅黑" w:cs="微软雅黑"/>
          <w:color w:val="auto"/>
          <w:sz w:val="72"/>
          <w:szCs w:val="72"/>
          <w:highlight w:val="none"/>
        </w:rPr>
        <w:t>决算</w:t>
      </w:r>
      <w:bookmarkEnd w:id="7"/>
      <w:bookmarkEnd w:id="8"/>
      <w:bookmarkEnd w:id="9"/>
      <w:bookmarkEnd w:id="10"/>
      <w:bookmarkEnd w:id="11"/>
      <w:bookmarkEnd w:id="12"/>
      <w:bookmarkEnd w:id="13"/>
    </w:p>
    <w:p>
      <w:pPr>
        <w:pStyle w:val="10"/>
        <w:rPr>
          <w:rFonts w:hint="eastAsia" w:eastAsia="微软雅黑"/>
          <w:color w:val="auto"/>
          <w:highlight w:val="none"/>
          <w:lang w:val="en-US" w:eastAsia="zh-CN"/>
        </w:rPr>
      </w:pPr>
      <w:r>
        <w:rPr>
          <w:rFonts w:ascii="微软雅黑" w:hAnsi="宋体" w:eastAsia="微软雅黑"/>
          <w:color w:val="auto"/>
          <w:sz w:val="36"/>
          <w:szCs w:val="36"/>
          <w:highlight w:val="none"/>
        </w:rPr>
        <w:br w:type="page"/>
      </w:r>
      <w:r>
        <w:rPr>
          <w:rFonts w:hint="eastAsia" w:ascii="微软雅黑" w:hAnsi="宋体" w:eastAsia="微软雅黑"/>
          <w:color w:val="auto"/>
          <w:sz w:val="36"/>
          <w:szCs w:val="36"/>
          <w:highlight w:val="none"/>
          <w:lang w:val="en-US" w:eastAsia="zh-CN"/>
        </w:rPr>
        <w:t xml:space="preserve"> </w:t>
      </w:r>
      <w:bookmarkStart w:id="102" w:name="_GoBack"/>
      <w:bookmarkEnd w:id="102"/>
    </w:p>
    <w:sdt>
      <w:sdtPr>
        <w:rPr>
          <w:rFonts w:ascii="宋体" w:hAnsi="宋体" w:eastAsia="宋体" w:cs="Times New Roman"/>
          <w:kern w:val="2"/>
          <w:sz w:val="21"/>
          <w:szCs w:val="24"/>
          <w:lang w:val="en-US" w:eastAsia="zh-CN" w:bidi="ar-SA"/>
        </w:rPr>
        <w:id w:val="147481938"/>
        <w15:color w:val="DBDBDB"/>
        <w:docPartObj>
          <w:docPartGallery w:val="Table of Contents"/>
          <w:docPartUnique/>
        </w:docPartObj>
      </w:sdtPr>
      <w:sdtEndPr>
        <w:rPr>
          <w:rFonts w:hint="eastAsia" w:ascii="黑体" w:hAnsi="黑体" w:eastAsia="黑体" w:cs="Times New Roman"/>
          <w:b/>
          <w:bCs/>
          <w:color w:val="auto"/>
          <w:kern w:val="44"/>
          <w:sz w:val="44"/>
          <w:szCs w:val="44"/>
          <w:highlight w:val="none"/>
          <w:lang w:val="en-US" w:eastAsia="zh-CN" w:bidi="ar-SA"/>
        </w:rPr>
      </w:sdtEndPr>
      <w:sdtContent>
        <w:p>
          <w:pPr>
            <w:spacing w:before="0" w:beforeLines="0" w:after="0" w:afterLines="0" w:line="240" w:lineRule="auto"/>
            <w:ind w:left="0" w:leftChars="0" w:right="0" w:rightChars="0" w:firstLine="0" w:firstLineChars="0"/>
            <w:jc w:val="center"/>
            <w:rPr>
              <w:rFonts w:hint="eastAsia"/>
            </w:rPr>
          </w:pPr>
          <w:bookmarkStart w:id="14" w:name="_Toc15377196"/>
          <w:bookmarkStart w:id="15" w:name="_Toc15396599"/>
          <w:r>
            <w:rPr>
              <w:rFonts w:hint="eastAsia" w:ascii="黑体" w:hAnsi="黑体" w:eastAsia="黑体"/>
              <w:color w:val="auto"/>
              <w:sz w:val="48"/>
              <w:szCs w:val="48"/>
              <w:highlight w:val="none"/>
            </w:rPr>
            <w:t>目录</w:t>
          </w:r>
        </w:p>
        <w:p>
          <w:pPr>
            <w:pStyle w:val="2"/>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公开时间：20</w:t>
          </w:r>
          <w:r>
            <w:rPr>
              <w:rFonts w:hint="eastAsia" w:ascii="仿宋" w:hAnsi="仿宋" w:eastAsia="仿宋" w:cs="仿宋"/>
              <w:color w:val="auto"/>
              <w:sz w:val="28"/>
              <w:szCs w:val="28"/>
              <w:highlight w:val="none"/>
              <w:lang w:val="en-US" w:eastAsia="zh-CN"/>
            </w:rPr>
            <w:t>23</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10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17 </w:t>
          </w:r>
          <w:r>
            <w:rPr>
              <w:rFonts w:hint="eastAsia" w:ascii="仿宋" w:hAnsi="仿宋" w:eastAsia="仿宋" w:cs="仿宋"/>
              <w:color w:val="auto"/>
              <w:sz w:val="28"/>
              <w:szCs w:val="28"/>
              <w:highlight w:val="none"/>
            </w:rPr>
            <w:t>日</w:t>
          </w:r>
        </w:p>
        <w:p>
          <w:pPr>
            <w:pStyle w:val="31"/>
            <w:tabs>
              <w:tab w:val="right" w:leader="dot" w:pos="8306"/>
            </w:tabs>
            <w:rPr>
              <w:b/>
            </w:rPr>
          </w:pPr>
          <w:r>
            <w:rPr>
              <w:rFonts w:hint="eastAsia" w:ascii="黑体" w:hAnsi="黑体" w:eastAsia="黑体"/>
              <w:b w:val="0"/>
              <w:color w:val="auto"/>
              <w:highlight w:val="none"/>
            </w:rPr>
            <w:fldChar w:fldCharType="begin"/>
          </w:r>
          <w:r>
            <w:rPr>
              <w:rFonts w:hint="eastAsia" w:ascii="黑体" w:hAnsi="黑体" w:eastAsia="黑体"/>
              <w:b w:val="0"/>
              <w:color w:val="auto"/>
              <w:highlight w:val="none"/>
            </w:rPr>
            <w:instrText xml:space="preserve">TOC \o "1-2" \h \u </w:instrText>
          </w:r>
          <w:r>
            <w:rPr>
              <w:rFonts w:hint="eastAsia" w:ascii="黑体" w:hAnsi="黑体" w:eastAsia="黑体"/>
              <w:b w:val="0"/>
              <w:color w:val="auto"/>
              <w:highlight w:val="none"/>
            </w:rPr>
            <w:fldChar w:fldCharType="separate"/>
          </w:r>
        </w:p>
        <w:p>
          <w:pPr>
            <w:pStyle w:val="31"/>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b/>
              <w:sz w:val="21"/>
              <w:szCs w:val="21"/>
            </w:rPr>
          </w:pPr>
          <w:r>
            <w:rPr>
              <w:rFonts w:hint="eastAsia" w:ascii="楷体" w:hAnsi="楷体" w:eastAsia="楷体" w:cs="楷体"/>
              <w:b/>
              <w:color w:val="auto"/>
              <w:sz w:val="21"/>
              <w:szCs w:val="21"/>
              <w:highlight w:val="none"/>
            </w:rPr>
            <w:fldChar w:fldCharType="begin"/>
          </w:r>
          <w:r>
            <w:rPr>
              <w:rFonts w:hint="eastAsia" w:ascii="楷体" w:hAnsi="楷体" w:eastAsia="楷体" w:cs="楷体"/>
              <w:b/>
              <w:sz w:val="21"/>
              <w:szCs w:val="21"/>
              <w:highlight w:val="none"/>
            </w:rPr>
            <w:instrText xml:space="preserve"> HYPERLINK \l _Toc17902 </w:instrText>
          </w:r>
          <w:r>
            <w:rPr>
              <w:rFonts w:hint="eastAsia" w:ascii="楷体" w:hAnsi="楷体" w:eastAsia="楷体" w:cs="楷体"/>
              <w:b/>
              <w:sz w:val="21"/>
              <w:szCs w:val="21"/>
              <w:highlight w:val="none"/>
            </w:rPr>
            <w:fldChar w:fldCharType="separate"/>
          </w:r>
          <w:r>
            <w:rPr>
              <w:rFonts w:hint="eastAsia" w:ascii="楷体" w:hAnsi="楷体" w:eastAsia="楷体" w:cs="楷体"/>
              <w:b/>
              <w:sz w:val="21"/>
              <w:szCs w:val="21"/>
            </w:rPr>
            <w:t xml:space="preserve">第一部分 </w:t>
          </w:r>
          <w:r>
            <w:rPr>
              <w:rFonts w:hint="eastAsia" w:ascii="楷体" w:hAnsi="楷体" w:eastAsia="楷体" w:cs="楷体"/>
              <w:b/>
              <w:sz w:val="21"/>
              <w:szCs w:val="21"/>
              <w:highlight w:val="none"/>
              <w:lang w:eastAsia="zh-CN"/>
            </w:rPr>
            <w:t>单位</w:t>
          </w:r>
          <w:r>
            <w:rPr>
              <w:rFonts w:hint="eastAsia" w:ascii="楷体" w:hAnsi="楷体" w:eastAsia="楷体" w:cs="楷体"/>
              <w:b/>
              <w:bCs w:val="0"/>
              <w:sz w:val="21"/>
              <w:szCs w:val="21"/>
              <w:highlight w:val="none"/>
            </w:rPr>
            <w:t>概况</w:t>
          </w:r>
          <w:r>
            <w:rPr>
              <w:rFonts w:hint="eastAsia" w:ascii="楷体" w:hAnsi="楷体" w:eastAsia="楷体" w:cs="楷体"/>
              <w:b/>
              <w:sz w:val="21"/>
              <w:szCs w:val="21"/>
            </w:rPr>
            <w:tab/>
          </w:r>
          <w:r>
            <w:rPr>
              <w:rFonts w:hint="eastAsia" w:ascii="楷体" w:hAnsi="楷体" w:eastAsia="楷体" w:cs="楷体"/>
              <w:b/>
              <w:sz w:val="21"/>
              <w:szCs w:val="21"/>
            </w:rPr>
            <w:fldChar w:fldCharType="begin"/>
          </w:r>
          <w:r>
            <w:rPr>
              <w:rFonts w:hint="eastAsia" w:ascii="楷体" w:hAnsi="楷体" w:eastAsia="楷体" w:cs="楷体"/>
              <w:b/>
              <w:sz w:val="21"/>
              <w:szCs w:val="21"/>
            </w:rPr>
            <w:instrText xml:space="preserve"> PAGEREF _Toc17902 \h </w:instrText>
          </w:r>
          <w:r>
            <w:rPr>
              <w:rFonts w:hint="eastAsia" w:ascii="楷体" w:hAnsi="楷体" w:eastAsia="楷体" w:cs="楷体"/>
              <w:b/>
              <w:sz w:val="21"/>
              <w:szCs w:val="21"/>
            </w:rPr>
            <w:fldChar w:fldCharType="separate"/>
          </w:r>
          <w:r>
            <w:rPr>
              <w:rFonts w:hint="eastAsia" w:ascii="楷体" w:hAnsi="楷体" w:eastAsia="楷体" w:cs="楷体"/>
              <w:b/>
              <w:sz w:val="21"/>
              <w:szCs w:val="21"/>
            </w:rPr>
            <w:t>1</w:t>
          </w:r>
          <w:r>
            <w:rPr>
              <w:rFonts w:hint="eastAsia" w:ascii="楷体" w:hAnsi="楷体" w:eastAsia="楷体" w:cs="楷体"/>
              <w:b/>
              <w:sz w:val="21"/>
              <w:szCs w:val="21"/>
            </w:rPr>
            <w:fldChar w:fldCharType="end"/>
          </w:r>
          <w:r>
            <w:rPr>
              <w:rFonts w:hint="eastAsia" w:ascii="楷体" w:hAnsi="楷体" w:eastAsia="楷体" w:cs="楷体"/>
              <w:b/>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_Toc31106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lang w:eastAsia="zh-CN"/>
            </w:rPr>
            <w:t>一、</w:t>
          </w:r>
          <w:r>
            <w:rPr>
              <w:rFonts w:hint="eastAsia" w:ascii="楷体" w:hAnsi="楷体" w:eastAsia="楷体" w:cs="楷体"/>
              <w:bCs w:val="0"/>
              <w:sz w:val="21"/>
              <w:szCs w:val="21"/>
              <w:highlight w:val="none"/>
              <w:lang w:eastAsia="zh-CN"/>
            </w:rPr>
            <w:t>主要职责</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_Toc31106 \h </w:instrText>
          </w:r>
          <w:r>
            <w:rPr>
              <w:rFonts w:hint="eastAsia" w:ascii="楷体" w:hAnsi="楷体" w:eastAsia="楷体" w:cs="楷体"/>
              <w:sz w:val="21"/>
              <w:szCs w:val="21"/>
            </w:rPr>
            <w:fldChar w:fldCharType="separate"/>
          </w:r>
          <w:r>
            <w:rPr>
              <w:rFonts w:hint="eastAsia" w:ascii="楷体" w:hAnsi="楷体" w:eastAsia="楷体" w:cs="楷体"/>
              <w:sz w:val="21"/>
              <w:szCs w:val="21"/>
            </w:rPr>
            <w:t>1</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_Toc28787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highlight w:val="none"/>
              <w:lang w:val="en-US" w:eastAsia="zh-CN"/>
            </w:rPr>
            <w:t>二、机构设置</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_Toc28787 \h </w:instrText>
          </w:r>
          <w:r>
            <w:rPr>
              <w:rFonts w:hint="eastAsia" w:ascii="楷体" w:hAnsi="楷体" w:eastAsia="楷体" w:cs="楷体"/>
              <w:sz w:val="21"/>
              <w:szCs w:val="21"/>
            </w:rPr>
            <w:fldChar w:fldCharType="separate"/>
          </w:r>
          <w:r>
            <w:rPr>
              <w:rFonts w:hint="eastAsia" w:ascii="楷体" w:hAnsi="楷体" w:eastAsia="楷体" w:cs="楷体"/>
              <w:sz w:val="21"/>
              <w:szCs w:val="21"/>
            </w:rPr>
            <w:t>1</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1"/>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b/>
              <w:sz w:val="21"/>
              <w:szCs w:val="21"/>
            </w:rPr>
          </w:pPr>
          <w:r>
            <w:rPr>
              <w:rFonts w:hint="eastAsia" w:ascii="楷体" w:hAnsi="楷体" w:eastAsia="楷体" w:cs="楷体"/>
              <w:b/>
              <w:color w:val="auto"/>
              <w:sz w:val="21"/>
              <w:szCs w:val="21"/>
              <w:highlight w:val="none"/>
            </w:rPr>
            <w:fldChar w:fldCharType="begin"/>
          </w:r>
          <w:r>
            <w:rPr>
              <w:rFonts w:hint="eastAsia" w:ascii="楷体" w:hAnsi="楷体" w:eastAsia="楷体" w:cs="楷体"/>
              <w:b/>
              <w:sz w:val="21"/>
              <w:szCs w:val="21"/>
              <w:highlight w:val="none"/>
            </w:rPr>
            <w:instrText xml:space="preserve"> HYPERLINK \l _Toc389 </w:instrText>
          </w:r>
          <w:r>
            <w:rPr>
              <w:rFonts w:hint="eastAsia" w:ascii="楷体" w:hAnsi="楷体" w:eastAsia="楷体" w:cs="楷体"/>
              <w:b/>
              <w:sz w:val="21"/>
              <w:szCs w:val="21"/>
              <w:highlight w:val="none"/>
            </w:rPr>
            <w:fldChar w:fldCharType="separate"/>
          </w:r>
          <w:r>
            <w:rPr>
              <w:rFonts w:hint="eastAsia" w:ascii="楷体" w:hAnsi="楷体" w:eastAsia="楷体" w:cs="楷体"/>
              <w:b/>
              <w:bCs/>
              <w:sz w:val="21"/>
              <w:szCs w:val="21"/>
              <w:highlight w:val="none"/>
            </w:rPr>
            <w:t xml:space="preserve">第二部分 </w:t>
          </w:r>
          <w:r>
            <w:rPr>
              <w:rFonts w:hint="eastAsia" w:ascii="楷体" w:hAnsi="楷体" w:eastAsia="楷体" w:cs="楷体"/>
              <w:b/>
              <w:bCs/>
              <w:sz w:val="21"/>
              <w:szCs w:val="21"/>
              <w:highlight w:val="none"/>
              <w:lang w:val="en-US" w:eastAsia="zh-CN"/>
            </w:rPr>
            <w:t>2022年度</w:t>
          </w:r>
          <w:r>
            <w:rPr>
              <w:rFonts w:hint="eastAsia" w:ascii="楷体" w:hAnsi="楷体" w:eastAsia="楷体" w:cs="楷体"/>
              <w:b/>
              <w:bCs/>
              <w:sz w:val="21"/>
              <w:szCs w:val="21"/>
              <w:highlight w:val="none"/>
              <w:lang w:eastAsia="zh-CN"/>
            </w:rPr>
            <w:t>单位</w:t>
          </w:r>
          <w:r>
            <w:rPr>
              <w:rFonts w:hint="eastAsia" w:ascii="楷体" w:hAnsi="楷体" w:eastAsia="楷体" w:cs="楷体"/>
              <w:b/>
              <w:bCs/>
              <w:sz w:val="21"/>
              <w:szCs w:val="21"/>
              <w:highlight w:val="none"/>
            </w:rPr>
            <w:t>决算情况说明</w:t>
          </w:r>
          <w:r>
            <w:rPr>
              <w:rFonts w:hint="eastAsia" w:ascii="楷体" w:hAnsi="楷体" w:eastAsia="楷体" w:cs="楷体"/>
              <w:b/>
              <w:sz w:val="21"/>
              <w:szCs w:val="21"/>
            </w:rPr>
            <w:tab/>
          </w:r>
          <w:r>
            <w:rPr>
              <w:rFonts w:hint="eastAsia" w:ascii="楷体" w:hAnsi="楷体" w:eastAsia="楷体" w:cs="楷体"/>
              <w:b/>
              <w:sz w:val="21"/>
              <w:szCs w:val="21"/>
            </w:rPr>
            <w:fldChar w:fldCharType="begin"/>
          </w:r>
          <w:r>
            <w:rPr>
              <w:rFonts w:hint="eastAsia" w:ascii="楷体" w:hAnsi="楷体" w:eastAsia="楷体" w:cs="楷体"/>
              <w:b/>
              <w:sz w:val="21"/>
              <w:szCs w:val="21"/>
            </w:rPr>
            <w:instrText xml:space="preserve"> PAGEREF _Toc389 \h </w:instrText>
          </w:r>
          <w:r>
            <w:rPr>
              <w:rFonts w:hint="eastAsia" w:ascii="楷体" w:hAnsi="楷体" w:eastAsia="楷体" w:cs="楷体"/>
              <w:b/>
              <w:sz w:val="21"/>
              <w:szCs w:val="21"/>
            </w:rPr>
            <w:fldChar w:fldCharType="separate"/>
          </w:r>
          <w:r>
            <w:rPr>
              <w:rFonts w:hint="eastAsia" w:ascii="楷体" w:hAnsi="楷体" w:eastAsia="楷体" w:cs="楷体"/>
              <w:b/>
              <w:sz w:val="21"/>
              <w:szCs w:val="21"/>
            </w:rPr>
            <w:t>2</w:t>
          </w:r>
          <w:r>
            <w:rPr>
              <w:rFonts w:hint="eastAsia" w:ascii="楷体" w:hAnsi="楷体" w:eastAsia="楷体" w:cs="楷体"/>
              <w:b/>
              <w:sz w:val="21"/>
              <w:szCs w:val="21"/>
            </w:rPr>
            <w:fldChar w:fldCharType="end"/>
          </w:r>
          <w:r>
            <w:rPr>
              <w:rFonts w:hint="eastAsia" w:ascii="楷体" w:hAnsi="楷体" w:eastAsia="楷体" w:cs="楷体"/>
              <w:b/>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_Toc11213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一、</w:t>
          </w:r>
          <w:r>
            <w:rPr>
              <w:rFonts w:hint="eastAsia" w:ascii="楷体" w:hAnsi="楷体" w:eastAsia="楷体" w:cs="楷体"/>
              <w:sz w:val="21"/>
              <w:szCs w:val="21"/>
              <w:highlight w:val="none"/>
            </w:rPr>
            <w:t>收入支出决算总体情况说明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_Toc11213 \h </w:instrText>
          </w:r>
          <w:r>
            <w:rPr>
              <w:rFonts w:hint="eastAsia" w:ascii="楷体" w:hAnsi="楷体" w:eastAsia="楷体" w:cs="楷体"/>
              <w:sz w:val="21"/>
              <w:szCs w:val="21"/>
            </w:rPr>
            <w:fldChar w:fldCharType="separate"/>
          </w:r>
          <w:r>
            <w:rPr>
              <w:rFonts w:hint="eastAsia" w:ascii="楷体" w:hAnsi="楷体" w:eastAsia="楷体" w:cs="楷体"/>
              <w:sz w:val="21"/>
              <w:szCs w:val="21"/>
            </w:rPr>
            <w:t>2</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_Toc20568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二、</w:t>
          </w:r>
          <w:r>
            <w:rPr>
              <w:rFonts w:hint="eastAsia" w:ascii="楷体" w:hAnsi="楷体" w:eastAsia="楷体" w:cs="楷体"/>
              <w:sz w:val="21"/>
              <w:szCs w:val="21"/>
              <w:highlight w:val="none"/>
            </w:rPr>
            <w:t>收入决算情况说明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_Toc20568 \h </w:instrText>
          </w:r>
          <w:r>
            <w:rPr>
              <w:rFonts w:hint="eastAsia" w:ascii="楷体" w:hAnsi="楷体" w:eastAsia="楷体" w:cs="楷体"/>
              <w:sz w:val="21"/>
              <w:szCs w:val="21"/>
            </w:rPr>
            <w:fldChar w:fldCharType="separate"/>
          </w:r>
          <w:r>
            <w:rPr>
              <w:rFonts w:hint="eastAsia" w:ascii="楷体" w:hAnsi="楷体" w:eastAsia="楷体" w:cs="楷体"/>
              <w:sz w:val="21"/>
              <w:szCs w:val="21"/>
            </w:rPr>
            <w:t>2</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_Toc27484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三、</w:t>
          </w:r>
          <w:r>
            <w:rPr>
              <w:rFonts w:hint="eastAsia" w:ascii="楷体" w:hAnsi="楷体" w:eastAsia="楷体" w:cs="楷体"/>
              <w:sz w:val="21"/>
              <w:szCs w:val="21"/>
              <w:highlight w:val="none"/>
            </w:rPr>
            <w:t>支出决算情况说明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_Toc27484 \h </w:instrText>
          </w:r>
          <w:r>
            <w:rPr>
              <w:rFonts w:hint="eastAsia" w:ascii="楷体" w:hAnsi="楷体" w:eastAsia="楷体" w:cs="楷体"/>
              <w:sz w:val="21"/>
              <w:szCs w:val="21"/>
            </w:rPr>
            <w:fldChar w:fldCharType="separate"/>
          </w:r>
          <w:r>
            <w:rPr>
              <w:rFonts w:hint="eastAsia" w:ascii="楷体" w:hAnsi="楷体" w:eastAsia="楷体" w:cs="楷体"/>
              <w:sz w:val="21"/>
              <w:szCs w:val="21"/>
            </w:rPr>
            <w:t>3</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_Toc5592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highlight w:val="none"/>
            </w:rPr>
            <w:t>四、财政拨款收入支出决算总体情况说明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_Toc5592 \h </w:instrText>
          </w:r>
          <w:r>
            <w:rPr>
              <w:rFonts w:hint="eastAsia" w:ascii="楷体" w:hAnsi="楷体" w:eastAsia="楷体" w:cs="楷体"/>
              <w:sz w:val="21"/>
              <w:szCs w:val="21"/>
            </w:rPr>
            <w:fldChar w:fldCharType="separate"/>
          </w:r>
          <w:r>
            <w:rPr>
              <w:rFonts w:hint="eastAsia" w:ascii="楷体" w:hAnsi="楷体" w:eastAsia="楷体" w:cs="楷体"/>
              <w:sz w:val="21"/>
              <w:szCs w:val="21"/>
            </w:rPr>
            <w:t>3</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_Toc32533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highlight w:val="none"/>
            </w:rPr>
            <w:t>五、一般公共预算财政拨款支出决算情况说明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_Toc32533 \h </w:instrText>
          </w:r>
          <w:r>
            <w:rPr>
              <w:rFonts w:hint="eastAsia" w:ascii="楷体" w:hAnsi="楷体" w:eastAsia="楷体" w:cs="楷体"/>
              <w:sz w:val="21"/>
              <w:szCs w:val="21"/>
            </w:rPr>
            <w:fldChar w:fldCharType="separate"/>
          </w:r>
          <w:r>
            <w:rPr>
              <w:rFonts w:hint="eastAsia" w:ascii="楷体" w:hAnsi="楷体" w:eastAsia="楷体" w:cs="楷体"/>
              <w:sz w:val="21"/>
              <w:szCs w:val="21"/>
            </w:rPr>
            <w:t>4</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_Toc7617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highlight w:val="none"/>
            </w:rPr>
            <w:t>六、一般公共预算财政拨款基本支出决算情况说明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_Toc7617 \h </w:instrText>
          </w:r>
          <w:r>
            <w:rPr>
              <w:rFonts w:hint="eastAsia" w:ascii="楷体" w:hAnsi="楷体" w:eastAsia="楷体" w:cs="楷体"/>
              <w:sz w:val="21"/>
              <w:szCs w:val="21"/>
            </w:rPr>
            <w:fldChar w:fldCharType="separate"/>
          </w:r>
          <w:r>
            <w:rPr>
              <w:rFonts w:hint="eastAsia" w:ascii="楷体" w:hAnsi="楷体" w:eastAsia="楷体" w:cs="楷体"/>
              <w:sz w:val="21"/>
              <w:szCs w:val="21"/>
            </w:rPr>
            <w:t>6</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_Toc12378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highlight w:val="none"/>
            </w:rPr>
            <w:t>七、财政拨款“三公”经费支出决算情况说明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_Toc12378 \h </w:instrText>
          </w:r>
          <w:r>
            <w:rPr>
              <w:rFonts w:hint="eastAsia" w:ascii="楷体" w:hAnsi="楷体" w:eastAsia="楷体" w:cs="楷体"/>
              <w:sz w:val="21"/>
              <w:szCs w:val="21"/>
            </w:rPr>
            <w:fldChar w:fldCharType="separate"/>
          </w:r>
          <w:r>
            <w:rPr>
              <w:rFonts w:hint="eastAsia" w:ascii="楷体" w:hAnsi="楷体" w:eastAsia="楷体" w:cs="楷体"/>
              <w:sz w:val="21"/>
              <w:szCs w:val="21"/>
            </w:rPr>
            <w:t>7</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_Toc26787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highlight w:val="none"/>
            </w:rPr>
            <w:t>八、政府性基金预算支出决算情况说明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_Toc26787 \h </w:instrText>
          </w:r>
          <w:r>
            <w:rPr>
              <w:rFonts w:hint="eastAsia" w:ascii="楷体" w:hAnsi="楷体" w:eastAsia="楷体" w:cs="楷体"/>
              <w:sz w:val="21"/>
              <w:szCs w:val="21"/>
            </w:rPr>
            <w:fldChar w:fldCharType="separate"/>
          </w:r>
          <w:r>
            <w:rPr>
              <w:rFonts w:hint="eastAsia" w:ascii="楷体" w:hAnsi="楷体" w:eastAsia="楷体" w:cs="楷体"/>
              <w:sz w:val="21"/>
              <w:szCs w:val="21"/>
            </w:rPr>
            <w:t>8</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_Toc31673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九、</w:t>
          </w:r>
          <w:r>
            <w:rPr>
              <w:rFonts w:hint="eastAsia" w:ascii="楷体" w:hAnsi="楷体" w:eastAsia="楷体" w:cs="楷体"/>
              <w:sz w:val="21"/>
              <w:szCs w:val="21"/>
              <w:highlight w:val="none"/>
            </w:rPr>
            <w:t>国有资本经营预算支出决算情况说明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_Toc31673 \h </w:instrText>
          </w:r>
          <w:r>
            <w:rPr>
              <w:rFonts w:hint="eastAsia" w:ascii="楷体" w:hAnsi="楷体" w:eastAsia="楷体" w:cs="楷体"/>
              <w:sz w:val="21"/>
              <w:szCs w:val="21"/>
            </w:rPr>
            <w:fldChar w:fldCharType="separate"/>
          </w:r>
          <w:r>
            <w:rPr>
              <w:rFonts w:hint="eastAsia" w:ascii="楷体" w:hAnsi="楷体" w:eastAsia="楷体" w:cs="楷体"/>
              <w:sz w:val="21"/>
              <w:szCs w:val="21"/>
            </w:rPr>
            <w:t>8</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_Toc10774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十、</w:t>
          </w:r>
          <w:r>
            <w:rPr>
              <w:rFonts w:hint="eastAsia" w:ascii="楷体" w:hAnsi="楷体" w:eastAsia="楷体" w:cs="楷体"/>
              <w:sz w:val="21"/>
              <w:szCs w:val="21"/>
              <w:highlight w:val="none"/>
            </w:rPr>
            <w:t>其他重要事项的情况说明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_Toc10774 \h </w:instrText>
          </w:r>
          <w:r>
            <w:rPr>
              <w:rFonts w:hint="eastAsia" w:ascii="楷体" w:hAnsi="楷体" w:eastAsia="楷体" w:cs="楷体"/>
              <w:sz w:val="21"/>
              <w:szCs w:val="21"/>
            </w:rPr>
            <w:fldChar w:fldCharType="separate"/>
          </w:r>
          <w:r>
            <w:rPr>
              <w:rFonts w:hint="eastAsia" w:ascii="楷体" w:hAnsi="楷体" w:eastAsia="楷体" w:cs="楷体"/>
              <w:sz w:val="21"/>
              <w:szCs w:val="21"/>
            </w:rPr>
            <w:t>8</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1"/>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b/>
              <w:sz w:val="21"/>
              <w:szCs w:val="21"/>
            </w:rPr>
          </w:pPr>
          <w:r>
            <w:rPr>
              <w:rFonts w:hint="eastAsia" w:ascii="楷体" w:hAnsi="楷体" w:eastAsia="楷体" w:cs="楷体"/>
              <w:b/>
              <w:color w:val="auto"/>
              <w:sz w:val="21"/>
              <w:szCs w:val="21"/>
              <w:highlight w:val="none"/>
            </w:rPr>
            <w:fldChar w:fldCharType="begin"/>
          </w:r>
          <w:r>
            <w:rPr>
              <w:rFonts w:hint="eastAsia" w:ascii="楷体" w:hAnsi="楷体" w:eastAsia="楷体" w:cs="楷体"/>
              <w:b/>
              <w:sz w:val="21"/>
              <w:szCs w:val="21"/>
              <w:highlight w:val="none"/>
            </w:rPr>
            <w:instrText xml:space="preserve"> HYPERLINK \l _Toc21968 </w:instrText>
          </w:r>
          <w:r>
            <w:rPr>
              <w:rFonts w:hint="eastAsia" w:ascii="楷体" w:hAnsi="楷体" w:eastAsia="楷体" w:cs="楷体"/>
              <w:b/>
              <w:sz w:val="21"/>
              <w:szCs w:val="21"/>
              <w:highlight w:val="none"/>
            </w:rPr>
            <w:fldChar w:fldCharType="separate"/>
          </w:r>
          <w:r>
            <w:rPr>
              <w:rFonts w:hint="eastAsia" w:ascii="楷体" w:hAnsi="楷体" w:eastAsia="楷体" w:cs="楷体"/>
              <w:b/>
              <w:sz w:val="21"/>
              <w:szCs w:val="21"/>
            </w:rPr>
            <w:t xml:space="preserve">第三部分 </w:t>
          </w:r>
          <w:r>
            <w:rPr>
              <w:rFonts w:hint="eastAsia" w:ascii="楷体" w:hAnsi="楷体" w:eastAsia="楷体" w:cs="楷体"/>
              <w:b/>
              <w:sz w:val="21"/>
              <w:szCs w:val="21"/>
              <w:highlight w:val="none"/>
            </w:rPr>
            <w:t>名词解释</w:t>
          </w:r>
          <w:r>
            <w:rPr>
              <w:rFonts w:hint="eastAsia" w:ascii="楷体" w:hAnsi="楷体" w:eastAsia="楷体" w:cs="楷体"/>
              <w:b/>
              <w:sz w:val="21"/>
              <w:szCs w:val="21"/>
            </w:rPr>
            <w:tab/>
          </w:r>
          <w:r>
            <w:rPr>
              <w:rFonts w:hint="eastAsia" w:ascii="楷体" w:hAnsi="楷体" w:eastAsia="楷体" w:cs="楷体"/>
              <w:b/>
              <w:sz w:val="21"/>
              <w:szCs w:val="21"/>
            </w:rPr>
            <w:fldChar w:fldCharType="begin"/>
          </w:r>
          <w:r>
            <w:rPr>
              <w:rFonts w:hint="eastAsia" w:ascii="楷体" w:hAnsi="楷体" w:eastAsia="楷体" w:cs="楷体"/>
              <w:b/>
              <w:sz w:val="21"/>
              <w:szCs w:val="21"/>
            </w:rPr>
            <w:instrText xml:space="preserve"> PAGEREF _Toc21968 \h </w:instrText>
          </w:r>
          <w:r>
            <w:rPr>
              <w:rFonts w:hint="eastAsia" w:ascii="楷体" w:hAnsi="楷体" w:eastAsia="楷体" w:cs="楷体"/>
              <w:b/>
              <w:sz w:val="21"/>
              <w:szCs w:val="21"/>
            </w:rPr>
            <w:fldChar w:fldCharType="separate"/>
          </w:r>
          <w:r>
            <w:rPr>
              <w:rFonts w:hint="eastAsia" w:ascii="楷体" w:hAnsi="楷体" w:eastAsia="楷体" w:cs="楷体"/>
              <w:b/>
              <w:sz w:val="21"/>
              <w:szCs w:val="21"/>
            </w:rPr>
            <w:t>10</w:t>
          </w:r>
          <w:r>
            <w:rPr>
              <w:rFonts w:hint="eastAsia" w:ascii="楷体" w:hAnsi="楷体" w:eastAsia="楷体" w:cs="楷体"/>
              <w:b/>
              <w:sz w:val="21"/>
              <w:szCs w:val="21"/>
            </w:rPr>
            <w:fldChar w:fldCharType="end"/>
          </w:r>
          <w:r>
            <w:rPr>
              <w:rFonts w:hint="eastAsia" w:ascii="楷体" w:hAnsi="楷体" w:eastAsia="楷体" w:cs="楷体"/>
              <w:b/>
              <w:color w:val="auto"/>
              <w:sz w:val="21"/>
              <w:szCs w:val="21"/>
              <w:highlight w:val="none"/>
            </w:rPr>
            <w:fldChar w:fldCharType="end"/>
          </w:r>
        </w:p>
        <w:p>
          <w:pPr>
            <w:pStyle w:val="31"/>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b/>
              <w:sz w:val="21"/>
              <w:szCs w:val="21"/>
            </w:rPr>
          </w:pPr>
          <w:r>
            <w:rPr>
              <w:rFonts w:hint="eastAsia" w:ascii="楷体" w:hAnsi="楷体" w:eastAsia="楷体" w:cs="楷体"/>
              <w:b/>
              <w:color w:val="auto"/>
              <w:sz w:val="21"/>
              <w:szCs w:val="21"/>
              <w:highlight w:val="none"/>
            </w:rPr>
            <w:fldChar w:fldCharType="begin"/>
          </w:r>
          <w:r>
            <w:rPr>
              <w:rFonts w:hint="eastAsia" w:ascii="楷体" w:hAnsi="楷体" w:eastAsia="楷体" w:cs="楷体"/>
              <w:b/>
              <w:sz w:val="21"/>
              <w:szCs w:val="21"/>
              <w:highlight w:val="none"/>
            </w:rPr>
            <w:instrText xml:space="preserve"> HYPERLINK \l _Toc9504 </w:instrText>
          </w:r>
          <w:r>
            <w:rPr>
              <w:rFonts w:hint="eastAsia" w:ascii="楷体" w:hAnsi="楷体" w:eastAsia="楷体" w:cs="楷体"/>
              <w:b/>
              <w:sz w:val="21"/>
              <w:szCs w:val="21"/>
              <w:highlight w:val="none"/>
            </w:rPr>
            <w:fldChar w:fldCharType="separate"/>
          </w:r>
          <w:r>
            <w:rPr>
              <w:rFonts w:hint="eastAsia" w:ascii="楷体" w:hAnsi="楷体" w:eastAsia="楷体" w:cs="楷体"/>
              <w:b/>
              <w:sz w:val="21"/>
              <w:szCs w:val="21"/>
              <w:highlight w:val="none"/>
            </w:rPr>
            <w:t>第四部分 附件</w:t>
          </w:r>
          <w:r>
            <w:rPr>
              <w:rFonts w:hint="eastAsia" w:ascii="楷体" w:hAnsi="楷体" w:eastAsia="楷体" w:cs="楷体"/>
              <w:b/>
              <w:sz w:val="21"/>
              <w:szCs w:val="21"/>
            </w:rPr>
            <w:tab/>
          </w:r>
          <w:r>
            <w:rPr>
              <w:rFonts w:hint="eastAsia" w:ascii="楷体" w:hAnsi="楷体" w:eastAsia="楷体" w:cs="楷体"/>
              <w:b/>
              <w:sz w:val="21"/>
              <w:szCs w:val="21"/>
            </w:rPr>
            <w:fldChar w:fldCharType="begin"/>
          </w:r>
          <w:r>
            <w:rPr>
              <w:rFonts w:hint="eastAsia" w:ascii="楷体" w:hAnsi="楷体" w:eastAsia="楷体" w:cs="楷体"/>
              <w:b/>
              <w:sz w:val="21"/>
              <w:szCs w:val="21"/>
            </w:rPr>
            <w:instrText xml:space="preserve"> PAGEREF _Toc9504 \h </w:instrText>
          </w:r>
          <w:r>
            <w:rPr>
              <w:rFonts w:hint="eastAsia" w:ascii="楷体" w:hAnsi="楷体" w:eastAsia="楷体" w:cs="楷体"/>
              <w:b/>
              <w:sz w:val="21"/>
              <w:szCs w:val="21"/>
            </w:rPr>
            <w:fldChar w:fldCharType="separate"/>
          </w:r>
          <w:r>
            <w:rPr>
              <w:rFonts w:hint="eastAsia" w:ascii="楷体" w:hAnsi="楷体" w:eastAsia="楷体" w:cs="楷体"/>
              <w:b/>
              <w:sz w:val="21"/>
              <w:szCs w:val="21"/>
            </w:rPr>
            <w:t>12</w:t>
          </w:r>
          <w:r>
            <w:rPr>
              <w:rFonts w:hint="eastAsia" w:ascii="楷体" w:hAnsi="楷体" w:eastAsia="楷体" w:cs="楷体"/>
              <w:b/>
              <w:sz w:val="21"/>
              <w:szCs w:val="21"/>
            </w:rPr>
            <w:fldChar w:fldCharType="end"/>
          </w:r>
          <w:r>
            <w:rPr>
              <w:rFonts w:hint="eastAsia" w:ascii="楷体" w:hAnsi="楷体" w:eastAsia="楷体" w:cs="楷体"/>
              <w:b/>
              <w:color w:val="auto"/>
              <w:sz w:val="21"/>
              <w:szCs w:val="21"/>
              <w:highlight w:val="none"/>
            </w:rPr>
            <w:fldChar w:fldCharType="end"/>
          </w:r>
        </w:p>
        <w:p>
          <w:pPr>
            <w:pStyle w:val="31"/>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b/>
              <w:sz w:val="21"/>
              <w:szCs w:val="21"/>
            </w:rPr>
          </w:pPr>
          <w:r>
            <w:rPr>
              <w:rFonts w:hint="eastAsia" w:ascii="楷体" w:hAnsi="楷体" w:eastAsia="楷体" w:cs="楷体"/>
              <w:b/>
              <w:color w:val="auto"/>
              <w:sz w:val="21"/>
              <w:szCs w:val="21"/>
              <w:highlight w:val="none"/>
            </w:rPr>
            <w:fldChar w:fldCharType="begin"/>
          </w:r>
          <w:r>
            <w:rPr>
              <w:rFonts w:hint="eastAsia" w:ascii="楷体" w:hAnsi="楷体" w:eastAsia="楷体" w:cs="楷体"/>
              <w:b/>
              <w:sz w:val="21"/>
              <w:szCs w:val="21"/>
              <w:highlight w:val="none"/>
            </w:rPr>
            <w:instrText xml:space="preserve"> HYPERLINK \l _Toc6888 </w:instrText>
          </w:r>
          <w:r>
            <w:rPr>
              <w:rFonts w:hint="eastAsia" w:ascii="楷体" w:hAnsi="楷体" w:eastAsia="楷体" w:cs="楷体"/>
              <w:b/>
              <w:sz w:val="21"/>
              <w:szCs w:val="21"/>
              <w:highlight w:val="none"/>
            </w:rPr>
            <w:fldChar w:fldCharType="separate"/>
          </w:r>
          <w:r>
            <w:rPr>
              <w:rFonts w:hint="eastAsia" w:ascii="楷体" w:hAnsi="楷体" w:eastAsia="楷体" w:cs="楷体"/>
              <w:b/>
              <w:sz w:val="21"/>
              <w:szCs w:val="21"/>
              <w:highlight w:val="none"/>
            </w:rPr>
            <w:t>第五部分 附表</w:t>
          </w:r>
          <w:r>
            <w:rPr>
              <w:rFonts w:hint="eastAsia" w:ascii="楷体" w:hAnsi="楷体" w:eastAsia="楷体" w:cs="楷体"/>
              <w:b/>
              <w:sz w:val="21"/>
              <w:szCs w:val="21"/>
            </w:rPr>
            <w:tab/>
          </w:r>
          <w:r>
            <w:rPr>
              <w:rFonts w:hint="eastAsia" w:ascii="楷体" w:hAnsi="楷体" w:eastAsia="楷体" w:cs="楷体"/>
              <w:b/>
              <w:sz w:val="21"/>
              <w:szCs w:val="21"/>
            </w:rPr>
            <w:fldChar w:fldCharType="begin"/>
          </w:r>
          <w:r>
            <w:rPr>
              <w:rFonts w:hint="eastAsia" w:ascii="楷体" w:hAnsi="楷体" w:eastAsia="楷体" w:cs="楷体"/>
              <w:b/>
              <w:sz w:val="21"/>
              <w:szCs w:val="21"/>
            </w:rPr>
            <w:instrText xml:space="preserve"> PAGEREF _Toc6888 \h </w:instrText>
          </w:r>
          <w:r>
            <w:rPr>
              <w:rFonts w:hint="eastAsia" w:ascii="楷体" w:hAnsi="楷体" w:eastAsia="楷体" w:cs="楷体"/>
              <w:b/>
              <w:sz w:val="21"/>
              <w:szCs w:val="21"/>
            </w:rPr>
            <w:fldChar w:fldCharType="separate"/>
          </w:r>
          <w:r>
            <w:rPr>
              <w:rFonts w:hint="eastAsia" w:ascii="楷体" w:hAnsi="楷体" w:eastAsia="楷体" w:cs="楷体"/>
              <w:b/>
              <w:sz w:val="21"/>
              <w:szCs w:val="21"/>
            </w:rPr>
            <w:t>25</w:t>
          </w:r>
          <w:r>
            <w:rPr>
              <w:rFonts w:hint="eastAsia" w:ascii="楷体" w:hAnsi="楷体" w:eastAsia="楷体" w:cs="楷体"/>
              <w:b/>
              <w:sz w:val="21"/>
              <w:szCs w:val="21"/>
            </w:rPr>
            <w:fldChar w:fldCharType="end"/>
          </w:r>
          <w:r>
            <w:rPr>
              <w:rFonts w:hint="eastAsia" w:ascii="楷体" w:hAnsi="楷体" w:eastAsia="楷体" w:cs="楷体"/>
              <w:b/>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_Toc15575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highlight w:val="none"/>
            </w:rPr>
            <w:t>一、收</w:t>
          </w:r>
          <w:r>
            <w:rPr>
              <w:rFonts w:hint="eastAsia" w:ascii="楷体" w:hAnsi="楷体" w:eastAsia="楷体" w:cs="楷体"/>
              <w:bCs w:val="0"/>
              <w:sz w:val="21"/>
              <w:szCs w:val="21"/>
              <w:highlight w:val="none"/>
            </w:rPr>
            <w:t>入支出决算总表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_Toc15575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_Toc489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highlight w:val="none"/>
            </w:rPr>
            <w:t>二、收</w:t>
          </w:r>
          <w:r>
            <w:rPr>
              <w:rFonts w:hint="eastAsia" w:ascii="楷体" w:hAnsi="楷体" w:eastAsia="楷体" w:cs="楷体"/>
              <w:bCs w:val="0"/>
              <w:sz w:val="21"/>
              <w:szCs w:val="21"/>
              <w:highlight w:val="none"/>
            </w:rPr>
            <w:t>入决算表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_Toc489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_Toc21508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highlight w:val="none"/>
            </w:rPr>
            <w:t>三、</w:t>
          </w:r>
          <w:r>
            <w:rPr>
              <w:rFonts w:hint="eastAsia" w:ascii="楷体" w:hAnsi="楷体" w:eastAsia="楷体" w:cs="楷体"/>
              <w:sz w:val="21"/>
              <w:szCs w:val="21"/>
              <w:highlight w:val="none"/>
            </w:rPr>
            <w:t>支</w:t>
          </w:r>
          <w:r>
            <w:rPr>
              <w:rFonts w:hint="eastAsia" w:ascii="楷体" w:hAnsi="楷体" w:eastAsia="楷体" w:cs="楷体"/>
              <w:bCs w:val="0"/>
              <w:sz w:val="21"/>
              <w:szCs w:val="21"/>
              <w:highlight w:val="none"/>
            </w:rPr>
            <w:t>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_Toc21508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_Toc21487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highlight w:val="none"/>
            </w:rPr>
            <w:t>四、</w:t>
          </w:r>
          <w:r>
            <w:rPr>
              <w:rFonts w:hint="eastAsia" w:ascii="楷体" w:hAnsi="楷体" w:eastAsia="楷体" w:cs="楷体"/>
              <w:sz w:val="21"/>
              <w:szCs w:val="21"/>
              <w:highlight w:val="none"/>
            </w:rPr>
            <w:t>财</w:t>
          </w:r>
          <w:r>
            <w:rPr>
              <w:rFonts w:hint="eastAsia" w:ascii="楷体" w:hAnsi="楷体" w:eastAsia="楷体" w:cs="楷体"/>
              <w:bCs w:val="0"/>
              <w:sz w:val="21"/>
              <w:szCs w:val="21"/>
              <w:highlight w:val="none"/>
            </w:rPr>
            <w:t>政拨款收入支出决算总表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_Toc21487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_Toc8936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highlight w:val="none"/>
            </w:rPr>
            <w:t>五、</w:t>
          </w:r>
          <w:r>
            <w:rPr>
              <w:rFonts w:hint="eastAsia" w:ascii="楷体" w:hAnsi="楷体" w:eastAsia="楷体" w:cs="楷体"/>
              <w:sz w:val="21"/>
              <w:szCs w:val="21"/>
              <w:highlight w:val="none"/>
            </w:rPr>
            <w:t>财</w:t>
          </w:r>
          <w:r>
            <w:rPr>
              <w:rFonts w:hint="eastAsia" w:ascii="楷体" w:hAnsi="楷体" w:eastAsia="楷体" w:cs="楷体"/>
              <w:bCs w:val="0"/>
              <w:sz w:val="21"/>
              <w:szCs w:val="21"/>
              <w:highlight w:val="none"/>
            </w:rPr>
            <w:t>政拨款支出决算明细表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_Toc8936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_Toc30087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highlight w:val="none"/>
            </w:rPr>
            <w:t>六、</w:t>
          </w:r>
          <w:r>
            <w:rPr>
              <w:rFonts w:hint="eastAsia" w:ascii="楷体" w:hAnsi="楷体" w:eastAsia="楷体" w:cs="楷体"/>
              <w:sz w:val="21"/>
              <w:szCs w:val="21"/>
              <w:highlight w:val="none"/>
            </w:rPr>
            <w:t>一</w:t>
          </w:r>
          <w:r>
            <w:rPr>
              <w:rFonts w:hint="eastAsia" w:ascii="楷体" w:hAnsi="楷体" w:eastAsia="楷体" w:cs="楷体"/>
              <w:bCs w:val="0"/>
              <w:sz w:val="21"/>
              <w:szCs w:val="21"/>
              <w:highlight w:val="none"/>
            </w:rPr>
            <w:t>般公共预算财政拨款支出决算表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_Toc30087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_Toc31737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highlight w:val="none"/>
            </w:rPr>
            <w:t>七、</w:t>
          </w:r>
          <w:r>
            <w:rPr>
              <w:rFonts w:hint="eastAsia" w:ascii="楷体" w:hAnsi="楷体" w:eastAsia="楷体" w:cs="楷体"/>
              <w:sz w:val="21"/>
              <w:szCs w:val="21"/>
              <w:highlight w:val="none"/>
            </w:rPr>
            <w:t>一</w:t>
          </w:r>
          <w:r>
            <w:rPr>
              <w:rFonts w:hint="eastAsia" w:ascii="楷体" w:hAnsi="楷体" w:eastAsia="楷体" w:cs="楷体"/>
              <w:bCs w:val="0"/>
              <w:sz w:val="21"/>
              <w:szCs w:val="21"/>
              <w:highlight w:val="none"/>
            </w:rPr>
            <w:t>般公共预算财政拨款支出决算明细表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_Toc31737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_Toc30433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highlight w:val="none"/>
            </w:rPr>
            <w:t>八、</w:t>
          </w:r>
          <w:r>
            <w:rPr>
              <w:rFonts w:hint="eastAsia" w:ascii="楷体" w:hAnsi="楷体" w:eastAsia="楷体" w:cs="楷体"/>
              <w:sz w:val="21"/>
              <w:szCs w:val="21"/>
              <w:highlight w:val="none"/>
            </w:rPr>
            <w:t>一</w:t>
          </w:r>
          <w:r>
            <w:rPr>
              <w:rFonts w:hint="eastAsia" w:ascii="楷体" w:hAnsi="楷体" w:eastAsia="楷体" w:cs="楷体"/>
              <w:bCs w:val="0"/>
              <w:sz w:val="21"/>
              <w:szCs w:val="21"/>
              <w:highlight w:val="none"/>
            </w:rPr>
            <w:t>般公共预算财政拨款基本支出决算表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_Toc30433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_Toc32736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highlight w:val="none"/>
            </w:rPr>
            <w:t>九、</w:t>
          </w:r>
          <w:r>
            <w:rPr>
              <w:rFonts w:hint="eastAsia" w:ascii="楷体" w:hAnsi="楷体" w:eastAsia="楷体" w:cs="楷体"/>
              <w:sz w:val="21"/>
              <w:szCs w:val="21"/>
              <w:highlight w:val="none"/>
            </w:rPr>
            <w:t>一</w:t>
          </w:r>
          <w:r>
            <w:rPr>
              <w:rFonts w:hint="eastAsia" w:ascii="楷体" w:hAnsi="楷体" w:eastAsia="楷体" w:cs="楷体"/>
              <w:bCs w:val="0"/>
              <w:sz w:val="21"/>
              <w:szCs w:val="21"/>
              <w:highlight w:val="none"/>
            </w:rPr>
            <w:t>般公共预算财政拨款项目支出决算表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_Toc32736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_Toc19059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highlight w:val="none"/>
            </w:rPr>
            <w:t>十、</w:t>
          </w:r>
          <w:r>
            <w:rPr>
              <w:rFonts w:hint="eastAsia" w:ascii="楷体" w:hAnsi="楷体" w:eastAsia="楷体" w:cs="楷体"/>
              <w:sz w:val="21"/>
              <w:szCs w:val="21"/>
              <w:highlight w:val="none"/>
            </w:rPr>
            <w:t>政</w:t>
          </w:r>
          <w:r>
            <w:rPr>
              <w:rFonts w:hint="eastAsia" w:ascii="楷体" w:hAnsi="楷体" w:eastAsia="楷体" w:cs="楷体"/>
              <w:bCs w:val="0"/>
              <w:sz w:val="21"/>
              <w:szCs w:val="21"/>
              <w:highlight w:val="none"/>
            </w:rPr>
            <w:t>府性基金预算财政拨款收入支出决算表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_Toc19059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_Toc502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highlight w:val="none"/>
            </w:rPr>
            <w:t>十一、</w:t>
          </w:r>
          <w:r>
            <w:rPr>
              <w:rFonts w:hint="eastAsia" w:ascii="楷体" w:hAnsi="楷体" w:eastAsia="楷体" w:cs="楷体"/>
              <w:sz w:val="21"/>
              <w:szCs w:val="21"/>
              <w:highlight w:val="none"/>
            </w:rPr>
            <w:t>国</w:t>
          </w:r>
          <w:r>
            <w:rPr>
              <w:rFonts w:hint="eastAsia" w:ascii="楷体" w:hAnsi="楷体" w:eastAsia="楷体" w:cs="楷体"/>
              <w:bCs w:val="0"/>
              <w:sz w:val="21"/>
              <w:szCs w:val="21"/>
              <w:highlight w:val="none"/>
            </w:rPr>
            <w:t>有资本经营预算</w:t>
          </w:r>
          <w:r>
            <w:rPr>
              <w:rFonts w:hint="eastAsia" w:ascii="楷体" w:hAnsi="楷体" w:eastAsia="楷体" w:cs="楷体"/>
              <w:bCs w:val="0"/>
              <w:sz w:val="21"/>
              <w:szCs w:val="21"/>
              <w:highlight w:val="none"/>
              <w:lang w:eastAsia="zh-CN"/>
            </w:rPr>
            <w:t>财政拨款收入</w:t>
          </w:r>
          <w:r>
            <w:rPr>
              <w:rFonts w:hint="eastAsia" w:ascii="楷体" w:hAnsi="楷体" w:eastAsia="楷体" w:cs="楷体"/>
              <w:bCs w:val="0"/>
              <w:sz w:val="21"/>
              <w:szCs w:val="21"/>
              <w:highlight w:val="none"/>
            </w:rPr>
            <w:t>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_Toc502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_Toc32233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highlight w:val="none"/>
            </w:rPr>
            <w:t>十二、</w:t>
          </w:r>
          <w:r>
            <w:rPr>
              <w:rFonts w:hint="eastAsia" w:ascii="楷体" w:hAnsi="楷体" w:eastAsia="楷体" w:cs="楷体"/>
              <w:bCs w:val="0"/>
              <w:sz w:val="21"/>
              <w:szCs w:val="21"/>
              <w:highlight w:val="none"/>
              <w:lang w:eastAsia="zh-CN"/>
            </w:rPr>
            <w:t>国有资本经营预算财政拨款支出决算表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_Toc32233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sz w:val="28"/>
              <w:szCs w:val="28"/>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_Toc10767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highlight w:val="none"/>
            </w:rPr>
            <w:t>十三、</w:t>
          </w:r>
          <w:r>
            <w:rPr>
              <w:rFonts w:hint="eastAsia" w:ascii="楷体" w:hAnsi="楷体" w:eastAsia="楷体" w:cs="楷体"/>
              <w:bCs w:val="0"/>
              <w:sz w:val="21"/>
              <w:szCs w:val="21"/>
              <w:highlight w:val="none"/>
              <w:lang w:eastAsia="zh-CN"/>
            </w:rPr>
            <w:t>财政拨款“三公”经费支出决算表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_Toc10767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pPr>
            <w:pStyle w:val="3"/>
            <w:jc w:val="center"/>
            <w:outlineLvl w:val="9"/>
            <w:rPr>
              <w:rFonts w:hint="eastAsia" w:ascii="黑体" w:hAnsi="黑体" w:eastAsia="黑体"/>
              <w:b w:val="0"/>
              <w:color w:val="auto"/>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r>
            <w:rPr>
              <w:rFonts w:hint="eastAsia" w:ascii="黑体" w:hAnsi="黑体" w:eastAsia="黑体"/>
              <w:b/>
              <w:color w:val="auto"/>
              <w:highlight w:val="none"/>
            </w:rPr>
            <w:fldChar w:fldCharType="end"/>
          </w:r>
        </w:p>
      </w:sdtContent>
    </w:sdt>
    <w:p>
      <w:pPr>
        <w:pStyle w:val="3"/>
        <w:numPr>
          <w:ilvl w:val="0"/>
          <w:numId w:val="1"/>
        </w:numPr>
        <w:jc w:val="center"/>
      </w:pPr>
      <w:bookmarkStart w:id="16" w:name="_Toc17902"/>
      <w:r>
        <w:rPr>
          <w:rFonts w:hint="eastAsia" w:ascii="黑体" w:hAnsi="黑体" w:eastAsia="黑体"/>
          <w:b w:val="0"/>
          <w:color w:val="auto"/>
          <w:highlight w:val="none"/>
          <w:lang w:eastAsia="zh-CN"/>
        </w:rPr>
        <w:t>单位</w:t>
      </w:r>
      <w:r>
        <w:rPr>
          <w:rStyle w:val="17"/>
          <w:rFonts w:hint="eastAsia" w:ascii="黑体" w:hAnsi="黑体" w:eastAsia="黑体"/>
          <w:b w:val="0"/>
          <w:bCs w:val="0"/>
          <w:color w:val="auto"/>
          <w:highlight w:val="none"/>
        </w:rPr>
        <w:t>概况</w:t>
      </w:r>
      <w:bookmarkEnd w:id="14"/>
      <w:bookmarkEnd w:id="15"/>
      <w:bookmarkEnd w:id="16"/>
    </w:p>
    <w:p>
      <w:pPr>
        <w:pStyle w:val="4"/>
        <w:numPr>
          <w:ilvl w:val="0"/>
          <w:numId w:val="2"/>
        </w:numPr>
        <w:rPr>
          <w:rStyle w:val="18"/>
          <w:rFonts w:hint="eastAsia" w:ascii="黑体" w:hAnsi="黑体" w:eastAsia="黑体"/>
          <w:b w:val="0"/>
          <w:bCs w:val="0"/>
          <w:color w:val="auto"/>
          <w:highlight w:val="none"/>
          <w:lang w:eastAsia="zh-CN"/>
        </w:rPr>
      </w:pPr>
      <w:bookmarkStart w:id="17" w:name="_Toc31106"/>
      <w:bookmarkStart w:id="18" w:name="_Toc15396600"/>
      <w:bookmarkStart w:id="19" w:name="_Toc15377197"/>
      <w:r>
        <w:rPr>
          <w:rStyle w:val="18"/>
          <w:rFonts w:hint="eastAsia" w:ascii="黑体" w:hAnsi="黑体" w:eastAsia="黑体"/>
          <w:b w:val="0"/>
          <w:bCs w:val="0"/>
          <w:color w:val="auto"/>
          <w:highlight w:val="none"/>
          <w:lang w:eastAsia="zh-CN"/>
        </w:rPr>
        <w:t>主要职责</w:t>
      </w:r>
      <w:bookmarkEnd w:id="17"/>
    </w:p>
    <w:p>
      <w:pPr>
        <w:widowControl/>
        <w:ind w:firstLine="640" w:firstLineChars="200"/>
        <w:jc w:val="left"/>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广元市教师发展中心承担全市教师队伍教育发展培训计划制定及市级培训项目的组织实施； 负责全市教师（校长）队伍继续教育、市级及以上名师（名校长）服务工作；协助争取国家、省级教师培训项目及组织实施；搭建市级教师专业发展平台和载体，开展县区级教师发展机构及学校校本培训相关指导，承担教师教育的课题研究工作，协助开展名师（名校长）先进教育教学经验和优秀教育教学成果推广工作。</w:t>
      </w:r>
    </w:p>
    <w:p>
      <w:pPr>
        <w:pStyle w:val="4"/>
        <w:numPr>
          <w:ilvl w:val="0"/>
          <w:numId w:val="0"/>
        </w:numPr>
        <w:rPr>
          <w:rFonts w:hint="eastAsia" w:ascii="黑体" w:hAnsi="黑体" w:eastAsia="黑体"/>
          <w:b w:val="0"/>
          <w:color w:val="auto"/>
          <w:highlight w:val="none"/>
          <w:lang w:val="en-US" w:eastAsia="zh-CN"/>
        </w:rPr>
      </w:pPr>
      <w:bookmarkStart w:id="20" w:name="_Toc28787"/>
      <w:r>
        <w:rPr>
          <w:rFonts w:hint="eastAsia" w:ascii="黑体" w:hAnsi="黑体" w:eastAsia="黑体"/>
          <w:b w:val="0"/>
          <w:color w:val="auto"/>
          <w:highlight w:val="none"/>
          <w:lang w:val="en-US" w:eastAsia="zh-CN"/>
        </w:rPr>
        <w:t>二、机构设置</w:t>
      </w:r>
      <w:bookmarkEnd w:id="20"/>
    </w:p>
    <w:bookmarkEnd w:id="18"/>
    <w:bookmarkEnd w:id="19"/>
    <w:p>
      <w:pPr>
        <w:widowControl/>
        <w:ind w:firstLine="640" w:firstLineChars="200"/>
        <w:jc w:val="left"/>
        <w:rPr>
          <w:rFonts w:ascii="仿宋" w:hAnsi="仿宋" w:eastAsia="仿宋"/>
          <w:color w:val="auto"/>
          <w:kern w:val="0"/>
          <w:sz w:val="32"/>
          <w:szCs w:val="32"/>
          <w:highlight w:val="none"/>
        </w:rPr>
      </w:pPr>
      <w:r>
        <w:rPr>
          <w:rFonts w:hint="eastAsia" w:ascii="仿宋" w:hAnsi="仿宋" w:eastAsia="仿宋" w:cs="Times New Roman"/>
          <w:color w:val="auto"/>
          <w:sz w:val="32"/>
          <w:szCs w:val="32"/>
          <w:highlight w:val="none"/>
          <w:lang w:val="en-US" w:eastAsia="zh-CN"/>
        </w:rPr>
        <w:t>广元市教师发展中心属于广元市教育局下属的二级预算单位，下设独立编制机构0个，其中行政机关0个，参照公务员法管理的事业机构0个，其他事业机构0个。</w:t>
      </w:r>
      <w:r>
        <w:rPr>
          <w:rFonts w:ascii="仿宋" w:hAnsi="仿宋" w:eastAsia="仿宋"/>
          <w:color w:val="auto"/>
          <w:sz w:val="32"/>
          <w:szCs w:val="32"/>
          <w:highlight w:val="none"/>
        </w:rPr>
        <w:br w:type="page"/>
      </w:r>
    </w:p>
    <w:p>
      <w:pPr>
        <w:pStyle w:val="3"/>
        <w:ind w:right="440"/>
        <w:jc w:val="center"/>
        <w:rPr>
          <w:rStyle w:val="17"/>
          <w:rFonts w:ascii="黑体" w:hAnsi="黑体" w:eastAsia="黑体"/>
          <w:b w:val="0"/>
          <w:bCs/>
          <w:color w:val="auto"/>
          <w:highlight w:val="none"/>
        </w:rPr>
      </w:pPr>
      <w:bookmarkStart w:id="21" w:name="_Toc389"/>
      <w:bookmarkStart w:id="22" w:name="_Toc15396602"/>
      <w:bookmarkStart w:id="23"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21"/>
      <w:bookmarkEnd w:id="22"/>
      <w:bookmarkEnd w:id="23"/>
    </w:p>
    <w:p>
      <w:pPr>
        <w:rPr>
          <w:color w:val="auto"/>
          <w:highlight w:val="none"/>
        </w:rPr>
      </w:pPr>
    </w:p>
    <w:p>
      <w:pPr>
        <w:pStyle w:val="27"/>
        <w:numPr>
          <w:ilvl w:val="0"/>
          <w:numId w:val="3"/>
        </w:numPr>
        <w:spacing w:line="600" w:lineRule="exact"/>
        <w:ind w:firstLineChars="0"/>
        <w:outlineLvl w:val="1"/>
        <w:rPr>
          <w:rStyle w:val="18"/>
          <w:rFonts w:ascii="黑体" w:hAnsi="黑体" w:eastAsia="黑体"/>
          <w:b w:val="0"/>
          <w:color w:val="auto"/>
          <w:highlight w:val="none"/>
        </w:rPr>
      </w:pPr>
      <w:bookmarkStart w:id="24" w:name="_Toc15377205"/>
      <w:bookmarkStart w:id="25" w:name="_Toc15396603"/>
      <w:bookmarkStart w:id="26" w:name="_Toc11213"/>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4"/>
      <w:bookmarkEnd w:id="25"/>
      <w:bookmarkEnd w:id="26"/>
    </w:p>
    <w:p>
      <w:pPr>
        <w:spacing w:line="600" w:lineRule="exact"/>
        <w:ind w:firstLine="640" w:firstLineChars="200"/>
        <w:rPr>
          <w:rFonts w:hint="eastAsia"/>
          <w:lang w:val="en-US"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236.06</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年相比，收、支总计各减少</w:t>
      </w:r>
      <w:r>
        <w:rPr>
          <w:rFonts w:hint="eastAsia" w:ascii="仿宋" w:hAnsi="仿宋" w:eastAsia="仿宋"/>
          <w:color w:val="auto"/>
          <w:sz w:val="32"/>
          <w:szCs w:val="32"/>
          <w:highlight w:val="none"/>
          <w:lang w:val="en-US" w:eastAsia="zh-CN"/>
        </w:rPr>
        <w:t>222.98</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48.58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w:t>
      </w:r>
      <w:r>
        <w:rPr>
          <w:rFonts w:hint="eastAsia" w:ascii="仿宋" w:hAnsi="仿宋" w:eastAsia="仿宋"/>
          <w:color w:val="auto"/>
          <w:sz w:val="32"/>
          <w:szCs w:val="32"/>
          <w:highlight w:val="none"/>
          <w:lang w:eastAsia="zh-CN"/>
        </w:rPr>
        <w:t>原因是</w:t>
      </w:r>
      <w:r>
        <w:rPr>
          <w:rFonts w:hint="eastAsia" w:ascii="仿宋" w:hAnsi="仿宋" w:eastAsia="仿宋" w:cs="Times New Roman"/>
          <w:color w:val="auto"/>
          <w:sz w:val="32"/>
          <w:szCs w:val="32"/>
          <w:highlight w:val="none"/>
          <w:lang w:val="en-US" w:eastAsia="zh-CN"/>
        </w:rPr>
        <w:t>受疫情影响，培训项目延期或取消，培训项目经费支出减少。</w:t>
      </w:r>
    </w:p>
    <w:p>
      <w:pPr>
        <w:pStyle w:val="2"/>
        <w:jc w:val="center"/>
        <w:rPr>
          <w:rFonts w:hint="eastAsia"/>
          <w:lang w:eastAsia="zh-CN"/>
        </w:rPr>
      </w:pPr>
      <w:r>
        <w:drawing>
          <wp:inline distT="0" distB="0" distL="114300" distR="114300">
            <wp:extent cx="4610100" cy="2736215"/>
            <wp:effectExtent l="5080" t="4445" r="13970" b="21590"/>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jc w:val="left"/>
        <w:rPr>
          <w:rFonts w:ascii="仿宋_GB2312" w:eastAsia="仿宋_GB2312"/>
          <w:color w:val="auto"/>
          <w:sz w:val="32"/>
          <w:szCs w:val="32"/>
          <w:highlight w:val="none"/>
        </w:rPr>
      </w:pPr>
      <w:r>
        <w:rPr>
          <w:rFonts w:hint="eastAsia" w:ascii="仿宋" w:hAnsi="仿宋" w:eastAsia="仿宋"/>
          <w:color w:val="auto"/>
          <w:sz w:val="32"/>
          <w:szCs w:val="32"/>
          <w:highlight w:val="none"/>
        </w:rPr>
        <w:t>（图1：收、支决算总计变动情况图）（柱状图）</w:t>
      </w:r>
    </w:p>
    <w:p>
      <w:pPr>
        <w:pStyle w:val="27"/>
        <w:numPr>
          <w:ilvl w:val="0"/>
          <w:numId w:val="3"/>
        </w:numPr>
        <w:spacing w:line="600" w:lineRule="exact"/>
        <w:ind w:firstLineChars="0"/>
        <w:outlineLvl w:val="1"/>
        <w:rPr>
          <w:rStyle w:val="18"/>
          <w:rFonts w:ascii="黑体" w:hAnsi="黑体" w:eastAsia="黑体"/>
          <w:b w:val="0"/>
          <w:color w:val="auto"/>
          <w:highlight w:val="none"/>
        </w:rPr>
      </w:pPr>
      <w:bookmarkStart w:id="27" w:name="_Toc15377206"/>
      <w:bookmarkStart w:id="28" w:name="_Toc15396604"/>
      <w:bookmarkStart w:id="29" w:name="_Toc20568"/>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27"/>
      <w:bookmarkEnd w:id="28"/>
      <w:bookmarkEnd w:id="29"/>
    </w:p>
    <w:p>
      <w:pPr>
        <w:spacing w:line="600" w:lineRule="exact"/>
        <w:ind w:firstLine="640" w:firstLineChars="200"/>
        <w:outlineLvl w:val="1"/>
        <w:rPr>
          <w:rFonts w:ascii="仿宋" w:hAnsi="仿宋" w:eastAsia="仿宋"/>
          <w:color w:val="auto"/>
          <w:sz w:val="32"/>
          <w:szCs w:val="32"/>
          <w:highlight w:val="none"/>
        </w:rPr>
      </w:pPr>
      <w:bookmarkStart w:id="30" w:name="_Toc18848"/>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174.82</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174.82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0"/>
    </w:p>
    <w:p>
      <w:pPr>
        <w:spacing w:line="600" w:lineRule="exact"/>
        <w:ind w:firstLine="640" w:firstLineChars="200"/>
        <w:outlineLvl w:val="9"/>
        <w:rPr>
          <w:rFonts w:ascii="仿宋" w:hAnsi="仿宋" w:eastAsia="仿宋"/>
          <w:color w:val="auto"/>
          <w:sz w:val="32"/>
          <w:szCs w:val="32"/>
          <w:highlight w:val="none"/>
        </w:rPr>
      </w:pPr>
    </w:p>
    <w:p>
      <w:pPr>
        <w:pStyle w:val="2"/>
        <w:rPr>
          <w:rFonts w:ascii="仿宋" w:hAnsi="仿宋" w:eastAsia="仿宋"/>
          <w:color w:val="auto"/>
          <w:sz w:val="32"/>
          <w:szCs w:val="32"/>
          <w:highlight w:val="none"/>
        </w:rPr>
      </w:pPr>
    </w:p>
    <w:p>
      <w:pPr>
        <w:pStyle w:val="2"/>
        <w:rPr>
          <w:rFonts w:ascii="仿宋" w:hAnsi="仿宋" w:eastAsia="仿宋"/>
          <w:color w:val="auto"/>
          <w:sz w:val="32"/>
          <w:szCs w:val="32"/>
          <w:highlight w:val="none"/>
        </w:rPr>
      </w:pPr>
    </w:p>
    <w:p>
      <w:pPr>
        <w:pStyle w:val="2"/>
        <w:jc w:val="center"/>
        <w:rPr>
          <w:rFonts w:ascii="仿宋" w:hAnsi="仿宋" w:eastAsia="仿宋"/>
          <w:color w:val="auto"/>
          <w:sz w:val="32"/>
          <w:szCs w:val="32"/>
          <w:highlight w:val="none"/>
        </w:rPr>
      </w:pPr>
      <w:r>
        <w:drawing>
          <wp:inline distT="0" distB="0" distL="114300" distR="114300">
            <wp:extent cx="4572000" cy="2743200"/>
            <wp:effectExtent l="4445" t="4445" r="14605" b="1460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（图2：收入决算结构图）（饼状图）</w:t>
      </w:r>
    </w:p>
    <w:p>
      <w:pPr>
        <w:pStyle w:val="27"/>
        <w:numPr>
          <w:ilvl w:val="0"/>
          <w:numId w:val="3"/>
        </w:numPr>
        <w:spacing w:line="600" w:lineRule="exact"/>
        <w:ind w:firstLineChars="0"/>
        <w:outlineLvl w:val="1"/>
        <w:rPr>
          <w:rStyle w:val="18"/>
          <w:rFonts w:ascii="黑体" w:hAnsi="黑体" w:eastAsia="黑体"/>
          <w:b w:val="0"/>
          <w:color w:val="auto"/>
          <w:highlight w:val="none"/>
        </w:rPr>
      </w:pPr>
      <w:bookmarkStart w:id="31" w:name="_Toc15377207"/>
      <w:bookmarkStart w:id="32" w:name="_Toc27484"/>
      <w:bookmarkStart w:id="33" w:name="_Toc15396605"/>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1"/>
      <w:bookmarkEnd w:id="32"/>
      <w:bookmarkEnd w:id="33"/>
    </w:p>
    <w:p>
      <w:pPr>
        <w:spacing w:line="600" w:lineRule="exact"/>
        <w:ind w:firstLine="640" w:firstLineChars="200"/>
        <w:outlineLvl w:val="1"/>
        <w:rPr>
          <w:rFonts w:ascii="仿宋" w:hAnsi="仿宋" w:eastAsia="仿宋"/>
          <w:color w:val="auto"/>
          <w:sz w:val="32"/>
          <w:szCs w:val="32"/>
          <w:highlight w:val="none"/>
          <w:shd w:val="pct10" w:color="auto" w:fill="FFFFFF"/>
        </w:rPr>
      </w:pPr>
      <w:bookmarkStart w:id="34" w:name="_Toc8929"/>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236.06</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158.77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67.26</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77.29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32.74</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34"/>
    </w:p>
    <w:p>
      <w:pPr>
        <w:pStyle w:val="2"/>
        <w:jc w:val="center"/>
        <w:rPr>
          <w:rFonts w:ascii="仿宋" w:hAnsi="仿宋" w:eastAsia="仿宋"/>
          <w:color w:val="auto"/>
          <w:sz w:val="32"/>
          <w:szCs w:val="32"/>
          <w:highlight w:val="none"/>
          <w:shd w:val="pct10" w:color="auto" w:fill="FFFFFF"/>
        </w:rPr>
      </w:pPr>
      <w:r>
        <w:drawing>
          <wp:inline distT="0" distB="0" distL="114300" distR="114300">
            <wp:extent cx="4848225" cy="2743200"/>
            <wp:effectExtent l="4445" t="4445" r="5080"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rPr>
          <w:rFonts w:hint="eastAsia" w:ascii="黑体" w:hAnsi="黑体" w:eastAsia="黑体"/>
          <w:color w:val="auto"/>
          <w:sz w:val="32"/>
          <w:szCs w:val="32"/>
          <w:highlight w:val="none"/>
        </w:rPr>
      </w:pPr>
      <w:r>
        <w:rPr>
          <w:rFonts w:hint="eastAsia" w:ascii="仿宋" w:hAnsi="仿宋" w:eastAsia="仿宋"/>
          <w:color w:val="auto"/>
          <w:sz w:val="32"/>
          <w:szCs w:val="32"/>
          <w:highlight w:val="none"/>
        </w:rPr>
        <w:t>（图3：支出决算结构图）（饼状图）</w:t>
      </w:r>
      <w:bookmarkStart w:id="35" w:name="_Toc15396606"/>
      <w:bookmarkStart w:id="36" w:name="_Toc15377208"/>
    </w:p>
    <w:p>
      <w:pPr>
        <w:spacing w:line="600" w:lineRule="exact"/>
        <w:ind w:firstLine="640" w:firstLineChars="200"/>
        <w:outlineLvl w:val="1"/>
        <w:rPr>
          <w:rFonts w:hint="eastAsia" w:ascii="仿宋" w:hAnsi="仿宋" w:eastAsia="仿宋"/>
          <w:color w:val="auto"/>
          <w:sz w:val="32"/>
          <w:szCs w:val="32"/>
          <w:highlight w:val="none"/>
        </w:rPr>
      </w:pPr>
      <w:bookmarkStart w:id="37" w:name="_Toc5592"/>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35"/>
      <w:bookmarkEnd w:id="36"/>
      <w:bookmarkEnd w:id="37"/>
      <w:bookmarkStart w:id="38" w:name="_Toc8420"/>
    </w:p>
    <w:bookmarkEnd w:id="38"/>
    <w:p>
      <w:pPr>
        <w:spacing w:line="600" w:lineRule="exact"/>
        <w:ind w:firstLine="640" w:firstLineChars="200"/>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236.06</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年相比，财政拨款收、支总计各减少</w:t>
      </w:r>
      <w:r>
        <w:rPr>
          <w:rFonts w:hint="eastAsia" w:ascii="仿宋" w:hAnsi="仿宋" w:eastAsia="仿宋"/>
          <w:color w:val="auto"/>
          <w:sz w:val="32"/>
          <w:szCs w:val="32"/>
          <w:highlight w:val="none"/>
          <w:lang w:val="en-US" w:eastAsia="zh-CN"/>
        </w:rPr>
        <w:t>222.98</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48.58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w:t>
      </w:r>
      <w:r>
        <w:rPr>
          <w:rFonts w:hint="eastAsia" w:ascii="仿宋" w:hAnsi="仿宋" w:eastAsia="仿宋"/>
          <w:color w:val="auto"/>
          <w:sz w:val="32"/>
          <w:szCs w:val="32"/>
          <w:highlight w:val="none"/>
          <w:lang w:eastAsia="zh-CN"/>
        </w:rPr>
        <w:t>原因是</w:t>
      </w:r>
      <w:r>
        <w:rPr>
          <w:rFonts w:hint="eastAsia" w:ascii="仿宋" w:hAnsi="仿宋" w:eastAsia="仿宋" w:cs="Times New Roman"/>
          <w:color w:val="auto"/>
          <w:sz w:val="32"/>
          <w:szCs w:val="32"/>
          <w:highlight w:val="none"/>
          <w:lang w:val="en-US" w:eastAsia="zh-CN"/>
        </w:rPr>
        <w:t>受疫情影响，培训项目延期或取消，培训项目经费支出减少。</w:t>
      </w:r>
    </w:p>
    <w:p>
      <w:pPr>
        <w:pStyle w:val="2"/>
        <w:jc w:val="center"/>
        <w:rPr>
          <w:rFonts w:ascii="仿宋" w:hAnsi="仿宋" w:eastAsia="仿宋"/>
          <w:color w:val="auto"/>
          <w:sz w:val="32"/>
          <w:szCs w:val="32"/>
          <w:highlight w:val="none"/>
        </w:rPr>
      </w:pPr>
      <w:r>
        <w:drawing>
          <wp:inline distT="0" distB="0" distL="114300" distR="114300">
            <wp:extent cx="4572000" cy="2743200"/>
            <wp:effectExtent l="4445" t="4445" r="14605" b="14605"/>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pPr>
      <w:r>
        <w:rPr>
          <w:rFonts w:hint="eastAsia" w:ascii="仿宋" w:hAnsi="仿宋" w:eastAsia="仿宋"/>
          <w:color w:val="auto"/>
          <w:sz w:val="32"/>
          <w:szCs w:val="32"/>
          <w:highlight w:val="none"/>
        </w:rPr>
        <w:t>（图4：财政拨款收、支决算总计变动情况）（柱状图）</w:t>
      </w:r>
    </w:p>
    <w:p>
      <w:pPr>
        <w:spacing w:line="600" w:lineRule="exact"/>
        <w:ind w:firstLine="640" w:firstLineChars="200"/>
        <w:outlineLvl w:val="1"/>
        <w:rPr>
          <w:rStyle w:val="18"/>
          <w:rFonts w:ascii="黑体" w:hAnsi="黑体" w:eastAsia="黑体"/>
          <w:b w:val="0"/>
          <w:color w:val="auto"/>
          <w:highlight w:val="none"/>
        </w:rPr>
      </w:pPr>
      <w:bookmarkStart w:id="39" w:name="_Toc32533"/>
      <w:bookmarkStart w:id="40" w:name="_Toc15396607"/>
      <w:bookmarkStart w:id="41"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39"/>
      <w:bookmarkEnd w:id="40"/>
      <w:bookmarkEnd w:id="41"/>
    </w:p>
    <w:p>
      <w:pPr>
        <w:spacing w:line="600" w:lineRule="exact"/>
        <w:ind w:firstLine="643" w:firstLineChars="200"/>
        <w:outlineLvl w:val="2"/>
        <w:rPr>
          <w:rFonts w:ascii="仿宋" w:hAnsi="仿宋" w:eastAsia="仿宋"/>
          <w:b/>
          <w:color w:val="auto"/>
          <w:sz w:val="32"/>
          <w:szCs w:val="32"/>
          <w:highlight w:val="none"/>
        </w:rPr>
      </w:pPr>
      <w:bookmarkStart w:id="42" w:name="_Toc15377210"/>
      <w:r>
        <w:rPr>
          <w:rFonts w:hint="eastAsia" w:ascii="仿宋" w:hAnsi="仿宋" w:eastAsia="仿宋"/>
          <w:b/>
          <w:color w:val="auto"/>
          <w:sz w:val="32"/>
          <w:szCs w:val="32"/>
          <w:highlight w:val="none"/>
        </w:rPr>
        <w:t>（一）一般公共预算财政拨款支出决算总体情况</w:t>
      </w:r>
      <w:bookmarkEnd w:id="42"/>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236.06</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减少</w:t>
      </w:r>
      <w:r>
        <w:rPr>
          <w:rFonts w:hint="eastAsia" w:ascii="仿宋" w:hAnsi="仿宋" w:eastAsia="仿宋"/>
          <w:color w:val="auto"/>
          <w:sz w:val="32"/>
          <w:szCs w:val="32"/>
          <w:highlight w:val="none"/>
          <w:lang w:val="en-US" w:eastAsia="zh-CN"/>
        </w:rPr>
        <w:t>99.72</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29.70</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s="Times New Roman"/>
          <w:color w:val="auto"/>
          <w:sz w:val="32"/>
          <w:szCs w:val="32"/>
          <w:highlight w:val="none"/>
          <w:lang w:val="en-US" w:eastAsia="zh-CN"/>
        </w:rPr>
        <w:t>受疫情影响，培训项目延期或取消，培训项目经费支出减少。</w:t>
      </w:r>
    </w:p>
    <w:p>
      <w:pPr>
        <w:pStyle w:val="2"/>
        <w:jc w:val="center"/>
        <w:rPr>
          <w:rFonts w:hint="eastAsia" w:ascii="仿宋" w:hAnsi="仿宋" w:eastAsia="仿宋"/>
          <w:color w:val="auto"/>
          <w:sz w:val="32"/>
          <w:szCs w:val="32"/>
          <w:highlight w:val="none"/>
        </w:rPr>
      </w:pPr>
      <w:r>
        <w:drawing>
          <wp:inline distT="0" distB="0" distL="114300" distR="114300">
            <wp:extent cx="4572000" cy="2428240"/>
            <wp:effectExtent l="4445" t="4445" r="5080" b="5715"/>
            <wp:docPr id="1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outlineLvl w:val="2"/>
        <w:rPr>
          <w:rFonts w:hint="eastAsia" w:ascii="仿宋" w:hAnsi="仿宋" w:eastAsia="仿宋"/>
          <w:color w:val="auto"/>
          <w:sz w:val="32"/>
          <w:szCs w:val="32"/>
          <w:highlight w:val="none"/>
        </w:rPr>
      </w:pPr>
      <w:bookmarkStart w:id="43" w:name="_Toc15377211"/>
      <w:r>
        <w:rPr>
          <w:rFonts w:hint="eastAsia" w:ascii="仿宋" w:hAns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bookmarkEnd w:id="43"/>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236.06</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教育支出</w:t>
      </w:r>
      <w:r>
        <w:rPr>
          <w:rFonts w:hint="eastAsia" w:ascii="仿宋" w:hAnsi="仿宋" w:eastAsia="仿宋"/>
          <w:color w:val="auto"/>
          <w:sz w:val="32"/>
          <w:szCs w:val="32"/>
          <w:highlight w:val="none"/>
          <w:lang w:val="en-US" w:eastAsia="zh-CN"/>
        </w:rPr>
        <w:t>183.27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77.64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32.37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13.71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5.32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2.25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s="Times New Roman"/>
          <w:color w:val="auto"/>
          <w:sz w:val="32"/>
          <w:szCs w:val="32"/>
          <w:highlight w:val="none"/>
          <w:lang w:val="en-US" w:eastAsia="zh-CN"/>
        </w:rPr>
        <w:t>15.10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6.40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jc w:val="center"/>
        <w:rPr>
          <w:rFonts w:ascii="仿宋" w:hAnsi="仿宋" w:eastAsia="仿宋"/>
          <w:color w:val="auto"/>
          <w:sz w:val="32"/>
          <w:szCs w:val="32"/>
          <w:highlight w:val="none"/>
        </w:rPr>
      </w:pPr>
      <w:r>
        <w:drawing>
          <wp:inline distT="0" distB="0" distL="114300" distR="114300">
            <wp:extent cx="5213350" cy="3112135"/>
            <wp:effectExtent l="4445" t="4445" r="20955" b="7620"/>
            <wp:docPr id="1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outlineLvl w:val="2"/>
        <w:rPr>
          <w:rFonts w:hint="eastAsia" w:ascii="仿宋" w:hAnsi="仿宋" w:eastAsia="仿宋"/>
          <w:color w:val="auto"/>
          <w:sz w:val="32"/>
          <w:szCs w:val="32"/>
          <w:highlight w:val="none"/>
        </w:rPr>
      </w:pPr>
      <w:bookmarkStart w:id="44" w:name="_Toc15377212"/>
      <w:r>
        <w:rPr>
          <w:rFonts w:hint="eastAsia" w:ascii="仿宋" w:hAnsi="仿宋" w:eastAsia="仿宋"/>
          <w:color w:val="auto"/>
          <w:sz w:val="32"/>
          <w:szCs w:val="32"/>
          <w:highlight w:val="none"/>
        </w:rPr>
        <w:t>（图6：一般公共预算财政拨款支出决算结构）（饼状图）</w:t>
      </w:r>
    </w:p>
    <w:p>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bookmarkEnd w:id="44"/>
    </w:p>
    <w:p>
      <w:pPr>
        <w:spacing w:line="600" w:lineRule="exact"/>
        <w:ind w:firstLine="643" w:firstLineChars="200"/>
        <w:outlineLvl w:val="2"/>
        <w:rPr>
          <w:rFonts w:ascii="仿宋" w:hAnsi="仿宋" w:eastAsia="仿宋"/>
          <w:color w:val="auto"/>
          <w:sz w:val="32"/>
          <w:szCs w:val="32"/>
          <w:highlight w:val="none"/>
        </w:rPr>
      </w:pPr>
      <w:bookmarkStart w:id="45" w:name="_Toc15378460"/>
      <w:bookmarkStart w:id="46" w:name="_Toc15377213"/>
      <w:bookmarkStart w:id="47"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236.06万元</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100.00</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45"/>
      <w:bookmarkEnd w:id="46"/>
      <w:bookmarkEnd w:id="47"/>
    </w:p>
    <w:p>
      <w:pP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1.</w:t>
      </w:r>
      <w:r>
        <w:rPr>
          <w:rStyle w:val="15"/>
          <w:rFonts w:hint="eastAsia" w:ascii="仿宋" w:hAnsi="仿宋" w:eastAsia="仿宋"/>
          <w:bCs/>
          <w:color w:val="auto"/>
          <w:sz w:val="32"/>
          <w:szCs w:val="32"/>
          <w:highlight w:val="none"/>
        </w:rPr>
        <w:t>教育支出（类）教育管理事务（款）其他教育管理事务支出（项）</w:t>
      </w:r>
      <w:r>
        <w:rPr>
          <w:rStyle w:val="15"/>
          <w:rFonts w:hint="eastAsia" w:ascii="仿宋" w:hAnsi="仿宋" w:eastAsia="仿宋"/>
          <w:bCs/>
          <w:color w:val="auto"/>
          <w:sz w:val="32"/>
          <w:szCs w:val="32"/>
          <w:highlight w:val="none"/>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183.27</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spacing w:line="600" w:lineRule="exact"/>
        <w:ind w:firstLine="643" w:firstLineChars="200"/>
        <w:rPr>
          <w:rStyle w:val="15"/>
          <w:rFonts w:hint="eastAsia" w:ascii="仿宋" w:hAnsi="仿宋" w:eastAsia="仿宋"/>
          <w:b w:val="0"/>
          <w:bCs/>
          <w:color w:val="auto"/>
          <w:sz w:val="32"/>
          <w:szCs w:val="32"/>
          <w:highlight w:val="none"/>
        </w:rPr>
      </w:pPr>
      <w:r>
        <w:rPr>
          <w:rStyle w:val="15"/>
          <w:rFonts w:ascii="仿宋" w:hAnsi="仿宋" w:eastAsia="仿宋"/>
          <w:bCs/>
          <w:color w:val="auto"/>
          <w:sz w:val="32"/>
          <w:szCs w:val="32"/>
          <w:highlight w:val="none"/>
        </w:rPr>
        <w:t>2.</w:t>
      </w:r>
      <w:r>
        <w:rPr>
          <w:rStyle w:val="15"/>
          <w:rFonts w:hint="eastAsia" w:ascii="仿宋" w:hAnsi="仿宋" w:eastAsia="仿宋"/>
          <w:bCs/>
          <w:color w:val="auto"/>
          <w:sz w:val="32"/>
          <w:szCs w:val="32"/>
          <w:highlight w:val="none"/>
        </w:rPr>
        <w:t>社会保障和就业支出（类）人力资源和社会保障管理事务（款）引进人才费用（项）</w:t>
      </w:r>
      <w:r>
        <w:rPr>
          <w:rStyle w:val="15"/>
          <w:rFonts w:hint="eastAsia" w:ascii="仿宋" w:hAnsi="仿宋" w:eastAsia="仿宋"/>
          <w:bCs/>
          <w:color w:val="auto"/>
          <w:sz w:val="32"/>
          <w:szCs w:val="32"/>
          <w:highlight w:val="none"/>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16.60</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spacing w:line="600" w:lineRule="exact"/>
        <w:ind w:firstLine="643" w:firstLineChars="200"/>
      </w:pPr>
      <w:r>
        <w:rPr>
          <w:rStyle w:val="15"/>
          <w:rFonts w:hint="eastAsia" w:ascii="仿宋" w:hAnsi="仿宋" w:eastAsia="仿宋"/>
          <w:bCs/>
          <w:color w:val="auto"/>
          <w:sz w:val="32"/>
          <w:szCs w:val="32"/>
          <w:highlight w:val="none"/>
          <w:lang w:val="en-US" w:eastAsia="zh-CN"/>
        </w:rPr>
        <w:t>3</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社会保障和就业支出（类）行政事业单位养老支出（款） 事业单位离退休（项）</w:t>
      </w:r>
      <w:r>
        <w:rPr>
          <w:rStyle w:val="15"/>
          <w:rFonts w:hint="eastAsia" w:ascii="仿宋" w:hAnsi="仿宋" w:eastAsia="仿宋"/>
          <w:bCs/>
          <w:color w:val="auto"/>
          <w:sz w:val="32"/>
          <w:szCs w:val="32"/>
          <w:highlight w:val="none"/>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0.06</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spacing w:line="600" w:lineRule="exact"/>
        <w:ind w:firstLine="643" w:firstLineChars="200"/>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4</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社会保障和就业支出（类）行政事业单位养老支出（款）机关事业单位基本养老保险缴费支出（项）</w:t>
      </w:r>
      <w:r>
        <w:rPr>
          <w:rStyle w:val="15"/>
          <w:rFonts w:hint="eastAsia" w:ascii="仿宋" w:hAnsi="仿宋" w:eastAsia="仿宋"/>
          <w:bCs/>
          <w:color w:val="auto"/>
          <w:sz w:val="32"/>
          <w:szCs w:val="32"/>
          <w:highlight w:val="none"/>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9.73</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spacing w:line="600" w:lineRule="exact"/>
        <w:ind w:firstLine="643" w:firstLineChars="200"/>
        <w:rPr>
          <w:rFonts w:ascii="仿宋" w:hAnsi="仿宋" w:eastAsia="仿宋"/>
          <w:b/>
          <w:color w:val="auto"/>
          <w:sz w:val="32"/>
          <w:szCs w:val="32"/>
          <w:highlight w:val="none"/>
        </w:rPr>
      </w:pPr>
      <w:r>
        <w:rPr>
          <w:rStyle w:val="15"/>
          <w:rFonts w:hint="eastAsia" w:ascii="仿宋" w:hAnsi="仿宋" w:eastAsia="仿宋"/>
          <w:bCs/>
          <w:color w:val="auto"/>
          <w:sz w:val="32"/>
          <w:szCs w:val="32"/>
          <w:highlight w:val="none"/>
          <w:lang w:val="en-US" w:eastAsia="zh-CN"/>
        </w:rPr>
        <w:t>5</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社会保障和就业支出（类）行政事业单位养老支出（款）机关事业单位职业年金缴费支出（项）</w:t>
      </w:r>
      <w:r>
        <w:rPr>
          <w:rStyle w:val="15"/>
          <w:rFonts w:hint="eastAsia" w:ascii="仿宋" w:hAnsi="仿宋" w:eastAsia="仿宋"/>
          <w:bCs/>
          <w:color w:val="auto"/>
          <w:sz w:val="32"/>
          <w:szCs w:val="32"/>
          <w:highlight w:val="none"/>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5.98</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spacing w:line="600" w:lineRule="exact"/>
        <w:ind w:firstLine="643" w:firstLineChars="200"/>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6</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卫生健康支出（类）行政事业单位医疗（款）事业单位医疗（项）</w:t>
      </w:r>
      <w:r>
        <w:rPr>
          <w:rStyle w:val="15"/>
          <w:rFonts w:hint="eastAsia" w:ascii="仿宋" w:hAnsi="仿宋" w:eastAsia="仿宋"/>
          <w:bCs/>
          <w:color w:val="auto"/>
          <w:sz w:val="32"/>
          <w:szCs w:val="32"/>
          <w:highlight w:val="none"/>
          <w:lang w:eastAsia="zh-CN"/>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5.32</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spacing w:line="600" w:lineRule="exact"/>
        <w:ind w:firstLine="643" w:firstLineChars="200"/>
        <w:rPr>
          <w:rFonts w:ascii="仿宋" w:hAnsi="仿宋" w:eastAsia="仿宋"/>
          <w:b/>
          <w:color w:val="auto"/>
          <w:sz w:val="32"/>
          <w:szCs w:val="32"/>
          <w:highlight w:val="none"/>
        </w:rPr>
      </w:pPr>
      <w:r>
        <w:rPr>
          <w:rStyle w:val="15"/>
          <w:rFonts w:hint="eastAsia" w:ascii="仿宋" w:hAnsi="仿宋" w:eastAsia="仿宋"/>
          <w:bCs/>
          <w:color w:val="auto"/>
          <w:sz w:val="32"/>
          <w:szCs w:val="32"/>
          <w:highlight w:val="none"/>
          <w:lang w:val="en-US" w:eastAsia="zh-CN"/>
        </w:rPr>
        <w:t>7</w:t>
      </w:r>
      <w:r>
        <w:rPr>
          <w:rStyle w:val="15"/>
          <w:rFonts w:ascii="仿宋" w:hAnsi="仿宋" w:eastAsia="仿宋"/>
          <w:bCs/>
          <w:color w:val="auto"/>
          <w:sz w:val="32"/>
          <w:szCs w:val="32"/>
          <w:highlight w:val="none"/>
        </w:rPr>
        <w:t>.</w:t>
      </w:r>
      <w:r>
        <w:rPr>
          <w:rFonts w:hint="eastAsia" w:ascii="仿宋" w:hAnsi="仿宋" w:eastAsia="仿宋"/>
          <w:b/>
          <w:bCs/>
          <w:color w:val="auto"/>
          <w:sz w:val="32"/>
          <w:szCs w:val="32"/>
          <w:highlight w:val="none"/>
        </w:rPr>
        <w:t>住房保障支出</w:t>
      </w:r>
      <w:r>
        <w:rPr>
          <w:rStyle w:val="15"/>
          <w:rFonts w:hint="eastAsia" w:ascii="仿宋" w:hAnsi="仿宋" w:eastAsia="仿宋"/>
          <w:bCs/>
          <w:color w:val="auto"/>
          <w:sz w:val="32"/>
          <w:szCs w:val="32"/>
          <w:highlight w:val="none"/>
        </w:rPr>
        <w:t>（类）住房改革支出（款）住房公积金（项）</w:t>
      </w:r>
      <w:r>
        <w:rPr>
          <w:rStyle w:val="15"/>
          <w:rFonts w:hint="eastAsia" w:ascii="仿宋" w:hAnsi="仿宋" w:eastAsia="仿宋"/>
          <w:bCs/>
          <w:color w:val="auto"/>
          <w:sz w:val="32"/>
          <w:szCs w:val="32"/>
          <w:highlight w:val="none"/>
          <w:lang w:eastAsia="zh-CN"/>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15.10</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，与预算数持平。</w:t>
      </w:r>
    </w:p>
    <w:p>
      <w:pPr>
        <w:tabs>
          <w:tab w:val="right" w:pos="8306"/>
        </w:tabs>
        <w:spacing w:line="600" w:lineRule="exact"/>
        <w:ind w:firstLine="640"/>
        <w:outlineLvl w:val="1"/>
        <w:rPr>
          <w:rStyle w:val="18"/>
          <w:color w:val="auto"/>
          <w:highlight w:val="none"/>
        </w:rPr>
      </w:pPr>
      <w:bookmarkStart w:id="48" w:name="_Toc7617"/>
      <w:bookmarkStart w:id="49" w:name="_Toc15396608"/>
      <w:bookmarkStart w:id="50"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48"/>
      <w:bookmarkEnd w:id="49"/>
      <w:bookmarkEnd w:id="50"/>
      <w:r>
        <w:rPr>
          <w:rStyle w:val="18"/>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158.77</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149.36</w:t>
      </w:r>
      <w:r>
        <w:rPr>
          <w:rFonts w:hint="eastAsia" w:ascii="仿宋" w:hAnsi="仿宋" w:eastAsia="仿宋"/>
          <w:color w:val="auto"/>
          <w:sz w:val="32"/>
          <w:szCs w:val="32"/>
          <w:highlight w:val="none"/>
        </w:rPr>
        <w:t>万元，主要包括：基本工资、津贴补贴、奖金、绩效工资、机关事业单位基本养老保险缴费、职业年金缴费、职工基本医疗保险缴费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其他社会保障缴费、生活补助、住房公积金。</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9.41</w:t>
      </w:r>
      <w:r>
        <w:rPr>
          <w:rFonts w:hint="eastAsia" w:ascii="仿宋" w:hAnsi="仿宋" w:eastAsia="仿宋"/>
          <w:color w:val="auto"/>
          <w:sz w:val="32"/>
          <w:szCs w:val="32"/>
          <w:highlight w:val="none"/>
        </w:rPr>
        <w:t>万元，主要包括：办公费、印刷费、咨询费、邮电费、差旅费、租赁费、会议费、劳务费、工会经费、福利费、其他商品和服务支出。</w:t>
      </w:r>
    </w:p>
    <w:p>
      <w:pPr>
        <w:spacing w:line="600" w:lineRule="exact"/>
        <w:ind w:firstLine="640"/>
        <w:outlineLvl w:val="1"/>
        <w:rPr>
          <w:rStyle w:val="18"/>
          <w:rFonts w:ascii="黑体" w:hAnsi="黑体" w:eastAsia="黑体"/>
          <w:b w:val="0"/>
          <w:color w:val="auto"/>
          <w:highlight w:val="none"/>
        </w:rPr>
      </w:pPr>
      <w:bookmarkStart w:id="51" w:name="_Toc15396609"/>
      <w:bookmarkStart w:id="52" w:name="_Toc12378"/>
      <w:bookmarkStart w:id="53" w:name="_Toc15377215"/>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51"/>
      <w:bookmarkEnd w:id="52"/>
      <w:bookmarkEnd w:id="53"/>
    </w:p>
    <w:p>
      <w:pPr>
        <w:spacing w:line="600" w:lineRule="exact"/>
        <w:ind w:firstLine="640"/>
        <w:outlineLvl w:val="2"/>
        <w:rPr>
          <w:rFonts w:ascii="仿宋" w:hAnsi="仿宋" w:eastAsia="仿宋"/>
          <w:b/>
          <w:color w:val="auto"/>
          <w:sz w:val="32"/>
          <w:szCs w:val="32"/>
          <w:highlight w:val="none"/>
        </w:rPr>
      </w:pPr>
      <w:bookmarkStart w:id="54" w:name="_Toc15377216"/>
      <w:r>
        <w:rPr>
          <w:rFonts w:hint="eastAsia" w:ascii="仿宋" w:hAnsi="仿宋" w:eastAsia="仿宋"/>
          <w:b/>
          <w:color w:val="auto"/>
          <w:sz w:val="32"/>
          <w:szCs w:val="32"/>
          <w:highlight w:val="none"/>
        </w:rPr>
        <w:t>（一）“三公”经费财政拨款支出决算总体情况说明</w:t>
      </w:r>
      <w:bookmarkEnd w:id="54"/>
    </w:p>
    <w:p>
      <w:pPr>
        <w:spacing w:line="600" w:lineRule="exact"/>
        <w:ind w:firstLine="640"/>
        <w:rPr>
          <w:rFonts w:hint="eastAsia" w:ascii="仿宋" w:hAnsi="仿宋" w:eastAsia="仿宋" w:cs="Times New Roman"/>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 w:hAnsi="仿宋" w:eastAsia="仿宋" w:cs="Times New Roman"/>
          <w:color w:val="auto"/>
          <w:sz w:val="32"/>
          <w:szCs w:val="32"/>
          <w:highlight w:val="none"/>
        </w:rPr>
        <w:t>年初未安排预算</w:t>
      </w:r>
      <w:r>
        <w:rPr>
          <w:rFonts w:hint="default" w:ascii="仿宋" w:hAnsi="仿宋" w:eastAsia="仿宋" w:cs="Times New Roman"/>
          <w:color w:val="auto"/>
          <w:sz w:val="32"/>
          <w:szCs w:val="32"/>
          <w:highlight w:val="none"/>
        </w:rPr>
        <w:t>，较上年无变化</w:t>
      </w:r>
      <w:r>
        <w:rPr>
          <w:rFonts w:hint="eastAsia" w:ascii="仿宋" w:hAnsi="仿宋" w:eastAsia="仿宋" w:cs="Times New Roman"/>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55" w:name="_Toc15377217"/>
      <w:r>
        <w:rPr>
          <w:rFonts w:hint="eastAsia" w:ascii="仿宋" w:hAnsi="仿宋" w:eastAsia="仿宋"/>
          <w:b/>
          <w:color w:val="auto"/>
          <w:sz w:val="32"/>
          <w:szCs w:val="32"/>
          <w:highlight w:val="none"/>
        </w:rPr>
        <w:t>（二）“三公”经费财政拨款支出决算具体情况说明</w:t>
      </w:r>
      <w:bookmarkEnd w:id="5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年初未安排预算，因公出国（境）支出决算较202</w:t>
      </w:r>
      <w:r>
        <w:rPr>
          <w:rStyle w:val="15"/>
          <w:rFonts w:hint="eastAsia" w:ascii="仿宋" w:hAnsi="仿宋" w:eastAsia="仿宋"/>
          <w:b w:val="0"/>
          <w:bCs/>
          <w:color w:val="auto"/>
          <w:sz w:val="32"/>
          <w:szCs w:val="32"/>
          <w:highlight w:val="none"/>
          <w:lang w:val="en-US" w:eastAsia="zh-CN"/>
        </w:rPr>
        <w:t>1</w:t>
      </w:r>
      <w:r>
        <w:rPr>
          <w:rStyle w:val="15"/>
          <w:rFonts w:hint="eastAsia" w:ascii="仿宋" w:hAnsi="仿宋" w:eastAsia="仿宋"/>
          <w:b w:val="0"/>
          <w:bCs/>
          <w:color w:val="auto"/>
          <w:sz w:val="32"/>
          <w:szCs w:val="32"/>
          <w:highlight w:val="none"/>
        </w:rPr>
        <w:t>年无变化。</w:t>
      </w:r>
    </w:p>
    <w:p>
      <w:pPr>
        <w:spacing w:line="600" w:lineRule="exact"/>
        <w:ind w:firstLine="640"/>
        <w:rPr>
          <w:rFonts w:hint="eastAsia" w:ascii="仿宋" w:hAnsi="仿宋" w:eastAsia="仿宋" w:cs="Times New Roman"/>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 w:hAnsi="仿宋" w:eastAsia="仿宋" w:cs="Times New Roman"/>
          <w:color w:val="auto"/>
          <w:sz w:val="32"/>
          <w:szCs w:val="32"/>
          <w:highlight w:val="none"/>
        </w:rPr>
        <w:t>年初未安排预算，与上年数无变化。本单位无公务用车保有量，与上年数相比无变化。</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pPr>
        <w:spacing w:line="600" w:lineRule="exact"/>
        <w:ind w:firstLine="640"/>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0"/>
        </w:numPr>
        <w:spacing w:line="600" w:lineRule="exact"/>
        <w:ind w:firstLine="643" w:firstLineChars="200"/>
        <w:rPr>
          <w:rFonts w:hint="eastAsia"/>
        </w:rPr>
      </w:pPr>
      <w:r>
        <w:rPr>
          <w:rFonts w:hint="eastAsia" w:ascii="仿宋_GB2312" w:eastAsia="仿宋_GB2312"/>
          <w:b/>
          <w:color w:val="auto"/>
          <w:sz w:val="32"/>
          <w:szCs w:val="32"/>
          <w:highlight w:val="none"/>
          <w:lang w:val="en-US" w:eastAsia="zh-CN"/>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年初未安排预算，与上年数无变化。其中：</w:t>
      </w:r>
    </w:p>
    <w:p>
      <w:pPr>
        <w:numPr>
          <w:ilvl w:val="0"/>
          <w:numId w:val="0"/>
        </w:num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3" w:firstLineChars="200"/>
        <w:rPr>
          <w:rFonts w:hint="eastAsia"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bookmarkStart w:id="56" w:name="_Toc15377218"/>
      <w:bookmarkStart w:id="57" w:name="_Toc15396610"/>
    </w:p>
    <w:p>
      <w:pPr>
        <w:spacing w:line="600" w:lineRule="exact"/>
        <w:ind w:firstLine="640"/>
        <w:outlineLvl w:val="1"/>
        <w:rPr>
          <w:rStyle w:val="18"/>
          <w:rFonts w:ascii="黑体" w:hAnsi="黑体" w:eastAsia="黑体"/>
          <w:color w:val="auto"/>
          <w:highlight w:val="none"/>
        </w:rPr>
      </w:pPr>
      <w:bookmarkStart w:id="58" w:name="_Toc26787"/>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56"/>
      <w:bookmarkEnd w:id="57"/>
      <w:bookmarkEnd w:id="58"/>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outlineLvl w:val="1"/>
        <w:rPr>
          <w:rStyle w:val="18"/>
          <w:rFonts w:ascii="黑体" w:hAnsi="黑体" w:eastAsia="黑体"/>
          <w:b w:val="0"/>
          <w:color w:val="auto"/>
          <w:highlight w:val="none"/>
        </w:rPr>
      </w:pPr>
      <w:bookmarkStart w:id="59" w:name="_Toc31673"/>
      <w:bookmarkStart w:id="60" w:name="_Toc15396611"/>
      <w:bookmarkStart w:id="61" w:name="_Toc15377219"/>
      <w:r>
        <w:rPr>
          <w:rStyle w:val="18"/>
          <w:rFonts w:hint="eastAsia" w:ascii="黑体" w:hAnsi="黑体" w:eastAsia="黑体"/>
          <w:b w:val="0"/>
          <w:color w:val="auto"/>
          <w:highlight w:val="none"/>
        </w:rPr>
        <w:t>国有资本经营预算支出决算情况说明</w:t>
      </w:r>
      <w:bookmarkEnd w:id="59"/>
      <w:bookmarkEnd w:id="60"/>
      <w:bookmarkEnd w:id="61"/>
    </w:p>
    <w:p>
      <w:pPr>
        <w:spacing w:line="600" w:lineRule="exact"/>
        <w:ind w:firstLine="640"/>
        <w:rPr>
          <w:rFonts w:ascii="微软雅黑" w:hAnsi="微软雅黑" w:eastAsia="微软雅黑" w:cs="微软雅黑"/>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outlineLvl w:val="1"/>
        <w:rPr>
          <w:rStyle w:val="18"/>
          <w:rFonts w:hint="eastAsia" w:ascii="黑体" w:hAnsi="黑体" w:eastAsia="黑体"/>
          <w:b w:val="0"/>
          <w:color w:val="auto"/>
          <w:highlight w:val="none"/>
        </w:rPr>
      </w:pPr>
      <w:bookmarkStart w:id="62" w:name="_Toc10774"/>
      <w:bookmarkStart w:id="63" w:name="_Toc15377221"/>
      <w:bookmarkStart w:id="64" w:name="_Toc15396612"/>
      <w:r>
        <w:rPr>
          <w:rStyle w:val="18"/>
          <w:rFonts w:hint="eastAsia" w:ascii="黑体" w:hAnsi="黑体" w:eastAsia="黑体"/>
          <w:b w:val="0"/>
          <w:color w:val="auto"/>
          <w:highlight w:val="none"/>
        </w:rPr>
        <w:t>其他重要事项的情况说明</w:t>
      </w:r>
      <w:bookmarkEnd w:id="62"/>
      <w:bookmarkEnd w:id="63"/>
      <w:bookmarkEnd w:id="64"/>
    </w:p>
    <w:p>
      <w:pPr>
        <w:spacing w:line="600" w:lineRule="exact"/>
        <w:ind w:firstLine="643" w:firstLineChars="200"/>
        <w:outlineLvl w:val="2"/>
        <w:rPr>
          <w:rFonts w:ascii="仿宋" w:hAnsi="仿宋" w:eastAsia="仿宋"/>
          <w:color w:val="auto"/>
          <w:sz w:val="32"/>
          <w:szCs w:val="32"/>
          <w:highlight w:val="none"/>
        </w:rPr>
      </w:pPr>
      <w:bookmarkStart w:id="65" w:name="_Toc15377222"/>
      <w:r>
        <w:rPr>
          <w:rFonts w:hint="eastAsia" w:ascii="仿宋" w:hAnsi="仿宋" w:eastAsia="仿宋"/>
          <w:b/>
          <w:color w:val="auto"/>
          <w:sz w:val="32"/>
          <w:szCs w:val="32"/>
          <w:highlight w:val="none"/>
        </w:rPr>
        <w:t>（一）机关运行经费支出情况</w:t>
      </w:r>
      <w:bookmarkEnd w:id="65"/>
    </w:p>
    <w:p>
      <w:pPr>
        <w:spacing w:line="600" w:lineRule="exact"/>
        <w:ind w:firstLine="640" w:firstLineChars="200"/>
        <w:rPr>
          <w:rFonts w:hint="eastAsia"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，本单位</w:t>
      </w:r>
      <w:r>
        <w:rPr>
          <w:rFonts w:hint="eastAsia" w:ascii="仿宋_GB2312" w:eastAsia="仿宋_GB2312"/>
          <w:color w:val="auto"/>
          <w:sz w:val="32"/>
          <w:szCs w:val="32"/>
          <w:highlight w:val="none"/>
        </w:rPr>
        <w:t>未发生机关运行经费支出，与202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年决算数持平</w:t>
      </w:r>
      <w:bookmarkStart w:id="66" w:name="_Toc15377223"/>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6"/>
    </w:p>
    <w:p>
      <w:pPr>
        <w:spacing w:line="600" w:lineRule="exact"/>
        <w:ind w:firstLine="640" w:firstLineChars="200"/>
        <w:rPr>
          <w:rFonts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年，本单位政府采购支出总额0万元，本单位未发生政府采购支出。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7" w:name="_Toc15377224"/>
      <w:r>
        <w:rPr>
          <w:rFonts w:hint="eastAsia" w:ascii="仿宋" w:hAnsi="仿宋" w:eastAsia="仿宋"/>
          <w:b/>
          <w:color w:val="auto"/>
          <w:sz w:val="32"/>
          <w:szCs w:val="32"/>
          <w:highlight w:val="none"/>
        </w:rPr>
        <w:t>（三）国有资产占有使用情况</w:t>
      </w:r>
      <w:bookmarkEnd w:id="67"/>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日，本单位未购置车辆，共有车辆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年度预算编制阶段，组织对市级教育专项资金实施教师名师工程</w:t>
      </w:r>
      <w:r>
        <w:rPr>
          <w:rFonts w:hint="eastAsia" w:hAnsi="仿宋_GB2312" w:cs="仿宋_GB2312"/>
          <w:color w:val="auto"/>
          <w:sz w:val="32"/>
          <w:szCs w:val="32"/>
          <w:highlight w:val="none"/>
          <w:lang w:eastAsia="zh-CN"/>
        </w:rPr>
        <w:t>和教师培训经费</w:t>
      </w:r>
      <w:r>
        <w:rPr>
          <w:rFonts w:hint="eastAsia" w:ascii="仿宋_GB2312" w:hAnsi="仿宋_GB2312" w:eastAsia="仿宋_GB2312" w:cs="仿宋_GB2312"/>
          <w:color w:val="auto"/>
          <w:sz w:val="32"/>
          <w:szCs w:val="32"/>
          <w:highlight w:val="none"/>
        </w:rPr>
        <w:t>项目等</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5"/>
        </w:numPr>
        <w:spacing w:line="600" w:lineRule="exact"/>
        <w:ind w:firstLine="660" w:firstLineChars="150"/>
        <w:jc w:val="center"/>
        <w:outlineLvl w:val="0"/>
        <w:rPr>
          <w:rStyle w:val="17"/>
          <w:rFonts w:ascii="黑体" w:hAnsi="黑体" w:eastAsia="黑体"/>
          <w:b w:val="0"/>
          <w:color w:val="auto"/>
          <w:highlight w:val="none"/>
        </w:rPr>
      </w:pPr>
      <w:bookmarkStart w:id="68" w:name="_Toc15396613"/>
      <w:bookmarkStart w:id="69" w:name="_Toc21968"/>
      <w:bookmarkStart w:id="70" w:name="_Toc15377225"/>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68"/>
      <w:bookmarkEnd w:id="69"/>
      <w:bookmarkEnd w:id="70"/>
    </w:p>
    <w:p>
      <w:pPr>
        <w:spacing w:line="600" w:lineRule="exact"/>
        <w:jc w:val="left"/>
        <w:rPr>
          <w:rFonts w:ascii="宋体"/>
          <w:b/>
          <w:color w:val="auto"/>
          <w:sz w:val="44"/>
          <w:szCs w:val="44"/>
          <w:highlight w:val="none"/>
        </w:rPr>
      </w:pPr>
    </w:p>
    <w:p>
      <w:pPr>
        <w:pStyle w:val="26"/>
        <w:numPr>
          <w:ilvl w:val="0"/>
          <w:numId w:val="6"/>
        </w:numP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财政拨款收入：指单位从同级财政部门取得的财政预算资金。</w:t>
      </w:r>
    </w:p>
    <w:p>
      <w:pPr>
        <w:pStyle w:val="26"/>
        <w:numPr>
          <w:ilvl w:val="0"/>
          <w:numId w:val="6"/>
        </w:numPr>
        <w:spacing w:line="560" w:lineRule="exact"/>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年初结转和结余：指以前年度尚未完成、结转到本年按有关规定继续使用的资金。</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教育支出（类）教育管理事务（款）其他教育管理事务支出（项）：指</w:t>
      </w:r>
      <w:r>
        <w:rPr>
          <w:rFonts w:hint="eastAsia" w:ascii="仿宋_GB2312" w:eastAsia="仿宋_GB2312"/>
          <w:color w:val="auto"/>
          <w:sz w:val="32"/>
          <w:szCs w:val="32"/>
          <w:highlight w:val="none"/>
          <w:lang w:eastAsia="zh-CN"/>
        </w:rPr>
        <w:t>其他用于教育管理事务方面的支出</w:t>
      </w:r>
      <w:r>
        <w:rPr>
          <w:rFonts w:hint="eastAsia" w:ascii="仿宋_GB2312" w:eastAsia="仿宋_GB2312"/>
          <w:color w:val="auto"/>
          <w:sz w:val="32"/>
          <w:szCs w:val="32"/>
          <w:highlight w:val="none"/>
        </w:rPr>
        <w:t>。</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社会保障和就业支出（类）人力资源和社会保障管理事务（款）引进人才费用（项）：指</w:t>
      </w:r>
      <w:r>
        <w:rPr>
          <w:rFonts w:hint="eastAsia" w:ascii="仿宋_GB2312" w:eastAsia="仿宋_GB2312"/>
          <w:color w:val="auto"/>
          <w:sz w:val="32"/>
          <w:szCs w:val="32"/>
          <w:highlight w:val="none"/>
          <w:lang w:eastAsia="zh-CN"/>
        </w:rPr>
        <w:t>用于引进外国专家补助、引智成果推广等方面的支出</w:t>
      </w:r>
      <w:r>
        <w:rPr>
          <w:rFonts w:hint="eastAsia" w:ascii="仿宋_GB2312" w:eastAsia="仿宋_GB2312"/>
          <w:color w:val="auto"/>
          <w:sz w:val="32"/>
          <w:szCs w:val="32"/>
          <w:highlight w:val="none"/>
        </w:rPr>
        <w:t>。</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社会保障和就业支出（类）行政事业单位养老支出（款） 事业单位离退休（项）：指</w:t>
      </w:r>
      <w:r>
        <w:rPr>
          <w:rFonts w:hint="eastAsia" w:ascii="仿宋_GB2312" w:eastAsia="仿宋_GB2312"/>
          <w:color w:val="auto"/>
          <w:sz w:val="32"/>
          <w:szCs w:val="32"/>
          <w:highlight w:val="none"/>
          <w:lang w:eastAsia="zh-CN"/>
        </w:rPr>
        <w:t>单位开支的离退休经费</w:t>
      </w:r>
      <w:r>
        <w:rPr>
          <w:rFonts w:hint="eastAsia" w:ascii="仿宋_GB2312" w:eastAsia="仿宋_GB2312"/>
          <w:color w:val="auto"/>
          <w:sz w:val="32"/>
          <w:szCs w:val="32"/>
          <w:highlight w:val="none"/>
        </w:rPr>
        <w:t>。</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社会保障和就业支出（类）行政事业单位养老支出（款）机关事业单位基本养老保险缴费支出（项）：指用于实施养老保险制度由单位缴纳的基本养老保险费支出。</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社会保障和就业支出（类）行政事业单位养老支出（款）机关事业单位职业年金缴费支出（项）：指用于实施养老保险制度由单位缴纳的</w:t>
      </w:r>
      <w:r>
        <w:rPr>
          <w:rFonts w:hint="eastAsia" w:ascii="仿宋_GB2312" w:eastAsia="仿宋_GB2312"/>
          <w:color w:val="auto"/>
          <w:sz w:val="32"/>
          <w:szCs w:val="32"/>
          <w:highlight w:val="none"/>
          <w:lang w:eastAsia="zh-CN"/>
        </w:rPr>
        <w:t>职业年金支出</w:t>
      </w:r>
      <w:r>
        <w:rPr>
          <w:rFonts w:hint="eastAsia" w:ascii="仿宋_GB2312" w:eastAsia="仿宋_GB2312"/>
          <w:color w:val="auto"/>
          <w:sz w:val="32"/>
          <w:szCs w:val="32"/>
          <w:highlight w:val="none"/>
        </w:rPr>
        <w:t>。</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卫生健康支出（类）行政事业单位医疗（款）事业单位医疗（项）：指用于事业单位由单位缴纳的基本医疗保险缴费。</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住房保障支出（类）住房改革支出（款）住房公积金（项）：指</w:t>
      </w:r>
      <w:r>
        <w:rPr>
          <w:rFonts w:hint="eastAsia" w:ascii="仿宋_GB2312" w:eastAsia="仿宋_GB2312"/>
          <w:color w:val="auto"/>
          <w:sz w:val="32"/>
          <w:szCs w:val="32"/>
          <w:highlight w:val="none"/>
          <w:lang w:eastAsia="zh-CN"/>
        </w:rPr>
        <w:t>行政事业单位按人力资源和社会保障部、财政部规定的基本工资和津贴补贴以及规定比例为职工缴纳的住房公积金</w:t>
      </w:r>
      <w:r>
        <w:rPr>
          <w:rFonts w:hint="eastAsia" w:ascii="仿宋_GB2312" w:eastAsia="仿宋_GB2312"/>
          <w:color w:val="auto"/>
          <w:sz w:val="32"/>
          <w:szCs w:val="32"/>
          <w:highlight w:val="none"/>
        </w:rPr>
        <w:t>。</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6"/>
        <w:numPr>
          <w:ilvl w:val="0"/>
          <w:numId w:val="6"/>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spacing w:line="560" w:lineRule="exact"/>
        <w:ind w:firstLine="640" w:firstLineChars="200"/>
        <w:rPr>
          <w:rFonts w:ascii="仿宋_GB2312" w:eastAsia="仿宋_GB2312" w:cs="黑体"/>
          <w:color w:val="auto"/>
          <w:sz w:val="32"/>
          <w:szCs w:val="32"/>
          <w:highlight w:val="none"/>
        </w:rPr>
      </w:pPr>
    </w:p>
    <w:p>
      <w:pPr>
        <w:spacing w:line="600" w:lineRule="exact"/>
        <w:jc w:val="both"/>
        <w:outlineLvl w:val="9"/>
        <w:rPr>
          <w:rFonts w:hint="eastAsia" w:ascii="黑体" w:hAnsi="黑体" w:eastAsia="黑体"/>
          <w:color w:val="auto"/>
          <w:sz w:val="44"/>
          <w:szCs w:val="44"/>
          <w:highlight w:val="none"/>
        </w:rPr>
      </w:pPr>
      <w:bookmarkStart w:id="71" w:name="_Toc15396614"/>
      <w:bookmarkStart w:id="72" w:name="_Toc15377226"/>
    </w:p>
    <w:p>
      <w:pPr>
        <w:spacing w:line="600" w:lineRule="exact"/>
        <w:jc w:val="both"/>
        <w:outlineLvl w:val="9"/>
        <w:rPr>
          <w:rFonts w:hint="eastAsia" w:ascii="黑体" w:hAnsi="黑体" w:eastAsia="黑体"/>
          <w:color w:val="auto"/>
          <w:sz w:val="44"/>
          <w:szCs w:val="44"/>
          <w:highlight w:val="none"/>
        </w:rPr>
      </w:pPr>
    </w:p>
    <w:p>
      <w:pPr>
        <w:spacing w:line="600" w:lineRule="exact"/>
        <w:jc w:val="both"/>
        <w:outlineLvl w:val="9"/>
        <w:rPr>
          <w:rFonts w:hint="eastAsia" w:ascii="黑体" w:hAnsi="黑体" w:eastAsia="黑体"/>
          <w:color w:val="auto"/>
          <w:sz w:val="44"/>
          <w:szCs w:val="44"/>
          <w:highlight w:val="none"/>
        </w:rPr>
      </w:pPr>
    </w:p>
    <w:p>
      <w:pPr>
        <w:spacing w:line="600" w:lineRule="exact"/>
        <w:jc w:val="both"/>
        <w:outlineLvl w:val="9"/>
        <w:rPr>
          <w:rFonts w:hint="eastAsia" w:ascii="黑体" w:hAnsi="黑体" w:eastAsia="黑体"/>
          <w:color w:val="auto"/>
          <w:sz w:val="44"/>
          <w:szCs w:val="44"/>
          <w:highlight w:val="none"/>
        </w:rPr>
      </w:pPr>
    </w:p>
    <w:p>
      <w:pPr>
        <w:spacing w:line="600" w:lineRule="exact"/>
        <w:jc w:val="both"/>
        <w:outlineLvl w:val="9"/>
        <w:rPr>
          <w:rFonts w:hint="eastAsia" w:ascii="黑体" w:hAnsi="黑体" w:eastAsia="黑体"/>
          <w:color w:val="auto"/>
          <w:sz w:val="44"/>
          <w:szCs w:val="44"/>
          <w:highlight w:val="none"/>
        </w:rPr>
      </w:pPr>
    </w:p>
    <w:p>
      <w:pPr>
        <w:spacing w:line="600" w:lineRule="exact"/>
        <w:jc w:val="both"/>
        <w:outlineLvl w:val="9"/>
        <w:rPr>
          <w:rFonts w:hint="eastAsia" w:ascii="黑体" w:hAnsi="黑体" w:eastAsia="黑体"/>
          <w:color w:val="auto"/>
          <w:sz w:val="44"/>
          <w:szCs w:val="44"/>
          <w:highlight w:val="none"/>
        </w:rPr>
      </w:pPr>
    </w:p>
    <w:p>
      <w:pPr>
        <w:spacing w:line="600" w:lineRule="exact"/>
        <w:jc w:val="both"/>
        <w:outlineLvl w:val="9"/>
        <w:rPr>
          <w:rFonts w:hint="eastAsia" w:ascii="黑体" w:hAnsi="黑体" w:eastAsia="黑体"/>
          <w:color w:val="auto"/>
          <w:sz w:val="44"/>
          <w:szCs w:val="44"/>
          <w:highlight w:val="none"/>
        </w:rPr>
      </w:pPr>
    </w:p>
    <w:p>
      <w:pPr>
        <w:spacing w:line="600" w:lineRule="exact"/>
        <w:jc w:val="both"/>
        <w:outlineLvl w:val="9"/>
        <w:rPr>
          <w:rFonts w:hint="eastAsia" w:ascii="黑体" w:hAnsi="黑体" w:eastAsia="黑体"/>
          <w:color w:val="auto"/>
          <w:sz w:val="44"/>
          <w:szCs w:val="44"/>
          <w:highlight w:val="none"/>
        </w:rPr>
      </w:pPr>
    </w:p>
    <w:p>
      <w:pPr>
        <w:spacing w:line="600" w:lineRule="exact"/>
        <w:jc w:val="center"/>
        <w:outlineLvl w:val="0"/>
        <w:rPr>
          <w:rFonts w:ascii="仿宋_GB2312" w:hAnsi="仿宋_GB2312" w:eastAsia="仿宋_GB2312" w:cs="仿宋_GB2312"/>
          <w:color w:val="auto"/>
          <w:sz w:val="32"/>
          <w:szCs w:val="32"/>
          <w:highlight w:val="none"/>
        </w:rPr>
      </w:pPr>
      <w:bookmarkStart w:id="73" w:name="_Toc9504"/>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bookmarkEnd w:id="71"/>
      <w:bookmarkEnd w:id="73"/>
    </w:p>
    <w:tbl>
      <w:tblPr>
        <w:tblStyle w:val="13"/>
        <w:tblpPr w:leftFromText="180" w:rightFromText="180" w:vertAnchor="text" w:horzAnchor="page" w:tblpXSpec="center" w:tblpY="611"/>
        <w:tblOverlap w:val="never"/>
        <w:tblW w:w="110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6"/>
        <w:gridCol w:w="1300"/>
        <w:gridCol w:w="1232"/>
        <w:gridCol w:w="1681"/>
        <w:gridCol w:w="723"/>
        <w:gridCol w:w="798"/>
        <w:gridCol w:w="702"/>
        <w:gridCol w:w="1069"/>
        <w:gridCol w:w="731"/>
        <w:gridCol w:w="807"/>
        <w:gridCol w:w="12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3"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广元市教育局部门</w:t>
            </w:r>
          </w:p>
        </w:tc>
        <w:tc>
          <w:tcPr>
            <w:tcW w:w="106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 （盖章）</w:t>
            </w:r>
          </w:p>
        </w:tc>
        <w:tc>
          <w:tcPr>
            <w:tcW w:w="28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项目基本情况</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1.项目年度目标完成情况</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项目年度目标</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严格执行相关政策，保障工资及时发放、足额发放，预算编制科学合理，减少结余资金</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单位人员待遇足额按时发放到位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2.项目实施内容及过程概述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预算执行情况（10分）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年度预算数（万元）</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调整后预算数</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总额</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44.58</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44.58</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44.15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99.03%</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其中：财政资金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44.58</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44.58</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44.15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99.03%</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财政专户管理资金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1"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绩效指标（90分）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指标性质</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度量单位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2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科目调整次数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足额保障率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按时发放率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结余率（计算方法为：结余数/预算数）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0.97%</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82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评价结论</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预算执行情况自评得分</w:t>
            </w:r>
            <w:r>
              <w:rPr>
                <w:rFonts w:hint="eastAsia" w:ascii="宋体" w:hAnsi="宋体" w:eastAsia="宋体" w:cs="宋体"/>
                <w:i w:val="0"/>
                <w:iCs w:val="0"/>
                <w:color w:val="000000"/>
                <w:sz w:val="24"/>
                <w:szCs w:val="24"/>
                <w:u w:val="none"/>
                <w:lang w:val="en-US" w:eastAsia="zh-CN"/>
              </w:rPr>
              <w:t>10</w:t>
            </w:r>
            <w:r>
              <w:rPr>
                <w:rFonts w:hint="eastAsia" w:ascii="宋体" w:hAnsi="宋体" w:eastAsia="宋体" w:cs="宋体"/>
                <w:i w:val="0"/>
                <w:iCs w:val="0"/>
                <w:color w:val="000000"/>
                <w:sz w:val="24"/>
                <w:szCs w:val="24"/>
                <w:u w:val="none"/>
              </w:rPr>
              <w:t>分，绩效指标自评得分</w:t>
            </w:r>
            <w:r>
              <w:rPr>
                <w:rFonts w:hint="eastAsia" w:ascii="宋体" w:hAnsi="宋体" w:eastAsia="宋体" w:cs="宋体"/>
                <w:i w:val="0"/>
                <w:iCs w:val="0"/>
                <w:color w:val="000000"/>
                <w:sz w:val="24"/>
                <w:szCs w:val="24"/>
                <w:u w:val="none"/>
                <w:lang w:val="en-US" w:eastAsia="zh-CN"/>
              </w:rPr>
              <w:t>90</w:t>
            </w:r>
            <w:r>
              <w:rPr>
                <w:rFonts w:hint="eastAsia" w:ascii="宋体" w:hAnsi="宋体" w:eastAsia="宋体" w:cs="宋体"/>
                <w:i w:val="0"/>
                <w:iCs w:val="0"/>
                <w:color w:val="000000"/>
                <w:sz w:val="24"/>
                <w:szCs w:val="24"/>
                <w:u w:val="none"/>
              </w:rPr>
              <w:t>分，预算自评总分</w:t>
            </w:r>
            <w:r>
              <w:rPr>
                <w:rFonts w:hint="eastAsia" w:ascii="宋体" w:hAnsi="宋体" w:eastAsia="宋体" w:cs="宋体"/>
                <w:i w:val="0"/>
                <w:iCs w:val="0"/>
                <w:color w:val="000000"/>
                <w:sz w:val="24"/>
                <w:szCs w:val="24"/>
                <w:u w:val="none"/>
                <w:lang w:val="en-US" w:eastAsia="zh-CN"/>
              </w:rPr>
              <w:t>100</w:t>
            </w:r>
            <w:r>
              <w:rPr>
                <w:rFonts w:hint="eastAsia" w:ascii="宋体" w:hAnsi="宋体" w:eastAsia="宋体" w:cs="宋体"/>
                <w:i w:val="0"/>
                <w:iCs w:val="0"/>
                <w:color w:val="000000"/>
                <w:sz w:val="24"/>
                <w:szCs w:val="24"/>
                <w:u w:val="none"/>
              </w:rPr>
              <w:t>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存在问题</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改进措施</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5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项目负责人：</w:t>
            </w:r>
          </w:p>
        </w:tc>
        <w:tc>
          <w:tcPr>
            <w:tcW w:w="53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1"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3"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广元市教育局部门</w:t>
            </w:r>
          </w:p>
        </w:tc>
        <w:tc>
          <w:tcPr>
            <w:tcW w:w="106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 （盖章）</w:t>
            </w:r>
          </w:p>
        </w:tc>
        <w:tc>
          <w:tcPr>
            <w:tcW w:w="28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项目基本情况</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1.项目年度目标完成情况</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项目年度目标</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严格执行相关政策，保障工资及时发放、足额发放，预算编制科学合理，减少结余资金</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单位人员待遇足额按时发放到位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2.项目实施内容及过程概述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预算执行情况（10分）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年度预算数（万元）</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调整后预算数</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总额</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其中：财政资金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财政专户管理资金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绩效指标（90分）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指标性质</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度量单位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2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足额保障率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100</w:t>
            </w:r>
            <w:r>
              <w:rPr>
                <w:rFonts w:hint="eastAsia" w:ascii="宋体" w:hAnsi="宋体" w:cs="宋体"/>
                <w:i w:val="0"/>
                <w:iCs w:val="0"/>
                <w:color w:val="000000"/>
                <w:kern w:val="0"/>
                <w:sz w:val="24"/>
                <w:szCs w:val="24"/>
                <w:u w:val="none"/>
                <w:lang w:val="en-US" w:eastAsia="zh-CN"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科目调整次数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按时发放率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r>
              <w:rPr>
                <w:rFonts w:hint="eastAsia" w:ascii="宋体" w:hAnsi="宋体" w:cs="宋体"/>
                <w:i w:val="0"/>
                <w:iCs w:val="0"/>
                <w:color w:val="000000"/>
                <w:kern w:val="0"/>
                <w:sz w:val="24"/>
                <w:szCs w:val="24"/>
                <w:u w:val="none"/>
                <w:lang w:val="en-US" w:eastAsia="zh-CN"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结余率（计算方法为：结余数/预算数）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82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3"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评价结论</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预算执行情况自评得分</w:t>
            </w:r>
            <w:r>
              <w:rPr>
                <w:rFonts w:hint="eastAsia" w:ascii="宋体" w:hAnsi="宋体" w:eastAsia="宋体" w:cs="宋体"/>
                <w:i w:val="0"/>
                <w:iCs w:val="0"/>
                <w:color w:val="000000"/>
                <w:sz w:val="24"/>
                <w:szCs w:val="24"/>
                <w:u w:val="none"/>
                <w:lang w:val="en-US" w:eastAsia="zh-CN"/>
              </w:rPr>
              <w:t>10</w:t>
            </w:r>
            <w:r>
              <w:rPr>
                <w:rFonts w:hint="eastAsia" w:ascii="宋体" w:hAnsi="宋体" w:eastAsia="宋体" w:cs="宋体"/>
                <w:i w:val="0"/>
                <w:iCs w:val="0"/>
                <w:color w:val="000000"/>
                <w:sz w:val="24"/>
                <w:szCs w:val="24"/>
                <w:u w:val="none"/>
              </w:rPr>
              <w:t>分，绩效指标自评得分</w:t>
            </w:r>
            <w:r>
              <w:rPr>
                <w:rFonts w:hint="eastAsia" w:ascii="宋体" w:hAnsi="宋体" w:eastAsia="宋体" w:cs="宋体"/>
                <w:i w:val="0"/>
                <w:iCs w:val="0"/>
                <w:color w:val="000000"/>
                <w:sz w:val="24"/>
                <w:szCs w:val="24"/>
                <w:u w:val="none"/>
                <w:lang w:val="en-US" w:eastAsia="zh-CN"/>
              </w:rPr>
              <w:t>90</w:t>
            </w:r>
            <w:r>
              <w:rPr>
                <w:rFonts w:hint="eastAsia" w:ascii="宋体" w:hAnsi="宋体" w:eastAsia="宋体" w:cs="宋体"/>
                <w:i w:val="0"/>
                <w:iCs w:val="0"/>
                <w:color w:val="000000"/>
                <w:sz w:val="24"/>
                <w:szCs w:val="24"/>
                <w:u w:val="none"/>
              </w:rPr>
              <w:t>分，预算自评总分</w:t>
            </w:r>
            <w:r>
              <w:rPr>
                <w:rFonts w:hint="eastAsia" w:ascii="宋体" w:hAnsi="宋体" w:eastAsia="宋体" w:cs="宋体"/>
                <w:i w:val="0"/>
                <w:iCs w:val="0"/>
                <w:color w:val="000000"/>
                <w:sz w:val="24"/>
                <w:szCs w:val="24"/>
                <w:u w:val="none"/>
                <w:lang w:val="en-US" w:eastAsia="zh-CN"/>
              </w:rPr>
              <w:t>100</w:t>
            </w:r>
            <w:r>
              <w:rPr>
                <w:rFonts w:hint="eastAsia" w:ascii="宋体" w:hAnsi="宋体" w:eastAsia="宋体" w:cs="宋体"/>
                <w:i w:val="0"/>
                <w:iCs w:val="0"/>
                <w:color w:val="000000"/>
                <w:sz w:val="24"/>
                <w:szCs w:val="24"/>
                <w:u w:val="none"/>
              </w:rPr>
              <w:t>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存在问题</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改进措施</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5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项目负责人：</w:t>
            </w:r>
          </w:p>
        </w:tc>
        <w:tc>
          <w:tcPr>
            <w:tcW w:w="53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51080021T000000063281-市级教育专项资金实施教师名师工程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3"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广元市教育局部门</w:t>
            </w:r>
          </w:p>
        </w:tc>
        <w:tc>
          <w:tcPr>
            <w:tcW w:w="106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 （盖章）</w:t>
            </w:r>
          </w:p>
        </w:tc>
        <w:tc>
          <w:tcPr>
            <w:tcW w:w="28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项目基本情况</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1.项目年度目标完成情况</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项目年度目标</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 xml:space="preserve">实相关名师管理与考核等工作。     </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新组建广元名师及名师乡村工作室105个，开展送教到校专题讲座、上示范课、指导校园文化建设打造等593次</w:t>
            </w:r>
            <w:r>
              <w:rPr>
                <w:rFonts w:hint="eastAsia" w:ascii="宋体" w:hAnsi="宋体" w:eastAsia="宋体" w:cs="宋体"/>
                <w:i w:val="0"/>
                <w:iCs w:val="0"/>
                <w:color w:val="000000"/>
                <w:sz w:val="24"/>
                <w:szCs w:val="24"/>
                <w:u w:val="none"/>
                <w:lang w:eastAsia="zh-CN"/>
              </w:rPr>
              <w:t>，</w:t>
            </w:r>
            <w:r>
              <w:rPr>
                <w:rFonts w:hint="eastAsia" w:ascii="宋体" w:hAnsi="宋体" w:eastAsia="宋体" w:cs="宋体"/>
                <w:i w:val="0"/>
                <w:iCs w:val="0"/>
                <w:color w:val="000000"/>
                <w:sz w:val="24"/>
                <w:szCs w:val="24"/>
                <w:u w:val="none"/>
              </w:rPr>
              <w:t>顺利完成2021-2022年度广元名师考核。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2.项目实施内容及过程概述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新组建广元名师及名师乡村工作室105个，开展送教到校专题讲座、上示范课、指导校园文化建设打造等593次</w:t>
            </w:r>
            <w:r>
              <w:rPr>
                <w:rFonts w:hint="eastAsia" w:ascii="宋体" w:hAnsi="宋体" w:eastAsia="宋体" w:cs="宋体"/>
                <w:i w:val="0"/>
                <w:iCs w:val="0"/>
                <w:color w:val="000000"/>
                <w:sz w:val="24"/>
                <w:szCs w:val="24"/>
                <w:u w:val="none"/>
                <w:lang w:eastAsia="zh-CN"/>
              </w:rPr>
              <w:t>，</w:t>
            </w:r>
            <w:r>
              <w:rPr>
                <w:rFonts w:hint="eastAsia" w:ascii="宋体" w:hAnsi="宋体" w:eastAsia="宋体" w:cs="宋体"/>
                <w:i w:val="0"/>
                <w:iCs w:val="0"/>
                <w:color w:val="000000"/>
                <w:sz w:val="24"/>
                <w:szCs w:val="24"/>
                <w:u w:val="none"/>
              </w:rPr>
              <w:t>顺利完成2021-2022年度广元名师考核。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预算执行情况（10分）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年度预算数（万元）</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调整后预算数</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总额</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16.60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2.08</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79.91%</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其中：财政资金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16.60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2.08</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79.91%</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财政专户管理资金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绩效指标（90分）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指标性质</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度量单位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产出指标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数量指标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完成市直属学校名师学年度考核</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40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43</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40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40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成本指标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经济成本指标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项目总成本</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2.6</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万元</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2.08</w:t>
            </w:r>
            <w:r>
              <w:rPr>
                <w:rFonts w:hint="eastAsia" w:ascii="宋体" w:hAnsi="宋体" w:eastAsia="宋体" w:cs="宋体"/>
                <w:i w:val="0"/>
                <w:iCs w:val="0"/>
                <w:color w:val="000000"/>
                <w:sz w:val="24"/>
                <w:szCs w:val="24"/>
                <w:u w:val="none"/>
                <w:lang w:eastAsia="zh-CN"/>
              </w:rPr>
              <w:t>万元</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20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效益指标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社会效益指标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各名师培养和带领青年教师成长</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6</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eastAsia="zh-CN"/>
              </w:rPr>
              <w:t>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有效培训教师达</w:t>
            </w:r>
            <w:r>
              <w:rPr>
                <w:rFonts w:hint="eastAsia" w:ascii="宋体" w:hAnsi="宋体" w:eastAsia="宋体" w:cs="宋体"/>
                <w:i w:val="0"/>
                <w:iCs w:val="0"/>
                <w:color w:val="000000"/>
                <w:sz w:val="24"/>
                <w:szCs w:val="24"/>
                <w:u w:val="none"/>
                <w:lang w:val="en-US" w:eastAsia="zh-CN"/>
              </w:rPr>
              <w:t>5000</w:t>
            </w:r>
            <w:r>
              <w:rPr>
                <w:rFonts w:hint="eastAsia" w:ascii="宋体" w:hAnsi="宋体" w:eastAsia="宋体" w:cs="宋体"/>
                <w:i w:val="0"/>
                <w:iCs w:val="0"/>
                <w:color w:val="000000"/>
                <w:sz w:val="24"/>
                <w:szCs w:val="24"/>
                <w:u w:val="none"/>
              </w:rPr>
              <w:t>余人次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20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满意度指标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满意度指标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名师满意度</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95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98</w:t>
            </w:r>
            <w:r>
              <w:rPr>
                <w:rFonts w:hint="eastAsia" w:ascii="宋体" w:hAnsi="宋体" w:eastAsia="宋体" w:cs="宋体"/>
                <w:i w:val="0"/>
                <w:iCs w:val="0"/>
                <w:color w:val="000000"/>
                <w:kern w:val="0"/>
                <w:sz w:val="24"/>
                <w:szCs w:val="24"/>
                <w:u w:val="none"/>
                <w:lang w:val="en-US" w:eastAsia="zh-CN"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82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评价结论</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预算执行情况自评得分</w:t>
            </w:r>
            <w:r>
              <w:rPr>
                <w:rFonts w:hint="eastAsia" w:ascii="宋体" w:hAnsi="宋体" w:eastAsia="宋体" w:cs="宋体"/>
                <w:i w:val="0"/>
                <w:iCs w:val="0"/>
                <w:color w:val="000000"/>
                <w:sz w:val="24"/>
                <w:szCs w:val="24"/>
                <w:u w:val="none"/>
                <w:lang w:val="en-US" w:eastAsia="zh-CN"/>
              </w:rPr>
              <w:t>10</w:t>
            </w:r>
            <w:r>
              <w:rPr>
                <w:rFonts w:hint="eastAsia" w:ascii="宋体" w:hAnsi="宋体" w:eastAsia="宋体" w:cs="宋体"/>
                <w:i w:val="0"/>
                <w:iCs w:val="0"/>
                <w:color w:val="000000"/>
                <w:sz w:val="24"/>
                <w:szCs w:val="24"/>
                <w:u w:val="none"/>
              </w:rPr>
              <w:t>分，绩效指标自评得分</w:t>
            </w:r>
            <w:r>
              <w:rPr>
                <w:rFonts w:hint="eastAsia" w:ascii="宋体" w:hAnsi="宋体" w:eastAsia="宋体" w:cs="宋体"/>
                <w:i w:val="0"/>
                <w:iCs w:val="0"/>
                <w:color w:val="000000"/>
                <w:sz w:val="24"/>
                <w:szCs w:val="24"/>
                <w:u w:val="none"/>
                <w:lang w:val="en-US" w:eastAsia="zh-CN"/>
              </w:rPr>
              <w:t>90</w:t>
            </w:r>
            <w:r>
              <w:rPr>
                <w:rFonts w:hint="eastAsia" w:ascii="宋体" w:hAnsi="宋体" w:eastAsia="宋体" w:cs="宋体"/>
                <w:i w:val="0"/>
                <w:iCs w:val="0"/>
                <w:color w:val="000000"/>
                <w:sz w:val="24"/>
                <w:szCs w:val="24"/>
                <w:u w:val="none"/>
              </w:rPr>
              <w:t>分，预算自评总分</w:t>
            </w:r>
            <w:r>
              <w:rPr>
                <w:rFonts w:hint="eastAsia" w:ascii="宋体" w:hAnsi="宋体" w:eastAsia="宋体" w:cs="宋体"/>
                <w:i w:val="0"/>
                <w:iCs w:val="0"/>
                <w:color w:val="000000"/>
                <w:sz w:val="24"/>
                <w:szCs w:val="24"/>
                <w:u w:val="none"/>
                <w:lang w:val="en-US" w:eastAsia="zh-CN"/>
              </w:rPr>
              <w:t>100</w:t>
            </w:r>
            <w:r>
              <w:rPr>
                <w:rFonts w:hint="eastAsia" w:ascii="宋体" w:hAnsi="宋体" w:eastAsia="宋体" w:cs="宋体"/>
                <w:i w:val="0"/>
                <w:iCs w:val="0"/>
                <w:color w:val="000000"/>
                <w:sz w:val="24"/>
                <w:szCs w:val="24"/>
                <w:u w:val="none"/>
              </w:rPr>
              <w:t>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存在问题</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2022年受疫情影响，下半年名师送教活动无法正常开展。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改进措施</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进一步提高名师工作创新性、有效性。一是继续推进建设一批“名师乡村工作室”；二是继续开展“广元名师”专项培养计划，督促名师开展各项活动；三是继续实施广元名师年度培训，创新开展名师关爱培训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5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项目负责人：</w:t>
            </w:r>
          </w:p>
        </w:tc>
        <w:tc>
          <w:tcPr>
            <w:tcW w:w="53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1"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3"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广元市教育局部门</w:t>
            </w:r>
          </w:p>
        </w:tc>
        <w:tc>
          <w:tcPr>
            <w:tcW w:w="106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 （盖章）</w:t>
            </w:r>
          </w:p>
        </w:tc>
        <w:tc>
          <w:tcPr>
            <w:tcW w:w="28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项目基本情况</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1.项目年度目标完成情况</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项目年度目标</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保障单位日常运转，提高预算编制质量，严格执行预算</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2.项目实施内容及过程概述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预算执行情况（10分）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年度预算数（万元）</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调整后预算数</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总额</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3.63</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3.63</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3.63</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其中：财政资金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3.63</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3.63</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3.63</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财政专户管理资金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绩效指标（90分）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指标性质</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度量单位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科目调整次数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预算编制准确率（计算方法为：∣（执行数-预算数）/预算数∣）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2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运转保障率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“三公经费”控制率[计算方法为：（三公经费实际支出数/预算安排数]×100%）</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82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评价结论</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预算执行情况自评得分</w:t>
            </w:r>
            <w:r>
              <w:rPr>
                <w:rFonts w:hint="eastAsia" w:ascii="宋体" w:hAnsi="宋体" w:eastAsia="宋体" w:cs="宋体"/>
                <w:i w:val="0"/>
                <w:iCs w:val="0"/>
                <w:color w:val="000000"/>
                <w:sz w:val="24"/>
                <w:szCs w:val="24"/>
                <w:u w:val="none"/>
                <w:lang w:val="en-US" w:eastAsia="zh-CN"/>
              </w:rPr>
              <w:t>10</w:t>
            </w:r>
            <w:r>
              <w:rPr>
                <w:rFonts w:hint="eastAsia" w:ascii="宋体" w:hAnsi="宋体" w:eastAsia="宋体" w:cs="宋体"/>
                <w:i w:val="0"/>
                <w:iCs w:val="0"/>
                <w:color w:val="000000"/>
                <w:sz w:val="24"/>
                <w:szCs w:val="24"/>
                <w:u w:val="none"/>
              </w:rPr>
              <w:t>分，绩效指标自评得分</w:t>
            </w:r>
            <w:r>
              <w:rPr>
                <w:rFonts w:hint="eastAsia" w:ascii="宋体" w:hAnsi="宋体" w:eastAsia="宋体" w:cs="宋体"/>
                <w:i w:val="0"/>
                <w:iCs w:val="0"/>
                <w:color w:val="000000"/>
                <w:sz w:val="24"/>
                <w:szCs w:val="24"/>
                <w:u w:val="none"/>
                <w:lang w:val="en-US" w:eastAsia="zh-CN"/>
              </w:rPr>
              <w:t>90</w:t>
            </w:r>
            <w:r>
              <w:rPr>
                <w:rFonts w:hint="eastAsia" w:ascii="宋体" w:hAnsi="宋体" w:eastAsia="宋体" w:cs="宋体"/>
                <w:i w:val="0"/>
                <w:iCs w:val="0"/>
                <w:color w:val="000000"/>
                <w:sz w:val="24"/>
                <w:szCs w:val="24"/>
                <w:u w:val="none"/>
              </w:rPr>
              <w:t>分，预算自评总分</w:t>
            </w:r>
            <w:r>
              <w:rPr>
                <w:rFonts w:hint="eastAsia" w:ascii="宋体" w:hAnsi="宋体" w:eastAsia="宋体" w:cs="宋体"/>
                <w:i w:val="0"/>
                <w:iCs w:val="0"/>
                <w:color w:val="000000"/>
                <w:sz w:val="24"/>
                <w:szCs w:val="24"/>
                <w:u w:val="none"/>
                <w:lang w:val="en-US" w:eastAsia="zh-CN"/>
              </w:rPr>
              <w:t>100</w:t>
            </w:r>
            <w:r>
              <w:rPr>
                <w:rFonts w:hint="eastAsia" w:ascii="宋体" w:hAnsi="宋体" w:eastAsia="宋体" w:cs="宋体"/>
                <w:i w:val="0"/>
                <w:iCs w:val="0"/>
                <w:color w:val="000000"/>
                <w:sz w:val="24"/>
                <w:szCs w:val="24"/>
                <w:u w:val="none"/>
              </w:rPr>
              <w:t>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存在问题</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改进措施</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5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项目负责人：</w:t>
            </w:r>
          </w:p>
        </w:tc>
        <w:tc>
          <w:tcPr>
            <w:tcW w:w="53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3"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广元市教育局部门</w:t>
            </w:r>
          </w:p>
        </w:tc>
        <w:tc>
          <w:tcPr>
            <w:tcW w:w="106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 （盖章）</w:t>
            </w:r>
          </w:p>
        </w:tc>
        <w:tc>
          <w:tcPr>
            <w:tcW w:w="28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项目基本情况</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1.项目年度目标完成情况</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项目年度目标</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严格执行相关政策，保障工资及时发放、足额发放，预算编制科学合理，减少结余资金</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单位人员待遇足额按时发放到位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2.项目实施内容及过程概述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预算执行情况（10分）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年度预算数（万元）</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调整后预算数</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总额</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67.85</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94.03</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96.94%</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其中：财政资金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67.85</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94.03</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96.94%</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财政专户管理资金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绩效指标（90分）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指标性质</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度量单位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2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科目调整次数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足额保障率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按时发放率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结余率（计算方法为：结余数/预算数）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3.06%</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82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评价结论</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预算执行情况自评得分</w:t>
            </w:r>
            <w:r>
              <w:rPr>
                <w:rFonts w:hint="eastAsia" w:ascii="宋体" w:hAnsi="宋体" w:eastAsia="宋体" w:cs="宋体"/>
                <w:i w:val="0"/>
                <w:iCs w:val="0"/>
                <w:color w:val="000000"/>
                <w:sz w:val="24"/>
                <w:szCs w:val="24"/>
                <w:u w:val="none"/>
                <w:lang w:val="en-US" w:eastAsia="zh-CN"/>
              </w:rPr>
              <w:t>10</w:t>
            </w:r>
            <w:r>
              <w:rPr>
                <w:rFonts w:hint="eastAsia" w:ascii="宋体" w:hAnsi="宋体" w:eastAsia="宋体" w:cs="宋体"/>
                <w:i w:val="0"/>
                <w:iCs w:val="0"/>
                <w:color w:val="000000"/>
                <w:sz w:val="24"/>
                <w:szCs w:val="24"/>
                <w:u w:val="none"/>
              </w:rPr>
              <w:t>分，绩效指标自评得分</w:t>
            </w:r>
            <w:r>
              <w:rPr>
                <w:rFonts w:hint="eastAsia" w:ascii="宋体" w:hAnsi="宋体" w:eastAsia="宋体" w:cs="宋体"/>
                <w:i w:val="0"/>
                <w:iCs w:val="0"/>
                <w:color w:val="000000"/>
                <w:sz w:val="24"/>
                <w:szCs w:val="24"/>
                <w:u w:val="none"/>
                <w:lang w:val="en-US" w:eastAsia="zh-CN"/>
              </w:rPr>
              <w:t>90</w:t>
            </w:r>
            <w:r>
              <w:rPr>
                <w:rFonts w:hint="eastAsia" w:ascii="宋体" w:hAnsi="宋体" w:eastAsia="宋体" w:cs="宋体"/>
                <w:i w:val="0"/>
                <w:iCs w:val="0"/>
                <w:color w:val="000000"/>
                <w:sz w:val="24"/>
                <w:szCs w:val="24"/>
                <w:u w:val="none"/>
              </w:rPr>
              <w:t>分，预算自评总分</w:t>
            </w:r>
            <w:r>
              <w:rPr>
                <w:rFonts w:hint="eastAsia" w:ascii="宋体" w:hAnsi="宋体" w:eastAsia="宋体" w:cs="宋体"/>
                <w:i w:val="0"/>
                <w:iCs w:val="0"/>
                <w:color w:val="000000"/>
                <w:sz w:val="24"/>
                <w:szCs w:val="24"/>
                <w:u w:val="none"/>
                <w:lang w:val="en-US" w:eastAsia="zh-CN"/>
              </w:rPr>
              <w:t>100</w:t>
            </w:r>
            <w:r>
              <w:rPr>
                <w:rFonts w:hint="eastAsia" w:ascii="宋体" w:hAnsi="宋体" w:eastAsia="宋体" w:cs="宋体"/>
                <w:i w:val="0"/>
                <w:iCs w:val="0"/>
                <w:color w:val="000000"/>
                <w:sz w:val="24"/>
                <w:szCs w:val="24"/>
                <w:u w:val="none"/>
              </w:rPr>
              <w:t>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存在问题</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改进措施</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5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项目负责人：</w:t>
            </w:r>
          </w:p>
        </w:tc>
        <w:tc>
          <w:tcPr>
            <w:tcW w:w="53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51080022T000005628711-人员经费财返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3"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广元市教育局部门</w:t>
            </w:r>
          </w:p>
        </w:tc>
        <w:tc>
          <w:tcPr>
            <w:tcW w:w="106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 （盖章）</w:t>
            </w:r>
          </w:p>
        </w:tc>
        <w:tc>
          <w:tcPr>
            <w:tcW w:w="28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项目基本情况</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1.项目年度目标完成情况</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项目年度目标</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严格执行相关政策，保障工资及时发放、足额发放，预算编制科学合理，减少结余资金</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单位人员待遇足额按时发放到位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2.项目实施内容及过程概述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预算执行情况（10分）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年度预算数（万元）</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调整后预算数</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总额</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0.52</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0.52</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0.52</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其中：财政资金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0.52</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0.52</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0.52</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财政专户管理资金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绩效指标（90分）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指标性质</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度量单位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产出指标</w:t>
            </w:r>
          </w:p>
          <w:p>
            <w:pPr>
              <w:jc w:val="center"/>
              <w:rPr>
                <w:rFonts w:hint="eastAsia" w:ascii="宋体" w:hAnsi="宋体" w:eastAsia="宋体" w:cs="宋体"/>
                <w:i w:val="0"/>
                <w:iCs w:val="0"/>
                <w:color w:val="000000"/>
                <w:sz w:val="24"/>
                <w:szCs w:val="24"/>
                <w:u w:val="none"/>
              </w:rPr>
            </w:pPr>
          </w:p>
        </w:tc>
        <w:tc>
          <w:tcPr>
            <w:tcW w:w="123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数量指标</w:t>
            </w:r>
          </w:p>
          <w:p>
            <w:pPr>
              <w:jc w:val="center"/>
              <w:rPr>
                <w:rFonts w:hint="eastAsia" w:ascii="宋体" w:hAnsi="宋体" w:eastAsia="宋体" w:cs="宋体"/>
                <w:i w:val="0"/>
                <w:iCs w:val="0"/>
                <w:color w:val="000000"/>
                <w:sz w:val="24"/>
                <w:szCs w:val="24"/>
                <w:u w:val="none"/>
              </w:rPr>
            </w:pP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科目调整次数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次</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足额保障率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时效指标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按时发放率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效益指标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经济效益指标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结余率（计算方法为：结余数/预算数）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82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评价结论</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预算执行情况自评得分</w:t>
            </w:r>
            <w:r>
              <w:rPr>
                <w:rFonts w:hint="eastAsia" w:ascii="宋体" w:hAnsi="宋体" w:eastAsia="宋体" w:cs="宋体"/>
                <w:i w:val="0"/>
                <w:iCs w:val="0"/>
                <w:color w:val="000000"/>
                <w:sz w:val="24"/>
                <w:szCs w:val="24"/>
                <w:u w:val="none"/>
                <w:lang w:val="en-US" w:eastAsia="zh-CN"/>
              </w:rPr>
              <w:t>10</w:t>
            </w:r>
            <w:r>
              <w:rPr>
                <w:rFonts w:hint="eastAsia" w:ascii="宋体" w:hAnsi="宋体" w:eastAsia="宋体" w:cs="宋体"/>
                <w:i w:val="0"/>
                <w:iCs w:val="0"/>
                <w:color w:val="000000"/>
                <w:sz w:val="24"/>
                <w:szCs w:val="24"/>
                <w:u w:val="none"/>
              </w:rPr>
              <w:t>分，绩效指标自评得分</w:t>
            </w:r>
            <w:r>
              <w:rPr>
                <w:rFonts w:hint="eastAsia" w:ascii="宋体" w:hAnsi="宋体" w:eastAsia="宋体" w:cs="宋体"/>
                <w:i w:val="0"/>
                <w:iCs w:val="0"/>
                <w:color w:val="000000"/>
                <w:sz w:val="24"/>
                <w:szCs w:val="24"/>
                <w:u w:val="none"/>
                <w:lang w:val="en-US" w:eastAsia="zh-CN"/>
              </w:rPr>
              <w:t>90</w:t>
            </w:r>
            <w:r>
              <w:rPr>
                <w:rFonts w:hint="eastAsia" w:ascii="宋体" w:hAnsi="宋体" w:eastAsia="宋体" w:cs="宋体"/>
                <w:i w:val="0"/>
                <w:iCs w:val="0"/>
                <w:color w:val="000000"/>
                <w:sz w:val="24"/>
                <w:szCs w:val="24"/>
                <w:u w:val="none"/>
              </w:rPr>
              <w:t>分，预算自评总分</w:t>
            </w:r>
            <w:r>
              <w:rPr>
                <w:rFonts w:hint="eastAsia" w:ascii="宋体" w:hAnsi="宋体" w:eastAsia="宋体" w:cs="宋体"/>
                <w:i w:val="0"/>
                <w:iCs w:val="0"/>
                <w:color w:val="000000"/>
                <w:sz w:val="24"/>
                <w:szCs w:val="24"/>
                <w:u w:val="none"/>
                <w:lang w:val="en-US" w:eastAsia="zh-CN"/>
              </w:rPr>
              <w:t>100</w:t>
            </w:r>
            <w:r>
              <w:rPr>
                <w:rFonts w:hint="eastAsia" w:ascii="宋体" w:hAnsi="宋体" w:eastAsia="宋体" w:cs="宋体"/>
                <w:i w:val="0"/>
                <w:iCs w:val="0"/>
                <w:color w:val="000000"/>
                <w:sz w:val="24"/>
                <w:szCs w:val="24"/>
                <w:u w:val="none"/>
              </w:rPr>
              <w:t>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存在问题</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改进措施</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5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项目负责人：</w:t>
            </w:r>
          </w:p>
        </w:tc>
        <w:tc>
          <w:tcPr>
            <w:tcW w:w="53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51080022T000005628997-公用经费财返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3"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广元市教育局部门</w:t>
            </w:r>
          </w:p>
        </w:tc>
        <w:tc>
          <w:tcPr>
            <w:tcW w:w="106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 （盖章）</w:t>
            </w:r>
          </w:p>
        </w:tc>
        <w:tc>
          <w:tcPr>
            <w:tcW w:w="28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项目基本情况</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1.项目年度目标完成情况</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项目年度目标</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保障单位日常运转，提高预算编制质量，严格执行预算</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2.项目实施内容及过程概述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预算执行情况（10分）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年度预算数（万元）</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调整后预算数</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总额</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0.03</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0.03</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0.03</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其中：财政资金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0.03</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0.03</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0.03</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财政专户管理资金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绩效指标（90分）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指标性质</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度量单位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产出指标</w:t>
            </w:r>
          </w:p>
          <w:p>
            <w:pPr>
              <w:jc w:val="center"/>
              <w:rPr>
                <w:rFonts w:hint="eastAsia" w:ascii="宋体" w:hAnsi="宋体" w:eastAsia="宋体" w:cs="宋体"/>
                <w:i w:val="0"/>
                <w:iCs w:val="0"/>
                <w:color w:val="000000"/>
                <w:sz w:val="24"/>
                <w:szCs w:val="24"/>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数量指标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科目调整次数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次</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质量指标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预算编制准确率（计算方法为：∣（执行数-预算数）/预算数∣）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效益指标</w:t>
            </w:r>
          </w:p>
          <w:p>
            <w:pPr>
              <w:jc w:val="center"/>
              <w:rPr>
                <w:rFonts w:hint="eastAsia" w:ascii="宋体" w:hAnsi="宋体" w:eastAsia="宋体" w:cs="宋体"/>
                <w:i w:val="0"/>
                <w:iCs w:val="0"/>
                <w:color w:val="000000"/>
                <w:sz w:val="24"/>
                <w:szCs w:val="24"/>
                <w:u w:val="none"/>
              </w:rPr>
            </w:pPr>
          </w:p>
        </w:tc>
        <w:tc>
          <w:tcPr>
            <w:tcW w:w="123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经济效益指标</w:t>
            </w:r>
          </w:p>
          <w:p>
            <w:pPr>
              <w:jc w:val="center"/>
              <w:rPr>
                <w:rFonts w:hint="eastAsia" w:ascii="宋体" w:hAnsi="宋体" w:eastAsia="宋体" w:cs="宋体"/>
                <w:i w:val="0"/>
                <w:iCs w:val="0"/>
                <w:color w:val="000000"/>
                <w:sz w:val="24"/>
                <w:szCs w:val="24"/>
                <w:u w:val="none"/>
              </w:rPr>
            </w:pP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运转保障率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“三公经费”控制率[计算方法为：（三公经费实际支出数/预算安排数]×100%）</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82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评价结论</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预算执行情况自评得分</w:t>
            </w:r>
            <w:r>
              <w:rPr>
                <w:rFonts w:hint="eastAsia" w:ascii="宋体" w:hAnsi="宋体" w:eastAsia="宋体" w:cs="宋体"/>
                <w:i w:val="0"/>
                <w:iCs w:val="0"/>
                <w:color w:val="000000"/>
                <w:sz w:val="24"/>
                <w:szCs w:val="24"/>
                <w:u w:val="none"/>
                <w:lang w:val="en-US" w:eastAsia="zh-CN"/>
              </w:rPr>
              <w:t>10</w:t>
            </w:r>
            <w:r>
              <w:rPr>
                <w:rFonts w:hint="eastAsia" w:ascii="宋体" w:hAnsi="宋体" w:eastAsia="宋体" w:cs="宋体"/>
                <w:i w:val="0"/>
                <w:iCs w:val="0"/>
                <w:color w:val="000000"/>
                <w:sz w:val="24"/>
                <w:szCs w:val="24"/>
                <w:u w:val="none"/>
              </w:rPr>
              <w:t>分，绩效指标自评得分</w:t>
            </w:r>
            <w:r>
              <w:rPr>
                <w:rFonts w:hint="eastAsia" w:ascii="宋体" w:hAnsi="宋体" w:eastAsia="宋体" w:cs="宋体"/>
                <w:i w:val="0"/>
                <w:iCs w:val="0"/>
                <w:color w:val="000000"/>
                <w:sz w:val="24"/>
                <w:szCs w:val="24"/>
                <w:u w:val="none"/>
                <w:lang w:val="en-US" w:eastAsia="zh-CN"/>
              </w:rPr>
              <w:t>90</w:t>
            </w:r>
            <w:r>
              <w:rPr>
                <w:rFonts w:hint="eastAsia" w:ascii="宋体" w:hAnsi="宋体" w:eastAsia="宋体" w:cs="宋体"/>
                <w:i w:val="0"/>
                <w:iCs w:val="0"/>
                <w:color w:val="000000"/>
                <w:sz w:val="24"/>
                <w:szCs w:val="24"/>
                <w:u w:val="none"/>
              </w:rPr>
              <w:t>分，预算自评总分</w:t>
            </w:r>
            <w:r>
              <w:rPr>
                <w:rFonts w:hint="eastAsia" w:ascii="宋体" w:hAnsi="宋体" w:eastAsia="宋体" w:cs="宋体"/>
                <w:i w:val="0"/>
                <w:iCs w:val="0"/>
                <w:color w:val="000000"/>
                <w:sz w:val="24"/>
                <w:szCs w:val="24"/>
                <w:u w:val="none"/>
                <w:lang w:val="en-US" w:eastAsia="zh-CN"/>
              </w:rPr>
              <w:t>100</w:t>
            </w:r>
            <w:r>
              <w:rPr>
                <w:rFonts w:hint="eastAsia" w:ascii="宋体" w:hAnsi="宋体" w:eastAsia="宋体" w:cs="宋体"/>
                <w:i w:val="0"/>
                <w:iCs w:val="0"/>
                <w:color w:val="000000"/>
                <w:sz w:val="24"/>
                <w:szCs w:val="24"/>
                <w:u w:val="none"/>
              </w:rPr>
              <w:t>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存在问题</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改进措施</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5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项目负责人：</w:t>
            </w:r>
          </w:p>
        </w:tc>
        <w:tc>
          <w:tcPr>
            <w:tcW w:w="53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51080022T000005631518-教师培训经费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3"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广元市教育局部门</w:t>
            </w:r>
          </w:p>
        </w:tc>
        <w:tc>
          <w:tcPr>
            <w:tcW w:w="106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 （盖章）</w:t>
            </w:r>
          </w:p>
        </w:tc>
        <w:tc>
          <w:tcPr>
            <w:tcW w:w="28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项目基本情况</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1.项目年度目标完成情况</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项目年度目标</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进一步规范完善教师培训项目的规划设计，开展各类教师能力提升培训，为广元市教育发展提供良好的师资保障</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全年组织实施市级教师培训项目9个，培训教师10000余人次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2.项目实施内容及过程概述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按照2022年省、市教育工作总体规划及目标要求，在充分调研、广泛征集各地各校培训意愿的基础上，结合广元教育实际，分类设置市级师培项目共计25个。全年组织实施市级教师培训项目9个，培训教师10000余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预算执行情况（10分）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年度预算数（万元）</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调整后预算数</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总额</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102.15</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102.15</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58.61</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57.38%</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8</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2022年受疫情影响，16个培训项目未实施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其中：财政资金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102.15</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102.15</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58.61</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57.38%</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财政专户管理资金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绩效指标（90分）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指标性质</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度量单位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restart"/>
            <w:tcBorders>
              <w:top w:val="single" w:color="000000" w:sz="4" w:space="0"/>
              <w:left w:val="single" w:color="000000" w:sz="4" w:space="0"/>
              <w:right w:val="single" w:color="000000" w:sz="4" w:space="0"/>
            </w:tcBorders>
            <w:shd w:val="clear" w:color="auto" w:fill="auto"/>
            <w:vAlign w:val="center"/>
          </w:tcPr>
          <w:p>
            <w:pPr>
              <w:tabs>
                <w:tab w:val="left" w:pos="396"/>
              </w:tabs>
              <w:jc w:val="left"/>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产出指标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数量指标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培训人数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5000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人</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10000余人</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20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质量指标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学员参训率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95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98%</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20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成本指标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经济成本指标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项目总成本</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102.15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万元</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58.61万元</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20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20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效益指标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社会效益指标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提炼和推广先进教育教学经验和优秀教育教学成果以及有效的培训成果案例</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个</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2021年度“国培计划”项目典型工作案例评审活动，27</w:t>
            </w:r>
            <w:r>
              <w:rPr>
                <w:rFonts w:hint="eastAsia" w:ascii="宋体" w:hAnsi="宋体" w:eastAsia="宋体" w:cs="宋体"/>
                <w:i w:val="0"/>
                <w:iCs w:val="0"/>
                <w:color w:val="000000"/>
                <w:sz w:val="24"/>
                <w:szCs w:val="24"/>
                <w:u w:val="none"/>
                <w:lang w:eastAsia="zh-CN"/>
              </w:rPr>
              <w:t>项</w:t>
            </w:r>
            <w:r>
              <w:rPr>
                <w:rFonts w:hint="eastAsia" w:ascii="宋体" w:hAnsi="宋体" w:eastAsia="宋体" w:cs="宋体"/>
                <w:i w:val="0"/>
                <w:iCs w:val="0"/>
                <w:color w:val="000000"/>
                <w:sz w:val="24"/>
                <w:szCs w:val="24"/>
                <w:u w:val="none"/>
              </w:rPr>
              <w:t>获省级等级奖，3项特获等奖</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20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20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满意度指标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满意度指标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参训学员满意度</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95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98%</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10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82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98</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评价结论</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预算执行情况自评得分8分，绩效指标自评得分90分，预算自评总分98分，较好的实现了绩效目标。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存在问题</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2022年受疫情影响，16个培训项目未组织实施。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改进措施</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进一步提升培训项目针对性、实效性。充分调研、认真规划、精心谋划2023年市级师培项目并认真组织实施。注重对名师、骨干教师连续性专项培养以及管理人员的针对性培训。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5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项目负责人：</w:t>
            </w:r>
          </w:p>
        </w:tc>
        <w:tc>
          <w:tcPr>
            <w:tcW w:w="53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3"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广元市教育局部门</w:t>
            </w:r>
          </w:p>
        </w:tc>
        <w:tc>
          <w:tcPr>
            <w:tcW w:w="106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 （盖章）</w:t>
            </w:r>
          </w:p>
        </w:tc>
        <w:tc>
          <w:tcPr>
            <w:tcW w:w="28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项目基本情况</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1.项目年度目标完成情况</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项目年度目标</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保障单位日常运转，提高预算编制质量，严格执行预算</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2.项目实施内容及过程概述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预算执行情况（10分）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年度预算数（万元）</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调整后预算数</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总额</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9.41</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8.42</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89.52%</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9</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其中：财政资金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9.41</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8.42</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89.52%</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财政专户管理资金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3"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绩效指标（90分）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指标性质</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度量单位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科目调整次数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预算编制准确率（计算方法为：∣（执行数-预算数）/预算数∣）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-10.52%</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2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运转保障率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“三公经费”控制率[计算方法为：（三公经费实际支出数/预算安排数]×100%）</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82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评价结论</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预算执行情况自评得分</w:t>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分，绩效指标自评得分90分，预算自评总分9</w:t>
            </w:r>
            <w:r>
              <w:rPr>
                <w:rFonts w:hint="eastAsia" w:ascii="宋体" w:hAnsi="宋体" w:cs="宋体"/>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存在问题</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改进措施</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5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项目负责人：</w:t>
            </w:r>
          </w:p>
        </w:tc>
        <w:tc>
          <w:tcPr>
            <w:tcW w:w="53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2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9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0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3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2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3"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广元市教育局部门</w:t>
            </w:r>
          </w:p>
        </w:tc>
        <w:tc>
          <w:tcPr>
            <w:tcW w:w="106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 （盖章）</w:t>
            </w:r>
          </w:p>
        </w:tc>
        <w:tc>
          <w:tcPr>
            <w:tcW w:w="28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项目基本情况</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1.项目年度目标完成情况</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项目年度目标</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严格执行相关政策，保障工资及时发放、足额发放，预算编制科学合理，减少结余资金</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单位人员待遇足额按时发放到位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2.项目实施内容及过程概述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预算执行情况（10分）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年度预算数（万元）</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调整后预算数</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总额</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7.27</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90.75%</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其中：财政资金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7.27</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90.75%</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财政专户管理资金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绩效指标（90分）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指标性质</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度量单位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产出指标</w:t>
            </w:r>
          </w:p>
          <w:p>
            <w:pPr>
              <w:jc w:val="center"/>
              <w:rPr>
                <w:rFonts w:hint="eastAsia" w:ascii="宋体" w:hAnsi="宋体" w:eastAsia="宋体" w:cs="宋体"/>
                <w:i w:val="0"/>
                <w:iCs w:val="0"/>
                <w:color w:val="000000"/>
                <w:kern w:val="2"/>
                <w:sz w:val="24"/>
                <w:szCs w:val="24"/>
                <w:u w:val="none"/>
                <w:lang w:val="en-US" w:eastAsia="zh-CN" w:bidi="ar-SA"/>
              </w:rPr>
            </w:pPr>
          </w:p>
          <w:p>
            <w:pPr>
              <w:jc w:val="center"/>
              <w:rPr>
                <w:rFonts w:hint="eastAsia" w:ascii="宋体" w:hAnsi="宋体" w:eastAsia="宋体" w:cs="宋体"/>
                <w:i w:val="0"/>
                <w:iCs w:val="0"/>
                <w:color w:val="000000"/>
                <w:sz w:val="24"/>
                <w:szCs w:val="24"/>
                <w:u w:val="none"/>
              </w:rPr>
            </w:pPr>
          </w:p>
        </w:tc>
        <w:tc>
          <w:tcPr>
            <w:tcW w:w="123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数量指标</w:t>
            </w:r>
          </w:p>
          <w:p>
            <w:pPr>
              <w:jc w:val="center"/>
              <w:rPr>
                <w:rFonts w:hint="eastAsia" w:ascii="宋体" w:hAnsi="宋体" w:eastAsia="宋体" w:cs="宋体"/>
                <w:i w:val="0"/>
                <w:iCs w:val="0"/>
                <w:color w:val="000000"/>
                <w:kern w:val="2"/>
                <w:sz w:val="24"/>
                <w:szCs w:val="24"/>
                <w:u w:val="none"/>
                <w:lang w:val="en-US" w:eastAsia="zh-CN" w:bidi="ar-SA"/>
              </w:rPr>
            </w:pPr>
          </w:p>
          <w:p>
            <w:pPr>
              <w:jc w:val="center"/>
              <w:rPr>
                <w:rFonts w:hint="eastAsia" w:ascii="宋体" w:hAnsi="宋体" w:eastAsia="宋体" w:cs="宋体"/>
                <w:i w:val="0"/>
                <w:iCs w:val="0"/>
                <w:color w:val="000000"/>
                <w:sz w:val="24"/>
                <w:szCs w:val="24"/>
                <w:u w:val="none"/>
              </w:rPr>
            </w:pP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科目调整次数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次</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足额保障率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时效指标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按时发放率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sz w:val="24"/>
                <w:szCs w:val="24"/>
                <w:u w:val="none"/>
                <w:lang w:val="en-US" w:eastAsia="zh-CN"/>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效益指标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经济效益指标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结余率（计算方法为：结余数/预算数）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82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评价结论</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预算执行情况自评得分</w:t>
            </w:r>
            <w:r>
              <w:rPr>
                <w:rFonts w:hint="eastAsia" w:ascii="宋体" w:hAnsi="宋体" w:cs="宋体"/>
                <w:i w:val="0"/>
                <w:iCs w:val="0"/>
                <w:color w:val="000000"/>
                <w:kern w:val="0"/>
                <w:sz w:val="24"/>
                <w:szCs w:val="24"/>
                <w:u w:val="none"/>
                <w:lang w:val="en-US" w:eastAsia="zh-CN" w:bidi="ar"/>
              </w:rPr>
              <w:t>10</w:t>
            </w:r>
            <w:r>
              <w:rPr>
                <w:rFonts w:hint="eastAsia" w:ascii="宋体" w:hAnsi="宋体" w:eastAsia="宋体" w:cs="宋体"/>
                <w:i w:val="0"/>
                <w:iCs w:val="0"/>
                <w:color w:val="000000"/>
                <w:kern w:val="0"/>
                <w:sz w:val="24"/>
                <w:szCs w:val="24"/>
                <w:u w:val="none"/>
                <w:lang w:val="en-US" w:eastAsia="zh-CN" w:bidi="ar"/>
              </w:rPr>
              <w:t>分，绩效指标自评得分90分，预算自评总分</w:t>
            </w:r>
            <w:r>
              <w:rPr>
                <w:rFonts w:hint="eastAsia" w:ascii="宋体" w:hAnsi="宋体" w:cs="宋体"/>
                <w:i w:val="0"/>
                <w:iCs w:val="0"/>
                <w:color w:val="000000"/>
                <w:kern w:val="0"/>
                <w:sz w:val="24"/>
                <w:szCs w:val="24"/>
                <w:u w:val="none"/>
                <w:lang w:val="en-US" w:eastAsia="zh-CN" w:bidi="ar"/>
              </w:rPr>
              <w:t>100</w:t>
            </w:r>
            <w:r>
              <w:rPr>
                <w:rFonts w:hint="eastAsia" w:ascii="宋体" w:hAnsi="宋体" w:eastAsia="宋体" w:cs="宋体"/>
                <w:i w:val="0"/>
                <w:iCs w:val="0"/>
                <w:color w:val="000000"/>
                <w:kern w:val="0"/>
                <w:sz w:val="24"/>
                <w:szCs w:val="24"/>
                <w:u w:val="none"/>
                <w:lang w:val="en-US" w:eastAsia="zh-CN" w:bidi="ar"/>
              </w:rPr>
              <w:t>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存在问题</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改进措施</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5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项目负责人：</w:t>
            </w:r>
          </w:p>
        </w:tc>
        <w:tc>
          <w:tcPr>
            <w:tcW w:w="53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2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9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0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3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80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2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110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3"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51080023T000008618947-高层次人才安家补助和工作补助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3" w:hRule="atLeast"/>
          <w:jc w:val="center"/>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广元市教育局部门</w:t>
            </w:r>
          </w:p>
        </w:tc>
        <w:tc>
          <w:tcPr>
            <w:tcW w:w="106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 （盖章）</w:t>
            </w:r>
          </w:p>
        </w:tc>
        <w:tc>
          <w:tcPr>
            <w:tcW w:w="28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项目基本情况</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1.项目年度目标完成情况</w:t>
            </w: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项目年度目标</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5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严格执行相关政策，保障引进人才的安家补助和工作补助。</w:t>
            </w:r>
          </w:p>
        </w:tc>
        <w:tc>
          <w:tcPr>
            <w:tcW w:w="38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严格执行相关政策，保障引进人才的安家补助和工作补助。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2.项目实施内容及过程概述</w:t>
            </w:r>
          </w:p>
        </w:tc>
        <w:tc>
          <w:tcPr>
            <w:tcW w:w="902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严格执行相关政策，保障引进人才的安家补助和工作补助。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预算执行情况（10分）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年度预算数（万元）</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调整后预算数</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总额</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16.60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16.60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其中：财政资金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16.60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16.60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财政专户管理资金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2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绩效指标（90分）</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指标性质</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度量单位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产出指标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数量指标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eastAsia="zh-CN"/>
              </w:rPr>
            </w:pPr>
            <w:r>
              <w:rPr>
                <w:rFonts w:ascii="宋体" w:hAnsi="宋体" w:eastAsia="宋体" w:cs="宋体"/>
                <w:sz w:val="24"/>
                <w:szCs w:val="24"/>
              </w:rPr>
              <w:t>2022年引进人才</w:t>
            </w:r>
            <w:r>
              <w:rPr>
                <w:rFonts w:hint="eastAsia" w:ascii="宋体" w:hAnsi="宋体" w:eastAsia="宋体" w:cs="宋体"/>
                <w:sz w:val="24"/>
                <w:szCs w:val="24"/>
                <w:lang w:eastAsia="zh-CN"/>
              </w:rPr>
              <w:t>数量</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eastAsia="zh-CN"/>
              </w:rPr>
            </w:pPr>
            <w:r>
              <w:rPr>
                <w:rFonts w:hint="eastAsia" w:ascii="宋体" w:hAnsi="宋体" w:cs="宋体"/>
                <w:i w:val="0"/>
                <w:iCs w:val="0"/>
                <w:color w:val="000000"/>
                <w:sz w:val="24"/>
                <w:szCs w:val="24"/>
                <w:u w:val="none"/>
                <w:lang w:eastAsia="zh-CN"/>
              </w:rPr>
              <w:t>人</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2人</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40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成本指标</w:t>
            </w:r>
          </w:p>
        </w:tc>
        <w:tc>
          <w:tcPr>
            <w:tcW w:w="1232"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经济成本指标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引进人才的工作补助</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ascii="宋体" w:hAnsi="宋体" w:eastAsia="宋体" w:cs="宋体"/>
                <w:sz w:val="24"/>
                <w:szCs w:val="24"/>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500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eastAsia="zh-CN"/>
              </w:rPr>
              <w:t>元</w:t>
            </w:r>
            <w:r>
              <w:rPr>
                <w:rFonts w:hint="eastAsia" w:ascii="宋体" w:hAnsi="宋体" w:cs="宋体"/>
                <w:i w:val="0"/>
                <w:iCs w:val="0"/>
                <w:color w:val="000000"/>
                <w:sz w:val="24"/>
                <w:szCs w:val="24"/>
                <w:u w:val="none"/>
                <w:lang w:val="en-US" w:eastAsia="zh-CN"/>
              </w:rPr>
              <w:t>/人*月</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10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引进人才的安家补助</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ascii="宋体" w:hAnsi="宋体" w:eastAsia="宋体" w:cs="宋体"/>
                <w:sz w:val="24"/>
                <w:szCs w:val="24"/>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80000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eastAsia="zh-CN"/>
              </w:rPr>
              <w:t>元</w:t>
            </w:r>
            <w:r>
              <w:rPr>
                <w:rFonts w:hint="eastAsia" w:ascii="宋体" w:hAnsi="宋体" w:cs="宋体"/>
                <w:i w:val="0"/>
                <w:iCs w:val="0"/>
                <w:color w:val="000000"/>
                <w:sz w:val="24"/>
                <w:szCs w:val="24"/>
                <w:u w:val="none"/>
                <w:lang w:val="en-US" w:eastAsia="zh-CN"/>
              </w:rPr>
              <w:t>/人</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160000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10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效益指标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社会效益指标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引进人才的安家补助和工作补助</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定性</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有效提升引进人才立足岗位干实事</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20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满意度指标</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满意度指标</w:t>
            </w: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人才满意度</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ascii="宋体" w:hAnsi="宋体" w:eastAsia="宋体" w:cs="宋体"/>
                <w:sz w:val="24"/>
                <w:szCs w:val="24"/>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98</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10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82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评价结论</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预算执行情况自评得分</w:t>
            </w:r>
            <w:r>
              <w:rPr>
                <w:rFonts w:hint="eastAsia" w:ascii="宋体" w:hAnsi="宋体" w:cs="宋体"/>
                <w:i w:val="0"/>
                <w:iCs w:val="0"/>
                <w:color w:val="000000"/>
                <w:kern w:val="0"/>
                <w:sz w:val="24"/>
                <w:szCs w:val="24"/>
                <w:u w:val="none"/>
                <w:lang w:val="en-US" w:eastAsia="zh-CN" w:bidi="ar"/>
              </w:rPr>
              <w:t>10</w:t>
            </w:r>
            <w:r>
              <w:rPr>
                <w:rFonts w:hint="eastAsia" w:ascii="宋体" w:hAnsi="宋体" w:eastAsia="宋体" w:cs="宋体"/>
                <w:i w:val="0"/>
                <w:iCs w:val="0"/>
                <w:color w:val="000000"/>
                <w:kern w:val="0"/>
                <w:sz w:val="24"/>
                <w:szCs w:val="24"/>
                <w:u w:val="none"/>
                <w:lang w:val="en-US" w:eastAsia="zh-CN" w:bidi="ar"/>
              </w:rPr>
              <w:t>分，绩效指标自评得分90分，预算自评总分</w:t>
            </w:r>
            <w:r>
              <w:rPr>
                <w:rFonts w:hint="eastAsia" w:ascii="宋体" w:hAnsi="宋体" w:cs="宋体"/>
                <w:i w:val="0"/>
                <w:iCs w:val="0"/>
                <w:color w:val="000000"/>
                <w:kern w:val="0"/>
                <w:sz w:val="24"/>
                <w:szCs w:val="24"/>
                <w:u w:val="none"/>
                <w:lang w:val="en-US" w:eastAsia="zh-CN" w:bidi="ar"/>
              </w:rPr>
              <w:t>100</w:t>
            </w:r>
            <w:r>
              <w:rPr>
                <w:rFonts w:hint="eastAsia" w:ascii="宋体" w:hAnsi="宋体" w:eastAsia="宋体" w:cs="宋体"/>
                <w:i w:val="0"/>
                <w:iCs w:val="0"/>
                <w:color w:val="000000"/>
                <w:kern w:val="0"/>
                <w:sz w:val="24"/>
                <w:szCs w:val="24"/>
                <w:u w:val="none"/>
                <w:lang w:val="en-US" w:eastAsia="zh-CN" w:bidi="ar"/>
              </w:rPr>
              <w:t>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存在问题</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改进措施</w:t>
            </w:r>
          </w:p>
        </w:tc>
        <w:tc>
          <w:tcPr>
            <w:tcW w:w="10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5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项目负责人：</w:t>
            </w:r>
          </w:p>
        </w:tc>
        <w:tc>
          <w:tcPr>
            <w:tcW w:w="53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财务负责人：</w:t>
            </w:r>
          </w:p>
        </w:tc>
      </w:tr>
    </w:tbl>
    <w:p>
      <w:pPr>
        <w:pStyle w:val="2"/>
        <w:jc w:val="center"/>
        <w:rPr>
          <w:rFonts w:ascii="仿宋_GB2312" w:hAnsi="仿宋_GB2312" w:eastAsia="仿宋_GB2312" w:cs="仿宋_GB2312"/>
          <w:color w:val="auto"/>
          <w:sz w:val="32"/>
          <w:szCs w:val="32"/>
          <w:highlight w:val="none"/>
        </w:rPr>
      </w:pPr>
    </w:p>
    <w:p>
      <w:pPr>
        <w:pStyle w:val="2"/>
        <w:rPr>
          <w:rFonts w:hint="eastAsia" w:ascii="仿宋_GB2312" w:hAnsi="Calibri" w:eastAsia="仿宋_GB2312" w:cs="仿宋"/>
          <w:color w:val="auto"/>
          <w:kern w:val="0"/>
          <w:sz w:val="32"/>
          <w:szCs w:val="32"/>
          <w:highlight w:val="none"/>
          <w:lang w:val="en-US" w:eastAsia="zh-CN" w:bidi="ar-SA"/>
        </w:rPr>
      </w:pPr>
      <w:bookmarkStart w:id="74" w:name="_Toc15396618"/>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bookmarkStart w:id="75" w:name="_Toc6888"/>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72"/>
      <w:bookmarkEnd w:id="74"/>
      <w:bookmarkEnd w:id="75"/>
      <w:bookmarkStart w:id="76" w:name="_Toc15396619"/>
    </w:p>
    <w:p>
      <w:pPr>
        <w:pStyle w:val="4"/>
        <w:rPr>
          <w:rFonts w:ascii="仿宋" w:hAnsi="仿宋" w:eastAsia="仿宋"/>
          <w:color w:val="auto"/>
          <w:highlight w:val="none"/>
        </w:rPr>
      </w:pPr>
      <w:bookmarkStart w:id="77" w:name="_Toc15575"/>
      <w:r>
        <w:rPr>
          <w:rFonts w:hint="eastAsia" w:ascii="仿宋" w:hAnsi="仿宋" w:eastAsia="仿宋"/>
          <w:b w:val="0"/>
          <w:color w:val="auto"/>
          <w:highlight w:val="none"/>
        </w:rPr>
        <w:t>一、收</w:t>
      </w:r>
      <w:r>
        <w:rPr>
          <w:rStyle w:val="18"/>
          <w:rFonts w:hint="eastAsia" w:ascii="仿宋" w:hAnsi="仿宋" w:eastAsia="仿宋"/>
          <w:b w:val="0"/>
          <w:bCs w:val="0"/>
          <w:color w:val="auto"/>
          <w:highlight w:val="none"/>
        </w:rPr>
        <w:t>入支出决算总表</w:t>
      </w:r>
      <w:bookmarkEnd w:id="76"/>
      <w:bookmarkEnd w:id="77"/>
    </w:p>
    <w:p>
      <w:pPr>
        <w:pStyle w:val="4"/>
        <w:rPr>
          <w:rFonts w:ascii="仿宋" w:hAnsi="仿宋" w:eastAsia="仿宋"/>
          <w:color w:val="auto"/>
          <w:highlight w:val="none"/>
        </w:rPr>
      </w:pPr>
      <w:bookmarkStart w:id="78" w:name="_Toc489"/>
      <w:bookmarkStart w:id="79" w:name="_Toc15396620"/>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78"/>
      <w:bookmarkEnd w:id="79"/>
    </w:p>
    <w:p>
      <w:pPr>
        <w:pStyle w:val="4"/>
        <w:rPr>
          <w:rFonts w:ascii="仿宋" w:hAnsi="仿宋" w:eastAsia="仿宋"/>
          <w:color w:val="auto"/>
          <w:highlight w:val="none"/>
        </w:rPr>
      </w:pPr>
      <w:bookmarkStart w:id="80" w:name="_Toc21508"/>
      <w:bookmarkStart w:id="81" w:name="_Toc15396621"/>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80"/>
      <w:bookmarkEnd w:id="81"/>
    </w:p>
    <w:p>
      <w:pPr>
        <w:pStyle w:val="4"/>
        <w:rPr>
          <w:rFonts w:ascii="仿宋" w:hAnsi="仿宋" w:eastAsia="仿宋"/>
          <w:b w:val="0"/>
          <w:color w:val="auto"/>
          <w:highlight w:val="none"/>
        </w:rPr>
      </w:pPr>
      <w:bookmarkStart w:id="82" w:name="_Toc15396622"/>
      <w:bookmarkStart w:id="83" w:name="_Toc21487"/>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82"/>
      <w:bookmarkEnd w:id="83"/>
    </w:p>
    <w:p>
      <w:pPr>
        <w:pStyle w:val="4"/>
        <w:rPr>
          <w:rStyle w:val="18"/>
          <w:rFonts w:ascii="仿宋" w:hAnsi="仿宋" w:eastAsia="仿宋"/>
          <w:b w:val="0"/>
          <w:bCs w:val="0"/>
          <w:color w:val="auto"/>
          <w:highlight w:val="none"/>
        </w:rPr>
      </w:pPr>
      <w:bookmarkStart w:id="84" w:name="_Toc8936"/>
      <w:bookmarkStart w:id="85" w:name="_Toc15396623"/>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84"/>
      <w:bookmarkEnd w:id="85"/>
      <w:bookmarkStart w:id="86" w:name="_Toc15396624"/>
    </w:p>
    <w:p>
      <w:pPr>
        <w:pStyle w:val="4"/>
        <w:rPr>
          <w:rFonts w:ascii="仿宋" w:hAnsi="仿宋" w:eastAsia="仿宋"/>
          <w:color w:val="auto"/>
          <w:highlight w:val="none"/>
        </w:rPr>
      </w:pPr>
      <w:bookmarkStart w:id="87" w:name="_Toc30087"/>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86"/>
      <w:bookmarkEnd w:id="87"/>
    </w:p>
    <w:p>
      <w:pPr>
        <w:pStyle w:val="4"/>
        <w:rPr>
          <w:rFonts w:ascii="仿宋" w:hAnsi="仿宋" w:eastAsia="仿宋"/>
          <w:color w:val="auto"/>
          <w:highlight w:val="none"/>
        </w:rPr>
      </w:pPr>
      <w:bookmarkStart w:id="88" w:name="_Toc15396625"/>
      <w:bookmarkStart w:id="89" w:name="_Toc31737"/>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88"/>
      <w:bookmarkEnd w:id="89"/>
    </w:p>
    <w:p>
      <w:pPr>
        <w:pStyle w:val="4"/>
        <w:rPr>
          <w:rFonts w:ascii="仿宋" w:hAnsi="仿宋" w:eastAsia="仿宋"/>
          <w:color w:val="auto"/>
          <w:highlight w:val="none"/>
        </w:rPr>
      </w:pPr>
      <w:bookmarkStart w:id="90" w:name="_Toc30433"/>
      <w:bookmarkStart w:id="91" w:name="_Toc15396626"/>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90"/>
      <w:bookmarkEnd w:id="91"/>
    </w:p>
    <w:p>
      <w:pPr>
        <w:pStyle w:val="4"/>
        <w:rPr>
          <w:rFonts w:ascii="仿宋" w:hAnsi="仿宋" w:eastAsia="仿宋"/>
          <w:color w:val="auto"/>
          <w:highlight w:val="none"/>
        </w:rPr>
      </w:pPr>
      <w:bookmarkStart w:id="92" w:name="_Toc32736"/>
      <w:bookmarkStart w:id="93" w:name="_Toc15396627"/>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92"/>
      <w:bookmarkEnd w:id="93"/>
    </w:p>
    <w:p>
      <w:pPr>
        <w:pStyle w:val="4"/>
        <w:rPr>
          <w:rFonts w:ascii="仿宋" w:hAnsi="仿宋" w:eastAsia="仿宋"/>
          <w:color w:val="auto"/>
          <w:highlight w:val="none"/>
        </w:rPr>
      </w:pPr>
      <w:bookmarkStart w:id="94" w:name="_Toc15396628"/>
      <w:bookmarkStart w:id="95" w:name="_Toc19059"/>
      <w:r>
        <w:rPr>
          <w:rStyle w:val="18"/>
          <w:rFonts w:hint="eastAsia" w:ascii="仿宋" w:hAnsi="仿宋" w:eastAsia="仿宋"/>
          <w:b w:val="0"/>
          <w:bCs w:val="0"/>
          <w:color w:val="auto"/>
          <w:highlight w:val="none"/>
        </w:rPr>
        <w:t>十、</w:t>
      </w:r>
      <w:bookmarkEnd w:id="94"/>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95"/>
    </w:p>
    <w:p>
      <w:pPr>
        <w:pStyle w:val="4"/>
        <w:rPr>
          <w:rFonts w:ascii="仿宋" w:hAnsi="仿宋" w:eastAsia="仿宋"/>
          <w:color w:val="auto"/>
          <w:highlight w:val="none"/>
        </w:rPr>
      </w:pPr>
      <w:bookmarkStart w:id="96" w:name="_Toc15396629"/>
      <w:bookmarkStart w:id="97" w:name="_Toc502"/>
      <w:r>
        <w:rPr>
          <w:rStyle w:val="18"/>
          <w:rFonts w:hint="eastAsia" w:ascii="仿宋" w:hAnsi="仿宋" w:eastAsia="仿宋"/>
          <w:b w:val="0"/>
          <w:bCs w:val="0"/>
          <w:color w:val="auto"/>
          <w:highlight w:val="none"/>
        </w:rPr>
        <w:t>十一、</w:t>
      </w:r>
      <w:bookmarkEnd w:id="96"/>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97"/>
    </w:p>
    <w:p>
      <w:pPr>
        <w:pStyle w:val="4"/>
        <w:rPr>
          <w:rFonts w:ascii="仿宋" w:hAnsi="仿宋" w:eastAsia="仿宋"/>
          <w:color w:val="auto"/>
          <w:highlight w:val="none"/>
        </w:rPr>
      </w:pPr>
      <w:bookmarkStart w:id="98" w:name="_Toc15396630"/>
      <w:bookmarkStart w:id="99" w:name="_Toc32233"/>
      <w:r>
        <w:rPr>
          <w:rStyle w:val="18"/>
          <w:rFonts w:hint="eastAsia" w:ascii="仿宋" w:hAnsi="仿宋" w:eastAsia="仿宋"/>
          <w:b w:val="0"/>
          <w:bCs w:val="0"/>
          <w:color w:val="auto"/>
          <w:highlight w:val="none"/>
        </w:rPr>
        <w:t>十二、</w:t>
      </w:r>
      <w:bookmarkEnd w:id="98"/>
      <w:r>
        <w:rPr>
          <w:rStyle w:val="18"/>
          <w:rFonts w:hint="eastAsia" w:ascii="仿宋" w:hAnsi="仿宋" w:eastAsia="仿宋"/>
          <w:b w:val="0"/>
          <w:bCs w:val="0"/>
          <w:color w:val="auto"/>
          <w:highlight w:val="none"/>
          <w:lang w:eastAsia="zh-CN"/>
        </w:rPr>
        <w:t>国有资本经营预算财政拨款支出决算表</w:t>
      </w:r>
      <w:bookmarkEnd w:id="99"/>
    </w:p>
    <w:p>
      <w:pPr>
        <w:pStyle w:val="4"/>
        <w:rPr>
          <w:rFonts w:hint="eastAsia" w:eastAsia="仿宋"/>
          <w:color w:val="auto"/>
          <w:highlight w:val="none"/>
          <w:lang w:eastAsia="zh-CN"/>
        </w:rPr>
      </w:pPr>
      <w:bookmarkStart w:id="100" w:name="_Toc15396631"/>
      <w:bookmarkStart w:id="101" w:name="_Toc10767"/>
      <w:r>
        <w:rPr>
          <w:rStyle w:val="18"/>
          <w:rFonts w:hint="eastAsia" w:ascii="仿宋" w:hAnsi="仿宋" w:eastAsia="仿宋"/>
          <w:b w:val="0"/>
          <w:bCs w:val="0"/>
          <w:color w:val="auto"/>
          <w:highlight w:val="none"/>
        </w:rPr>
        <w:t>十三、</w:t>
      </w:r>
      <w:bookmarkEnd w:id="100"/>
      <w:r>
        <w:rPr>
          <w:rStyle w:val="18"/>
          <w:rFonts w:hint="eastAsia" w:ascii="仿宋" w:hAnsi="仿宋" w:eastAsia="仿宋"/>
          <w:b w:val="0"/>
          <w:bCs w:val="0"/>
          <w:color w:val="auto"/>
          <w:highlight w:val="none"/>
          <w:lang w:eastAsia="zh-CN"/>
        </w:rPr>
        <w:t>财政拨款“三公”经费支出决算表</w:t>
      </w:r>
      <w:bookmarkEnd w:id="101"/>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CB9B1D-F6DD-423A-AB2B-2CC793C42B6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399EBF4-7913-4E5A-80A9-9CCBECB6E2DB}"/>
  </w:font>
  <w:font w:name="Cambria">
    <w:panose1 w:val="02040503050406030204"/>
    <w:charset w:val="00"/>
    <w:family w:val="roman"/>
    <w:pitch w:val="default"/>
    <w:sig w:usb0="E00002FF" w:usb1="400004FF" w:usb2="00000000" w:usb3="00000000" w:csb0="2000019F" w:csb1="00000000"/>
    <w:embedRegular r:id="rId3" w:fontKey="{CF4CC38A-1247-41EF-B0C9-EB4C94D113CC}"/>
  </w:font>
  <w:font w:name="仿宋_GB2312">
    <w:panose1 w:val="02010609030101010101"/>
    <w:charset w:val="86"/>
    <w:family w:val="modern"/>
    <w:pitch w:val="default"/>
    <w:sig w:usb0="00000001" w:usb1="080E0000" w:usb2="00000000" w:usb3="00000000" w:csb0="00040000" w:csb1="00000000"/>
    <w:embedRegular r:id="rId4" w:fontKey="{8AD87ADA-2AA2-4808-99CF-71F74C7BF66E}"/>
  </w:font>
  <w:font w:name="仿宋">
    <w:panose1 w:val="02010609060101010101"/>
    <w:charset w:val="86"/>
    <w:family w:val="auto"/>
    <w:pitch w:val="default"/>
    <w:sig w:usb0="800002BF" w:usb1="38CF7CFA" w:usb2="00000016" w:usb3="00000000" w:csb0="00040001" w:csb1="00000000"/>
    <w:embedRegular r:id="rId5" w:fontKey="{D274FFDB-E558-4BD8-8725-88BC608EA2C9}"/>
  </w:font>
  <w:font w:name="微软雅黑">
    <w:panose1 w:val="020B0503020204020204"/>
    <w:charset w:val="86"/>
    <w:family w:val="auto"/>
    <w:pitch w:val="default"/>
    <w:sig w:usb0="80000287" w:usb1="280F3C52" w:usb2="00000016" w:usb3="00000000" w:csb0="0004001F" w:csb1="00000000"/>
    <w:embedRegular r:id="rId6" w:fontKey="{16A14CB1-9D9E-4A2B-8F29-4090A7134A10}"/>
  </w:font>
  <w:font w:name="楷体">
    <w:panose1 w:val="02010609060101010101"/>
    <w:charset w:val="86"/>
    <w:family w:val="auto"/>
    <w:pitch w:val="default"/>
    <w:sig w:usb0="800002BF" w:usb1="38CF7CFA" w:usb2="00000016" w:usb3="00000000" w:csb0="00040001" w:csb1="00000000"/>
    <w:embedRegular r:id="rId7" w:fontKey="{C12C601C-6549-429D-8C6F-C13466CB04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63CB96"/>
    <w:multiLevelType w:val="singleLevel"/>
    <w:tmpl w:val="CE63CB96"/>
    <w:lvl w:ilvl="0" w:tentative="0">
      <w:start w:val="1"/>
      <w:numFmt w:val="decimal"/>
      <w:suff w:val="nothing"/>
      <w:lvlText w:val="%1．"/>
      <w:lvlJc w:val="left"/>
      <w:pPr>
        <w:ind w:left="0" w:firstLine="400"/>
      </w:pPr>
      <w:rPr>
        <w:rFonts w:hint="default"/>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abstractNum w:abstractNumId="5">
    <w:nsid w:val="413A62A7"/>
    <w:multiLevelType w:val="singleLevel"/>
    <w:tmpl w:val="413A62A7"/>
    <w:lvl w:ilvl="0" w:tentative="0">
      <w:start w:val="1"/>
      <w:numFmt w:val="chineseCounting"/>
      <w:suff w:val="space"/>
      <w:lvlText w:val="第%1部分"/>
      <w:lvlJc w:val="left"/>
      <w:rPr>
        <w:rFonts w:hint="eastAsia"/>
      </w:r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MDg4ZGVhYTk3OWVlYWNjNTZlOTM1MjRjNGZkODk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574040A"/>
    <w:rsid w:val="08852948"/>
    <w:rsid w:val="08D65C03"/>
    <w:rsid w:val="0A2032A3"/>
    <w:rsid w:val="0B8A37D8"/>
    <w:rsid w:val="10C055FF"/>
    <w:rsid w:val="11240D55"/>
    <w:rsid w:val="118107EC"/>
    <w:rsid w:val="11DD6519"/>
    <w:rsid w:val="123478B9"/>
    <w:rsid w:val="16BB723D"/>
    <w:rsid w:val="18015F3F"/>
    <w:rsid w:val="18701725"/>
    <w:rsid w:val="1BE8440E"/>
    <w:rsid w:val="1D155CEE"/>
    <w:rsid w:val="1E28146B"/>
    <w:rsid w:val="200A2464"/>
    <w:rsid w:val="20F57F95"/>
    <w:rsid w:val="240371BF"/>
    <w:rsid w:val="25711CC6"/>
    <w:rsid w:val="25C741E6"/>
    <w:rsid w:val="25C87228"/>
    <w:rsid w:val="25E63255"/>
    <w:rsid w:val="27842671"/>
    <w:rsid w:val="27CA651F"/>
    <w:rsid w:val="29FD04D3"/>
    <w:rsid w:val="2ABE7A3E"/>
    <w:rsid w:val="2B3C6372"/>
    <w:rsid w:val="2CA234A8"/>
    <w:rsid w:val="2EFA178C"/>
    <w:rsid w:val="30B46D73"/>
    <w:rsid w:val="319F7F4E"/>
    <w:rsid w:val="345F6A06"/>
    <w:rsid w:val="36C370C8"/>
    <w:rsid w:val="383D272C"/>
    <w:rsid w:val="39AE70AB"/>
    <w:rsid w:val="3C0C0783"/>
    <w:rsid w:val="3C324802"/>
    <w:rsid w:val="3E0929BB"/>
    <w:rsid w:val="3F9F3A96"/>
    <w:rsid w:val="3FB3183A"/>
    <w:rsid w:val="41085755"/>
    <w:rsid w:val="42BA3A54"/>
    <w:rsid w:val="42FB3958"/>
    <w:rsid w:val="481F697E"/>
    <w:rsid w:val="48BF60AB"/>
    <w:rsid w:val="493869DA"/>
    <w:rsid w:val="493C27E9"/>
    <w:rsid w:val="496F39ED"/>
    <w:rsid w:val="49F87D43"/>
    <w:rsid w:val="49FF41D3"/>
    <w:rsid w:val="4B164FF1"/>
    <w:rsid w:val="4BE068DB"/>
    <w:rsid w:val="4BEA27BB"/>
    <w:rsid w:val="4BF6002B"/>
    <w:rsid w:val="4D1E1AED"/>
    <w:rsid w:val="4E5457F3"/>
    <w:rsid w:val="4ECE2238"/>
    <w:rsid w:val="51DB4B86"/>
    <w:rsid w:val="51F223CA"/>
    <w:rsid w:val="53D0673A"/>
    <w:rsid w:val="5494737F"/>
    <w:rsid w:val="54E35FFA"/>
    <w:rsid w:val="55333C3E"/>
    <w:rsid w:val="564A382F"/>
    <w:rsid w:val="5C1A1C68"/>
    <w:rsid w:val="5CE65C7F"/>
    <w:rsid w:val="5E3D42A3"/>
    <w:rsid w:val="612919CA"/>
    <w:rsid w:val="62BD2659"/>
    <w:rsid w:val="64CA39A1"/>
    <w:rsid w:val="67BF46A4"/>
    <w:rsid w:val="69630ADE"/>
    <w:rsid w:val="69B907A6"/>
    <w:rsid w:val="6C4A05C8"/>
    <w:rsid w:val="6C880EE5"/>
    <w:rsid w:val="6D3B1A89"/>
    <w:rsid w:val="6E786ADA"/>
    <w:rsid w:val="7012558D"/>
    <w:rsid w:val="70EC20EE"/>
    <w:rsid w:val="71BF4EC2"/>
    <w:rsid w:val="72734D90"/>
    <w:rsid w:val="7412278C"/>
    <w:rsid w:val="7904082E"/>
    <w:rsid w:val="79E7B28D"/>
    <w:rsid w:val="7ADE5E73"/>
    <w:rsid w:val="7CF6046F"/>
    <w:rsid w:val="7F9F20EE"/>
    <w:rsid w:val="9E3A10E2"/>
    <w:rsid w:val="BFFBDA54"/>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9"/>
    <w:semiHidden/>
    <w:unhideWhenUsed/>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0"/>
    <w:rPr>
      <w:sz w:val="24"/>
    </w:r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9"/>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8"/>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7"/>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I:\&#25945;&#24072;&#21457;&#23637;&#20013;&#24515;\&#36130;&#21153;\1.&#39044;&#20915;&#31639;\2021\2021&#20915;&#31639;\&#22270;&#34920;.xlsx"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oleObject" Target="file:///I:\&#25945;&#24072;&#21457;&#23637;&#20013;&#24515;\&#36130;&#21153;\1.&#39044;&#20915;&#31639;\2021\2021&#20915;&#31639;\&#24037;&#20316;&#31807;1.xlsx" TargetMode="External"/></Relationships>
</file>

<file path=word/charts/_rels/chart3.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3.xml"/><Relationship Id="rId1" Type="http://schemas.openxmlformats.org/officeDocument/2006/relationships/oleObject" Target="file:///I:\&#25945;&#24072;&#21457;&#23637;&#20013;&#24515;\&#36130;&#21153;\1.&#39044;&#20915;&#31639;\2021\2021&#20915;&#31639;\&#24037;&#20316;&#31807;1.xlsx" TargetMode="External"/></Relationships>
</file>

<file path=word/charts/_rels/chart4.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4.xml"/><Relationship Id="rId1" Type="http://schemas.openxmlformats.org/officeDocument/2006/relationships/oleObject" Target="file:///I:\&#25945;&#24072;&#21457;&#23637;&#20013;&#24515;\&#36130;&#21153;\1.&#39044;&#20915;&#31639;\2021\2021&#20915;&#31639;\&#22270;&#34920;.xlsx" TargetMode="External"/></Relationships>
</file>

<file path=word/charts/_rels/chart5.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5.xml"/><Relationship Id="rId1" Type="http://schemas.openxmlformats.org/officeDocument/2006/relationships/oleObject" Target="file:///I:\&#25945;&#24072;&#21457;&#23637;&#20013;&#24515;\&#36130;&#21153;\1.&#39044;&#20915;&#31639;\2021\2021&#20915;&#31639;\&#24037;&#20316;&#31807;1.xlsx" TargetMode="External"/></Relationships>
</file>

<file path=word/charts/_rels/chart6.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themeOverride" Target="../theme/themeOverride6.xml"/><Relationship Id="rId1" Type="http://schemas.openxmlformats.org/officeDocument/2006/relationships/oleObject" Target="file:///I:\&#25945;&#24072;&#21457;&#23637;&#20013;&#24515;\&#36130;&#21153;\1.&#39044;&#20915;&#31639;\2021\2021&#20915;&#31639;\&#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0966666666666667"/>
          <c:y val="0.0534926897191924"/>
          <c:w val="0.875096418732782"/>
          <c:h val="0.801044325829659"/>
        </c:manualLayout>
      </c:layout>
      <c:barChart>
        <c:barDir val="col"/>
        <c:grouping val="clustered"/>
        <c:varyColors val="0"/>
        <c:ser>
          <c:idx val="0"/>
          <c:order val="0"/>
          <c:tx>
            <c:strRef>
              <c:f>'[图表.xlsx]1'!$J$2:$J$3</c:f>
              <c:strCache>
                <c:ptCount val="1"/>
                <c:pt idx="0">
                  <c:v>2021 2022</c:v>
                </c:pt>
              </c:strCache>
            </c:strRef>
          </c:tx>
          <c:spPr>
            <a:solidFill>
              <a:srgbClr val="5B9BD5"/>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ysClr val="windowText" lastClr="000000">
                          <a:lumMod val="35000"/>
                          <a:lumOff val="65000"/>
                        </a:sysClr>
                      </a:solidFill>
                      <a:round/>
                    </a:ln>
                    <a:effectLst/>
                  </c:spPr>
                </c15:leaderLines>
              </c:ext>
            </c:extLst>
          </c:dLbls>
          <c:trendline>
            <c:spPr>
              <a:ln w="19050" cap="rnd">
                <a:solidFill>
                  <a:srgbClr val="5B9BD5"/>
                </a:solidFill>
                <a:prstDash val="sysDot"/>
              </a:ln>
              <a:effectLst/>
            </c:spPr>
            <c:trendlineType val="linear"/>
            <c:dispRSqr val="0"/>
            <c:dispEq val="0"/>
          </c:trendline>
          <c:cat>
            <c:numRef>
              <c:f>'[图表.xlsx]1'!$J$2:$J$3</c:f>
              <c:numCache>
                <c:formatCode>General</c:formatCode>
                <c:ptCount val="2"/>
                <c:pt idx="0">
                  <c:v>2021</c:v>
                </c:pt>
                <c:pt idx="1">
                  <c:v>2022</c:v>
                </c:pt>
              </c:numCache>
            </c:numRef>
          </c:cat>
          <c:val>
            <c:numRef>
              <c:f>'[图表.xlsx]1'!$K$2:$K$3</c:f>
              <c:numCache>
                <c:formatCode>General</c:formatCode>
                <c:ptCount val="2"/>
                <c:pt idx="0">
                  <c:v>459.04</c:v>
                </c:pt>
                <c:pt idx="1">
                  <c:v>236.06</c:v>
                </c:pt>
              </c:numCache>
            </c:numRef>
          </c:val>
        </c:ser>
        <c:dLbls>
          <c:showLegendKey val="0"/>
          <c:showVal val="1"/>
          <c:showCatName val="0"/>
          <c:showSerName val="0"/>
          <c:showPercent val="0"/>
          <c:showBubbleSize val="0"/>
        </c:dLbls>
        <c:gapWidth val="219"/>
        <c:overlap val="-27"/>
        <c:axId val="774290119"/>
        <c:axId val="518099446"/>
      </c:barChart>
      <c:catAx>
        <c:axId val="774290119"/>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crossAx val="518099446"/>
        <c:crosses val="autoZero"/>
        <c:auto val="1"/>
        <c:lblAlgn val="ctr"/>
        <c:lblOffset val="100"/>
        <c:noMultiLvlLbl val="0"/>
      </c:catAx>
      <c:valAx>
        <c:axId val="518099446"/>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crossAx val="774290119"/>
        <c:crosses val="autoZero"/>
        <c:crossBetween val="between"/>
        <c:majorUnit val="100"/>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sz="1200"/>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916666666666666"/>
          <c:y val="0.138634259259259"/>
          <c:w val="0.826222222222222"/>
          <c:h val="0.675277777777778"/>
        </c:manualLayout>
      </c:layout>
      <c:pie3DChart>
        <c:varyColors val="1"/>
        <c:ser>
          <c:idx val="0"/>
          <c:order val="0"/>
          <c:tx>
            <c:strRef>
              <c:f>'[工作簿1.xlsx]2'!$O$1:$P$1</c:f>
              <c:strCache>
                <c:ptCount val="1"/>
                <c:pt idx="0">
                  <c:v>174.82 74.06%</c:v>
                </c:pt>
              </c:strCache>
            </c:strRef>
          </c:tx>
          <c:spPr/>
          <c:explosion val="0"/>
          <c:dPt>
            <c:idx val="0"/>
            <c:bubble3D val="0"/>
            <c:spPr>
              <a:solidFill>
                <a:srgbClr val="5B9BD5"/>
              </a:solidFill>
              <a:ln w="25400">
                <a:solidFill>
                  <a:sysClr val="window" lastClr="FFFFFF"/>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extLst>
                <c:ext xmlns:c15="http://schemas.microsoft.com/office/drawing/2012/chart" uri="{02D57815-91ED-43cb-92C2-25804820EDAC}">
                  <c15:fullRef>
                    <c15:sqref>'[工作簿1.xlsx]2'!$N$1</c15:sqref>
                  </c15:fullRef>
                </c:ext>
              </c:extLst>
              <c:f>'[工作簿1.xlsx]2'!$N$1</c:f>
              <c:strCache>
                <c:ptCount val="1"/>
                <c:pt idx="0">
                  <c:v>一般公共预算财政拨款收入</c:v>
                </c:pt>
              </c:strCache>
            </c:strRef>
          </c:cat>
          <c:val>
            <c:numRef>
              <c:extLst>
                <c:ext xmlns:c15="http://schemas.microsoft.com/office/drawing/2012/chart" uri="{02D57815-91ED-43cb-92C2-25804820EDAC}">
                  <c15:fullRef>
                    <c15:sqref>'2'!$O$1:$P$1</c15:sqref>
                  </c15:fullRef>
                </c:ext>
              </c:extLst>
              <c:f>'[工作簿1.xlsx]2'!$O$1</c:f>
              <c:numCache>
                <c:formatCode>General</c:formatCode>
                <c:ptCount val="1"/>
                <c:pt idx="0">
                  <c:v>174.82</c:v>
                </c:pt>
              </c:numCache>
            </c:numRef>
          </c:val>
        </c:ser>
        <c:dLbls>
          <c:showLegendKey val="0"/>
          <c:showVal val="1"/>
          <c:showCatName val="0"/>
          <c:showSerName val="0"/>
          <c:showPercent val="0"/>
          <c:showBubbleSize val="0"/>
        </c:dLbls>
      </c:pie3DChart>
      <c:spPr>
        <a:noFill/>
        <a:ln>
          <a:noFill/>
        </a:ln>
        <a:effectLst/>
      </c:spPr>
    </c:plotArea>
    <c:legend>
      <c:legendPos val="b"/>
      <c:legendEntry>
        <c:idx val="0"/>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sz="1200"/>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spPr>
            <a:scene3d>
              <a:camera prst="orthographicFront"/>
              <a:lightRig rig="threePt" dir="t"/>
            </a:scene3d>
            <a:sp3d contourW="25400"/>
          </c:spPr>
          <c:explosion val="0"/>
          <c:dPt>
            <c:idx val="0"/>
            <c:bubble3D val="0"/>
            <c:spPr>
              <a:solidFill>
                <a:srgbClr val="5B9BD5"/>
              </a:solidFill>
              <a:ln w="25400">
                <a:solidFill>
                  <a:sysClr val="window" lastClr="FFFFFF"/>
                </a:solidFill>
              </a:ln>
              <a:effectLst/>
              <a:scene3d>
                <a:camera prst="orthographicFront"/>
                <a:lightRig rig="threePt" dir="t"/>
              </a:scene3d>
              <a:sp3d contourW="25400"/>
            </c:spPr>
          </c:dPt>
          <c:dPt>
            <c:idx val="1"/>
            <c:bubble3D val="0"/>
            <c:spPr>
              <a:solidFill>
                <a:srgbClr val="ED7D31"/>
              </a:solidFill>
              <a:ln w="25400">
                <a:solidFill>
                  <a:sysClr val="window" lastClr="FFFFFF"/>
                </a:solidFill>
              </a:ln>
              <a:effectLst/>
              <a:scene3d>
                <a:camera prst="orthographicFront"/>
                <a:lightRig rig="threePt" dir="t"/>
              </a:scene3d>
              <a:sp3d contourW="25400"/>
            </c:spPr>
          </c:dPt>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eparator>
</c:separator>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'[工作簿1.xlsx]3'!$K$1:$K$2</c:f>
              <c:strCache>
                <c:ptCount val="2"/>
                <c:pt idx="0">
                  <c:v>基本支出</c:v>
                </c:pt>
                <c:pt idx="1">
                  <c:v>项目支出</c:v>
                </c:pt>
              </c:strCache>
            </c:strRef>
          </c:cat>
          <c:val>
            <c:numRef>
              <c:f>'[工作簿1.xlsx]3'!$L$1:$L$2</c:f>
              <c:numCache>
                <c:formatCode>General</c:formatCode>
                <c:ptCount val="2"/>
                <c:pt idx="0">
                  <c:v>158.77</c:v>
                </c:pt>
                <c:pt idx="1">
                  <c:v>77.29</c:v>
                </c:pt>
              </c:numCache>
            </c:numRef>
          </c:val>
        </c:ser>
        <c:ser>
          <c:idx val="1"/>
          <c:order val="1"/>
          <c:spPr/>
          <c:explosion val="0"/>
          <c:dPt>
            <c:idx val="0"/>
            <c:bubble3D val="0"/>
            <c:spPr>
              <a:solidFill>
                <a:srgbClr val="5B9BD5"/>
              </a:solidFill>
              <a:ln w="25400">
                <a:solidFill>
                  <a:sysClr val="window" lastClr="FFFFFF"/>
                </a:solidFill>
              </a:ln>
              <a:effectLst/>
            </c:spPr>
          </c:dPt>
          <c:dPt>
            <c:idx val="1"/>
            <c:bubble3D val="0"/>
            <c:spPr>
              <a:solidFill>
                <a:srgbClr val="ED7D31"/>
              </a:solidFill>
              <a:ln w="25400">
                <a:solidFill>
                  <a:sysClr val="window" lastClr="FFFFFF"/>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'[工作簿1.xlsx]3'!$K$1:$K$2</c:f>
              <c:strCache>
                <c:ptCount val="2"/>
                <c:pt idx="0">
                  <c:v>基本支出</c:v>
                </c:pt>
                <c:pt idx="1">
                  <c:v>项目支出</c:v>
                </c:pt>
              </c:strCache>
            </c:strRef>
          </c:cat>
          <c:val>
            <c:numRef>
              <c:f>'[工作簿1.xlsx]3'!$M$1:$M$2</c:f>
              <c:numCache>
                <c:formatCode>0.00%</c:formatCode>
                <c:ptCount val="2"/>
                <c:pt idx="0">
                  <c:v>0.672583241548759</c:v>
                </c:pt>
                <c:pt idx="1">
                  <c:v>0.327416758451241</c:v>
                </c:pt>
              </c:numCache>
            </c:numRef>
          </c:val>
        </c:ser>
        <c:dLbls>
          <c:showLegendKey val="0"/>
          <c:showVal val="1"/>
          <c:showCatName val="0"/>
          <c:showSerName val="0"/>
          <c:showPercent val="0"/>
          <c:showBubbleSize val="0"/>
        </c:dLbls>
      </c:pie3DChart>
      <c:spPr>
        <a:noFill/>
        <a:ln>
          <a:noFill/>
        </a:ln>
        <a:effectLst/>
      </c:spPr>
    </c:plotArea>
    <c:legend>
      <c:legendPos val="b"/>
      <c:legendEntry>
        <c:idx val="0"/>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Entry>
      <c:legendEntry>
        <c:idx val="1"/>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4416666666667"/>
          <c:y val="0.0568287037037037"/>
          <c:w val="0.857111111111111"/>
          <c:h val="0.801550925925926"/>
        </c:manualLayout>
      </c:layout>
      <c:barChart>
        <c:barDir val="col"/>
        <c:grouping val="clustered"/>
        <c:varyColors val="0"/>
        <c:ser>
          <c:idx val="0"/>
          <c:order val="0"/>
          <c:tx>
            <c:strRef>
              <c:f>'[图表.xlsx]4'!$J$2:$J$3</c:f>
              <c:strCache>
                <c:ptCount val="1"/>
                <c:pt idx="0">
                  <c:v>459.03 236.06</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trendline>
            <c:spPr>
              <a:ln w="19050" cap="rnd">
                <a:solidFill>
                  <a:srgbClr val="5B9BD5"/>
                </a:solidFill>
                <a:prstDash val="sysDot"/>
              </a:ln>
              <a:effectLst/>
            </c:spPr>
            <c:trendlineType val="linear"/>
            <c:dispRSqr val="0"/>
            <c:dispEq val="0"/>
          </c:trendline>
          <c:cat>
            <c:numRef>
              <c:f>'[图表.xlsx]4'!$I$2:$I$3</c:f>
              <c:numCache>
                <c:formatCode>General</c:formatCode>
                <c:ptCount val="2"/>
                <c:pt idx="0">
                  <c:v>2021</c:v>
                </c:pt>
                <c:pt idx="1">
                  <c:v>2022</c:v>
                </c:pt>
              </c:numCache>
            </c:numRef>
          </c:cat>
          <c:val>
            <c:numRef>
              <c:f>'[图表.xlsx]4'!$J$2:$J$3</c:f>
              <c:numCache>
                <c:formatCode>General</c:formatCode>
                <c:ptCount val="2"/>
                <c:pt idx="0">
                  <c:v>459.03</c:v>
                </c:pt>
                <c:pt idx="1">
                  <c:v>236.06</c:v>
                </c:pt>
              </c:numCache>
            </c:numRef>
          </c:val>
        </c:ser>
        <c:dLbls>
          <c:showLegendKey val="0"/>
          <c:showVal val="1"/>
          <c:showCatName val="0"/>
          <c:showSerName val="0"/>
          <c:showPercent val="0"/>
          <c:showBubbleSize val="0"/>
        </c:dLbls>
        <c:gapWidth val="219"/>
        <c:overlap val="-27"/>
        <c:axId val="604086169"/>
        <c:axId val="221097670"/>
      </c:barChart>
      <c:catAx>
        <c:axId val="604086169"/>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crossAx val="221097670"/>
        <c:crosses val="autoZero"/>
        <c:auto val="1"/>
        <c:lblAlgn val="ctr"/>
        <c:lblOffset val="100"/>
        <c:noMultiLvlLbl val="0"/>
      </c:catAx>
      <c:valAx>
        <c:axId val="221097670"/>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crossAx val="604086169"/>
        <c:crosses val="autoZero"/>
        <c:crossBetween val="between"/>
        <c:majorUnit val="100"/>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sz="1200"/>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'[工作簿1.xlsx]5'!$J$1</c:f>
              <c:strCache>
                <c:ptCount val="1"/>
                <c:pt idx="0">
                  <c:v>财政拨款支出</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trendline>
            <c:spPr>
              <a:ln w="19050" cap="rnd">
                <a:solidFill>
                  <a:srgbClr val="5B9BD5"/>
                </a:solidFill>
                <a:prstDash val="sysDot"/>
              </a:ln>
              <a:effectLst/>
            </c:spPr>
            <c:trendlineType val="linear"/>
            <c:dispRSqr val="0"/>
            <c:dispEq val="0"/>
          </c:trendline>
          <c:cat>
            <c:numRef>
              <c:f>'[工作簿1.xlsx]5'!$I$2:$I$3</c:f>
              <c:numCache>
                <c:formatCode>General</c:formatCode>
                <c:ptCount val="2"/>
                <c:pt idx="0">
                  <c:v>2021</c:v>
                </c:pt>
                <c:pt idx="1">
                  <c:v>2022</c:v>
                </c:pt>
              </c:numCache>
            </c:numRef>
          </c:cat>
          <c:val>
            <c:numRef>
              <c:f>'[工作簿1.xlsx]5'!$J$2:$J$3</c:f>
              <c:numCache>
                <c:formatCode>General</c:formatCode>
                <c:ptCount val="2"/>
                <c:pt idx="0">
                  <c:v>335.78</c:v>
                </c:pt>
                <c:pt idx="1">
                  <c:v>236.06</c:v>
                </c:pt>
              </c:numCache>
            </c:numRef>
          </c:val>
        </c:ser>
        <c:dLbls>
          <c:showLegendKey val="0"/>
          <c:showVal val="1"/>
          <c:showCatName val="0"/>
          <c:showSerName val="0"/>
          <c:showPercent val="0"/>
          <c:showBubbleSize val="0"/>
        </c:dLbls>
        <c:gapWidth val="219"/>
        <c:overlap val="-27"/>
        <c:axId val="542806284"/>
        <c:axId val="178007637"/>
      </c:barChart>
      <c:catAx>
        <c:axId val="542806284"/>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crossAx val="178007637"/>
        <c:crosses val="autoZero"/>
        <c:auto val="1"/>
        <c:lblAlgn val="ctr"/>
        <c:lblOffset val="100"/>
        <c:noMultiLvlLbl val="0"/>
      </c:catAx>
      <c:valAx>
        <c:axId val="178007637"/>
        <c:scaling>
          <c:orientation val="minMax"/>
          <c:max val="400"/>
          <c:min val="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crossAx val="542806284"/>
        <c:crosses val="autoZero"/>
        <c:crossBetween val="between"/>
        <c:majorUnit val="100"/>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754241156184819"/>
          <c:y val="0.082914211812042"/>
          <c:w val="0.799127906976744"/>
          <c:h val="0.720362120994396"/>
        </c:manualLayout>
      </c:layout>
      <c:pie3DChart>
        <c:varyColors val="1"/>
        <c:ser>
          <c:idx val="0"/>
          <c:order val="0"/>
          <c:spPr/>
          <c:explosion val="0"/>
          <c:dPt>
            <c:idx val="0"/>
            <c:bubble3D val="0"/>
            <c:spPr>
              <a:solidFill>
                <a:srgbClr val="5B9BD5"/>
              </a:solidFill>
              <a:ln w="25400">
                <a:solidFill>
                  <a:sysClr val="window" lastClr="FFFFFF"/>
                </a:solidFill>
              </a:ln>
              <a:effectLst/>
            </c:spPr>
          </c:dPt>
          <c:dPt>
            <c:idx val="1"/>
            <c:bubble3D val="0"/>
            <c:spPr>
              <a:solidFill>
                <a:srgbClr val="ED7D31"/>
              </a:solidFill>
              <a:ln w="25400">
                <a:solidFill>
                  <a:sysClr val="window" lastClr="FFFFFF"/>
                </a:solidFill>
              </a:ln>
              <a:effectLst/>
            </c:spPr>
          </c:dPt>
          <c:dPt>
            <c:idx val="2"/>
            <c:bubble3D val="0"/>
            <c:spPr>
              <a:solidFill>
                <a:srgbClr val="A5A5A5"/>
              </a:solidFill>
              <a:ln w="25400">
                <a:solidFill>
                  <a:sysClr val="window" lastClr="FFFFFF"/>
                </a:solidFill>
              </a:ln>
              <a:effectLst/>
            </c:spPr>
          </c:dPt>
          <c:dPt>
            <c:idx val="3"/>
            <c:bubble3D val="0"/>
            <c:spPr>
              <a:solidFill>
                <a:srgbClr val="FFC000"/>
              </a:solidFill>
              <a:ln w="25400">
                <a:solidFill>
                  <a:sysClr val="window" lastClr="FFFFFF"/>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'[工作簿1.xlsx]6'!$K$1:$K$4</c:f>
              <c:strCache>
                <c:ptCount val="4"/>
                <c:pt idx="0">
                  <c:v>教育支出</c:v>
                </c:pt>
                <c:pt idx="1">
                  <c:v>社会保障和就业支出</c:v>
                </c:pt>
                <c:pt idx="2">
                  <c:v>卫生健康支出</c:v>
                </c:pt>
                <c:pt idx="3">
                  <c:v>住房保障支出</c:v>
                </c:pt>
              </c:strCache>
            </c:strRef>
          </c:cat>
          <c:val>
            <c:numRef>
              <c:f>'[工作簿1.xlsx]6'!$L$1:$L$4</c:f>
              <c:numCache>
                <c:formatCode>General</c:formatCode>
                <c:ptCount val="4"/>
                <c:pt idx="0">
                  <c:v>183.27</c:v>
                </c:pt>
                <c:pt idx="1">
                  <c:v>32.37</c:v>
                </c:pt>
                <c:pt idx="2">
                  <c:v>5.32</c:v>
                </c:pt>
                <c:pt idx="3">
                  <c:v>15.1</c:v>
                </c:pt>
              </c:numCache>
            </c:numRef>
          </c:val>
        </c:ser>
        <c:dLbls>
          <c:showLegendKey val="0"/>
          <c:showVal val="1"/>
          <c:showCatName val="0"/>
          <c:showSerName val="0"/>
          <c:showPercent val="0"/>
          <c:showBubbleSize val="0"/>
        </c:dLbls>
      </c:pie3DChart>
      <c:spPr>
        <a:noFill/>
        <a:ln>
          <a:noFill/>
        </a:ln>
        <a:effectLst/>
      </c:spPr>
    </c:plotArea>
    <c:legend>
      <c:legendPos val="b"/>
      <c:layout>
        <c:manualLayout>
          <c:xMode val="edge"/>
          <c:yMode val="edge"/>
          <c:x val="0.00514462101291871"/>
          <c:y val="0.854025919800458"/>
          <c:w val="0.981365039442094"/>
          <c:h val="0.108586243709013"/>
        </c:manualLayout>
      </c:layout>
      <c:overlay val="0"/>
      <c:spPr>
        <a:noFill/>
        <a:ln>
          <a:noFill/>
        </a:ln>
        <a:effectLst/>
      </c:spPr>
      <c:txPr>
        <a:bodyPr rot="0" spcFirstLastPara="0" vertOverflow="ellipsis" vert="horz" wrap="square" anchor="ctr" anchorCtr="1"/>
        <a:lstStyle/>
        <a:p>
          <a:pPr>
            <a:defRPr lang="zh-CN" sz="12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6.xml><?xml version="1.0" encoding="utf-8"?>
<cs:chartStyle xmlns:cs="http://schemas.microsoft.com/office/drawing/2012/chartStyle" xmlns:a="http://schemas.openxmlformats.org/drawingml/2006/main" id="26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28</Pages>
  <Words>9672</Words>
  <Characters>11637</Characters>
  <Lines>61</Lines>
  <Paragraphs>17</Paragraphs>
  <TotalTime>13</TotalTime>
  <ScaleCrop>false</ScaleCrop>
  <LinksUpToDate>false</LinksUpToDate>
  <CharactersWithSpaces>11707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jijiaoban</cp:lastModifiedBy>
  <cp:lastPrinted>2023-07-31T10:35:00Z</cp:lastPrinted>
  <dcterms:modified xsi:type="dcterms:W3CDTF">2023-10-17T01:34:09Z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6B70361D626A4593B4A9C4A901EC4F63</vt:lpwstr>
  </property>
</Properties>
</file>