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600" w:lineRule="exact"/>
        <w:jc w:val="left"/>
        <w:outlineLvl w:val="9"/>
        <w:rPr>
          <w:rFonts w:ascii="方正小标宋简体" w:hAnsi="宋体" w:eastAsia="方正小标宋简体"/>
          <w:color w:val="auto"/>
          <w:sz w:val="21"/>
          <w:szCs w:val="21"/>
          <w:highlight w:val="none"/>
        </w:rPr>
      </w:pPr>
      <w:bookmarkStart w:id="0" w:name="_Toc15306267"/>
    </w:p>
    <w:p>
      <w:pPr>
        <w:spacing w:line="600" w:lineRule="exact"/>
        <w:jc w:val="center"/>
        <w:outlineLvl w:val="9"/>
        <w:rPr>
          <w:rFonts w:ascii="方正小标宋简体" w:hAnsi="宋体" w:eastAsia="方正小标宋简体"/>
          <w:color w:val="auto"/>
          <w:sz w:val="72"/>
          <w:szCs w:val="72"/>
          <w:highlight w:val="none"/>
        </w:rPr>
      </w:pPr>
    </w:p>
    <w:p>
      <w:pPr>
        <w:spacing w:line="600" w:lineRule="exact"/>
        <w:jc w:val="center"/>
        <w:outlineLvl w:val="9"/>
        <w:rPr>
          <w:rFonts w:ascii="方正小标宋简体" w:hAnsi="宋体" w:eastAsia="方正小标宋简体"/>
          <w:color w:val="auto"/>
          <w:sz w:val="72"/>
          <w:szCs w:val="72"/>
          <w:highlight w:val="none"/>
        </w:rPr>
      </w:pPr>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72"/>
          <w:szCs w:val="72"/>
          <w:highlight w:val="none"/>
        </w:rPr>
      </w:pPr>
      <w:bookmarkStart w:id="1" w:name="_Toc15396475"/>
      <w:bookmarkStart w:id="2" w:name="_Toc15377425"/>
      <w:bookmarkStart w:id="3" w:name="_Toc15377193"/>
      <w:bookmarkStart w:id="4" w:name="_Toc17022"/>
      <w:bookmarkStart w:id="5" w:name="_Toc15378441"/>
      <w:bookmarkStart w:id="6" w:name="_Toc15396597"/>
      <w:r>
        <w:rPr>
          <w:rFonts w:hint="eastAsia" w:ascii="方正小标宋简体" w:hAnsi="方正小标宋简体" w:eastAsia="方正小标宋简体" w:cs="方正小标宋简体"/>
          <w:color w:val="auto"/>
          <w:sz w:val="72"/>
          <w:szCs w:val="72"/>
          <w:highlight w:val="none"/>
        </w:rPr>
        <w:t>20</w:t>
      </w:r>
      <w:r>
        <w:rPr>
          <w:rFonts w:hint="eastAsia" w:ascii="方正小标宋简体" w:hAnsi="方正小标宋简体" w:eastAsia="方正小标宋简体" w:cs="方正小标宋简体"/>
          <w:color w:val="auto"/>
          <w:sz w:val="72"/>
          <w:szCs w:val="72"/>
          <w:highlight w:val="none"/>
          <w:lang w:val="en-US" w:eastAsia="zh-CN"/>
        </w:rPr>
        <w:t>22</w:t>
      </w:r>
      <w:r>
        <w:rPr>
          <w:rFonts w:hint="eastAsia" w:ascii="方正小标宋简体" w:hAnsi="方正小标宋简体" w:eastAsia="方正小标宋简体" w:cs="方正小标宋简体"/>
          <w:color w:val="auto"/>
          <w:sz w:val="72"/>
          <w:szCs w:val="72"/>
          <w:highlight w:val="none"/>
        </w:rPr>
        <w:t>年度</w:t>
      </w:r>
      <w:bookmarkEnd w:id="1"/>
      <w:bookmarkEnd w:id="2"/>
      <w:bookmarkEnd w:id="3"/>
      <w:bookmarkEnd w:id="4"/>
      <w:bookmarkEnd w:id="5"/>
      <w:bookmarkEnd w:id="6"/>
    </w:p>
    <w:p>
      <w:pPr>
        <w:adjustRightInd w:val="0"/>
        <w:snapToGrid w:val="0"/>
        <w:spacing w:line="360" w:lineRule="auto"/>
        <w:jc w:val="center"/>
        <w:outlineLvl w:val="0"/>
        <w:rPr>
          <w:rFonts w:hint="eastAsia" w:ascii="方正小标宋简体" w:hAnsi="方正小标宋简体" w:eastAsia="方正小标宋简体" w:cs="方正小标宋简体"/>
          <w:color w:val="auto"/>
          <w:sz w:val="56"/>
          <w:szCs w:val="56"/>
          <w:highlight w:val="none"/>
        </w:rPr>
      </w:pPr>
      <w:bookmarkStart w:id="7" w:name="_Toc15378442"/>
      <w:bookmarkStart w:id="8" w:name="_Toc15396476"/>
      <w:bookmarkStart w:id="9" w:name="_Toc15396598"/>
      <w:bookmarkStart w:id="10" w:name="_Toc16598"/>
      <w:bookmarkStart w:id="11" w:name="_Toc15377426"/>
      <w:bookmarkStart w:id="12" w:name="_Toc15377194"/>
      <w:r>
        <w:rPr>
          <w:rFonts w:hint="eastAsia" w:ascii="方正小标宋简体" w:hAnsi="方正小标宋简体" w:eastAsia="方正小标宋简体" w:cs="方正小标宋简体"/>
          <w:color w:val="auto"/>
          <w:sz w:val="56"/>
          <w:szCs w:val="56"/>
          <w:highlight w:val="none"/>
          <w:lang w:eastAsia="zh-CN"/>
        </w:rPr>
        <w:t>中共广元市</w:t>
      </w:r>
      <w:bookmarkEnd w:id="0"/>
      <w:bookmarkStart w:id="13" w:name="_Toc15306268"/>
      <w:r>
        <w:rPr>
          <w:rFonts w:hint="eastAsia" w:ascii="方正小标宋简体" w:hAnsi="方正小标宋简体" w:eastAsia="方正小标宋简体" w:cs="方正小标宋简体"/>
          <w:color w:val="auto"/>
          <w:sz w:val="56"/>
          <w:szCs w:val="56"/>
          <w:highlight w:val="none"/>
          <w:lang w:eastAsia="zh-CN"/>
        </w:rPr>
        <w:t>委统战部单位</w:t>
      </w:r>
      <w:r>
        <w:rPr>
          <w:rFonts w:hint="eastAsia" w:ascii="方正小标宋简体" w:hAnsi="方正小标宋简体" w:eastAsia="方正小标宋简体" w:cs="方正小标宋简体"/>
          <w:color w:val="auto"/>
          <w:sz w:val="56"/>
          <w:szCs w:val="56"/>
          <w:highlight w:val="none"/>
        </w:rPr>
        <w:t>决算</w:t>
      </w:r>
      <w:bookmarkEnd w:id="7"/>
      <w:bookmarkEnd w:id="8"/>
      <w:bookmarkEnd w:id="9"/>
      <w:bookmarkEnd w:id="10"/>
      <w:bookmarkEnd w:id="11"/>
      <w:bookmarkEnd w:id="12"/>
      <w:bookmarkEnd w:id="13"/>
    </w:p>
    <w:p>
      <w:pPr>
        <w:adjustRightInd w:val="0"/>
        <w:snapToGrid w:val="0"/>
        <w:spacing w:line="360" w:lineRule="auto"/>
        <w:jc w:val="center"/>
        <w:outlineLvl w:val="0"/>
        <w:rPr>
          <w:rFonts w:hint="eastAsia" w:ascii="方正小标宋简体" w:hAnsi="宋体" w:eastAsia="方正小标宋简体"/>
          <w:color w:val="auto"/>
          <w:sz w:val="56"/>
          <w:szCs w:val="56"/>
          <w:highlight w:val="none"/>
          <w:lang w:eastAsia="zh-CN"/>
        </w:rPr>
      </w:pPr>
      <w:bookmarkStart w:id="14" w:name="_Toc2177"/>
      <w:r>
        <w:rPr>
          <w:rFonts w:hint="eastAsia" w:ascii="方正小标宋简体" w:hAnsi="方正小标宋简体" w:eastAsia="方正小标宋简体" w:cs="方正小标宋简体"/>
          <w:color w:val="auto"/>
          <w:sz w:val="56"/>
          <w:szCs w:val="56"/>
          <w:highlight w:val="none"/>
          <w:lang w:eastAsia="zh-CN"/>
        </w:rPr>
        <w:t>编制说明</w:t>
      </w:r>
      <w:bookmarkEnd w:id="14"/>
    </w:p>
    <w:p>
      <w:pPr>
        <w:widowControl/>
        <w:jc w:val="center"/>
        <w:rPr>
          <w:rFonts w:hint="eastAsia" w:ascii="黑体" w:hAnsi="黑体" w:eastAsia="黑体"/>
          <w:color w:val="auto"/>
          <w:sz w:val="48"/>
          <w:szCs w:val="48"/>
          <w:highlight w:val="none"/>
        </w:rPr>
        <w:sectPr>
          <w:headerReference r:id="rId3" w:type="default"/>
          <w:pgSz w:w="11906" w:h="16838"/>
          <w:pgMar w:top="2098" w:right="1474" w:bottom="1984" w:left="1587" w:header="851" w:footer="1417" w:gutter="0"/>
          <w:pgNumType w:start="1"/>
          <w:cols w:space="0" w:num="1"/>
          <w:titlePg/>
          <w:rtlGutter w:val="0"/>
          <w:docGrid w:type="lines" w:linePitch="312" w:charSpace="0"/>
        </w:sectPr>
      </w:pPr>
    </w:p>
    <w:p>
      <w:pPr>
        <w:widowControl/>
        <w:jc w:val="center"/>
        <w:rPr>
          <w:rFonts w:ascii="黑体" w:hAnsi="黑体" w:eastAsia="黑体" w:cstheme="minorBidi"/>
          <w:color w:val="auto"/>
          <w:sz w:val="28"/>
          <w:szCs w:val="28"/>
          <w:highlight w:val="none"/>
        </w:rPr>
      </w:pPr>
      <w:r>
        <w:rPr>
          <w:rFonts w:hint="eastAsia" w:ascii="黑体" w:hAnsi="黑体" w:eastAsia="黑体"/>
          <w:color w:val="auto"/>
          <w:sz w:val="48"/>
          <w:szCs w:val="48"/>
          <w:highlight w:val="none"/>
        </w:rPr>
        <w:t>目</w:t>
      </w:r>
      <w:r>
        <w:rPr>
          <w:rFonts w:hint="eastAsia" w:ascii="黑体" w:hAnsi="黑体" w:eastAsia="黑体"/>
          <w:color w:val="auto"/>
          <w:sz w:val="48"/>
          <w:szCs w:val="48"/>
          <w:highlight w:val="none"/>
          <w:lang w:val="en-US" w:eastAsia="zh-CN"/>
        </w:rPr>
        <w:t xml:space="preserve">  </w:t>
      </w:r>
      <w:r>
        <w:rPr>
          <w:rFonts w:hint="eastAsia" w:ascii="黑体" w:hAnsi="黑体" w:eastAsia="黑体"/>
          <w:color w:val="auto"/>
          <w:sz w:val="48"/>
          <w:szCs w:val="48"/>
          <w:highlight w:val="none"/>
        </w:rPr>
        <w:t>录</w:t>
      </w:r>
    </w:p>
    <w:p>
      <w:pPr>
        <w:pStyle w:val="10"/>
        <w:keepNext w:val="0"/>
        <w:keepLines w:val="0"/>
        <w:pageBreakBefore w:val="0"/>
        <w:widowControl w:val="0"/>
        <w:kinsoku/>
        <w:wordWrap/>
        <w:overflowPunct/>
        <w:topLinePunct w:val="0"/>
        <w:autoSpaceDE/>
        <w:autoSpaceDN/>
        <w:bidi w:val="0"/>
        <w:spacing w:before="0" w:line="560" w:lineRule="exact"/>
        <w:textAlignment w:val="auto"/>
        <w:rPr>
          <w:color w:val="auto"/>
          <w:highlight w:val="none"/>
        </w:rPr>
      </w:pPr>
      <w:r>
        <w:rPr>
          <w:rFonts w:hint="eastAsia"/>
          <w:color w:val="auto"/>
          <w:highlight w:val="none"/>
        </w:rPr>
        <w:t>公开时间：20</w:t>
      </w:r>
      <w:r>
        <w:rPr>
          <w:rFonts w:hint="eastAsia"/>
          <w:color w:val="auto"/>
          <w:highlight w:val="none"/>
          <w:lang w:val="en-US" w:eastAsia="zh-CN"/>
        </w:rPr>
        <w:t>23</w:t>
      </w:r>
      <w:r>
        <w:rPr>
          <w:rFonts w:hint="eastAsia"/>
          <w:color w:val="auto"/>
          <w:highlight w:val="none"/>
        </w:rPr>
        <w:t>年</w:t>
      </w:r>
      <w:r>
        <w:rPr>
          <w:rFonts w:hint="eastAsia"/>
          <w:color w:val="auto"/>
          <w:highlight w:val="none"/>
          <w:lang w:val="en-US" w:eastAsia="zh-CN"/>
        </w:rPr>
        <w:t>10</w:t>
      </w:r>
      <w:r>
        <w:rPr>
          <w:rFonts w:hint="eastAsia"/>
          <w:color w:val="auto"/>
          <w:highlight w:val="none"/>
        </w:rPr>
        <w:t>月</w:t>
      </w:r>
      <w:r>
        <w:rPr>
          <w:rFonts w:hint="eastAsia"/>
          <w:color w:val="auto"/>
          <w:highlight w:val="none"/>
          <w:lang w:val="en-US" w:eastAsia="zh-CN"/>
        </w:rPr>
        <w:t>7</w:t>
      </w:r>
      <w:r>
        <w:rPr>
          <w:rFonts w:hint="eastAsia"/>
          <w:color w:val="auto"/>
          <w:highlight w:val="none"/>
        </w:rPr>
        <w:t>日</w:t>
      </w:r>
      <w:bookmarkStart w:id="127" w:name="_GoBack"/>
      <w:bookmarkEnd w:id="127"/>
    </w:p>
    <w:p>
      <w:pPr>
        <w:rPr>
          <w:rFonts w:hint="eastAsia"/>
        </w:rPr>
      </w:pPr>
      <w:bookmarkStart w:id="15" w:name="_Toc15377196"/>
      <w:bookmarkStart w:id="16" w:name="_Toc15396599"/>
    </w:p>
    <w:sdt>
      <w:sdtPr>
        <w:rPr>
          <w:rFonts w:ascii="宋体" w:hAnsi="宋体" w:eastAsia="宋体" w:cs="Times New Roman"/>
          <w:kern w:val="2"/>
          <w:sz w:val="21"/>
          <w:szCs w:val="24"/>
          <w:lang w:val="en-US" w:eastAsia="zh-CN" w:bidi="ar-SA"/>
        </w:rPr>
        <w:id w:val="147477462"/>
        <w15:color w:val="DBDBDB"/>
        <w:docPartObj>
          <w:docPartGallery w:val="Table of Contents"/>
          <w:docPartUnique/>
        </w:docPartObj>
      </w:sdtPr>
      <w:sdtEndPr>
        <w:rPr>
          <w:rFonts w:hint="eastAsia" w:ascii="Times New Roman" w:hAnsi="Times New Roman" w:eastAsia="仿宋_GB2312" w:cs="Times New Roman"/>
          <w:b/>
          <w:kern w:val="2"/>
          <w:sz w:val="32"/>
          <w:szCs w:val="24"/>
          <w:lang w:val="en-US" w:eastAsia="zh-CN" w:bidi="ar-SA"/>
        </w:rPr>
      </w:sdtEndPr>
      <w:sdtContent>
        <w:p>
          <w:pPr>
            <w:spacing w:before="0" w:beforeLines="0" w:after="0" w:afterLines="0" w:line="240" w:lineRule="auto"/>
            <w:ind w:left="0" w:leftChars="0" w:right="0" w:rightChars="0" w:firstLine="0" w:firstLineChars="0"/>
            <w:jc w:val="center"/>
            <w:rPr>
              <w:b/>
            </w:rPr>
          </w:pPr>
          <w:r>
            <w:rPr>
              <w:rFonts w:hint="eastAsia"/>
            </w:rPr>
            <w:fldChar w:fldCharType="begin"/>
          </w:r>
          <w:r>
            <w:rPr>
              <w:rFonts w:hint="eastAsia"/>
            </w:rPr>
            <w:instrText xml:space="preserve">TOC \o "1-2" \h \u </w:instrText>
          </w:r>
          <w:r>
            <w:rPr>
              <w:rFonts w:hint="eastAsia"/>
            </w:rPr>
            <w:fldChar w:fldCharType="separate"/>
          </w:r>
        </w:p>
        <w:p>
          <w:pPr>
            <w:pStyle w:val="35"/>
            <w:tabs>
              <w:tab w:val="right" w:leader="dot" w:pos="8845"/>
            </w:tabs>
            <w:rPr>
              <w:b/>
            </w:rPr>
          </w:pPr>
          <w:r>
            <w:rPr>
              <w:rFonts w:hint="eastAsia"/>
              <w:b/>
            </w:rPr>
            <w:fldChar w:fldCharType="begin"/>
          </w:r>
          <w:r>
            <w:rPr>
              <w:rFonts w:hint="eastAsia"/>
              <w:b/>
            </w:rPr>
            <w:instrText xml:space="preserve"> HYPERLINK \l _Toc32728 </w:instrText>
          </w:r>
          <w:r>
            <w:rPr>
              <w:rFonts w:hint="eastAsia"/>
              <w:b/>
            </w:rPr>
            <w:fldChar w:fldCharType="separate"/>
          </w:r>
          <w:r>
            <w:rPr>
              <w:rFonts w:hint="eastAsia" w:ascii="黑体" w:hAnsi="黑体" w:eastAsia="黑体"/>
              <w:b/>
              <w:highlight w:val="none"/>
            </w:rPr>
            <w:t xml:space="preserve">第一部分 </w:t>
          </w:r>
          <w:r>
            <w:rPr>
              <w:rFonts w:hint="eastAsia" w:ascii="黑体" w:hAnsi="黑体" w:eastAsia="黑体"/>
              <w:b/>
              <w:highlight w:val="none"/>
              <w:lang w:eastAsia="zh-CN"/>
            </w:rPr>
            <w:t>单位</w:t>
          </w:r>
          <w:r>
            <w:rPr>
              <w:rFonts w:hint="eastAsia" w:ascii="黑体" w:hAnsi="黑体" w:eastAsia="黑体"/>
              <w:b/>
              <w:bCs w:val="0"/>
              <w:highlight w:val="none"/>
            </w:rPr>
            <w:t>概况</w:t>
          </w:r>
          <w:r>
            <w:rPr>
              <w:b/>
            </w:rPr>
            <w:tab/>
          </w:r>
          <w:r>
            <w:rPr>
              <w:b/>
            </w:rPr>
            <w:fldChar w:fldCharType="begin"/>
          </w:r>
          <w:r>
            <w:rPr>
              <w:b/>
            </w:rPr>
            <w:instrText xml:space="preserve"> PAGEREF _Toc32728 \h </w:instrText>
          </w:r>
          <w:r>
            <w:rPr>
              <w:b/>
            </w:rPr>
            <w:fldChar w:fldCharType="separate"/>
          </w:r>
          <w:r>
            <w:rPr>
              <w:b/>
            </w:rPr>
            <w:t>1</w:t>
          </w:r>
          <w:r>
            <w:rPr>
              <w:b/>
            </w:rPr>
            <w:fldChar w:fldCharType="end"/>
          </w:r>
          <w:r>
            <w:rPr>
              <w:rFonts w:hint="eastAsia"/>
              <w:b/>
            </w:rPr>
            <w:fldChar w:fldCharType="end"/>
          </w:r>
        </w:p>
        <w:p>
          <w:pPr>
            <w:pStyle w:val="36"/>
            <w:tabs>
              <w:tab w:val="right" w:leader="dot" w:pos="8845"/>
            </w:tabs>
          </w:pPr>
          <w:r>
            <w:rPr>
              <w:rFonts w:hint="eastAsia"/>
            </w:rPr>
            <w:fldChar w:fldCharType="begin"/>
          </w:r>
          <w:r>
            <w:rPr>
              <w:rFonts w:hint="eastAsia"/>
            </w:rPr>
            <w:instrText xml:space="preserve"> HYPERLINK \l _Toc11134 </w:instrText>
          </w:r>
          <w:r>
            <w:rPr>
              <w:rFonts w:hint="eastAsia"/>
            </w:rPr>
            <w:fldChar w:fldCharType="separate"/>
          </w:r>
          <w:r>
            <w:rPr>
              <w:rFonts w:hint="eastAsia" w:ascii="黑体" w:hAnsi="黑体" w:eastAsia="黑体"/>
              <w:bCs w:val="0"/>
              <w:highlight w:val="none"/>
              <w:lang w:eastAsia="zh-CN"/>
            </w:rPr>
            <w:t>一、主要职责</w:t>
          </w:r>
          <w:r>
            <w:tab/>
          </w:r>
          <w:r>
            <w:fldChar w:fldCharType="begin"/>
          </w:r>
          <w:r>
            <w:instrText xml:space="preserve"> PAGEREF _Toc11134 \h </w:instrText>
          </w:r>
          <w:r>
            <w:fldChar w:fldCharType="separate"/>
          </w:r>
          <w:r>
            <w:t>1</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_Toc15742 </w:instrText>
          </w:r>
          <w:r>
            <w:rPr>
              <w:rFonts w:hint="eastAsia"/>
            </w:rPr>
            <w:fldChar w:fldCharType="separate"/>
          </w:r>
          <w:r>
            <w:rPr>
              <w:rFonts w:hint="eastAsia" w:ascii="黑体" w:hAnsi="黑体" w:eastAsia="黑体"/>
              <w:highlight w:val="none"/>
              <w:lang w:val="en-US" w:eastAsia="zh-CN"/>
            </w:rPr>
            <w:t>二、机构设置</w:t>
          </w:r>
          <w:r>
            <w:tab/>
          </w:r>
          <w:r>
            <w:fldChar w:fldCharType="begin"/>
          </w:r>
          <w:r>
            <w:instrText xml:space="preserve"> PAGEREF _Toc15742 \h </w:instrText>
          </w:r>
          <w:r>
            <w:fldChar w:fldCharType="separate"/>
          </w:r>
          <w:r>
            <w:t>3</w:t>
          </w:r>
          <w:r>
            <w:fldChar w:fldCharType="end"/>
          </w:r>
          <w:r>
            <w:rPr>
              <w:rFonts w:hint="eastAsia"/>
            </w:rPr>
            <w:fldChar w:fldCharType="end"/>
          </w:r>
        </w:p>
        <w:p>
          <w:pPr>
            <w:pStyle w:val="35"/>
            <w:tabs>
              <w:tab w:val="right" w:leader="dot" w:pos="8845"/>
            </w:tabs>
            <w:rPr>
              <w:b/>
            </w:rPr>
          </w:pPr>
          <w:r>
            <w:rPr>
              <w:rFonts w:hint="eastAsia"/>
              <w:b/>
            </w:rPr>
            <w:fldChar w:fldCharType="begin"/>
          </w:r>
          <w:r>
            <w:rPr>
              <w:rFonts w:hint="eastAsia"/>
              <w:b/>
            </w:rPr>
            <w:instrText xml:space="preserve"> HYPERLINK \l _Toc10965 </w:instrText>
          </w:r>
          <w:r>
            <w:rPr>
              <w:rFonts w:hint="eastAsia"/>
              <w:b/>
            </w:rPr>
            <w:fldChar w:fldCharType="separate"/>
          </w:r>
          <w:r>
            <w:rPr>
              <w:rFonts w:hint="eastAsia" w:ascii="黑体" w:hAnsi="黑体" w:eastAsia="黑体"/>
              <w:b/>
              <w:bCs/>
              <w:highlight w:val="none"/>
            </w:rPr>
            <w:t xml:space="preserve">第二部分 </w:t>
          </w:r>
          <w:r>
            <w:rPr>
              <w:rFonts w:hint="eastAsia" w:ascii="黑体" w:hAnsi="黑体" w:eastAsia="黑体"/>
              <w:b/>
              <w:bCs/>
              <w:highlight w:val="none"/>
              <w:lang w:val="en-US" w:eastAsia="zh-CN"/>
            </w:rPr>
            <w:t>2022年度</w:t>
          </w:r>
          <w:r>
            <w:rPr>
              <w:rFonts w:hint="eastAsia" w:ascii="黑体" w:hAnsi="黑体" w:eastAsia="黑体"/>
              <w:b/>
              <w:bCs/>
              <w:highlight w:val="none"/>
              <w:lang w:eastAsia="zh-CN"/>
            </w:rPr>
            <w:t>单位</w:t>
          </w:r>
          <w:r>
            <w:rPr>
              <w:rFonts w:hint="eastAsia" w:ascii="黑体" w:hAnsi="黑体" w:eastAsia="黑体"/>
              <w:b/>
              <w:bCs/>
              <w:highlight w:val="none"/>
            </w:rPr>
            <w:t>决算情况说明</w:t>
          </w:r>
          <w:r>
            <w:rPr>
              <w:b/>
            </w:rPr>
            <w:tab/>
          </w:r>
          <w:r>
            <w:rPr>
              <w:b/>
            </w:rPr>
            <w:fldChar w:fldCharType="begin"/>
          </w:r>
          <w:r>
            <w:rPr>
              <w:b/>
            </w:rPr>
            <w:instrText xml:space="preserve"> PAGEREF _Toc10965 \h </w:instrText>
          </w:r>
          <w:r>
            <w:rPr>
              <w:b/>
            </w:rPr>
            <w:fldChar w:fldCharType="separate"/>
          </w:r>
          <w:r>
            <w:rPr>
              <w:b/>
            </w:rPr>
            <w:t>4</w:t>
          </w:r>
          <w:r>
            <w:rPr>
              <w:b/>
            </w:rPr>
            <w:fldChar w:fldCharType="end"/>
          </w:r>
          <w:r>
            <w:rPr>
              <w:rFonts w:hint="eastAsia"/>
              <w:b/>
            </w:rPr>
            <w:fldChar w:fldCharType="end"/>
          </w:r>
        </w:p>
        <w:p>
          <w:pPr>
            <w:pStyle w:val="36"/>
            <w:tabs>
              <w:tab w:val="right" w:leader="dot" w:pos="8845"/>
            </w:tabs>
          </w:pPr>
          <w:r>
            <w:rPr>
              <w:rFonts w:hint="eastAsia"/>
            </w:rPr>
            <w:fldChar w:fldCharType="begin"/>
          </w:r>
          <w:r>
            <w:rPr>
              <w:rFonts w:hint="eastAsia"/>
            </w:rPr>
            <w:instrText xml:space="preserve"> HYPERLINK \l _Toc4666 </w:instrText>
          </w:r>
          <w:r>
            <w:rPr>
              <w:rFonts w:hint="eastAsia"/>
            </w:rPr>
            <w:fldChar w:fldCharType="separate"/>
          </w:r>
          <w:r>
            <w:rPr>
              <w:rFonts w:hint="eastAsia" w:ascii="黑体" w:hAnsi="黑体" w:eastAsia="黑体"/>
              <w:szCs w:val="32"/>
              <w:highlight w:val="none"/>
              <w:lang w:eastAsia="zh-CN"/>
            </w:rPr>
            <w:t>一、</w:t>
          </w:r>
          <w:r>
            <w:rPr>
              <w:rFonts w:hint="eastAsia" w:ascii="黑体" w:hAnsi="黑体" w:eastAsia="黑体"/>
              <w:szCs w:val="32"/>
              <w:highlight w:val="none"/>
            </w:rPr>
            <w:t>收</w:t>
          </w:r>
          <w:r>
            <w:rPr>
              <w:rFonts w:hint="eastAsia" w:ascii="黑体" w:hAnsi="黑体" w:eastAsia="黑体"/>
              <w:highlight w:val="none"/>
            </w:rPr>
            <w:t>入支出决算总体情况说明</w:t>
          </w:r>
          <w:r>
            <w:tab/>
          </w:r>
          <w:r>
            <w:fldChar w:fldCharType="begin"/>
          </w:r>
          <w:r>
            <w:instrText xml:space="preserve"> PAGEREF _Toc4666 \h </w:instrText>
          </w:r>
          <w:r>
            <w:fldChar w:fldCharType="separate"/>
          </w:r>
          <w:r>
            <w:t>4</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_Toc26693 </w:instrText>
          </w:r>
          <w:r>
            <w:rPr>
              <w:rFonts w:hint="eastAsia"/>
            </w:rPr>
            <w:fldChar w:fldCharType="separate"/>
          </w:r>
          <w:r>
            <w:rPr>
              <w:rFonts w:hint="eastAsia" w:ascii="黑体" w:hAnsi="黑体" w:eastAsia="黑体"/>
              <w:szCs w:val="32"/>
              <w:highlight w:val="none"/>
              <w:lang w:eastAsia="zh-CN"/>
            </w:rPr>
            <w:t>二、</w:t>
          </w:r>
          <w:r>
            <w:rPr>
              <w:rFonts w:hint="eastAsia" w:ascii="黑体" w:hAnsi="黑体" w:eastAsia="黑体"/>
              <w:szCs w:val="32"/>
              <w:highlight w:val="none"/>
            </w:rPr>
            <w:t>收</w:t>
          </w:r>
          <w:r>
            <w:rPr>
              <w:rFonts w:hint="eastAsia" w:ascii="黑体" w:hAnsi="黑体" w:eastAsia="黑体"/>
              <w:highlight w:val="none"/>
            </w:rPr>
            <w:t>入决算情况说明</w:t>
          </w:r>
          <w:r>
            <w:tab/>
          </w:r>
          <w:r>
            <w:fldChar w:fldCharType="begin"/>
          </w:r>
          <w:r>
            <w:instrText xml:space="preserve"> PAGEREF _Toc26693 \h </w:instrText>
          </w:r>
          <w:r>
            <w:fldChar w:fldCharType="separate"/>
          </w:r>
          <w:r>
            <w:t>4</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_Toc7169 </w:instrText>
          </w:r>
          <w:r>
            <w:rPr>
              <w:rFonts w:hint="eastAsia"/>
            </w:rPr>
            <w:fldChar w:fldCharType="separate"/>
          </w:r>
          <w:r>
            <w:rPr>
              <w:rFonts w:hint="eastAsia" w:ascii="黑体" w:hAnsi="黑体" w:eastAsia="黑体"/>
              <w:szCs w:val="32"/>
              <w:highlight w:val="none"/>
              <w:lang w:eastAsia="zh-CN"/>
            </w:rPr>
            <w:t>三、</w:t>
          </w:r>
          <w:r>
            <w:rPr>
              <w:rFonts w:hint="eastAsia" w:ascii="黑体" w:hAnsi="黑体" w:eastAsia="黑体"/>
              <w:szCs w:val="32"/>
              <w:highlight w:val="none"/>
            </w:rPr>
            <w:t>支</w:t>
          </w:r>
          <w:r>
            <w:rPr>
              <w:rFonts w:hint="eastAsia" w:ascii="黑体" w:hAnsi="黑体" w:eastAsia="黑体"/>
              <w:highlight w:val="none"/>
            </w:rPr>
            <w:t>出决算情况说明</w:t>
          </w:r>
          <w:r>
            <w:tab/>
          </w:r>
          <w:r>
            <w:fldChar w:fldCharType="begin"/>
          </w:r>
          <w:r>
            <w:instrText xml:space="preserve"> PAGEREF _Toc7169 \h </w:instrText>
          </w:r>
          <w:r>
            <w:fldChar w:fldCharType="separate"/>
          </w:r>
          <w:r>
            <w:t>5</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_Toc12407 </w:instrText>
          </w:r>
          <w:r>
            <w:rPr>
              <w:rFonts w:hint="eastAsia"/>
            </w:rPr>
            <w:fldChar w:fldCharType="separate"/>
          </w:r>
          <w:r>
            <w:rPr>
              <w:rFonts w:hint="eastAsia" w:ascii="黑体" w:hAnsi="黑体" w:eastAsia="黑体"/>
              <w:szCs w:val="32"/>
              <w:highlight w:val="none"/>
            </w:rPr>
            <w:t>四、财</w:t>
          </w:r>
          <w:r>
            <w:rPr>
              <w:rFonts w:hint="eastAsia" w:ascii="黑体" w:hAnsi="黑体" w:eastAsia="黑体"/>
              <w:highlight w:val="none"/>
            </w:rPr>
            <w:t>政拨款收入支出决算总体情况说明</w:t>
          </w:r>
          <w:r>
            <w:tab/>
          </w:r>
          <w:r>
            <w:fldChar w:fldCharType="begin"/>
          </w:r>
          <w:r>
            <w:instrText xml:space="preserve"> PAGEREF _Toc12407 \h </w:instrText>
          </w:r>
          <w:r>
            <w:fldChar w:fldCharType="separate"/>
          </w:r>
          <w:r>
            <w:t>5</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_Toc16514 </w:instrText>
          </w:r>
          <w:r>
            <w:rPr>
              <w:rFonts w:hint="eastAsia"/>
            </w:rPr>
            <w:fldChar w:fldCharType="separate"/>
          </w:r>
          <w:r>
            <w:rPr>
              <w:rFonts w:hint="eastAsia" w:ascii="黑体" w:hAnsi="黑体" w:eastAsia="黑体"/>
              <w:szCs w:val="32"/>
              <w:highlight w:val="none"/>
            </w:rPr>
            <w:t>五、一</w:t>
          </w:r>
          <w:r>
            <w:rPr>
              <w:rFonts w:hint="eastAsia" w:ascii="黑体" w:hAnsi="黑体" w:eastAsia="黑体"/>
              <w:highlight w:val="none"/>
            </w:rPr>
            <w:t>般公共预算财政拨款支出决算情况说明</w:t>
          </w:r>
          <w:r>
            <w:tab/>
          </w:r>
          <w:r>
            <w:fldChar w:fldCharType="begin"/>
          </w:r>
          <w:r>
            <w:instrText xml:space="preserve"> PAGEREF _Toc16514 \h </w:instrText>
          </w:r>
          <w:r>
            <w:fldChar w:fldCharType="separate"/>
          </w:r>
          <w:r>
            <w:t>6</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_Toc18404 </w:instrText>
          </w:r>
          <w:r>
            <w:rPr>
              <w:rFonts w:hint="eastAsia"/>
            </w:rPr>
            <w:fldChar w:fldCharType="separate"/>
          </w:r>
          <w:r>
            <w:rPr>
              <w:rFonts w:hint="eastAsia" w:ascii="黑体" w:eastAsia="黑体"/>
              <w:szCs w:val="32"/>
              <w:highlight w:val="none"/>
            </w:rPr>
            <w:t>六、</w:t>
          </w:r>
          <w:r>
            <w:rPr>
              <w:rFonts w:hint="eastAsia" w:ascii="黑体" w:hAnsi="黑体" w:eastAsia="黑体"/>
              <w:szCs w:val="32"/>
              <w:highlight w:val="none"/>
            </w:rPr>
            <w:t>一</w:t>
          </w:r>
          <w:r>
            <w:rPr>
              <w:rFonts w:hint="eastAsia" w:ascii="黑体" w:hAnsi="黑体" w:eastAsia="黑体"/>
              <w:highlight w:val="none"/>
            </w:rPr>
            <w:t>般公共预算财政拨款基本支出决算情况说明</w:t>
          </w:r>
          <w:r>
            <w:tab/>
          </w:r>
          <w:r>
            <w:fldChar w:fldCharType="begin"/>
          </w:r>
          <w:r>
            <w:instrText xml:space="preserve"> PAGEREF _Toc18404 \h </w:instrText>
          </w:r>
          <w:r>
            <w:fldChar w:fldCharType="separate"/>
          </w:r>
          <w:r>
            <w:t>8</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_Toc6035 </w:instrText>
          </w:r>
          <w:r>
            <w:rPr>
              <w:rFonts w:hint="eastAsia"/>
            </w:rPr>
            <w:fldChar w:fldCharType="separate"/>
          </w:r>
          <w:r>
            <w:rPr>
              <w:rFonts w:hint="eastAsia" w:ascii="黑体" w:eastAsia="黑体"/>
              <w:szCs w:val="32"/>
              <w:highlight w:val="none"/>
            </w:rPr>
            <w:t>七、</w:t>
          </w:r>
          <w:r>
            <w:rPr>
              <w:rFonts w:hint="eastAsia" w:ascii="黑体" w:hAnsi="黑体" w:eastAsia="黑体"/>
              <w:highlight w:val="none"/>
            </w:rPr>
            <w:t>财政拨款“三公”经费支出决算情况说明</w:t>
          </w:r>
          <w:r>
            <w:tab/>
          </w:r>
          <w:r>
            <w:fldChar w:fldCharType="begin"/>
          </w:r>
          <w:r>
            <w:instrText xml:space="preserve"> PAGEREF _Toc6035 \h </w:instrText>
          </w:r>
          <w:r>
            <w:fldChar w:fldCharType="separate"/>
          </w:r>
          <w:r>
            <w:t>9</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_Toc23366 </w:instrText>
          </w:r>
          <w:r>
            <w:rPr>
              <w:rFonts w:hint="eastAsia"/>
            </w:rPr>
            <w:fldChar w:fldCharType="separate"/>
          </w:r>
          <w:r>
            <w:rPr>
              <w:rFonts w:hint="eastAsia" w:ascii="黑体" w:eastAsia="黑体"/>
              <w:szCs w:val="32"/>
              <w:highlight w:val="none"/>
            </w:rPr>
            <w:t>八、</w:t>
          </w:r>
          <w:r>
            <w:rPr>
              <w:rFonts w:hint="eastAsia" w:ascii="黑体" w:hAnsi="黑体" w:eastAsia="黑体"/>
              <w:highlight w:val="none"/>
            </w:rPr>
            <w:t>政府性基金预算支出决算情况说明</w:t>
          </w:r>
          <w:r>
            <w:tab/>
          </w:r>
          <w:r>
            <w:fldChar w:fldCharType="begin"/>
          </w:r>
          <w:r>
            <w:instrText xml:space="preserve"> PAGEREF _Toc23366 \h </w:instrText>
          </w:r>
          <w:r>
            <w:fldChar w:fldCharType="separate"/>
          </w:r>
          <w:r>
            <w:t>11</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_Toc29812 </w:instrText>
          </w:r>
          <w:r>
            <w:rPr>
              <w:rFonts w:hint="eastAsia"/>
            </w:rPr>
            <w:fldChar w:fldCharType="separate"/>
          </w:r>
          <w:r>
            <w:rPr>
              <w:rFonts w:hint="eastAsia" w:ascii="黑体" w:hAnsi="黑体" w:eastAsia="黑体"/>
            </w:rPr>
            <w:t xml:space="preserve">九、 </w:t>
          </w:r>
          <w:r>
            <w:rPr>
              <w:rFonts w:hint="eastAsia" w:ascii="黑体" w:hAnsi="黑体" w:eastAsia="黑体"/>
              <w:highlight w:val="none"/>
            </w:rPr>
            <w:t>国有资本经营预算支出决算情况说明</w:t>
          </w:r>
          <w:r>
            <w:tab/>
          </w:r>
          <w:r>
            <w:fldChar w:fldCharType="begin"/>
          </w:r>
          <w:r>
            <w:instrText xml:space="preserve"> PAGEREF _Toc29812 \h </w:instrText>
          </w:r>
          <w:r>
            <w:fldChar w:fldCharType="separate"/>
          </w:r>
          <w:r>
            <w:t>11</w:t>
          </w:r>
          <w:r>
            <w:fldChar w:fldCharType="end"/>
          </w:r>
          <w:r>
            <w:rPr>
              <w:rFonts w:hint="eastAsia"/>
            </w:rPr>
            <w:fldChar w:fldCharType="end"/>
          </w:r>
        </w:p>
        <w:p>
          <w:pPr>
            <w:pStyle w:val="36"/>
            <w:tabs>
              <w:tab w:val="right" w:leader="dot" w:pos="8845"/>
            </w:tabs>
          </w:pPr>
          <w:r>
            <w:rPr>
              <w:rFonts w:hint="eastAsia"/>
            </w:rPr>
            <w:fldChar w:fldCharType="begin"/>
          </w:r>
          <w:r>
            <w:rPr>
              <w:rFonts w:hint="eastAsia"/>
            </w:rPr>
            <w:instrText xml:space="preserve"> HYPERLINK \l _Toc25236 </w:instrText>
          </w:r>
          <w:r>
            <w:rPr>
              <w:rFonts w:hint="eastAsia"/>
            </w:rPr>
            <w:fldChar w:fldCharType="separate"/>
          </w:r>
          <w:r>
            <w:rPr>
              <w:rFonts w:hint="eastAsia" w:ascii="黑体" w:hAnsi="黑体" w:eastAsia="黑体"/>
            </w:rPr>
            <w:t xml:space="preserve">十、 </w:t>
          </w:r>
          <w:r>
            <w:rPr>
              <w:rFonts w:hint="eastAsia" w:ascii="黑体" w:hAnsi="黑体" w:eastAsia="黑体"/>
              <w:highlight w:val="none"/>
            </w:rPr>
            <w:t>其他重要事项的情况说明</w:t>
          </w:r>
          <w:r>
            <w:tab/>
          </w:r>
          <w:r>
            <w:fldChar w:fldCharType="begin"/>
          </w:r>
          <w:r>
            <w:instrText xml:space="preserve"> PAGEREF _Toc25236 \h </w:instrText>
          </w:r>
          <w:r>
            <w:fldChar w:fldCharType="separate"/>
          </w:r>
          <w:r>
            <w:t>11</w:t>
          </w:r>
          <w:r>
            <w:fldChar w:fldCharType="end"/>
          </w:r>
          <w:r>
            <w:rPr>
              <w:rFonts w:hint="eastAsia"/>
            </w:rPr>
            <w:fldChar w:fldCharType="end"/>
          </w:r>
        </w:p>
        <w:p>
          <w:pPr>
            <w:pStyle w:val="35"/>
            <w:tabs>
              <w:tab w:val="right" w:leader="dot" w:pos="8845"/>
            </w:tabs>
            <w:rPr>
              <w:b/>
            </w:rPr>
          </w:pPr>
          <w:r>
            <w:rPr>
              <w:rFonts w:hint="eastAsia"/>
              <w:b/>
            </w:rPr>
            <w:fldChar w:fldCharType="begin"/>
          </w:r>
          <w:r>
            <w:rPr>
              <w:rFonts w:hint="eastAsia"/>
              <w:b/>
            </w:rPr>
            <w:instrText xml:space="preserve"> HYPERLINK \l _Toc24762 </w:instrText>
          </w:r>
          <w:r>
            <w:rPr>
              <w:rFonts w:hint="eastAsia"/>
              <w:b/>
            </w:rPr>
            <w:fldChar w:fldCharType="separate"/>
          </w:r>
          <w:r>
            <w:rPr>
              <w:rFonts w:hint="eastAsia" w:ascii="黑体" w:hAnsi="黑体" w:eastAsia="黑体"/>
              <w:b/>
              <w:szCs w:val="44"/>
              <w:highlight w:val="none"/>
              <w:lang w:eastAsia="zh-CN"/>
            </w:rPr>
            <w:t>第三部分</w:t>
          </w:r>
          <w:r>
            <w:rPr>
              <w:rFonts w:hint="eastAsia" w:ascii="黑体" w:hAnsi="黑体" w:eastAsia="黑体"/>
              <w:b/>
              <w:szCs w:val="44"/>
              <w:highlight w:val="none"/>
              <w:lang w:val="en-US" w:eastAsia="zh-CN"/>
            </w:rPr>
            <w:t xml:space="preserve">  </w:t>
          </w:r>
          <w:r>
            <w:rPr>
              <w:rFonts w:hint="eastAsia" w:ascii="黑体" w:hAnsi="黑体" w:eastAsia="黑体"/>
              <w:b/>
              <w:szCs w:val="44"/>
              <w:highlight w:val="none"/>
            </w:rPr>
            <w:t>名</w:t>
          </w:r>
          <w:r>
            <w:rPr>
              <w:rFonts w:hint="eastAsia" w:ascii="黑体" w:hAnsi="黑体" w:eastAsia="黑体"/>
              <w:b/>
              <w:highlight w:val="none"/>
            </w:rPr>
            <w:t>词解释</w:t>
          </w:r>
          <w:r>
            <w:rPr>
              <w:b/>
            </w:rPr>
            <w:tab/>
          </w:r>
          <w:r>
            <w:rPr>
              <w:b/>
            </w:rPr>
            <w:fldChar w:fldCharType="begin"/>
          </w:r>
          <w:r>
            <w:rPr>
              <w:b/>
            </w:rPr>
            <w:instrText xml:space="preserve"> PAGEREF _Toc24762 \h </w:instrText>
          </w:r>
          <w:r>
            <w:rPr>
              <w:b/>
            </w:rPr>
            <w:fldChar w:fldCharType="separate"/>
          </w:r>
          <w:r>
            <w:rPr>
              <w:b/>
            </w:rPr>
            <w:t>13</w:t>
          </w:r>
          <w:r>
            <w:rPr>
              <w:b/>
            </w:rPr>
            <w:fldChar w:fldCharType="end"/>
          </w:r>
          <w:r>
            <w:rPr>
              <w:rFonts w:hint="eastAsia"/>
              <w:b/>
            </w:rPr>
            <w:fldChar w:fldCharType="end"/>
          </w:r>
        </w:p>
        <w:p>
          <w:pPr>
            <w:pStyle w:val="35"/>
            <w:tabs>
              <w:tab w:val="right" w:leader="dot" w:pos="8845"/>
            </w:tabs>
            <w:rPr>
              <w:b/>
            </w:rPr>
          </w:pPr>
          <w:r>
            <w:rPr>
              <w:rFonts w:hint="eastAsia"/>
              <w:b/>
            </w:rPr>
            <w:fldChar w:fldCharType="begin"/>
          </w:r>
          <w:r>
            <w:rPr>
              <w:rFonts w:hint="eastAsia"/>
              <w:b/>
            </w:rPr>
            <w:instrText xml:space="preserve"> HYPERLINK \l _Toc6513 </w:instrText>
          </w:r>
          <w:r>
            <w:rPr>
              <w:rFonts w:hint="eastAsia"/>
              <w:b/>
            </w:rPr>
            <w:fldChar w:fldCharType="separate"/>
          </w:r>
          <w:r>
            <w:rPr>
              <w:rFonts w:hint="eastAsia" w:ascii="黑体" w:hAnsi="黑体" w:eastAsia="黑体"/>
              <w:b/>
              <w:szCs w:val="44"/>
              <w:highlight w:val="none"/>
            </w:rPr>
            <w:t>第</w:t>
          </w:r>
          <w:r>
            <w:rPr>
              <w:rFonts w:hint="eastAsia" w:ascii="黑体" w:hAnsi="黑体" w:eastAsia="黑体"/>
              <w:b/>
              <w:highlight w:val="none"/>
            </w:rPr>
            <w:t>四部分 附件</w:t>
          </w:r>
          <w:r>
            <w:rPr>
              <w:b/>
            </w:rPr>
            <w:tab/>
          </w:r>
          <w:r>
            <w:rPr>
              <w:b/>
            </w:rPr>
            <w:fldChar w:fldCharType="begin"/>
          </w:r>
          <w:r>
            <w:rPr>
              <w:b/>
            </w:rPr>
            <w:instrText xml:space="preserve"> PAGEREF _Toc6513 \h </w:instrText>
          </w:r>
          <w:r>
            <w:rPr>
              <w:b/>
            </w:rPr>
            <w:fldChar w:fldCharType="separate"/>
          </w:r>
          <w:r>
            <w:rPr>
              <w:b/>
            </w:rPr>
            <w:t>16</w:t>
          </w:r>
          <w:r>
            <w:rPr>
              <w:b/>
            </w:rPr>
            <w:fldChar w:fldCharType="end"/>
          </w:r>
          <w:r>
            <w:rPr>
              <w:rFonts w:hint="eastAsia"/>
              <w:b/>
            </w:rPr>
            <w:fldChar w:fldCharType="end"/>
          </w:r>
        </w:p>
        <w:p>
          <w:pPr>
            <w:pStyle w:val="35"/>
            <w:tabs>
              <w:tab w:val="right" w:leader="dot" w:pos="8845"/>
            </w:tabs>
            <w:rPr>
              <w:rFonts w:hint="eastAsia" w:eastAsia="宋体"/>
              <w:b/>
              <w:lang w:val="en-US" w:eastAsia="zh-CN"/>
            </w:rPr>
          </w:pPr>
          <w:r>
            <w:rPr>
              <w:rFonts w:hint="eastAsia"/>
              <w:b/>
            </w:rPr>
            <w:fldChar w:fldCharType="begin"/>
          </w:r>
          <w:r>
            <w:rPr>
              <w:rFonts w:hint="eastAsia"/>
              <w:b/>
            </w:rPr>
            <w:instrText xml:space="preserve"> HYPERLINK \l _Toc29418 </w:instrText>
          </w:r>
          <w:r>
            <w:rPr>
              <w:rFonts w:hint="eastAsia"/>
              <w:b/>
            </w:rPr>
            <w:fldChar w:fldCharType="separate"/>
          </w:r>
          <w:r>
            <w:rPr>
              <w:rFonts w:hint="eastAsia" w:ascii="黑体" w:hAnsi="黑体" w:eastAsia="黑体"/>
              <w:b/>
              <w:szCs w:val="44"/>
              <w:highlight w:val="none"/>
            </w:rPr>
            <w:t>第</w:t>
          </w:r>
          <w:r>
            <w:rPr>
              <w:rFonts w:hint="eastAsia" w:ascii="黑体" w:hAnsi="黑体" w:eastAsia="黑体"/>
              <w:b/>
              <w:highlight w:val="none"/>
            </w:rPr>
            <w:t>五部分 附表</w:t>
          </w:r>
          <w:r>
            <w:rPr>
              <w:b/>
            </w:rPr>
            <w:tab/>
          </w:r>
          <w:r>
            <w:rPr>
              <w:rFonts w:hint="eastAsia"/>
              <w:b/>
              <w:lang w:val="en-US" w:eastAsia="zh-CN"/>
            </w:rPr>
            <w:t>1</w:t>
          </w:r>
          <w:r>
            <w:rPr>
              <w:rFonts w:hint="eastAsia"/>
              <w:b/>
            </w:rPr>
            <w:fldChar w:fldCharType="end"/>
          </w:r>
          <w:r>
            <w:rPr>
              <w:rFonts w:hint="eastAsia"/>
              <w:b/>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_Toc4706 </w:instrText>
          </w:r>
          <w:r>
            <w:rPr>
              <w:rFonts w:hint="eastAsia"/>
            </w:rPr>
            <w:fldChar w:fldCharType="separate"/>
          </w:r>
          <w:r>
            <w:rPr>
              <w:rFonts w:hint="eastAsia" w:ascii="仿宋_GB2312" w:hAnsi="仿宋_GB2312" w:eastAsia="仿宋_GB2312" w:cs="仿宋_GB2312"/>
              <w:highlight w:val="none"/>
              <w:lang w:eastAsia="zh-CN"/>
            </w:rPr>
            <w:t>一、</w:t>
          </w:r>
          <w:r>
            <w:rPr>
              <w:rFonts w:hint="eastAsia" w:ascii="仿宋_GB2312" w:hAnsi="仿宋_GB2312" w:eastAsia="仿宋_GB2312" w:cs="仿宋_GB2312"/>
              <w:highlight w:val="none"/>
            </w:rPr>
            <w:t>收</w:t>
          </w:r>
          <w:r>
            <w:rPr>
              <w:rFonts w:hint="eastAsia" w:ascii="仿宋_GB2312" w:hAnsi="仿宋_GB2312" w:eastAsia="仿宋_GB2312" w:cs="仿宋_GB2312"/>
              <w:bCs w:val="0"/>
              <w:highlight w:val="none"/>
            </w:rPr>
            <w:t>入支出决算总表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default" w:eastAsia="宋体"/>
              <w:lang w:val="en-US" w:eastAsia="zh-CN"/>
            </w:rPr>
          </w:pPr>
          <w:r>
            <w:rPr>
              <w:rFonts w:hint="eastAsia"/>
            </w:rPr>
            <w:fldChar w:fldCharType="begin"/>
          </w:r>
          <w:r>
            <w:rPr>
              <w:rFonts w:hint="eastAsia"/>
            </w:rPr>
            <w:instrText xml:space="preserve"> HYPERLINK \l _Toc13118 </w:instrText>
          </w:r>
          <w:r>
            <w:rPr>
              <w:rFonts w:hint="eastAsia"/>
            </w:rPr>
            <w:fldChar w:fldCharType="separate"/>
          </w:r>
          <w:r>
            <w:rPr>
              <w:rFonts w:hint="eastAsia" w:ascii="仿宋_GB2312" w:hAnsi="仿宋_GB2312" w:eastAsia="仿宋_GB2312" w:cs="仿宋_GB2312"/>
              <w:highlight w:val="none"/>
            </w:rPr>
            <w:t>二、收</w:t>
          </w:r>
          <w:r>
            <w:rPr>
              <w:rFonts w:hint="eastAsia" w:ascii="仿宋_GB2312" w:hAnsi="仿宋_GB2312" w:eastAsia="仿宋_GB2312" w:cs="仿宋_GB2312"/>
              <w:bCs w:val="0"/>
              <w:highlight w:val="none"/>
            </w:rPr>
            <w:t>入决算表</w:t>
          </w:r>
          <w:r>
            <w:tab/>
          </w:r>
          <w:r>
            <w:rPr>
              <w:rFonts w:hint="eastAsia"/>
            </w:rPr>
            <w:fldChar w:fldCharType="end"/>
          </w:r>
          <w:r>
            <w:rPr>
              <w:rFonts w:hint="eastAsia"/>
              <w:lang w:val="en-US" w:eastAsia="zh-CN"/>
            </w:rPr>
            <w:t>17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_Toc2574 </w:instrText>
          </w:r>
          <w:r>
            <w:rPr>
              <w:rFonts w:hint="eastAsia"/>
            </w:rPr>
            <w:fldChar w:fldCharType="separate"/>
          </w:r>
          <w:r>
            <w:rPr>
              <w:rFonts w:hint="eastAsia" w:ascii="仿宋_GB2312" w:hAnsi="仿宋_GB2312" w:eastAsia="仿宋_GB2312" w:cs="仿宋_GB2312"/>
              <w:bCs w:val="0"/>
              <w:highlight w:val="none"/>
            </w:rPr>
            <w:t>三、</w:t>
          </w:r>
          <w:r>
            <w:rPr>
              <w:rFonts w:hint="eastAsia" w:ascii="仿宋_GB2312" w:hAnsi="仿宋_GB2312" w:eastAsia="仿宋_GB2312" w:cs="仿宋_GB2312"/>
              <w:highlight w:val="none"/>
            </w:rPr>
            <w:t>支</w:t>
          </w:r>
          <w:r>
            <w:rPr>
              <w:rFonts w:hint="eastAsia" w:ascii="仿宋_GB2312" w:hAnsi="仿宋_GB2312" w:eastAsia="仿宋_GB2312" w:cs="仿宋_GB2312"/>
              <w:bCs w:val="0"/>
              <w:highlight w:val="none"/>
            </w:rPr>
            <w:t>出决算表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_Toc29666 </w:instrText>
          </w:r>
          <w:r>
            <w:rPr>
              <w:rFonts w:hint="eastAsia"/>
            </w:rPr>
            <w:fldChar w:fldCharType="separate"/>
          </w:r>
          <w:r>
            <w:rPr>
              <w:rFonts w:hint="eastAsia" w:ascii="仿宋_GB2312" w:hAnsi="仿宋_GB2312" w:eastAsia="仿宋_GB2312" w:cs="仿宋_GB2312"/>
              <w:bCs w:val="0"/>
              <w:highlight w:val="none"/>
            </w:rPr>
            <w:t>四、</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政拨款收入支出决算总表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_Toc23624 </w:instrText>
          </w:r>
          <w:r>
            <w:rPr>
              <w:rFonts w:hint="eastAsia"/>
            </w:rPr>
            <w:fldChar w:fldCharType="separate"/>
          </w:r>
          <w:r>
            <w:rPr>
              <w:rFonts w:hint="eastAsia" w:ascii="仿宋_GB2312" w:hAnsi="仿宋_GB2312" w:eastAsia="仿宋_GB2312" w:cs="仿宋_GB2312"/>
              <w:bCs w:val="0"/>
              <w:highlight w:val="none"/>
            </w:rPr>
            <w:t>五、</w:t>
          </w:r>
          <w:r>
            <w:rPr>
              <w:rFonts w:hint="eastAsia" w:ascii="仿宋_GB2312" w:hAnsi="仿宋_GB2312" w:eastAsia="仿宋_GB2312" w:cs="仿宋_GB2312"/>
              <w:highlight w:val="none"/>
            </w:rPr>
            <w:t>财</w:t>
          </w:r>
          <w:r>
            <w:rPr>
              <w:rFonts w:hint="eastAsia" w:ascii="仿宋_GB2312" w:hAnsi="仿宋_GB2312" w:eastAsia="仿宋_GB2312" w:cs="仿宋_GB2312"/>
              <w:bCs w:val="0"/>
              <w:highlight w:val="none"/>
            </w:rPr>
            <w:t>政拨款支出决算明细表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_Toc8030 </w:instrText>
          </w:r>
          <w:r>
            <w:rPr>
              <w:rFonts w:hint="eastAsia"/>
            </w:rPr>
            <w:fldChar w:fldCharType="separate"/>
          </w:r>
          <w:r>
            <w:rPr>
              <w:rFonts w:hint="eastAsia" w:ascii="仿宋_GB2312" w:hAnsi="仿宋_GB2312" w:eastAsia="仿宋_GB2312" w:cs="仿宋_GB2312"/>
              <w:bCs w:val="0"/>
              <w:highlight w:val="none"/>
            </w:rPr>
            <w:t>六、</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_Toc22389 </w:instrText>
          </w:r>
          <w:r>
            <w:rPr>
              <w:rFonts w:hint="eastAsia"/>
            </w:rPr>
            <w:fldChar w:fldCharType="separate"/>
          </w:r>
          <w:r>
            <w:rPr>
              <w:rFonts w:hint="eastAsia" w:ascii="仿宋_GB2312" w:hAnsi="仿宋_GB2312" w:eastAsia="仿宋_GB2312" w:cs="仿宋_GB2312"/>
              <w:bCs w:val="0"/>
              <w:highlight w:val="none"/>
            </w:rPr>
            <w:t>七、</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般公共预算财政拨款支出决算明细表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_Toc2199 </w:instrText>
          </w:r>
          <w:r>
            <w:rPr>
              <w:rFonts w:hint="eastAsia"/>
            </w:rPr>
            <w:fldChar w:fldCharType="separate"/>
          </w:r>
          <w:r>
            <w:rPr>
              <w:rFonts w:hint="eastAsia" w:ascii="仿宋_GB2312" w:hAnsi="仿宋_GB2312" w:eastAsia="仿宋_GB2312" w:cs="仿宋_GB2312"/>
              <w:bCs w:val="0"/>
              <w:highlight w:val="none"/>
            </w:rPr>
            <w:t>八、</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般公共预算财政拨款基本支出决算表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_Toc4272 </w:instrText>
          </w:r>
          <w:r>
            <w:rPr>
              <w:rFonts w:hint="eastAsia"/>
            </w:rPr>
            <w:fldChar w:fldCharType="separate"/>
          </w:r>
          <w:r>
            <w:rPr>
              <w:rFonts w:hint="eastAsia" w:ascii="仿宋_GB2312" w:hAnsi="仿宋_GB2312" w:eastAsia="仿宋_GB2312" w:cs="仿宋_GB2312"/>
              <w:bCs w:val="0"/>
              <w:highlight w:val="none"/>
            </w:rPr>
            <w:t>九、</w:t>
          </w:r>
          <w:r>
            <w:rPr>
              <w:rFonts w:hint="eastAsia" w:ascii="仿宋_GB2312" w:hAnsi="仿宋_GB2312" w:eastAsia="仿宋_GB2312" w:cs="仿宋_GB2312"/>
              <w:highlight w:val="none"/>
            </w:rPr>
            <w:t>一</w:t>
          </w:r>
          <w:r>
            <w:rPr>
              <w:rFonts w:hint="eastAsia" w:ascii="仿宋_GB2312" w:hAnsi="仿宋_GB2312" w:eastAsia="仿宋_GB2312" w:cs="仿宋_GB2312"/>
              <w:bCs w:val="0"/>
              <w:highlight w:val="none"/>
            </w:rPr>
            <w:t>般公共预算财政拨款项目支出决算表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_Toc28380 </w:instrText>
          </w:r>
          <w:r>
            <w:rPr>
              <w:rFonts w:hint="eastAsia"/>
            </w:rPr>
            <w:fldChar w:fldCharType="separate"/>
          </w:r>
          <w:r>
            <w:rPr>
              <w:rFonts w:hint="eastAsia" w:ascii="仿宋_GB2312" w:hAnsi="仿宋_GB2312" w:eastAsia="仿宋_GB2312" w:cs="仿宋_GB2312"/>
              <w:bCs w:val="0"/>
              <w:highlight w:val="none"/>
            </w:rPr>
            <w:t>十、</w:t>
          </w:r>
          <w:r>
            <w:rPr>
              <w:rFonts w:hint="eastAsia" w:ascii="仿宋_GB2312" w:hAnsi="仿宋_GB2312" w:eastAsia="仿宋_GB2312" w:cs="仿宋_GB2312"/>
              <w:highlight w:val="none"/>
            </w:rPr>
            <w:t>政</w:t>
          </w:r>
          <w:r>
            <w:rPr>
              <w:rFonts w:hint="eastAsia" w:ascii="仿宋_GB2312" w:hAnsi="仿宋_GB2312" w:eastAsia="仿宋_GB2312" w:cs="仿宋_GB2312"/>
              <w:bCs w:val="0"/>
              <w:highlight w:val="none"/>
            </w:rPr>
            <w:t>府性基金预算财政拨款收入支出决算表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_Toc22050 </w:instrText>
          </w:r>
          <w:r>
            <w:rPr>
              <w:rFonts w:hint="eastAsia"/>
            </w:rPr>
            <w:fldChar w:fldCharType="separate"/>
          </w:r>
          <w:r>
            <w:rPr>
              <w:rFonts w:hint="eastAsia" w:ascii="仿宋_GB2312" w:hAnsi="仿宋_GB2312" w:eastAsia="仿宋_GB2312" w:cs="仿宋_GB2312"/>
              <w:bCs w:val="0"/>
              <w:highlight w:val="none"/>
            </w:rPr>
            <w:t>十一、</w:t>
          </w:r>
          <w:r>
            <w:rPr>
              <w:rFonts w:hint="eastAsia" w:ascii="仿宋_GB2312" w:hAnsi="仿宋_GB2312" w:eastAsia="仿宋_GB2312" w:cs="仿宋_GB2312"/>
              <w:highlight w:val="none"/>
            </w:rPr>
            <w:t>国</w:t>
          </w:r>
          <w:r>
            <w:rPr>
              <w:rFonts w:hint="eastAsia" w:ascii="仿宋_GB2312" w:hAnsi="仿宋_GB2312" w:eastAsia="仿宋_GB2312" w:cs="仿宋_GB2312"/>
              <w:bCs w:val="0"/>
              <w:highlight w:val="none"/>
            </w:rPr>
            <w:t>有资本经营预算</w:t>
          </w:r>
          <w:r>
            <w:rPr>
              <w:rFonts w:hint="eastAsia" w:ascii="仿宋_GB2312" w:hAnsi="仿宋_GB2312" w:eastAsia="仿宋_GB2312" w:cs="仿宋_GB2312"/>
              <w:bCs w:val="0"/>
              <w:highlight w:val="none"/>
              <w:lang w:eastAsia="zh-CN"/>
            </w:rPr>
            <w:t>财政拨款收入</w:t>
          </w:r>
          <w:r>
            <w:rPr>
              <w:rFonts w:hint="eastAsia" w:ascii="仿宋_GB2312" w:hAnsi="仿宋_GB2312" w:eastAsia="仿宋_GB2312" w:cs="仿宋_GB2312"/>
              <w:bCs w:val="0"/>
              <w:highlight w:val="none"/>
            </w:rPr>
            <w:t>支出决算表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_Toc11108 </w:instrText>
          </w:r>
          <w:r>
            <w:rPr>
              <w:rFonts w:hint="eastAsia"/>
            </w:rPr>
            <w:fldChar w:fldCharType="separate"/>
          </w:r>
          <w:r>
            <w:rPr>
              <w:rFonts w:hint="eastAsia" w:ascii="仿宋_GB2312" w:hAnsi="仿宋_GB2312" w:eastAsia="仿宋_GB2312" w:cs="仿宋_GB2312"/>
              <w:bCs w:val="0"/>
              <w:highlight w:val="none"/>
            </w:rPr>
            <w:t>十二、</w:t>
          </w:r>
          <w:r>
            <w:rPr>
              <w:rFonts w:hint="eastAsia" w:ascii="仿宋_GB2312" w:hAnsi="仿宋_GB2312" w:eastAsia="仿宋_GB2312" w:cs="仿宋_GB2312"/>
              <w:bCs w:val="0"/>
              <w:highlight w:val="none"/>
              <w:lang w:eastAsia="zh-CN"/>
            </w:rPr>
            <w:t>国有资本经营预算财政拨款支出决算表</w:t>
          </w:r>
          <w:r>
            <w:tab/>
          </w:r>
          <w:r>
            <w:rPr>
              <w:rFonts w:hint="eastAsia"/>
              <w:lang w:val="en-US" w:eastAsia="zh-CN"/>
            </w:rPr>
            <w:t>1</w:t>
          </w:r>
          <w:r>
            <w:rPr>
              <w:rFonts w:hint="eastAsia"/>
            </w:rPr>
            <w:fldChar w:fldCharType="end"/>
          </w:r>
          <w:r>
            <w:rPr>
              <w:rFonts w:hint="eastAsia"/>
              <w:lang w:val="en-US" w:eastAsia="zh-CN"/>
            </w:rPr>
            <w:t>7</w:t>
          </w:r>
        </w:p>
        <w:p>
          <w:pPr>
            <w:pStyle w:val="36"/>
            <w:tabs>
              <w:tab w:val="right" w:leader="dot" w:pos="8845"/>
            </w:tabs>
            <w:rPr>
              <w:rFonts w:hint="eastAsia" w:eastAsia="宋体"/>
              <w:lang w:val="en-US" w:eastAsia="zh-CN"/>
            </w:rPr>
          </w:pPr>
          <w:r>
            <w:rPr>
              <w:rFonts w:hint="eastAsia"/>
            </w:rPr>
            <w:fldChar w:fldCharType="begin"/>
          </w:r>
          <w:r>
            <w:rPr>
              <w:rFonts w:hint="eastAsia"/>
            </w:rPr>
            <w:instrText xml:space="preserve"> HYPERLINK \l _Toc6418 </w:instrText>
          </w:r>
          <w:r>
            <w:rPr>
              <w:rFonts w:hint="eastAsia"/>
            </w:rPr>
            <w:fldChar w:fldCharType="separate"/>
          </w:r>
          <w:r>
            <w:rPr>
              <w:rFonts w:hint="eastAsia" w:ascii="仿宋_GB2312" w:hAnsi="仿宋_GB2312" w:eastAsia="仿宋_GB2312" w:cs="仿宋_GB2312"/>
              <w:bCs w:val="0"/>
              <w:highlight w:val="none"/>
            </w:rPr>
            <w:t>十三、</w:t>
          </w:r>
          <w:r>
            <w:rPr>
              <w:rFonts w:hint="eastAsia" w:ascii="仿宋_GB2312" w:hAnsi="仿宋_GB2312" w:eastAsia="仿宋_GB2312" w:cs="仿宋_GB2312"/>
              <w:bCs w:val="0"/>
              <w:highlight w:val="none"/>
              <w:lang w:eastAsia="zh-CN"/>
            </w:rPr>
            <w:t>财政拨款“三公”经费支出决算表</w:t>
          </w:r>
          <w:r>
            <w:tab/>
          </w:r>
          <w:r>
            <w:rPr>
              <w:rFonts w:hint="eastAsia"/>
              <w:lang w:val="en-US" w:eastAsia="zh-CN"/>
            </w:rPr>
            <w:t>1</w:t>
          </w:r>
          <w:r>
            <w:rPr>
              <w:rFonts w:hint="eastAsia"/>
            </w:rPr>
            <w:fldChar w:fldCharType="end"/>
          </w:r>
          <w:r>
            <w:rPr>
              <w:rFonts w:hint="eastAsia"/>
              <w:lang w:val="en-US" w:eastAsia="zh-CN"/>
            </w:rPr>
            <w:t>7</w:t>
          </w:r>
        </w:p>
        <w:p>
          <w:pPr>
            <w:pStyle w:val="16"/>
            <w:rPr>
              <w:rFonts w:hint="eastAsia"/>
            </w:rPr>
            <w:sectPr>
              <w:footerReference r:id="rId5" w:type="first"/>
              <w:footerReference r:id="rId4" w:type="default"/>
              <w:pgSz w:w="11906" w:h="16838"/>
              <w:pgMar w:top="2098" w:right="1474" w:bottom="1984" w:left="1587" w:header="851" w:footer="1417" w:gutter="0"/>
              <w:pgNumType w:start="1"/>
              <w:cols w:space="0" w:num="1"/>
              <w:rtlGutter w:val="0"/>
              <w:docGrid w:type="lines" w:linePitch="312" w:charSpace="0"/>
            </w:sectPr>
          </w:pPr>
          <w:r>
            <w:rPr>
              <w:rFonts w:hint="eastAsia"/>
              <w:b/>
            </w:rPr>
            <w:fldChar w:fldCharType="end"/>
          </w:r>
        </w:p>
      </w:sdtContent>
    </w:sdt>
    <w:p>
      <w:pPr>
        <w:pStyle w:val="3"/>
        <w:pageBreakBefore w:val="0"/>
        <w:kinsoku/>
        <w:wordWrap/>
        <w:overflowPunct/>
        <w:topLinePunct w:val="0"/>
        <w:bidi w:val="0"/>
        <w:spacing w:before="0" w:beforeAutospacing="0" w:after="0" w:afterAutospacing="0" w:line="560" w:lineRule="exact"/>
        <w:jc w:val="center"/>
        <w:rPr>
          <w:rStyle w:val="18"/>
          <w:rFonts w:ascii="黑体" w:hAnsi="黑体" w:eastAsia="黑体"/>
          <w:b/>
          <w:bCs w:val="0"/>
          <w:color w:val="auto"/>
          <w:highlight w:val="none"/>
        </w:rPr>
      </w:pPr>
      <w:bookmarkStart w:id="17" w:name="_Toc32728"/>
      <w:r>
        <w:rPr>
          <w:rFonts w:hint="eastAsia" w:ascii="黑体" w:hAnsi="黑体" w:eastAsia="黑体"/>
          <w:b w:val="0"/>
          <w:color w:val="auto"/>
          <w:highlight w:val="none"/>
        </w:rPr>
        <w:t xml:space="preserve">第一部分 </w:t>
      </w:r>
      <w:r>
        <w:rPr>
          <w:rFonts w:hint="eastAsia" w:ascii="黑体" w:hAnsi="黑体" w:eastAsia="黑体"/>
          <w:b w:val="0"/>
          <w:color w:val="auto"/>
          <w:highlight w:val="none"/>
          <w:lang w:eastAsia="zh-CN"/>
        </w:rPr>
        <w:t>单位</w:t>
      </w:r>
      <w:r>
        <w:rPr>
          <w:rStyle w:val="18"/>
          <w:rFonts w:hint="eastAsia" w:ascii="黑体" w:hAnsi="黑体" w:eastAsia="黑体"/>
          <w:b w:val="0"/>
          <w:bCs w:val="0"/>
          <w:color w:val="auto"/>
          <w:highlight w:val="none"/>
        </w:rPr>
        <w:t>概况</w:t>
      </w:r>
      <w:bookmarkEnd w:id="15"/>
      <w:bookmarkEnd w:id="16"/>
      <w:bookmarkEnd w:id="17"/>
    </w:p>
    <w:p>
      <w:pPr>
        <w:pageBreakBefore w:val="0"/>
        <w:widowControl/>
        <w:kinsoku/>
        <w:wordWrap/>
        <w:overflowPunct/>
        <w:topLinePunct w:val="0"/>
        <w:autoSpaceDE/>
        <w:autoSpaceDN/>
        <w:bidi w:val="0"/>
        <w:adjustRightInd/>
        <w:snapToGrid/>
        <w:spacing w:beforeAutospacing="0" w:afterAutospacing="0" w:line="560" w:lineRule="exact"/>
        <w:jc w:val="left"/>
        <w:textAlignment w:val="auto"/>
        <w:rPr>
          <w:rFonts w:ascii="黑体" w:eastAsia="黑体"/>
          <w:color w:val="auto"/>
          <w:sz w:val="32"/>
          <w:szCs w:val="32"/>
          <w:highlight w:val="none"/>
        </w:rPr>
      </w:pPr>
    </w:p>
    <w:p>
      <w:pPr>
        <w:pStyle w:val="4"/>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color w:val="auto"/>
          <w:lang w:eastAsia="zh-CN"/>
        </w:rPr>
      </w:pPr>
      <w:bookmarkStart w:id="18" w:name="_Toc11134"/>
      <w:bookmarkStart w:id="19" w:name="_Toc15396600"/>
      <w:bookmarkStart w:id="20" w:name="_Toc15377197"/>
      <w:r>
        <w:rPr>
          <w:rStyle w:val="19"/>
          <w:rFonts w:hint="eastAsia" w:ascii="黑体" w:hAnsi="黑体" w:eastAsia="黑体"/>
          <w:b w:val="0"/>
          <w:bCs w:val="0"/>
          <w:color w:val="auto"/>
          <w:highlight w:val="none"/>
          <w:lang w:eastAsia="zh-CN"/>
        </w:rPr>
        <w:t>一、主要职责</w:t>
      </w:r>
      <w:bookmarkEnd w:id="18"/>
    </w:p>
    <w:p>
      <w:pPr>
        <w:pageBreakBefore w:val="0"/>
        <w:kinsoku/>
        <w:wordWrap/>
        <w:overflowPunct/>
        <w:topLinePunct w:val="0"/>
        <w:autoSpaceDE/>
        <w:autoSpaceDN/>
        <w:bidi w:val="0"/>
        <w:adjustRightInd/>
        <w:snapToGrid/>
        <w:spacing w:beforeAutospacing="0" w:afterAutospacing="0" w:line="560" w:lineRule="exact"/>
        <w:ind w:firstLine="640" w:firstLineChars="20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1.</w:t>
      </w:r>
      <w:r>
        <w:rPr>
          <w:rFonts w:hint="eastAsia" w:ascii="仿宋_GB2312" w:hAnsi="仿宋_GB2312" w:eastAsia="仿宋_GB2312" w:cs="仿宋_GB2312"/>
          <w:b w:val="0"/>
          <w:bCs w:val="0"/>
          <w:color w:val="auto"/>
          <w:sz w:val="32"/>
          <w:szCs w:val="32"/>
        </w:rPr>
        <w:t>贯彻落实党中央、省委、市委关于统一战线工作重大决策部署，协调统一战线各方面关系，组织落实巩固壮大最广泛的统一战线。</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2.</w:t>
      </w:r>
      <w:r>
        <w:rPr>
          <w:rFonts w:hint="eastAsia" w:ascii="仿宋_GB2312" w:hAnsi="仿宋_GB2312" w:eastAsia="仿宋_GB2312" w:cs="仿宋_GB2312"/>
          <w:b w:val="0"/>
          <w:bCs w:val="0"/>
          <w:color w:val="auto"/>
          <w:sz w:val="32"/>
          <w:szCs w:val="32"/>
        </w:rPr>
        <w:t>深入调查研究，及时向市委报告统一战线工作情况并提出建议。统筹协调和指导各县区、各部门（单位）统一战线工作。</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3.</w:t>
      </w:r>
      <w:r>
        <w:rPr>
          <w:rFonts w:hint="eastAsia" w:ascii="仿宋_GB2312" w:hAnsi="仿宋_GB2312" w:eastAsia="仿宋_GB2312" w:cs="仿宋_GB2312"/>
          <w:b w:val="0"/>
          <w:bCs w:val="0"/>
          <w:color w:val="auto"/>
          <w:sz w:val="32"/>
          <w:szCs w:val="32"/>
        </w:rPr>
        <w:t>负责发现、培养党外代表人士，制定党外干部培养规划。反映和协调解决党外代表人士工作、生活中的实际困难。</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4.</w:t>
      </w:r>
      <w:r>
        <w:rPr>
          <w:rFonts w:hint="eastAsia" w:ascii="仿宋_GB2312" w:hAnsi="仿宋_GB2312" w:eastAsia="仿宋_GB2312" w:cs="仿宋_GB2312"/>
          <w:b w:val="0"/>
          <w:bCs w:val="0"/>
          <w:color w:val="auto"/>
          <w:sz w:val="32"/>
          <w:szCs w:val="32"/>
        </w:rPr>
        <w:t>贯彻落实党的宣传工作方针，统筹推进全市统一战线宣传和意识形态工作，落实党中央、省委、市委统一战线宣传工作政策和规划，统筹推进网络人士统战工作。</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5.</w:t>
      </w:r>
      <w:r>
        <w:rPr>
          <w:rFonts w:hint="eastAsia" w:ascii="仿宋_GB2312" w:hAnsi="仿宋_GB2312" w:eastAsia="仿宋_GB2312" w:cs="仿宋_GB2312"/>
          <w:b w:val="0"/>
          <w:bCs w:val="0"/>
          <w:color w:val="auto"/>
          <w:sz w:val="32"/>
          <w:szCs w:val="32"/>
        </w:rPr>
        <w:t>负责联系各民主党派，通报情况、反映意见、制定年度政党协商计划，贯彻落实中国共产党领导的多党合作和政治协商制度以及对民主党派的方针政策，支持、协助民主党派加强中国特色社会主义参政党建设。</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6.</w:t>
      </w:r>
      <w:r>
        <w:rPr>
          <w:rFonts w:hint="eastAsia" w:ascii="仿宋_GB2312" w:hAnsi="仿宋_GB2312" w:eastAsia="仿宋_GB2312" w:cs="仿宋_GB2312"/>
          <w:b w:val="0"/>
          <w:bCs w:val="0"/>
          <w:color w:val="auto"/>
          <w:sz w:val="32"/>
          <w:szCs w:val="32"/>
        </w:rPr>
        <w:t>贯彻落实党的民族工作方针，统筹协调做好少数民族干部工作。依法管理民族事务，全面促进民族事业发展。</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7.</w:t>
      </w:r>
      <w:r>
        <w:rPr>
          <w:rFonts w:hint="eastAsia" w:ascii="仿宋_GB2312" w:hAnsi="仿宋_GB2312" w:eastAsia="仿宋_GB2312" w:cs="仿宋_GB2312"/>
          <w:b w:val="0"/>
          <w:bCs w:val="0"/>
          <w:color w:val="auto"/>
          <w:sz w:val="32"/>
          <w:szCs w:val="32"/>
        </w:rPr>
        <w:t>贯彻落实党的宗教工作基本方针和政策。依法管理宗教事务，保护公民宗教信仰自由和正常的宗教活动，维护宗教界合法权益。</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8.</w:t>
      </w:r>
      <w:r>
        <w:rPr>
          <w:rFonts w:hint="eastAsia" w:ascii="仿宋_GB2312" w:hAnsi="仿宋_GB2312" w:eastAsia="仿宋_GB2312" w:cs="仿宋_GB2312"/>
          <w:b w:val="0"/>
          <w:bCs w:val="0"/>
          <w:color w:val="auto"/>
          <w:sz w:val="32"/>
          <w:szCs w:val="32"/>
        </w:rPr>
        <w:t>负责联系、培养无党派代表人士，联系、培养党外知识分子代表人士，指导高等学校、科研院所、国有企业等有关单位开展统战工作。</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9.</w:t>
      </w:r>
      <w:r>
        <w:rPr>
          <w:rFonts w:hint="eastAsia" w:ascii="仿宋_GB2312" w:hAnsi="仿宋_GB2312" w:eastAsia="仿宋_GB2312" w:cs="仿宋_GB2312"/>
          <w:b w:val="0"/>
          <w:bCs w:val="0"/>
          <w:color w:val="auto"/>
          <w:sz w:val="32"/>
          <w:szCs w:val="32"/>
        </w:rPr>
        <w:t>负责联系、培养新的社会阶层代表人士。调查研究全市新的社会阶层人士情况并提出政策建议，指导社会组织开展新的社会阶层人士统战工作。</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10.</w:t>
      </w:r>
      <w:r>
        <w:rPr>
          <w:rFonts w:hint="eastAsia" w:ascii="仿宋_GB2312" w:hAnsi="仿宋_GB2312" w:eastAsia="仿宋_GB2312" w:cs="仿宋_GB2312"/>
          <w:b w:val="0"/>
          <w:bCs w:val="0"/>
          <w:color w:val="auto"/>
          <w:sz w:val="32"/>
          <w:szCs w:val="32"/>
        </w:rPr>
        <w:t>做好非公有制经济领域统战工作，负责全市非公有制经济代表人士工作，参与制定、推动落实鼓励支持引导非公有制经济发展的政策，调查研究全市非公有制经济人士的意见，团结、服务、引导、教育非公有制经济人士，促进非公有制经济健康发展和非公有制经济人士健康成长。</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11.</w:t>
      </w:r>
      <w:r>
        <w:rPr>
          <w:rFonts w:hint="eastAsia" w:ascii="仿宋_GB2312" w:hAnsi="仿宋_GB2312" w:eastAsia="仿宋_GB2312" w:cs="仿宋_GB2312"/>
          <w:b w:val="0"/>
          <w:bCs w:val="0"/>
          <w:color w:val="auto"/>
          <w:sz w:val="32"/>
          <w:szCs w:val="32"/>
        </w:rPr>
        <w:t>贯彻落实党的海外统战工作政策和规划并组织协调、督促检查落实，联系香港、澳门有关党派、团体及代表人士。</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12.</w:t>
      </w:r>
      <w:r>
        <w:rPr>
          <w:rFonts w:hint="eastAsia" w:ascii="仿宋_GB2312" w:hAnsi="仿宋_GB2312" w:eastAsia="仿宋_GB2312" w:cs="仿宋_GB2312"/>
          <w:b w:val="0"/>
          <w:bCs w:val="0"/>
          <w:color w:val="auto"/>
          <w:sz w:val="32"/>
          <w:szCs w:val="32"/>
        </w:rPr>
        <w:t>贯彻落实党的对台工作方针政策。指导、协调、检查市级部门（单位）和各县（区）及大企业对台工作。开展广台交流联络活动，协调指导有关部门开展对台经贸工作和金融、文化、学术、体育、科技、卫生等各个领域的交流与合作，以及广台人员来往、考察、研讨等工作。会同有关部门依法开展涉台权益保护工作。</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13.</w:t>
      </w:r>
      <w:r>
        <w:rPr>
          <w:rFonts w:hint="eastAsia" w:ascii="仿宋_GB2312" w:hAnsi="仿宋_GB2312" w:eastAsia="仿宋_GB2312" w:cs="仿宋_GB2312"/>
          <w:b w:val="0"/>
          <w:bCs w:val="0"/>
          <w:color w:val="auto"/>
          <w:sz w:val="32"/>
          <w:szCs w:val="32"/>
        </w:rPr>
        <w:t>贯彻落实党的侨务工作方针政策，管理侨务事务，统筹协调有关部门和社会团体涉侨工作，联系海外有关侨团和代表人士，指导推动涉侨宣传、文化交流、华文教育工作等，保护华侨和归侨侨眷在市内的合法权利和利益。</w:t>
      </w:r>
    </w:p>
    <w:p>
      <w:pPr>
        <w:pageBreakBefore w:val="0"/>
        <w:kinsoku/>
        <w:wordWrap/>
        <w:overflowPunct/>
        <w:topLinePunct w:val="0"/>
        <w:autoSpaceDE/>
        <w:autoSpaceDN/>
        <w:bidi w:val="0"/>
        <w:adjustRightInd/>
        <w:snapToGrid/>
        <w:spacing w:beforeAutospacing="0" w:afterAutospacing="0" w:line="560" w:lineRule="exact"/>
        <w:ind w:firstLine="640"/>
        <w:textAlignment w:val="auto"/>
        <w:rPr>
          <w:rFonts w:ascii="仿宋_GB2312" w:hAnsi="仿宋_GB2312" w:eastAsia="仿宋_GB2312" w:cs="仿宋_GB2312"/>
          <w:b w:val="0"/>
          <w:bCs w:val="0"/>
          <w:color w:val="auto"/>
          <w:sz w:val="32"/>
          <w:szCs w:val="32"/>
        </w:rPr>
      </w:pPr>
      <w:r>
        <w:rPr>
          <w:rFonts w:ascii="仿宋_GB2312" w:hAnsi="仿宋_GB2312" w:eastAsia="仿宋_GB2312" w:cs="仿宋_GB2312"/>
          <w:b w:val="0"/>
          <w:bCs w:val="0"/>
          <w:color w:val="auto"/>
          <w:sz w:val="32"/>
          <w:szCs w:val="32"/>
        </w:rPr>
        <w:t>14.</w:t>
      </w:r>
      <w:r>
        <w:rPr>
          <w:rFonts w:hint="eastAsia" w:ascii="仿宋_GB2312" w:hAnsi="仿宋_GB2312" w:eastAsia="仿宋_GB2312" w:cs="仿宋_GB2312"/>
          <w:b w:val="0"/>
          <w:bCs w:val="0"/>
          <w:color w:val="auto"/>
          <w:sz w:val="32"/>
          <w:szCs w:val="32"/>
        </w:rPr>
        <w:t>负责县区统战部负责人培训工作。受市委委托，领导市工商联党组，指导工商联工作。指导市党外知识分子联谊会、市新的社会阶层人士联谊会、市中华职业教育社等工作。指导市社会主义学院工作。做好统一战线有关单位和团体及事业单位的管理工作。</w:t>
      </w:r>
    </w:p>
    <w:p>
      <w:pPr>
        <w:pStyle w:val="4"/>
        <w:pageBreakBefore w:val="0"/>
        <w:numPr>
          <w:ilvl w:val="0"/>
          <w:numId w:val="0"/>
        </w:numPr>
        <w:kinsoku/>
        <w:wordWrap/>
        <w:overflowPunct/>
        <w:topLinePunct w:val="0"/>
        <w:autoSpaceDE/>
        <w:autoSpaceDN/>
        <w:bidi w:val="0"/>
        <w:adjustRightInd/>
        <w:snapToGrid/>
        <w:spacing w:before="0" w:beforeAutospacing="0" w:after="0" w:afterAutospacing="0" w:line="560" w:lineRule="exact"/>
        <w:ind w:firstLine="640" w:firstLineChars="200"/>
        <w:textAlignment w:val="auto"/>
        <w:rPr>
          <w:rFonts w:hint="eastAsia" w:ascii="黑体" w:hAnsi="黑体" w:eastAsia="黑体"/>
          <w:b w:val="0"/>
          <w:color w:val="auto"/>
          <w:highlight w:val="none"/>
          <w:lang w:val="en-US" w:eastAsia="zh-CN"/>
        </w:rPr>
      </w:pPr>
      <w:bookmarkStart w:id="21" w:name="_Toc15742"/>
      <w:r>
        <w:rPr>
          <w:rFonts w:hint="eastAsia" w:ascii="黑体" w:hAnsi="黑体" w:eastAsia="黑体"/>
          <w:b w:val="0"/>
          <w:color w:val="auto"/>
          <w:highlight w:val="none"/>
          <w:lang w:val="en-US" w:eastAsia="zh-CN"/>
        </w:rPr>
        <w:t>二、机构设置</w:t>
      </w:r>
      <w:bookmarkEnd w:id="21"/>
    </w:p>
    <w:p>
      <w:pPr>
        <w:pStyle w:val="2"/>
        <w:pageBreakBefore w:val="0"/>
        <w:kinsoku/>
        <w:wordWrap/>
        <w:overflowPunct/>
        <w:topLinePunct w:val="0"/>
        <w:autoSpaceDE/>
        <w:autoSpaceDN/>
        <w:bidi w:val="0"/>
        <w:adjustRightInd w:val="0"/>
        <w:snapToGrid w:val="0"/>
        <w:spacing w:beforeLines="0" w:beforeAutospacing="0" w:afterAutospacing="0" w:line="560" w:lineRule="exact"/>
        <w:ind w:firstLine="640" w:firstLineChars="200"/>
        <w:textAlignment w:val="auto"/>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市委统战部属</w:t>
      </w:r>
      <w:r>
        <w:rPr>
          <w:rFonts w:hint="eastAsia" w:hAnsi="Times New Roman" w:cs="仿宋_GB2312"/>
          <w:b w:val="0"/>
          <w:bCs w:val="0"/>
          <w:i w:val="0"/>
          <w:caps w:val="0"/>
          <w:color w:val="auto"/>
          <w:spacing w:val="0"/>
          <w:kern w:val="0"/>
          <w:sz w:val="32"/>
          <w:szCs w:val="32"/>
          <w:shd w:val="clear" w:color="auto" w:fill="FFFFFF"/>
          <w:lang w:val="en-US" w:eastAsia="zh-CN" w:bidi="ar"/>
        </w:rPr>
        <w:t>一</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级预算单位，其中行政</w:t>
      </w:r>
      <w:r>
        <w:rPr>
          <w:rFonts w:hint="eastAsia" w:hAnsi="Times New Roman" w:cs="仿宋_GB2312"/>
          <w:b w:val="0"/>
          <w:bCs w:val="0"/>
          <w:i w:val="0"/>
          <w:caps w:val="0"/>
          <w:color w:val="auto"/>
          <w:spacing w:val="0"/>
          <w:kern w:val="0"/>
          <w:sz w:val="32"/>
          <w:szCs w:val="32"/>
          <w:shd w:val="clear" w:color="auto" w:fill="FFFFFF"/>
          <w:lang w:val="en-US" w:eastAsia="zh-CN" w:bidi="ar"/>
        </w:rPr>
        <w:t>1个，</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含下属事业单位</w:t>
      </w:r>
      <w:r>
        <w:rPr>
          <w:rFonts w:hint="eastAsia" w:ascii="Times New Roman" w:hAnsi="Times New Roman" w:eastAsia="仿宋_GB2312" w:cs="Times New Roman"/>
          <w:b w:val="0"/>
          <w:bCs w:val="0"/>
          <w:i w:val="0"/>
          <w:caps w:val="0"/>
          <w:color w:val="auto"/>
          <w:spacing w:val="0"/>
          <w:kern w:val="0"/>
          <w:sz w:val="32"/>
          <w:szCs w:val="32"/>
          <w:shd w:val="clear" w:color="auto" w:fill="FFFFFF"/>
          <w:lang w:val="en-US" w:eastAsia="zh-CN" w:bidi="ar"/>
        </w:rPr>
        <w:t>3</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个。</w:t>
      </w:r>
    </w:p>
    <w:p>
      <w:pPr>
        <w:pageBreakBefore w:val="0"/>
        <w:kinsoku/>
        <w:wordWrap/>
        <w:overflowPunct/>
        <w:topLinePunct w:val="0"/>
        <w:bidi w:val="0"/>
        <w:spacing w:beforeAutospacing="0" w:afterAutospacing="0" w:line="560" w:lineRule="exact"/>
        <w:ind w:firstLine="640" w:firstLineChars="200"/>
        <w:rPr>
          <w:rFonts w:hint="default" w:ascii="仿宋_GB2312" w:hAnsi="Times New Roman" w:eastAsia="仿宋_GB2312" w:cs="仿宋_GB2312"/>
          <w:b w:val="0"/>
          <w:bCs w:val="0"/>
          <w:i w:val="0"/>
          <w:caps w:val="0"/>
          <w:color w:val="auto"/>
          <w:spacing w:val="0"/>
          <w:kern w:val="0"/>
          <w:sz w:val="32"/>
          <w:szCs w:val="32"/>
          <w:shd w:val="clear" w:color="auto" w:fill="FFFFFF"/>
          <w:lang w:val="en-US" w:eastAsia="zh-CN" w:bidi="ar"/>
        </w:rPr>
      </w:pP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纳入市委统战部202</w:t>
      </w:r>
      <w:r>
        <w:rPr>
          <w:rFonts w:hint="eastAsia" w:cs="仿宋_GB2312"/>
          <w:b w:val="0"/>
          <w:bCs w:val="0"/>
          <w:i w:val="0"/>
          <w:caps w:val="0"/>
          <w:color w:val="auto"/>
          <w:spacing w:val="0"/>
          <w:kern w:val="0"/>
          <w:sz w:val="32"/>
          <w:szCs w:val="32"/>
          <w:shd w:val="clear" w:color="auto" w:fill="FFFFFF"/>
          <w:lang w:val="en-US" w:eastAsia="zh-CN" w:bidi="ar"/>
        </w:rPr>
        <w:t>2</w:t>
      </w:r>
      <w:r>
        <w:rPr>
          <w:rFonts w:hint="eastAsia" w:ascii="仿宋_GB2312" w:hAnsi="Times New Roman" w:eastAsia="仿宋_GB2312" w:cs="仿宋_GB2312"/>
          <w:b w:val="0"/>
          <w:bCs w:val="0"/>
          <w:i w:val="0"/>
          <w:caps w:val="0"/>
          <w:color w:val="auto"/>
          <w:spacing w:val="0"/>
          <w:kern w:val="0"/>
          <w:sz w:val="32"/>
          <w:szCs w:val="32"/>
          <w:shd w:val="clear" w:color="auto" w:fill="FFFFFF"/>
          <w:lang w:val="en-US" w:eastAsia="zh-CN" w:bidi="ar"/>
        </w:rPr>
        <w:t>年度单位决算编制范围的是市委统战部本级。</w:t>
      </w:r>
    </w:p>
    <w:bookmarkEnd w:id="19"/>
    <w:bookmarkEnd w:id="20"/>
    <w:p>
      <w:pPr>
        <w:pageBreakBefore w:val="0"/>
        <w:widowControl/>
        <w:kinsoku/>
        <w:wordWrap/>
        <w:overflowPunct/>
        <w:topLinePunct w:val="0"/>
        <w:autoSpaceDE/>
        <w:autoSpaceDN/>
        <w:bidi w:val="0"/>
        <w:adjustRightInd/>
        <w:snapToGrid/>
        <w:spacing w:beforeAutospacing="0" w:afterAutospacing="0" w:line="560" w:lineRule="exact"/>
        <w:jc w:val="left"/>
        <w:textAlignment w:val="auto"/>
        <w:rPr>
          <w:rFonts w:ascii="仿宋" w:hAnsi="仿宋" w:eastAsia="仿宋"/>
          <w:color w:val="auto"/>
          <w:kern w:val="0"/>
          <w:sz w:val="32"/>
          <w:szCs w:val="32"/>
          <w:highlight w:val="none"/>
        </w:rPr>
      </w:pPr>
      <w:r>
        <w:rPr>
          <w:rFonts w:ascii="仿宋" w:hAnsi="仿宋" w:eastAsia="仿宋"/>
          <w:color w:val="auto"/>
          <w:sz w:val="32"/>
          <w:szCs w:val="32"/>
          <w:highlight w:val="none"/>
        </w:rPr>
        <w:br w:type="page"/>
      </w:r>
    </w:p>
    <w:p>
      <w:pPr>
        <w:pStyle w:val="3"/>
        <w:pageBreakBefore w:val="0"/>
        <w:kinsoku/>
        <w:wordWrap/>
        <w:overflowPunct/>
        <w:topLinePunct w:val="0"/>
        <w:bidi w:val="0"/>
        <w:spacing w:before="0" w:beforeAutospacing="0" w:after="0" w:afterAutospacing="0" w:line="560" w:lineRule="exact"/>
        <w:ind w:right="440"/>
        <w:jc w:val="center"/>
        <w:rPr>
          <w:rStyle w:val="18"/>
          <w:rFonts w:ascii="黑体" w:hAnsi="黑体" w:eastAsia="黑体"/>
          <w:b w:val="0"/>
          <w:bCs/>
          <w:color w:val="auto"/>
          <w:highlight w:val="none"/>
        </w:rPr>
      </w:pPr>
      <w:bookmarkStart w:id="22" w:name="_Toc10965"/>
      <w:bookmarkStart w:id="23" w:name="_Toc15396602"/>
      <w:bookmarkStart w:id="24" w:name="_Toc15377204"/>
      <w:r>
        <w:rPr>
          <w:rFonts w:hint="eastAsia" w:ascii="黑体" w:hAnsi="黑体" w:eastAsia="黑体"/>
          <w:b w:val="0"/>
          <w:bCs/>
          <w:color w:val="auto"/>
          <w:highlight w:val="none"/>
        </w:rPr>
        <w:t xml:space="preserve">第二部分 </w:t>
      </w:r>
      <w:r>
        <w:rPr>
          <w:rFonts w:hint="eastAsia" w:ascii="黑体" w:hAnsi="黑体" w:eastAsia="黑体"/>
          <w:b w:val="0"/>
          <w:bCs/>
          <w:color w:val="auto"/>
          <w:highlight w:val="none"/>
          <w:lang w:val="en-US" w:eastAsia="zh-CN"/>
        </w:rPr>
        <w:t>2022年度</w:t>
      </w:r>
      <w:r>
        <w:rPr>
          <w:rStyle w:val="18"/>
          <w:rFonts w:hint="eastAsia" w:ascii="黑体" w:hAnsi="黑体" w:eastAsia="黑体"/>
          <w:b w:val="0"/>
          <w:bCs/>
          <w:color w:val="auto"/>
          <w:highlight w:val="none"/>
          <w:lang w:eastAsia="zh-CN"/>
        </w:rPr>
        <w:t>单位</w:t>
      </w:r>
      <w:r>
        <w:rPr>
          <w:rStyle w:val="18"/>
          <w:rFonts w:hint="eastAsia" w:ascii="黑体" w:hAnsi="黑体" w:eastAsia="黑体"/>
          <w:b w:val="0"/>
          <w:bCs/>
          <w:color w:val="auto"/>
          <w:highlight w:val="none"/>
        </w:rPr>
        <w:t>决算情况说明</w:t>
      </w:r>
      <w:bookmarkEnd w:id="22"/>
      <w:bookmarkEnd w:id="23"/>
      <w:bookmarkEnd w:id="24"/>
    </w:p>
    <w:p>
      <w:pPr>
        <w:pageBreakBefore w:val="0"/>
        <w:kinsoku/>
        <w:wordWrap/>
        <w:overflowPunct/>
        <w:topLinePunct w:val="0"/>
        <w:bidi w:val="0"/>
        <w:spacing w:beforeAutospacing="0" w:afterAutospacing="0" w:line="560" w:lineRule="exact"/>
        <w:rPr>
          <w:color w:val="auto"/>
          <w:highlight w:val="none"/>
        </w:rPr>
      </w:pPr>
    </w:p>
    <w:p>
      <w:pPr>
        <w:pStyle w:val="28"/>
        <w:pageBreakBefore w:val="0"/>
        <w:numPr>
          <w:ilvl w:val="0"/>
          <w:numId w:val="0"/>
        </w:numPr>
        <w:kinsoku/>
        <w:wordWrap/>
        <w:overflowPunct/>
        <w:topLinePunct w:val="0"/>
        <w:bidi w:val="0"/>
        <w:spacing w:beforeAutospacing="0" w:afterAutospacing="0" w:line="560" w:lineRule="exact"/>
        <w:ind w:firstLine="640" w:firstLineChars="200"/>
        <w:outlineLvl w:val="1"/>
        <w:rPr>
          <w:rStyle w:val="19"/>
          <w:rFonts w:ascii="黑体" w:hAnsi="黑体" w:eastAsia="黑体"/>
          <w:b w:val="0"/>
          <w:color w:val="auto"/>
          <w:highlight w:val="none"/>
        </w:rPr>
      </w:pPr>
      <w:bookmarkStart w:id="25" w:name="_Toc15396603"/>
      <w:bookmarkStart w:id="26" w:name="_Toc15377205"/>
      <w:bookmarkStart w:id="27" w:name="_Toc4666"/>
      <w:r>
        <w:rPr>
          <w:rFonts w:hint="eastAsia" w:ascii="黑体" w:hAnsi="黑体" w:eastAsia="黑体"/>
          <w:color w:val="auto"/>
          <w:sz w:val="32"/>
          <w:szCs w:val="32"/>
          <w:highlight w:val="none"/>
          <w:lang w:eastAsia="zh-CN"/>
        </w:rPr>
        <w:t>一、</w:t>
      </w:r>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入支出决算总体情况说明</w:t>
      </w:r>
      <w:bookmarkEnd w:id="25"/>
      <w:bookmarkEnd w:id="26"/>
      <w:bookmarkEnd w:id="27"/>
    </w:p>
    <w:p>
      <w:pPr>
        <w:pageBreakBefore w:val="0"/>
        <w:kinsoku/>
        <w:wordWrap/>
        <w:overflowPunct/>
        <w:topLinePunct w:val="0"/>
        <w:bidi w:val="0"/>
        <w:spacing w:beforeAutospacing="0" w:afterAutospacing="0" w:line="560" w:lineRule="exact"/>
        <w:ind w:firstLine="640" w:firstLineChars="200"/>
        <w:textAlignment w:val="auto"/>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1244.98</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年相比，收、支总计各增加</w:t>
      </w:r>
      <w:r>
        <w:rPr>
          <w:rFonts w:hint="eastAsia" w:ascii="仿宋_GB2312" w:hAnsi="仿宋_GB2312" w:eastAsia="仿宋_GB2312" w:cs="仿宋_GB2312"/>
          <w:color w:val="auto"/>
          <w:sz w:val="32"/>
          <w:szCs w:val="32"/>
          <w:highlight w:val="none"/>
          <w:lang w:val="en-US" w:eastAsia="zh-CN"/>
        </w:rPr>
        <w:t>107.43</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9.4</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b w:val="0"/>
          <w:bCs w:val="0"/>
          <w:color w:val="auto"/>
          <w:sz w:val="32"/>
          <w:szCs w:val="32"/>
          <w:highlight w:val="none"/>
          <w:lang w:eastAsia="zh-CN"/>
        </w:rPr>
        <w:t>一是</w:t>
      </w:r>
      <w:r>
        <w:rPr>
          <w:rFonts w:hint="eastAsia" w:ascii="仿宋_GB2312" w:hAnsi="仿宋_GB2312" w:eastAsia="仿宋_GB2312" w:cs="仿宋_GB2312"/>
          <w:b w:val="0"/>
          <w:bCs w:val="0"/>
          <w:color w:val="auto"/>
          <w:sz w:val="32"/>
          <w:szCs w:val="32"/>
          <w:highlight w:val="none"/>
          <w:lang w:val="en-US" w:eastAsia="zh-CN"/>
        </w:rPr>
        <w:t>2022年争创全国民族团结进步示范市增加相应工作经费和创建工作经费；二是2022年年初结转结余数据大</w:t>
      </w:r>
      <w:r>
        <w:rPr>
          <w:rFonts w:hint="eastAsia" w:ascii="仿宋_GB2312" w:hAnsi="仿宋_GB2312" w:eastAsia="仿宋_GB2312" w:cs="仿宋_GB2312"/>
          <w:b w:val="0"/>
          <w:bCs w:val="0"/>
          <w:color w:val="auto"/>
          <w:sz w:val="32"/>
          <w:szCs w:val="32"/>
          <w:highlight w:val="none"/>
          <w:lang w:eastAsia="zh-CN"/>
        </w:rPr>
        <w:t>。</w:t>
      </w:r>
    </w:p>
    <w:p>
      <w:pPr>
        <w:pStyle w:val="16"/>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baseline"/>
        <w:rPr>
          <w:rFonts w:hint="eastAsia"/>
          <w:color w:val="auto"/>
          <w:lang w:eastAsia="zh-CN"/>
        </w:rPr>
      </w:pPr>
      <w:r>
        <w:rPr>
          <w:rFonts w:hint="eastAsia"/>
          <w:color w:val="auto"/>
          <w:lang w:eastAsia="zh-CN"/>
        </w:rPr>
        <w:drawing>
          <wp:inline distT="0" distB="0" distL="114300" distR="114300">
            <wp:extent cx="4895850" cy="2828925"/>
            <wp:effectExtent l="0" t="0" r="0" b="9525"/>
            <wp:docPr id="1" name="图片 1" descr="图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1" name="图片 1" descr="图1"/>
                    <pic:cNvPicPr>
                      <a:picLocks noChangeAspect="true"/>
                    </pic:cNvPicPr>
                  </pic:nvPicPr>
                  <pic:blipFill>
                    <a:blip r:embed="rId9"/>
                    <a:stretch>
                      <a:fillRect/>
                    </a:stretch>
                  </pic:blipFill>
                  <pic:spPr>
                    <a:xfrm>
                      <a:off x="0" y="0"/>
                      <a:ext cx="4895850" cy="2828925"/>
                    </a:xfrm>
                    <a:prstGeom prst="rect">
                      <a:avLst/>
                    </a:prstGeom>
                  </pic:spPr>
                </pic:pic>
              </a:graphicData>
            </a:graphic>
          </wp:inline>
        </w:drawing>
      </w:r>
    </w:p>
    <w:p>
      <w:pPr>
        <w:pageBreakBefore w:val="0"/>
        <w:kinsoku/>
        <w:wordWrap/>
        <w:overflowPunct/>
        <w:topLinePunct w:val="0"/>
        <w:bidi w:val="0"/>
        <w:spacing w:beforeAutospacing="0" w:afterAutospacing="0" w:line="560" w:lineRule="exact"/>
        <w:jc w:val="center"/>
        <w:outlineLvl w:val="1"/>
        <w:rPr>
          <w:rFonts w:hint="eastAsia" w:ascii="仿宋_GB2312" w:hAnsi="仿宋_GB2312" w:eastAsia="仿宋_GB2312" w:cs="仿宋_GB2312"/>
          <w:color w:val="auto"/>
          <w:sz w:val="32"/>
          <w:szCs w:val="32"/>
          <w:highlight w:val="none"/>
        </w:rPr>
      </w:pPr>
      <w:bookmarkStart w:id="28" w:name="_Toc16766"/>
      <w:r>
        <w:rPr>
          <w:rFonts w:hint="eastAsia" w:ascii="仿宋_GB2312" w:hAnsi="仿宋_GB2312" w:eastAsia="仿宋_GB2312" w:cs="仿宋_GB2312"/>
          <w:color w:val="auto"/>
          <w:sz w:val="32"/>
          <w:szCs w:val="32"/>
          <w:highlight w:val="none"/>
        </w:rPr>
        <w:t>（图1：收、支决算总计变动情况图）</w:t>
      </w:r>
      <w:bookmarkEnd w:id="28"/>
    </w:p>
    <w:p>
      <w:pPr>
        <w:pStyle w:val="28"/>
        <w:pageBreakBefore w:val="0"/>
        <w:numPr>
          <w:ilvl w:val="0"/>
          <w:numId w:val="0"/>
        </w:numPr>
        <w:kinsoku/>
        <w:wordWrap/>
        <w:overflowPunct/>
        <w:topLinePunct w:val="0"/>
        <w:bidi w:val="0"/>
        <w:spacing w:beforeAutospacing="0" w:afterAutospacing="0" w:line="560" w:lineRule="exact"/>
        <w:ind w:firstLine="640" w:firstLineChars="200"/>
        <w:outlineLvl w:val="1"/>
        <w:rPr>
          <w:rStyle w:val="19"/>
          <w:rFonts w:ascii="黑体" w:hAnsi="黑体" w:eastAsia="黑体"/>
          <w:b w:val="0"/>
          <w:color w:val="auto"/>
          <w:highlight w:val="none"/>
        </w:rPr>
      </w:pPr>
      <w:bookmarkStart w:id="29" w:name="_Toc15377206"/>
      <w:bookmarkStart w:id="30" w:name="_Toc26693"/>
      <w:bookmarkStart w:id="31" w:name="_Toc15396604"/>
      <w:r>
        <w:rPr>
          <w:rFonts w:hint="eastAsia" w:ascii="黑体" w:hAnsi="黑体" w:eastAsia="黑体"/>
          <w:color w:val="auto"/>
          <w:sz w:val="32"/>
          <w:szCs w:val="32"/>
          <w:highlight w:val="none"/>
          <w:lang w:eastAsia="zh-CN"/>
        </w:rPr>
        <w:t>二、</w:t>
      </w:r>
      <w:r>
        <w:rPr>
          <w:rFonts w:hint="eastAsia" w:ascii="黑体" w:hAnsi="黑体" w:eastAsia="黑体"/>
          <w:color w:val="auto"/>
          <w:sz w:val="32"/>
          <w:szCs w:val="32"/>
          <w:highlight w:val="none"/>
        </w:rPr>
        <w:t>收</w:t>
      </w:r>
      <w:r>
        <w:rPr>
          <w:rStyle w:val="19"/>
          <w:rFonts w:hint="eastAsia" w:ascii="黑体" w:hAnsi="黑体" w:eastAsia="黑体"/>
          <w:b w:val="0"/>
          <w:color w:val="auto"/>
          <w:highlight w:val="none"/>
        </w:rPr>
        <w:t>入决算情况说明</w:t>
      </w:r>
      <w:bookmarkEnd w:id="29"/>
      <w:bookmarkEnd w:id="30"/>
      <w:bookmarkEnd w:id="31"/>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32" w:name="_Toc26474"/>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年本年收入合计1184.42万元，其中：一般公共预算财政拨款收入1184.42万元，占</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32"/>
    </w:p>
    <w:p>
      <w:pPr>
        <w:pStyle w:val="16"/>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ind w:left="0" w:leftChars="0" w:firstLine="0" w:firstLineChars="0"/>
        <w:jc w:val="center"/>
        <w:textAlignment w:val="baseline"/>
        <w:rPr>
          <w:rFonts w:hint="eastAsia" w:eastAsia="仿宋"/>
          <w:color w:val="auto"/>
          <w:lang w:eastAsia="zh-CN"/>
        </w:rPr>
      </w:pPr>
      <w:r>
        <w:rPr>
          <w:rFonts w:hint="eastAsia" w:eastAsia="仿宋"/>
          <w:color w:val="auto"/>
          <w:lang w:eastAsia="zh-CN"/>
        </w:rPr>
        <w:drawing>
          <wp:inline distT="0" distB="0" distL="114300" distR="114300">
            <wp:extent cx="4905375" cy="2838450"/>
            <wp:effectExtent l="0" t="0" r="9525" b="0"/>
            <wp:docPr id="2" name="图片 2" descr="图2"/>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2" name="图片 2" descr="图2"/>
                    <pic:cNvPicPr>
                      <a:picLocks noChangeAspect="true"/>
                    </pic:cNvPicPr>
                  </pic:nvPicPr>
                  <pic:blipFill>
                    <a:blip r:embed="rId10"/>
                    <a:stretch>
                      <a:fillRect/>
                    </a:stretch>
                  </pic:blipFill>
                  <pic:spPr>
                    <a:xfrm>
                      <a:off x="0" y="0"/>
                      <a:ext cx="4905375" cy="2838450"/>
                    </a:xfrm>
                    <a:prstGeom prst="rect">
                      <a:avLst/>
                    </a:prstGeom>
                  </pic:spPr>
                </pic:pic>
              </a:graphicData>
            </a:graphic>
          </wp:inline>
        </w:drawing>
      </w:r>
    </w:p>
    <w:p>
      <w:pPr>
        <w:pageBreakBefore w:val="0"/>
        <w:kinsoku/>
        <w:wordWrap/>
        <w:overflowPunct/>
        <w:topLinePunct w:val="0"/>
        <w:bidi w:val="0"/>
        <w:spacing w:beforeAutospacing="0" w:afterAutospacing="0"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（图2：收入决算结构图）</w:t>
      </w:r>
    </w:p>
    <w:p>
      <w:pPr>
        <w:pStyle w:val="28"/>
        <w:pageBreakBefore w:val="0"/>
        <w:numPr>
          <w:ilvl w:val="0"/>
          <w:numId w:val="0"/>
        </w:numPr>
        <w:kinsoku/>
        <w:wordWrap/>
        <w:overflowPunct/>
        <w:topLinePunct w:val="0"/>
        <w:bidi w:val="0"/>
        <w:spacing w:beforeAutospacing="0" w:afterAutospacing="0" w:line="560" w:lineRule="exact"/>
        <w:ind w:firstLine="640" w:firstLineChars="200"/>
        <w:outlineLvl w:val="1"/>
        <w:rPr>
          <w:rStyle w:val="19"/>
          <w:rFonts w:ascii="黑体" w:hAnsi="黑体" w:eastAsia="黑体"/>
          <w:b w:val="0"/>
          <w:color w:val="auto"/>
          <w:highlight w:val="none"/>
        </w:rPr>
      </w:pPr>
      <w:bookmarkStart w:id="33" w:name="_Toc7169"/>
      <w:bookmarkStart w:id="34" w:name="_Toc15377207"/>
      <w:bookmarkStart w:id="35" w:name="_Toc15396605"/>
      <w:r>
        <w:rPr>
          <w:rFonts w:hint="eastAsia" w:ascii="黑体" w:hAnsi="黑体" w:eastAsia="黑体"/>
          <w:color w:val="auto"/>
          <w:sz w:val="32"/>
          <w:szCs w:val="32"/>
          <w:highlight w:val="none"/>
          <w:lang w:eastAsia="zh-CN"/>
        </w:rPr>
        <w:t>三、</w:t>
      </w:r>
      <w:r>
        <w:rPr>
          <w:rFonts w:hint="eastAsia" w:ascii="黑体" w:hAnsi="黑体" w:eastAsia="黑体"/>
          <w:color w:val="auto"/>
          <w:sz w:val="32"/>
          <w:szCs w:val="32"/>
          <w:highlight w:val="none"/>
        </w:rPr>
        <w:t>支</w:t>
      </w:r>
      <w:r>
        <w:rPr>
          <w:rStyle w:val="19"/>
          <w:rFonts w:hint="eastAsia" w:ascii="黑体" w:hAnsi="黑体" w:eastAsia="黑体"/>
          <w:b w:val="0"/>
          <w:color w:val="auto"/>
          <w:highlight w:val="none"/>
        </w:rPr>
        <w:t>出决算情况说明</w:t>
      </w:r>
      <w:bookmarkEnd w:id="33"/>
      <w:bookmarkEnd w:id="34"/>
      <w:bookmarkEnd w:id="35"/>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36" w:name="_Toc726"/>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年本年支出合计</w:t>
      </w:r>
      <w:r>
        <w:rPr>
          <w:rFonts w:hint="eastAsia" w:ascii="仿宋_GB2312" w:hAnsi="仿宋_GB2312" w:eastAsia="仿宋_GB2312" w:cs="仿宋_GB2312"/>
          <w:color w:val="auto"/>
          <w:sz w:val="32"/>
          <w:szCs w:val="32"/>
          <w:highlight w:val="none"/>
          <w:lang w:val="en-US" w:eastAsia="zh-CN"/>
        </w:rPr>
        <w:t>1243.83</w:t>
      </w:r>
      <w:r>
        <w:rPr>
          <w:rFonts w:hint="eastAsia" w:ascii="仿宋_GB2312" w:hAnsi="仿宋_GB2312" w:eastAsia="仿宋_GB2312" w:cs="仿宋_GB2312"/>
          <w:color w:val="auto"/>
          <w:sz w:val="32"/>
          <w:szCs w:val="32"/>
          <w:highlight w:val="none"/>
        </w:rPr>
        <w:t>万元，其中：基本支出</w:t>
      </w:r>
      <w:r>
        <w:rPr>
          <w:rFonts w:hint="eastAsia" w:ascii="仿宋_GB2312" w:hAnsi="仿宋_GB2312" w:eastAsia="仿宋_GB2312" w:cs="仿宋_GB2312"/>
          <w:color w:val="auto"/>
          <w:sz w:val="32"/>
          <w:szCs w:val="32"/>
          <w:highlight w:val="none"/>
          <w:lang w:val="en-US" w:eastAsia="zh-CN"/>
        </w:rPr>
        <w:t>937.21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75.35</w:t>
      </w:r>
      <w:r>
        <w:rPr>
          <w:rFonts w:hint="eastAsia" w:ascii="仿宋_GB2312" w:hAnsi="仿宋_GB2312" w:eastAsia="仿宋_GB2312" w:cs="仿宋_GB2312"/>
          <w:color w:val="auto"/>
          <w:sz w:val="32"/>
          <w:szCs w:val="32"/>
          <w:highlight w:val="none"/>
        </w:rPr>
        <w:t>%；项目支出</w:t>
      </w:r>
      <w:r>
        <w:rPr>
          <w:rFonts w:hint="eastAsia" w:ascii="仿宋_GB2312" w:hAnsi="仿宋_GB2312" w:eastAsia="仿宋_GB2312" w:cs="仿宋_GB2312"/>
          <w:color w:val="auto"/>
          <w:sz w:val="32"/>
          <w:szCs w:val="32"/>
          <w:highlight w:val="none"/>
          <w:lang w:val="en-US" w:eastAsia="zh-CN"/>
        </w:rPr>
        <w:t>306.62</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24.65</w:t>
      </w:r>
      <w:r>
        <w:rPr>
          <w:rFonts w:hint="eastAsia" w:ascii="仿宋_GB2312" w:hAnsi="仿宋_GB2312" w:eastAsia="仿宋_GB2312" w:cs="仿宋_GB2312"/>
          <w:color w:val="auto"/>
          <w:sz w:val="32"/>
          <w:szCs w:val="32"/>
          <w:highlight w:val="none"/>
        </w:rPr>
        <w:t>%。</w:t>
      </w:r>
      <w:bookmarkEnd w:id="36"/>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olor w:val="auto"/>
          <w:sz w:val="32"/>
          <w:szCs w:val="32"/>
          <w:highlight w:val="none"/>
          <w:shd w:val="pct10" w:color="auto" w:fill="FFFFFF"/>
          <w:lang w:eastAsia="zh-CN"/>
        </w:rPr>
      </w:pPr>
      <w:r>
        <w:rPr>
          <w:rFonts w:hint="eastAsia" w:ascii="仿宋" w:hAnsi="仿宋" w:eastAsia="仿宋"/>
          <w:color w:val="auto"/>
          <w:sz w:val="32"/>
          <w:szCs w:val="32"/>
          <w:highlight w:val="none"/>
          <w:shd w:val="pct10" w:color="auto" w:fill="FFFFFF"/>
          <w:lang w:eastAsia="zh-CN"/>
        </w:rPr>
        <w:drawing>
          <wp:inline distT="0" distB="0" distL="114300" distR="114300">
            <wp:extent cx="4905375" cy="2838450"/>
            <wp:effectExtent l="0" t="0" r="9525" b="0"/>
            <wp:docPr id="3" name="图片 3" descr="图3"/>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3" name="图片 3" descr="图3"/>
                    <pic:cNvPicPr>
                      <a:picLocks noChangeAspect="true"/>
                    </pic:cNvPicPr>
                  </pic:nvPicPr>
                  <pic:blipFill>
                    <a:blip r:embed="rId11"/>
                    <a:stretch>
                      <a:fillRect/>
                    </a:stretch>
                  </pic:blipFill>
                  <pic:spPr>
                    <a:xfrm>
                      <a:off x="0" y="0"/>
                      <a:ext cx="4905375" cy="2838450"/>
                    </a:xfrm>
                    <a:prstGeom prst="rect">
                      <a:avLst/>
                    </a:prstGeom>
                  </pic:spPr>
                </pic:pic>
              </a:graphicData>
            </a:graphic>
          </wp:inline>
        </w:drawing>
      </w:r>
    </w:p>
    <w:p>
      <w:pPr>
        <w:pageBreakBefore w:val="0"/>
        <w:kinsoku/>
        <w:wordWrap/>
        <w:overflowPunct/>
        <w:topLinePunct w:val="0"/>
        <w:bidi w:val="0"/>
        <w:spacing w:beforeAutospacing="0" w:afterAutospacing="0"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（图3：支出决算结构图）</w:t>
      </w:r>
    </w:p>
    <w:p>
      <w:pPr>
        <w:pageBreakBefore w:val="0"/>
        <w:kinsoku/>
        <w:wordWrap/>
        <w:overflowPunct/>
        <w:topLinePunct w:val="0"/>
        <w:bidi w:val="0"/>
        <w:spacing w:beforeAutospacing="0" w:afterAutospacing="0" w:line="560" w:lineRule="exact"/>
        <w:ind w:firstLine="640" w:firstLineChars="200"/>
        <w:outlineLvl w:val="1"/>
        <w:rPr>
          <w:rStyle w:val="19"/>
          <w:rFonts w:ascii="黑体" w:hAnsi="黑体" w:eastAsia="黑体"/>
          <w:b w:val="0"/>
          <w:color w:val="auto"/>
          <w:highlight w:val="none"/>
        </w:rPr>
      </w:pPr>
      <w:bookmarkStart w:id="37" w:name="_Toc15377208"/>
      <w:bookmarkStart w:id="38" w:name="_Toc15396606"/>
      <w:bookmarkStart w:id="39" w:name="_Toc12407"/>
      <w:r>
        <w:rPr>
          <w:rFonts w:hint="eastAsia" w:ascii="黑体" w:hAnsi="黑体" w:eastAsia="黑体"/>
          <w:color w:val="auto"/>
          <w:sz w:val="32"/>
          <w:szCs w:val="32"/>
          <w:highlight w:val="none"/>
        </w:rPr>
        <w:t>四、财</w:t>
      </w:r>
      <w:r>
        <w:rPr>
          <w:rStyle w:val="19"/>
          <w:rFonts w:hint="eastAsia" w:ascii="黑体" w:hAnsi="黑体" w:eastAsia="黑体"/>
          <w:b w:val="0"/>
          <w:color w:val="auto"/>
          <w:highlight w:val="none"/>
        </w:rPr>
        <w:t>政拨款收入支出决算总体情况说明</w:t>
      </w:r>
      <w:bookmarkEnd w:id="37"/>
      <w:bookmarkEnd w:id="38"/>
      <w:bookmarkEnd w:id="39"/>
    </w:p>
    <w:p>
      <w:pPr>
        <w:pageBreakBefore w:val="0"/>
        <w:kinsoku/>
        <w:wordWrap/>
        <w:overflowPunct/>
        <w:topLinePunct w:val="0"/>
        <w:bidi w:val="0"/>
        <w:spacing w:beforeAutospacing="0" w:afterAutospacing="0" w:line="560" w:lineRule="exact"/>
        <w:ind w:firstLine="640"/>
        <w:rPr>
          <w:rFonts w:hint="eastAsia" w:ascii="仿宋_GB2312" w:hAnsi="仿宋_GB2312" w:eastAsia="仿宋_GB2312" w:cs="仿宋_GB2312"/>
          <w:b w:val="0"/>
          <w:bCs w:val="0"/>
          <w:color w:val="auto"/>
          <w:sz w:val="32"/>
          <w:szCs w:val="32"/>
          <w:highlight w:val="none"/>
          <w:lang w:eastAsia="zh-CN"/>
        </w:rPr>
      </w:pPr>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年度收、支总计</w:t>
      </w:r>
      <w:r>
        <w:rPr>
          <w:rFonts w:hint="eastAsia" w:ascii="仿宋_GB2312" w:hAnsi="仿宋_GB2312" w:eastAsia="仿宋_GB2312" w:cs="仿宋_GB2312"/>
          <w:color w:val="auto"/>
          <w:sz w:val="32"/>
          <w:szCs w:val="32"/>
          <w:highlight w:val="none"/>
          <w:lang w:val="en-US" w:eastAsia="zh-CN"/>
        </w:rPr>
        <w:t>1244.98</w:t>
      </w:r>
      <w:r>
        <w:rPr>
          <w:rFonts w:hint="eastAsia" w:ascii="仿宋_GB2312" w:hAnsi="仿宋_GB2312" w:eastAsia="仿宋_GB2312" w:cs="仿宋_GB2312"/>
          <w:color w:val="auto"/>
          <w:sz w:val="32"/>
          <w:szCs w:val="32"/>
          <w:highlight w:val="none"/>
        </w:rPr>
        <w:t>万元。与20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年相比，收、支总计各增加</w:t>
      </w:r>
      <w:r>
        <w:rPr>
          <w:rFonts w:hint="eastAsia" w:ascii="仿宋_GB2312" w:hAnsi="仿宋_GB2312" w:eastAsia="仿宋_GB2312" w:cs="仿宋_GB2312"/>
          <w:color w:val="auto"/>
          <w:sz w:val="32"/>
          <w:szCs w:val="32"/>
          <w:highlight w:val="none"/>
          <w:lang w:val="en-US" w:eastAsia="zh-CN"/>
        </w:rPr>
        <w:t>107.43</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9.4</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eastAsia="zh-CN"/>
        </w:rPr>
        <w:t>一是</w:t>
      </w:r>
      <w:r>
        <w:rPr>
          <w:rFonts w:hint="eastAsia" w:ascii="仿宋_GB2312" w:hAnsi="仿宋_GB2312" w:eastAsia="仿宋_GB2312" w:cs="仿宋_GB2312"/>
          <w:color w:val="auto"/>
          <w:sz w:val="32"/>
          <w:szCs w:val="32"/>
          <w:highlight w:val="none"/>
          <w:lang w:val="en-US" w:eastAsia="zh-CN"/>
        </w:rPr>
        <w:t>2022年争创全国民族团结进步示范市增加相应工作经</w:t>
      </w:r>
      <w:r>
        <w:rPr>
          <w:rFonts w:hint="eastAsia" w:ascii="仿宋_GB2312" w:hAnsi="仿宋_GB2312" w:eastAsia="仿宋_GB2312" w:cs="仿宋_GB2312"/>
          <w:b w:val="0"/>
          <w:bCs w:val="0"/>
          <w:color w:val="auto"/>
          <w:sz w:val="32"/>
          <w:szCs w:val="32"/>
          <w:highlight w:val="none"/>
          <w:lang w:val="en-US" w:eastAsia="zh-CN"/>
        </w:rPr>
        <w:t>费和创建工作经费；二是2022年年初结转结余数据大</w:t>
      </w:r>
      <w:r>
        <w:rPr>
          <w:rFonts w:hint="eastAsia" w:ascii="仿宋_GB2312" w:hAnsi="仿宋_GB2312" w:eastAsia="仿宋_GB2312" w:cs="仿宋_GB2312"/>
          <w:b w:val="0"/>
          <w:bCs w:val="0"/>
          <w:color w:val="auto"/>
          <w:sz w:val="32"/>
          <w:szCs w:val="32"/>
          <w:highlight w:val="none"/>
          <w:lang w:eastAsia="zh-CN"/>
        </w:rPr>
        <w:t>。</w:t>
      </w:r>
    </w:p>
    <w:p>
      <w:pPr>
        <w:pStyle w:val="16"/>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baseline"/>
        <w:rPr>
          <w:rFonts w:ascii="仿宋" w:hAnsi="仿宋" w:eastAsia="仿宋"/>
          <w:color w:val="auto"/>
          <w:sz w:val="32"/>
          <w:szCs w:val="32"/>
          <w:highlight w:val="none"/>
        </w:rPr>
      </w:pPr>
      <w:r>
        <w:rPr>
          <w:rFonts w:hint="eastAsia" w:eastAsia="仿宋_GB2312"/>
          <w:color w:val="auto"/>
          <w:lang w:eastAsia="zh-CN"/>
        </w:rPr>
        <w:drawing>
          <wp:inline distT="0" distB="0" distL="114300" distR="114300">
            <wp:extent cx="4895850" cy="2828925"/>
            <wp:effectExtent l="0" t="0" r="0" b="9525"/>
            <wp:docPr id="4" name="图片 4" descr="图1"/>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4" name="图片 4" descr="图1"/>
                    <pic:cNvPicPr>
                      <a:picLocks noChangeAspect="true"/>
                    </pic:cNvPicPr>
                  </pic:nvPicPr>
                  <pic:blipFill>
                    <a:blip r:embed="rId9"/>
                    <a:stretch>
                      <a:fillRect/>
                    </a:stretch>
                  </pic:blipFill>
                  <pic:spPr>
                    <a:xfrm>
                      <a:off x="0" y="0"/>
                      <a:ext cx="4895850" cy="2828925"/>
                    </a:xfrm>
                    <a:prstGeom prst="rect">
                      <a:avLst/>
                    </a:prstGeom>
                  </pic:spPr>
                </pic:pic>
              </a:graphicData>
            </a:graphic>
          </wp:inline>
        </w:drawing>
      </w:r>
    </w:p>
    <w:p>
      <w:pPr>
        <w:pageBreakBefore w:val="0"/>
        <w:kinsoku/>
        <w:wordWrap/>
        <w:overflowPunct/>
        <w:topLinePunct w:val="0"/>
        <w:bidi w:val="0"/>
        <w:spacing w:beforeAutospacing="0" w:afterAutospacing="0" w:line="560" w:lineRule="exact"/>
        <w:jc w:val="center"/>
        <w:outlineLvl w:val="1"/>
        <w:rPr>
          <w:rFonts w:hint="eastAsia" w:ascii="仿宋_GB2312" w:hAnsi="仿宋_GB2312" w:eastAsia="仿宋_GB2312" w:cs="仿宋_GB2312"/>
          <w:color w:val="auto"/>
          <w:sz w:val="32"/>
          <w:szCs w:val="32"/>
          <w:highlight w:val="none"/>
        </w:rPr>
      </w:pPr>
      <w:bookmarkStart w:id="40" w:name="_Toc29033"/>
      <w:r>
        <w:rPr>
          <w:rFonts w:hint="eastAsia" w:ascii="仿宋_GB2312" w:hAnsi="仿宋_GB2312" w:eastAsia="仿宋_GB2312" w:cs="仿宋_GB2312"/>
          <w:color w:val="auto"/>
          <w:sz w:val="32"/>
          <w:szCs w:val="32"/>
          <w:highlight w:val="none"/>
        </w:rPr>
        <w:t>（图4：财政拨款收、支决算总计变动情况）</w:t>
      </w:r>
      <w:bookmarkEnd w:id="40"/>
    </w:p>
    <w:p>
      <w:pPr>
        <w:pageBreakBefore w:val="0"/>
        <w:kinsoku/>
        <w:wordWrap/>
        <w:overflowPunct/>
        <w:topLinePunct w:val="0"/>
        <w:bidi w:val="0"/>
        <w:spacing w:beforeAutospacing="0" w:afterAutospacing="0" w:line="560" w:lineRule="exact"/>
        <w:ind w:firstLine="640" w:firstLineChars="200"/>
        <w:outlineLvl w:val="1"/>
        <w:rPr>
          <w:rStyle w:val="19"/>
          <w:rFonts w:ascii="黑体" w:hAnsi="黑体" w:eastAsia="黑体"/>
          <w:b w:val="0"/>
          <w:color w:val="auto"/>
          <w:highlight w:val="none"/>
        </w:rPr>
      </w:pPr>
      <w:bookmarkStart w:id="41" w:name="_Toc15377209"/>
      <w:bookmarkStart w:id="42" w:name="_Toc16514"/>
      <w:bookmarkStart w:id="43" w:name="_Toc15396607"/>
      <w:r>
        <w:rPr>
          <w:rFonts w:hint="eastAsia" w:ascii="黑体" w:hAnsi="黑体" w:eastAsia="黑体"/>
          <w:color w:val="auto"/>
          <w:sz w:val="32"/>
          <w:szCs w:val="32"/>
          <w:highlight w:val="none"/>
        </w:rPr>
        <w:t>五、</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般公共预算财政拨款支出决算情况说明</w:t>
      </w:r>
      <w:bookmarkEnd w:id="41"/>
      <w:bookmarkEnd w:id="42"/>
      <w:bookmarkEnd w:id="43"/>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44" w:name="_Toc15377210"/>
      <w:r>
        <w:rPr>
          <w:rFonts w:hint="eastAsia" w:ascii="方正楷体_GBK" w:hAnsi="方正楷体_GBK" w:eastAsia="方正楷体_GBK" w:cs="方正楷体_GBK"/>
          <w:b w:val="0"/>
          <w:bCs/>
          <w:color w:val="auto"/>
          <w:sz w:val="32"/>
          <w:szCs w:val="32"/>
          <w:highlight w:val="none"/>
        </w:rPr>
        <w:t>（一）一般公共预算财政拨款支出决算总体情况</w:t>
      </w:r>
      <w:bookmarkEnd w:id="44"/>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45" w:name="_Toc3861"/>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1243.83</w:t>
      </w:r>
      <w:r>
        <w:rPr>
          <w:rFonts w:hint="eastAsia" w:ascii="仿宋_GB2312" w:hAnsi="仿宋_GB2312" w:eastAsia="仿宋_GB2312" w:cs="仿宋_GB2312"/>
          <w:color w:val="auto"/>
          <w:sz w:val="32"/>
          <w:szCs w:val="32"/>
          <w:highlight w:val="none"/>
        </w:rPr>
        <w:t>万元，占本年支出合计的</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%。与20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年相比，一般公共预算财政拨款</w:t>
      </w:r>
      <w:r>
        <w:rPr>
          <w:rFonts w:hint="eastAsia" w:ascii="仿宋_GB2312" w:hAnsi="仿宋_GB2312" w:eastAsia="仿宋_GB2312" w:cs="仿宋_GB2312"/>
          <w:color w:val="auto"/>
          <w:sz w:val="32"/>
          <w:szCs w:val="32"/>
          <w:highlight w:val="none"/>
          <w:lang w:eastAsia="zh-CN"/>
        </w:rPr>
        <w:t>支出</w:t>
      </w:r>
      <w:r>
        <w:rPr>
          <w:rFonts w:hint="eastAsia" w:ascii="仿宋_GB2312" w:hAnsi="仿宋_GB2312" w:eastAsia="仿宋_GB2312" w:cs="仿宋_GB2312"/>
          <w:color w:val="auto"/>
          <w:sz w:val="32"/>
          <w:szCs w:val="32"/>
          <w:highlight w:val="none"/>
        </w:rPr>
        <w:t>增加</w:t>
      </w:r>
      <w:r>
        <w:rPr>
          <w:rFonts w:hint="eastAsia" w:ascii="仿宋_GB2312" w:hAnsi="仿宋_GB2312" w:eastAsia="仿宋_GB2312" w:cs="仿宋_GB2312"/>
          <w:color w:val="auto"/>
          <w:sz w:val="32"/>
          <w:szCs w:val="32"/>
          <w:highlight w:val="none"/>
          <w:lang w:val="en-US" w:eastAsia="zh-CN"/>
        </w:rPr>
        <w:t>204.62</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19.68</w:t>
      </w:r>
      <w:r>
        <w:rPr>
          <w:rFonts w:hint="eastAsia" w:ascii="仿宋_GB2312" w:hAnsi="仿宋_GB2312" w:eastAsia="仿宋_GB2312" w:cs="仿宋_GB2312"/>
          <w:color w:val="auto"/>
          <w:sz w:val="32"/>
          <w:szCs w:val="32"/>
          <w:highlight w:val="none"/>
        </w:rPr>
        <w:t>%。主要变动原因</w:t>
      </w:r>
      <w:r>
        <w:rPr>
          <w:rFonts w:hint="eastAsia" w:ascii="仿宋_GB2312" w:hAnsi="仿宋_GB2312" w:eastAsia="仿宋_GB2312" w:cs="仿宋_GB2312"/>
          <w:color w:val="auto"/>
          <w:sz w:val="32"/>
          <w:szCs w:val="32"/>
          <w:highlight w:val="none"/>
          <w:lang w:eastAsia="zh-CN"/>
        </w:rPr>
        <w:t>一是</w:t>
      </w:r>
      <w:r>
        <w:rPr>
          <w:rFonts w:hint="eastAsia" w:ascii="仿宋_GB2312" w:hAnsi="仿宋_GB2312" w:eastAsia="仿宋_GB2312" w:cs="仿宋_GB2312"/>
          <w:color w:val="auto"/>
          <w:sz w:val="32"/>
          <w:szCs w:val="32"/>
          <w:highlight w:val="none"/>
          <w:lang w:val="en-US" w:eastAsia="zh-CN"/>
        </w:rPr>
        <w:t>2022年争创全国民族团结进步示范市增加相应工作经费和创建工作经费；二是2022年年初结转结余数据大</w:t>
      </w:r>
      <w:r>
        <w:rPr>
          <w:rFonts w:hint="eastAsia" w:ascii="仿宋_GB2312" w:hAnsi="仿宋_GB2312" w:eastAsia="仿宋_GB2312" w:cs="仿宋_GB2312"/>
          <w:color w:val="auto"/>
          <w:sz w:val="32"/>
          <w:szCs w:val="32"/>
          <w:highlight w:val="none"/>
          <w:lang w:eastAsia="zh-CN"/>
        </w:rPr>
        <w:t>。</w:t>
      </w:r>
      <w:bookmarkEnd w:id="45"/>
    </w:p>
    <w:p>
      <w:pPr>
        <w:keepNext w:val="0"/>
        <w:keepLines w:val="0"/>
        <w:pageBreakBefore w:val="0"/>
        <w:widowControl w:val="0"/>
        <w:kinsoku/>
        <w:wordWrap/>
        <w:overflowPunct/>
        <w:topLinePunct w:val="0"/>
        <w:autoSpaceDE/>
        <w:autoSpaceDN/>
        <w:bidi w:val="0"/>
        <w:adjustRightInd/>
        <w:snapToGrid/>
        <w:spacing w:beforeAutospacing="0" w:afterAutospacing="0" w:line="240" w:lineRule="auto"/>
        <w:jc w:val="center"/>
        <w:textAlignment w:val="auto"/>
        <w:rPr>
          <w:rFonts w:hint="eastAsia" w:ascii="仿宋" w:hAnsi="仿宋" w:eastAsia="仿宋"/>
          <w:color w:val="auto"/>
          <w:sz w:val="32"/>
          <w:szCs w:val="32"/>
          <w:highlight w:val="none"/>
          <w:lang w:eastAsia="zh-CN"/>
        </w:rPr>
      </w:pPr>
      <w:r>
        <w:rPr>
          <w:rFonts w:hint="eastAsia" w:ascii="仿宋" w:hAnsi="仿宋" w:eastAsia="仿宋"/>
          <w:color w:val="auto"/>
          <w:sz w:val="32"/>
          <w:szCs w:val="32"/>
          <w:highlight w:val="none"/>
          <w:lang w:eastAsia="zh-CN"/>
        </w:rPr>
        <w:drawing>
          <wp:inline distT="0" distB="0" distL="114300" distR="114300">
            <wp:extent cx="4747260" cy="2743200"/>
            <wp:effectExtent l="0" t="0" r="15240" b="0"/>
            <wp:docPr id="5" name="图片 5" descr="图5"/>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5" name="图片 5" descr="图5"/>
                    <pic:cNvPicPr>
                      <a:picLocks noChangeAspect="true"/>
                    </pic:cNvPicPr>
                  </pic:nvPicPr>
                  <pic:blipFill>
                    <a:blip r:embed="rId12"/>
                    <a:stretch>
                      <a:fillRect/>
                    </a:stretch>
                  </pic:blipFill>
                  <pic:spPr>
                    <a:xfrm>
                      <a:off x="0" y="0"/>
                      <a:ext cx="4747260" cy="2743200"/>
                    </a:xfrm>
                    <a:prstGeom prst="rect">
                      <a:avLst/>
                    </a:prstGeom>
                  </pic:spPr>
                </pic:pic>
              </a:graphicData>
            </a:graphic>
          </wp:inline>
        </w:drawing>
      </w:r>
    </w:p>
    <w:p>
      <w:pPr>
        <w:pageBreakBefore w:val="0"/>
        <w:kinsoku/>
        <w:wordWrap/>
        <w:overflowPunct/>
        <w:topLinePunct w:val="0"/>
        <w:bidi w:val="0"/>
        <w:spacing w:beforeAutospacing="0" w:afterAutospacing="0" w:line="560" w:lineRule="exact"/>
        <w:jc w:val="center"/>
        <w:rPr>
          <w:rFonts w:hint="eastAsia" w:ascii="仿宋_GB2312" w:hAnsi="仿宋_GB2312" w:eastAsia="仿宋_GB2312" w:cs="仿宋_GB2312"/>
          <w:color w:val="auto"/>
          <w:sz w:val="32"/>
          <w:szCs w:val="32"/>
          <w:highlight w:val="none"/>
        </w:rPr>
      </w:pPr>
      <w:r>
        <w:rPr>
          <w:rFonts w:hint="eastAsia" w:ascii="仿宋_GB2312" w:hAnsi="仿宋_GB2312" w:eastAsia="仿宋_GB2312" w:cs="仿宋_GB2312"/>
          <w:color w:val="auto"/>
          <w:sz w:val="32"/>
          <w:szCs w:val="32"/>
          <w:highlight w:val="none"/>
        </w:rPr>
        <w:t>（图5：一般公共预算财政拨款支出决算变动情况）</w:t>
      </w:r>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46" w:name="_Toc15377211"/>
      <w:r>
        <w:rPr>
          <w:rFonts w:hint="eastAsia" w:ascii="方正楷体_GBK" w:hAnsi="方正楷体_GBK" w:eastAsia="方正楷体_GBK" w:cs="方正楷体_GBK"/>
          <w:b w:val="0"/>
          <w:bCs/>
          <w:color w:val="auto"/>
          <w:sz w:val="32"/>
          <w:szCs w:val="32"/>
          <w:highlight w:val="none"/>
        </w:rPr>
        <w:t>（二）一般公共预算财政拨款支出决算结构情况</w:t>
      </w:r>
      <w:bookmarkEnd w:id="46"/>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47" w:name="_Toc23219"/>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年一般公共预算财政拨款支出</w:t>
      </w:r>
      <w:r>
        <w:rPr>
          <w:rFonts w:hint="eastAsia" w:ascii="仿宋_GB2312" w:hAnsi="仿宋_GB2312" w:eastAsia="仿宋_GB2312" w:cs="仿宋_GB2312"/>
          <w:color w:val="auto"/>
          <w:sz w:val="32"/>
          <w:szCs w:val="32"/>
          <w:highlight w:val="none"/>
          <w:lang w:val="en-US" w:eastAsia="zh-CN"/>
        </w:rPr>
        <w:t>1243.83</w:t>
      </w:r>
      <w:r>
        <w:rPr>
          <w:rFonts w:hint="eastAsia" w:ascii="仿宋_GB2312" w:hAnsi="仿宋_GB2312" w:eastAsia="仿宋_GB2312" w:cs="仿宋_GB2312"/>
          <w:color w:val="auto"/>
          <w:sz w:val="32"/>
          <w:szCs w:val="32"/>
          <w:highlight w:val="none"/>
        </w:rPr>
        <w:t>万元，主要用于以下方面:</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般公共服务支出</w:t>
      </w:r>
      <w:r>
        <w:rPr>
          <w:rFonts w:hint="eastAsia" w:ascii="仿宋_GB2312" w:hAnsi="仿宋_GB2312" w:eastAsia="仿宋_GB2312" w:cs="仿宋_GB2312"/>
          <w:color w:val="auto"/>
          <w:sz w:val="32"/>
          <w:szCs w:val="32"/>
          <w:highlight w:val="none"/>
          <w:lang w:val="en-US" w:eastAsia="zh-CN"/>
        </w:rPr>
        <w:t>1091.96</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87.79</w:t>
      </w:r>
      <w:r>
        <w:rPr>
          <w:rFonts w:hint="eastAsia" w:ascii="仿宋_GB2312" w:hAnsi="仿宋_GB2312" w:eastAsia="仿宋_GB2312" w:cs="仿宋_GB2312"/>
          <w:color w:val="auto"/>
          <w:sz w:val="32"/>
          <w:szCs w:val="32"/>
          <w:highlight w:val="none"/>
        </w:rPr>
        <w:t>%；社会保障和就业支出</w:t>
      </w:r>
      <w:r>
        <w:rPr>
          <w:rFonts w:hint="eastAsia" w:ascii="仿宋_GB2312" w:hAnsi="仿宋_GB2312" w:eastAsia="仿宋_GB2312" w:cs="仿宋_GB2312"/>
          <w:color w:val="auto"/>
          <w:sz w:val="32"/>
          <w:szCs w:val="32"/>
          <w:highlight w:val="none"/>
          <w:lang w:val="en-US" w:eastAsia="zh-CN"/>
        </w:rPr>
        <w:t>63.75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5.12</w:t>
      </w:r>
      <w:r>
        <w:rPr>
          <w:rFonts w:hint="eastAsia" w:ascii="仿宋_GB2312" w:hAnsi="仿宋_GB2312" w:eastAsia="仿宋_GB2312" w:cs="仿宋_GB2312"/>
          <w:color w:val="auto"/>
          <w:sz w:val="32"/>
          <w:szCs w:val="32"/>
          <w:highlight w:val="none"/>
        </w:rPr>
        <w:t>%；卫生健康支出</w:t>
      </w:r>
      <w:r>
        <w:rPr>
          <w:rFonts w:hint="eastAsia" w:ascii="仿宋_GB2312" w:hAnsi="仿宋_GB2312" w:eastAsia="仿宋_GB2312" w:cs="仿宋_GB2312"/>
          <w:color w:val="auto"/>
          <w:sz w:val="32"/>
          <w:szCs w:val="32"/>
          <w:highlight w:val="none"/>
          <w:lang w:val="en-US" w:eastAsia="zh-CN"/>
        </w:rPr>
        <w:t>25.95</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2.08</w:t>
      </w:r>
      <w:r>
        <w:rPr>
          <w:rFonts w:hint="eastAsia" w:ascii="仿宋_GB2312" w:hAnsi="仿宋_GB2312" w:eastAsia="仿宋_GB2312" w:cs="仿宋_GB2312"/>
          <w:color w:val="auto"/>
          <w:sz w:val="32"/>
          <w:szCs w:val="32"/>
          <w:highlight w:val="none"/>
        </w:rPr>
        <w:t>%；住房保障支出</w:t>
      </w:r>
      <w:r>
        <w:rPr>
          <w:rFonts w:hint="eastAsia" w:ascii="仿宋_GB2312" w:hAnsi="仿宋_GB2312" w:eastAsia="仿宋_GB2312" w:cs="仿宋_GB2312"/>
          <w:color w:val="auto"/>
          <w:sz w:val="32"/>
          <w:szCs w:val="32"/>
          <w:highlight w:val="none"/>
          <w:lang w:val="en-US" w:eastAsia="zh-CN"/>
        </w:rPr>
        <w:t>62.18</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5.01</w:t>
      </w:r>
      <w:r>
        <w:rPr>
          <w:rFonts w:hint="eastAsia" w:ascii="仿宋_GB2312" w:hAnsi="仿宋_GB2312" w:eastAsia="仿宋_GB2312" w:cs="仿宋_GB2312"/>
          <w:color w:val="auto"/>
          <w:sz w:val="32"/>
          <w:szCs w:val="32"/>
          <w:highlight w:val="none"/>
        </w:rPr>
        <w:t>%。</w:t>
      </w:r>
      <w:bookmarkEnd w:id="47"/>
    </w:p>
    <w:p>
      <w:pPr>
        <w:pStyle w:val="16"/>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baseline"/>
        <w:rPr>
          <w:rFonts w:hint="eastAsia" w:eastAsia="仿宋"/>
          <w:color w:val="auto"/>
          <w:lang w:eastAsia="zh-CN"/>
        </w:rPr>
      </w:pPr>
      <w:r>
        <w:rPr>
          <w:rFonts w:hint="eastAsia" w:eastAsia="仿宋"/>
          <w:color w:val="auto"/>
          <w:lang w:eastAsia="zh-CN"/>
        </w:rPr>
        <w:drawing>
          <wp:inline distT="0" distB="0" distL="114300" distR="114300">
            <wp:extent cx="4689475" cy="2740660"/>
            <wp:effectExtent l="0" t="0" r="15875" b="2540"/>
            <wp:docPr id="7" name="图片 7" descr="图6"/>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7" name="图片 7" descr="图6"/>
                    <pic:cNvPicPr>
                      <a:picLocks noChangeAspect="true"/>
                    </pic:cNvPicPr>
                  </pic:nvPicPr>
                  <pic:blipFill>
                    <a:blip r:embed="rId13"/>
                    <a:stretch>
                      <a:fillRect/>
                    </a:stretch>
                  </pic:blipFill>
                  <pic:spPr>
                    <a:xfrm>
                      <a:off x="0" y="0"/>
                      <a:ext cx="4689475" cy="2740660"/>
                    </a:xfrm>
                    <a:prstGeom prst="rect">
                      <a:avLst/>
                    </a:prstGeom>
                  </pic:spPr>
                </pic:pic>
              </a:graphicData>
            </a:graphic>
          </wp:inline>
        </w:drawing>
      </w:r>
    </w:p>
    <w:p>
      <w:pPr>
        <w:pageBreakBefore w:val="0"/>
        <w:kinsoku/>
        <w:wordWrap/>
        <w:overflowPunct/>
        <w:topLinePunct w:val="0"/>
        <w:bidi w:val="0"/>
        <w:spacing w:beforeAutospacing="0" w:afterAutospacing="0" w:line="560" w:lineRule="exact"/>
        <w:jc w:val="center"/>
        <w:outlineLvl w:val="1"/>
        <w:rPr>
          <w:rFonts w:hint="eastAsia" w:ascii="仿宋_GB2312" w:hAnsi="仿宋_GB2312" w:eastAsia="仿宋_GB2312" w:cs="仿宋_GB2312"/>
          <w:color w:val="auto"/>
          <w:sz w:val="32"/>
          <w:szCs w:val="32"/>
          <w:highlight w:val="none"/>
        </w:rPr>
      </w:pPr>
      <w:bookmarkStart w:id="48" w:name="_Toc20744"/>
      <w:r>
        <w:rPr>
          <w:rFonts w:hint="eastAsia" w:ascii="仿宋_GB2312" w:hAnsi="仿宋_GB2312" w:eastAsia="仿宋_GB2312" w:cs="仿宋_GB2312"/>
          <w:color w:val="auto"/>
          <w:sz w:val="32"/>
          <w:szCs w:val="32"/>
          <w:highlight w:val="none"/>
        </w:rPr>
        <w:t>（图6：一般公共预算财政拨款支出决算结构）</w:t>
      </w:r>
      <w:bookmarkEnd w:id="48"/>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49" w:name="_Toc15377212"/>
      <w:r>
        <w:rPr>
          <w:rFonts w:hint="eastAsia" w:ascii="方正楷体_GBK" w:hAnsi="方正楷体_GBK" w:eastAsia="方正楷体_GBK" w:cs="方正楷体_GBK"/>
          <w:b w:val="0"/>
          <w:bCs/>
          <w:color w:val="auto"/>
          <w:sz w:val="32"/>
          <w:szCs w:val="32"/>
          <w:highlight w:val="none"/>
        </w:rPr>
        <w:t>（三）一般公共预算财政拨款支出决算具体情况</w:t>
      </w:r>
      <w:bookmarkEnd w:id="49"/>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50" w:name="_Toc15377213"/>
      <w:bookmarkStart w:id="51" w:name="_Toc15377444"/>
      <w:bookmarkStart w:id="52" w:name="_Toc9453"/>
      <w:bookmarkStart w:id="53" w:name="_Toc15378460"/>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w:t>
      </w:r>
      <w:r>
        <w:rPr>
          <w:rFonts w:hint="eastAsia" w:ascii="仿宋_GB2312" w:hAnsi="仿宋_GB2312" w:eastAsia="仿宋_GB2312" w:cs="仿宋_GB2312"/>
          <w:color w:val="auto"/>
          <w:sz w:val="32"/>
          <w:szCs w:val="32"/>
          <w:highlight w:val="none"/>
          <w:lang w:eastAsia="zh-CN"/>
        </w:rPr>
        <w:t>一</w:t>
      </w:r>
      <w:r>
        <w:rPr>
          <w:rFonts w:hint="eastAsia" w:ascii="仿宋_GB2312" w:hAnsi="仿宋_GB2312" w:eastAsia="仿宋_GB2312" w:cs="仿宋_GB2312"/>
          <w:color w:val="auto"/>
          <w:sz w:val="32"/>
          <w:szCs w:val="32"/>
          <w:highlight w:val="none"/>
        </w:rPr>
        <w:t>般公共预算支出决算数为</w:t>
      </w:r>
      <w:r>
        <w:rPr>
          <w:rFonts w:hint="eastAsia" w:ascii="仿宋_GB2312" w:hAnsi="仿宋_GB2312" w:eastAsia="仿宋_GB2312" w:cs="仿宋_GB2312"/>
          <w:color w:val="auto"/>
          <w:sz w:val="32"/>
          <w:szCs w:val="32"/>
          <w:highlight w:val="none"/>
          <w:lang w:val="en-US" w:eastAsia="zh-CN"/>
        </w:rPr>
        <w:t>1243.83</w:t>
      </w:r>
      <w:r>
        <w:rPr>
          <w:rFonts w:hint="eastAsia" w:ascii="仿宋_GB2312" w:hAnsi="仿宋_GB2312" w:eastAsia="仿宋_GB2312" w:cs="仿宋_GB2312"/>
          <w:color w:val="auto"/>
          <w:sz w:val="32"/>
          <w:szCs w:val="32"/>
          <w:highlight w:val="none"/>
        </w:rPr>
        <w:t>，完成预算</w:t>
      </w:r>
      <w:r>
        <w:rPr>
          <w:rFonts w:hint="eastAsia" w:ascii="仿宋_GB2312" w:hAnsi="仿宋_GB2312" w:eastAsia="仿宋_GB2312" w:cs="仿宋_GB2312"/>
          <w:color w:val="auto"/>
          <w:sz w:val="32"/>
          <w:szCs w:val="32"/>
          <w:highlight w:val="none"/>
          <w:lang w:val="en-US" w:eastAsia="zh-CN"/>
        </w:rPr>
        <w:t>99.91</w:t>
      </w:r>
      <w:r>
        <w:rPr>
          <w:rFonts w:hint="eastAsia" w:ascii="仿宋_GB2312" w:hAnsi="仿宋_GB2312" w:eastAsia="仿宋_GB2312" w:cs="仿宋_GB2312"/>
          <w:color w:val="auto"/>
          <w:sz w:val="32"/>
          <w:szCs w:val="32"/>
          <w:highlight w:val="none"/>
        </w:rPr>
        <w:t>%。其中：</w:t>
      </w:r>
      <w:bookmarkEnd w:id="50"/>
      <w:bookmarkEnd w:id="51"/>
      <w:bookmarkEnd w:id="52"/>
      <w:bookmarkEnd w:id="53"/>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lang w:eastAsia="zh-CN"/>
        </w:rPr>
      </w:pPr>
      <w:bookmarkStart w:id="54" w:name="_Toc32059"/>
      <w:r>
        <w:rPr>
          <w:rFonts w:hint="eastAsia" w:ascii="仿宋_GB2312" w:hAnsi="仿宋_GB2312" w:eastAsia="仿宋_GB2312" w:cs="仿宋_GB2312"/>
          <w:color w:val="auto"/>
          <w:sz w:val="32"/>
          <w:szCs w:val="32"/>
          <w:highlight w:val="none"/>
        </w:rPr>
        <w:t>1.一般公共服务（类）</w:t>
      </w:r>
      <w:r>
        <w:rPr>
          <w:rFonts w:hint="eastAsia" w:ascii="仿宋_GB2312" w:hAnsi="仿宋_GB2312" w:eastAsia="仿宋_GB2312" w:cs="仿宋_GB2312"/>
          <w:color w:val="auto"/>
          <w:sz w:val="32"/>
          <w:szCs w:val="32"/>
          <w:highlight w:val="none"/>
          <w:lang w:eastAsia="zh-CN"/>
        </w:rPr>
        <w:t>统战事务</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行政运行</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 支出决算为</w:t>
      </w:r>
      <w:r>
        <w:rPr>
          <w:rFonts w:hint="eastAsia" w:ascii="仿宋_GB2312" w:hAnsi="仿宋_GB2312" w:eastAsia="仿宋_GB2312" w:cs="仿宋_GB2312"/>
          <w:color w:val="auto"/>
          <w:sz w:val="32"/>
          <w:szCs w:val="32"/>
          <w:highlight w:val="none"/>
          <w:lang w:val="en-US" w:eastAsia="zh-CN"/>
        </w:rPr>
        <w:t>485.53</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99.76</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决算数与预算数基本持平。</w:t>
      </w:r>
      <w:bookmarkEnd w:id="54"/>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55" w:name="_Toc20044"/>
      <w:r>
        <w:rPr>
          <w:rFonts w:hint="eastAsia" w:ascii="仿宋_GB2312" w:hAnsi="仿宋_GB2312" w:eastAsia="仿宋_GB2312" w:cs="仿宋_GB2312"/>
          <w:color w:val="auto"/>
          <w:sz w:val="32"/>
          <w:szCs w:val="32"/>
          <w:highlight w:val="none"/>
        </w:rPr>
        <w:t>2.一般公共服务（类）</w:t>
      </w:r>
      <w:r>
        <w:rPr>
          <w:rFonts w:hint="eastAsia" w:ascii="仿宋_GB2312" w:hAnsi="仿宋_GB2312" w:eastAsia="仿宋_GB2312" w:cs="仿宋_GB2312"/>
          <w:color w:val="auto"/>
          <w:sz w:val="32"/>
          <w:szCs w:val="32"/>
          <w:highlight w:val="none"/>
          <w:lang w:eastAsia="zh-CN"/>
        </w:rPr>
        <w:t>统战事务</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一般行政管理事务</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 支出决算为</w:t>
      </w:r>
      <w:r>
        <w:rPr>
          <w:rFonts w:hint="eastAsia" w:ascii="仿宋_GB2312" w:hAnsi="仿宋_GB2312" w:eastAsia="仿宋_GB2312" w:cs="仿宋_GB2312"/>
          <w:color w:val="auto"/>
          <w:sz w:val="32"/>
          <w:szCs w:val="32"/>
          <w:highlight w:val="none"/>
          <w:lang w:val="en-US" w:eastAsia="zh-CN"/>
        </w:rPr>
        <w:t>306.62</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55"/>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56" w:name="_Toc2909"/>
      <w:r>
        <w:rPr>
          <w:rFonts w:hint="eastAsia" w:ascii="仿宋_GB2312" w:hAnsi="仿宋_GB2312" w:eastAsia="仿宋_GB2312" w:cs="仿宋_GB2312"/>
          <w:color w:val="auto"/>
          <w:sz w:val="32"/>
          <w:szCs w:val="32"/>
          <w:highlight w:val="none"/>
        </w:rPr>
        <w:t>3.一般公共服务（类）</w:t>
      </w:r>
      <w:r>
        <w:rPr>
          <w:rFonts w:hint="eastAsia" w:ascii="仿宋_GB2312" w:hAnsi="仿宋_GB2312" w:eastAsia="仿宋_GB2312" w:cs="仿宋_GB2312"/>
          <w:color w:val="auto"/>
          <w:sz w:val="32"/>
          <w:szCs w:val="32"/>
          <w:highlight w:val="none"/>
          <w:lang w:eastAsia="zh-CN"/>
        </w:rPr>
        <w:t>统战事务</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事业运行</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 xml:space="preserve"> 支出决算为</w:t>
      </w:r>
      <w:r>
        <w:rPr>
          <w:rFonts w:hint="eastAsia" w:ascii="仿宋_GB2312" w:hAnsi="仿宋_GB2312" w:eastAsia="仿宋_GB2312" w:cs="仿宋_GB2312"/>
          <w:color w:val="auto"/>
          <w:sz w:val="32"/>
          <w:szCs w:val="32"/>
          <w:highlight w:val="none"/>
          <w:lang w:val="en-US" w:eastAsia="zh-CN"/>
        </w:rPr>
        <w:t>299.8</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56"/>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57" w:name="_Toc18642"/>
      <w:r>
        <w:rPr>
          <w:rFonts w:hint="eastAsia" w:ascii="仿宋_GB2312" w:hAnsi="仿宋_GB2312" w:eastAsia="仿宋_GB2312" w:cs="仿宋_GB2312"/>
          <w:color w:val="auto"/>
          <w:sz w:val="32"/>
          <w:szCs w:val="32"/>
          <w:highlight w:val="none"/>
        </w:rPr>
        <w:t>4.社会保障和就业（类）</w:t>
      </w:r>
      <w:r>
        <w:rPr>
          <w:rFonts w:hint="eastAsia" w:ascii="仿宋_GB2312" w:hAnsi="仿宋_GB2312" w:eastAsia="仿宋_GB2312" w:cs="仿宋_GB2312"/>
          <w:color w:val="auto"/>
          <w:sz w:val="32"/>
          <w:szCs w:val="32"/>
          <w:highlight w:val="none"/>
          <w:lang w:eastAsia="zh-CN"/>
        </w:rPr>
        <w:t>行政事业单位养老支出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机关事业单位基本养老保险缴费支出</w:t>
      </w:r>
      <w:r>
        <w:rPr>
          <w:rFonts w:hint="eastAsia" w:ascii="仿宋_GB2312" w:hAnsi="仿宋_GB2312" w:eastAsia="仿宋_GB2312" w:cs="仿宋_GB2312"/>
          <w:color w:val="auto"/>
          <w:sz w:val="32"/>
          <w:szCs w:val="32"/>
          <w:highlight w:val="none"/>
          <w:lang w:val="en-US" w:eastAsia="zh-CN"/>
        </w:rPr>
        <w:t>（项）：</w:t>
      </w:r>
      <w:r>
        <w:rPr>
          <w:rFonts w:hint="eastAsia" w:ascii="仿宋_GB2312" w:hAnsi="仿宋_GB2312" w:eastAsia="仿宋_GB2312" w:cs="仿宋_GB2312"/>
          <w:color w:val="auto"/>
          <w:sz w:val="32"/>
          <w:szCs w:val="32"/>
          <w:highlight w:val="none"/>
        </w:rPr>
        <w:t xml:space="preserve"> 支出决算为</w:t>
      </w:r>
      <w:r>
        <w:rPr>
          <w:rFonts w:hint="eastAsia" w:ascii="仿宋_GB2312" w:hAnsi="仿宋_GB2312" w:eastAsia="仿宋_GB2312" w:cs="仿宋_GB2312"/>
          <w:color w:val="auto"/>
          <w:sz w:val="32"/>
          <w:szCs w:val="32"/>
          <w:highlight w:val="none"/>
          <w:lang w:val="en-US" w:eastAsia="zh-CN"/>
        </w:rPr>
        <w:t>47.36</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57"/>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58" w:name="_Toc25129"/>
      <w:r>
        <w:rPr>
          <w:rFonts w:hint="eastAsia" w:ascii="仿宋_GB2312" w:hAnsi="仿宋_GB2312" w:eastAsia="仿宋_GB2312" w:cs="仿宋_GB2312"/>
          <w:color w:val="auto"/>
          <w:sz w:val="32"/>
          <w:szCs w:val="32"/>
          <w:highlight w:val="none"/>
        </w:rPr>
        <w:t>5.社会保障和就业（类）</w:t>
      </w:r>
      <w:r>
        <w:rPr>
          <w:rFonts w:hint="eastAsia" w:ascii="仿宋_GB2312" w:hAnsi="仿宋_GB2312" w:eastAsia="仿宋_GB2312" w:cs="仿宋_GB2312"/>
          <w:color w:val="auto"/>
          <w:sz w:val="32"/>
          <w:szCs w:val="32"/>
          <w:highlight w:val="none"/>
          <w:lang w:eastAsia="zh-CN"/>
        </w:rPr>
        <w:t>行政事业单位养老支出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机关事业单位职业年金缴费支出</w:t>
      </w:r>
      <w:r>
        <w:rPr>
          <w:rFonts w:hint="eastAsia" w:ascii="仿宋_GB2312" w:hAnsi="仿宋_GB2312" w:eastAsia="仿宋_GB2312" w:cs="仿宋_GB2312"/>
          <w:color w:val="auto"/>
          <w:sz w:val="32"/>
          <w:szCs w:val="32"/>
          <w:highlight w:val="none"/>
          <w:lang w:val="en-US" w:eastAsia="zh-CN"/>
        </w:rPr>
        <w:t>（项）：</w:t>
      </w:r>
      <w:r>
        <w:rPr>
          <w:rFonts w:hint="eastAsia" w:ascii="仿宋_GB2312" w:hAnsi="仿宋_GB2312" w:eastAsia="仿宋_GB2312" w:cs="仿宋_GB2312"/>
          <w:color w:val="auto"/>
          <w:sz w:val="32"/>
          <w:szCs w:val="32"/>
          <w:highlight w:val="none"/>
        </w:rPr>
        <w:t xml:space="preserve"> 支出决算为</w:t>
      </w:r>
      <w:r>
        <w:rPr>
          <w:rFonts w:hint="eastAsia" w:ascii="仿宋_GB2312" w:hAnsi="仿宋_GB2312" w:eastAsia="仿宋_GB2312" w:cs="仿宋_GB2312"/>
          <w:color w:val="auto"/>
          <w:sz w:val="32"/>
          <w:szCs w:val="32"/>
          <w:highlight w:val="none"/>
          <w:lang w:val="en-US" w:eastAsia="zh-CN"/>
        </w:rPr>
        <w:t>16.39</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58"/>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59" w:name="_Toc20975"/>
      <w:r>
        <w:rPr>
          <w:rFonts w:hint="eastAsia" w:ascii="仿宋_GB2312" w:hAnsi="仿宋_GB2312" w:eastAsia="仿宋_GB2312" w:cs="仿宋_GB2312"/>
          <w:color w:val="auto"/>
          <w:sz w:val="32"/>
          <w:szCs w:val="32"/>
          <w:highlight w:val="none"/>
        </w:rPr>
        <w:t>6.卫生健康（类）</w:t>
      </w:r>
      <w:r>
        <w:rPr>
          <w:rFonts w:hint="eastAsia" w:ascii="仿宋_GB2312" w:hAnsi="仿宋_GB2312" w:eastAsia="仿宋_GB2312" w:cs="仿宋_GB2312"/>
          <w:color w:val="auto"/>
          <w:sz w:val="32"/>
          <w:szCs w:val="32"/>
          <w:highlight w:val="none"/>
          <w:lang w:eastAsia="zh-CN"/>
        </w:rPr>
        <w:t>行政事业单位医疗</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行政单位医疗</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25.95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59"/>
    </w:p>
    <w:p>
      <w:pPr>
        <w:pageBreakBefore w:val="0"/>
        <w:kinsoku/>
        <w:wordWrap/>
        <w:overflowPunct/>
        <w:topLinePunct w:val="0"/>
        <w:bidi w:val="0"/>
        <w:spacing w:beforeAutospacing="0" w:afterAutospacing="0" w:line="560" w:lineRule="exact"/>
        <w:ind w:firstLine="640" w:firstLineChars="200"/>
        <w:outlineLvl w:val="1"/>
        <w:rPr>
          <w:rStyle w:val="14"/>
          <w:rFonts w:hint="eastAsia" w:ascii="仿宋" w:hAnsi="仿宋" w:eastAsia="仿宋"/>
          <w:b w:val="0"/>
          <w:bCs/>
          <w:color w:val="auto"/>
          <w:sz w:val="32"/>
          <w:szCs w:val="32"/>
          <w:highlight w:val="none"/>
          <w:lang w:val="en-US" w:eastAsia="zh-CN"/>
        </w:rPr>
      </w:pPr>
      <w:bookmarkStart w:id="60" w:name="_Toc31855"/>
      <w:r>
        <w:rPr>
          <w:rFonts w:hint="eastAsia" w:ascii="仿宋_GB2312" w:hAnsi="仿宋_GB2312" w:eastAsia="仿宋_GB2312" w:cs="仿宋_GB2312"/>
          <w:color w:val="auto"/>
          <w:sz w:val="32"/>
          <w:szCs w:val="32"/>
          <w:highlight w:val="none"/>
          <w:lang w:val="en-US" w:eastAsia="zh-CN"/>
        </w:rPr>
        <w:t>7.</w:t>
      </w:r>
      <w:r>
        <w:rPr>
          <w:rFonts w:hint="eastAsia" w:ascii="仿宋_GB2312" w:hAnsi="仿宋_GB2312" w:eastAsia="仿宋_GB2312" w:cs="仿宋_GB2312"/>
          <w:color w:val="auto"/>
          <w:sz w:val="32"/>
          <w:szCs w:val="32"/>
          <w:highlight w:val="none"/>
          <w:lang w:eastAsia="zh-CN"/>
        </w:rPr>
        <w:t>住房保障支出</w:t>
      </w:r>
      <w:r>
        <w:rPr>
          <w:rFonts w:hint="eastAsia" w:ascii="仿宋_GB2312" w:hAnsi="仿宋_GB2312" w:eastAsia="仿宋_GB2312" w:cs="仿宋_GB2312"/>
          <w:color w:val="auto"/>
          <w:sz w:val="32"/>
          <w:szCs w:val="32"/>
          <w:highlight w:val="none"/>
        </w:rPr>
        <w:t>（类）</w:t>
      </w:r>
      <w:r>
        <w:rPr>
          <w:rFonts w:hint="eastAsia" w:ascii="仿宋_GB2312" w:hAnsi="仿宋_GB2312" w:eastAsia="仿宋_GB2312" w:cs="仿宋_GB2312"/>
          <w:color w:val="auto"/>
          <w:sz w:val="32"/>
          <w:szCs w:val="32"/>
          <w:highlight w:val="none"/>
          <w:lang w:eastAsia="zh-CN"/>
        </w:rPr>
        <w:t>住房改革支出</w:t>
      </w:r>
      <w:r>
        <w:rPr>
          <w:rFonts w:hint="eastAsia" w:ascii="仿宋_GB2312" w:hAnsi="仿宋_GB2312" w:eastAsia="仿宋_GB2312" w:cs="仿宋_GB2312"/>
          <w:color w:val="auto"/>
          <w:sz w:val="32"/>
          <w:szCs w:val="32"/>
          <w:highlight w:val="none"/>
        </w:rPr>
        <w:t>（款）</w:t>
      </w:r>
      <w:r>
        <w:rPr>
          <w:rFonts w:hint="eastAsia" w:ascii="仿宋_GB2312" w:hAnsi="仿宋_GB2312" w:eastAsia="仿宋_GB2312" w:cs="仿宋_GB2312"/>
          <w:color w:val="auto"/>
          <w:sz w:val="32"/>
          <w:szCs w:val="32"/>
          <w:highlight w:val="none"/>
          <w:lang w:eastAsia="zh-CN"/>
        </w:rPr>
        <w:t>住房公积金</w:t>
      </w:r>
      <w:r>
        <w:rPr>
          <w:rFonts w:hint="eastAsia" w:ascii="仿宋_GB2312" w:hAnsi="仿宋_GB2312" w:eastAsia="仿宋_GB2312" w:cs="仿宋_GB2312"/>
          <w:color w:val="auto"/>
          <w:sz w:val="32"/>
          <w:szCs w:val="32"/>
          <w:highlight w:val="none"/>
        </w:rPr>
        <w:t>（项）</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支出决算为</w:t>
      </w:r>
      <w:r>
        <w:rPr>
          <w:rFonts w:hint="eastAsia" w:ascii="仿宋_GB2312" w:hAnsi="仿宋_GB2312" w:eastAsia="仿宋_GB2312" w:cs="仿宋_GB2312"/>
          <w:color w:val="auto"/>
          <w:sz w:val="32"/>
          <w:szCs w:val="32"/>
          <w:highlight w:val="none"/>
          <w:lang w:val="en-US" w:eastAsia="zh-CN"/>
        </w:rPr>
        <w:t>62.18</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bookmarkEnd w:id="60"/>
      <w:bookmarkStart w:id="61" w:name="_Toc15377214"/>
      <w:bookmarkStart w:id="62" w:name="_Toc15396608"/>
      <w:r>
        <w:rPr>
          <w:rFonts w:hint="eastAsia" w:ascii="仿宋_GB2312" w:hAnsi="仿宋_GB2312" w:eastAsia="仿宋_GB2312" w:cs="仿宋_GB2312"/>
          <w:color w:val="auto"/>
          <w:sz w:val="32"/>
          <w:szCs w:val="32"/>
          <w:highlight w:val="none"/>
          <w:lang w:val="en-US" w:eastAsia="zh-CN"/>
        </w:rPr>
        <w:t xml:space="preserve">  </w:t>
      </w:r>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1"/>
        <w:rPr>
          <w:rStyle w:val="19"/>
          <w:color w:val="auto"/>
          <w:highlight w:val="none"/>
        </w:rPr>
      </w:pPr>
      <w:bookmarkStart w:id="63" w:name="_Toc18404"/>
      <w:r>
        <w:rPr>
          <w:rFonts w:hint="eastAsia" w:ascii="黑体" w:eastAsia="黑体"/>
          <w:color w:val="auto"/>
          <w:sz w:val="32"/>
          <w:szCs w:val="32"/>
          <w:highlight w:val="none"/>
        </w:rPr>
        <w:t>六</w:t>
      </w:r>
      <w:r>
        <w:rPr>
          <w:rFonts w:hint="eastAsia" w:ascii="黑体" w:eastAsia="黑体"/>
          <w:b/>
          <w:color w:val="auto"/>
          <w:sz w:val="32"/>
          <w:szCs w:val="32"/>
          <w:highlight w:val="none"/>
        </w:rPr>
        <w:t>、</w:t>
      </w:r>
      <w:r>
        <w:rPr>
          <w:rFonts w:hint="eastAsia" w:ascii="黑体" w:hAnsi="黑体" w:eastAsia="黑体"/>
          <w:b/>
          <w:color w:val="auto"/>
          <w:sz w:val="32"/>
          <w:szCs w:val="32"/>
          <w:highlight w:val="none"/>
        </w:rPr>
        <w:t>一</w:t>
      </w:r>
      <w:r>
        <w:rPr>
          <w:rStyle w:val="19"/>
          <w:rFonts w:hint="eastAsia" w:ascii="黑体" w:hAnsi="黑体" w:eastAsia="黑体"/>
          <w:b w:val="0"/>
          <w:color w:val="auto"/>
          <w:highlight w:val="none"/>
        </w:rPr>
        <w:t>般公共预算财政拨款基本支出决算情况说明</w:t>
      </w:r>
      <w:bookmarkEnd w:id="61"/>
      <w:bookmarkEnd w:id="62"/>
      <w:bookmarkEnd w:id="63"/>
      <w:r>
        <w:rPr>
          <w:rStyle w:val="19"/>
          <w:rFonts w:ascii="黑体" w:hAnsi="黑体" w:eastAsia="黑体"/>
          <w:b w:val="0"/>
          <w:color w:val="auto"/>
          <w:highlight w:val="none"/>
        </w:rPr>
        <w:tab/>
      </w:r>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64" w:name="_Toc6997"/>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年一般公共预算财政拨款基本支出</w:t>
      </w:r>
      <w:r>
        <w:rPr>
          <w:rFonts w:hint="eastAsia" w:ascii="仿宋_GB2312" w:hAnsi="仿宋_GB2312" w:eastAsia="仿宋_GB2312" w:cs="仿宋_GB2312"/>
          <w:color w:val="auto"/>
          <w:sz w:val="32"/>
          <w:szCs w:val="32"/>
          <w:highlight w:val="none"/>
          <w:lang w:val="en-US" w:eastAsia="zh-CN"/>
        </w:rPr>
        <w:t>937.2</w:t>
      </w:r>
      <w:r>
        <w:rPr>
          <w:rFonts w:hint="eastAsia" w:ascii="仿宋_GB2312" w:hAnsi="仿宋_GB2312" w:eastAsia="仿宋_GB2312" w:cs="仿宋_GB2312"/>
          <w:color w:val="auto"/>
          <w:sz w:val="32"/>
          <w:szCs w:val="32"/>
          <w:highlight w:val="none"/>
        </w:rPr>
        <w:t>万元，其中：</w:t>
      </w:r>
      <w:bookmarkEnd w:id="64"/>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65" w:name="_Toc31622"/>
      <w:r>
        <w:rPr>
          <w:rFonts w:hint="eastAsia" w:ascii="仿宋_GB2312" w:hAnsi="仿宋_GB2312" w:eastAsia="仿宋_GB2312" w:cs="仿宋_GB2312"/>
          <w:color w:val="auto"/>
          <w:sz w:val="32"/>
          <w:szCs w:val="32"/>
          <w:highlight w:val="none"/>
        </w:rPr>
        <w:t>人员经费</w:t>
      </w:r>
      <w:r>
        <w:rPr>
          <w:rFonts w:hint="eastAsia" w:ascii="仿宋_GB2312" w:hAnsi="仿宋_GB2312" w:eastAsia="仿宋_GB2312" w:cs="仿宋_GB2312"/>
          <w:color w:val="auto"/>
          <w:sz w:val="32"/>
          <w:szCs w:val="32"/>
          <w:highlight w:val="none"/>
          <w:lang w:val="en-US" w:eastAsia="zh-CN"/>
        </w:rPr>
        <w:t>835.12</w:t>
      </w:r>
      <w:r>
        <w:rPr>
          <w:rFonts w:hint="eastAsia" w:ascii="仿宋_GB2312" w:hAnsi="仿宋_GB2312" w:eastAsia="仿宋_GB2312" w:cs="仿宋_GB2312"/>
          <w:color w:val="auto"/>
          <w:sz w:val="32"/>
          <w:szCs w:val="32"/>
          <w:highlight w:val="none"/>
        </w:rPr>
        <w:t>万元，主要包括：基本工资、津贴补贴、奖金、绩效工资、机关事业单位基本养老保险缴费、职业年金缴费、</w:t>
      </w:r>
      <w:r>
        <w:rPr>
          <w:rFonts w:hint="eastAsia" w:ascii="仿宋_GB2312" w:hAnsi="仿宋_GB2312" w:eastAsia="仿宋_GB2312" w:cs="仿宋_GB2312"/>
          <w:color w:val="auto"/>
          <w:sz w:val="32"/>
          <w:szCs w:val="32"/>
          <w:highlight w:val="none"/>
          <w:lang w:eastAsia="zh-CN"/>
        </w:rPr>
        <w:t>职工基本医疗保障缴费、</w:t>
      </w:r>
      <w:r>
        <w:rPr>
          <w:rFonts w:hint="eastAsia" w:ascii="仿宋_GB2312" w:hAnsi="仿宋_GB2312" w:eastAsia="仿宋_GB2312" w:cs="仿宋_GB2312"/>
          <w:color w:val="auto"/>
          <w:sz w:val="32"/>
          <w:szCs w:val="32"/>
          <w:highlight w:val="none"/>
        </w:rPr>
        <w:t>其他社会保障缴费、住房公积金、离休费、抚恤金、生活补助、奖励金、其他对个人和家庭的补助支出。</w:t>
      </w:r>
      <w:r>
        <w:rPr>
          <w:rFonts w:hint="eastAsia" w:ascii="仿宋_GB2312" w:hAnsi="仿宋_GB2312" w:eastAsia="仿宋_GB2312" w:cs="仿宋_GB2312"/>
          <w:color w:val="auto"/>
          <w:sz w:val="32"/>
          <w:szCs w:val="32"/>
          <w:highlight w:val="none"/>
        </w:rPr>
        <w:br w:type="textWrapping"/>
      </w:r>
      <w:r>
        <w:rPr>
          <w:rFonts w:hint="eastAsia" w:ascii="仿宋_GB2312" w:hAnsi="仿宋_GB2312" w:eastAsia="仿宋_GB2312" w:cs="仿宋_GB2312"/>
          <w:color w:val="auto"/>
          <w:sz w:val="32"/>
          <w:szCs w:val="32"/>
          <w:highlight w:val="none"/>
        </w:rPr>
        <w:t>　　公用经费</w:t>
      </w:r>
      <w:r>
        <w:rPr>
          <w:rFonts w:hint="eastAsia" w:ascii="仿宋_GB2312" w:hAnsi="仿宋_GB2312" w:eastAsia="仿宋_GB2312" w:cs="仿宋_GB2312"/>
          <w:color w:val="auto"/>
          <w:sz w:val="32"/>
          <w:szCs w:val="32"/>
          <w:highlight w:val="none"/>
          <w:lang w:val="en-US" w:eastAsia="zh-CN"/>
        </w:rPr>
        <w:t>102.08</w:t>
      </w:r>
      <w:r>
        <w:rPr>
          <w:rFonts w:hint="eastAsia" w:ascii="仿宋_GB2312" w:hAnsi="仿宋_GB2312" w:eastAsia="仿宋_GB2312" w:cs="仿宋_GB2312"/>
          <w:color w:val="auto"/>
          <w:sz w:val="32"/>
          <w:szCs w:val="32"/>
          <w:highlight w:val="none"/>
        </w:rPr>
        <w:t>万元，主要包括：办公费、印刷费、水费、电费、邮电费、物业管理费、差旅费、维修（护）费、租赁费、会议费、培训费、公务接待费、劳务费、委托业务费、工会经费、福利费、公务用车运行维护费、其他交通费</w:t>
      </w:r>
      <w:r>
        <w:rPr>
          <w:rFonts w:hint="eastAsia" w:ascii="仿宋_GB2312" w:hAnsi="仿宋_GB2312" w:eastAsia="仿宋_GB2312" w:cs="仿宋_GB2312"/>
          <w:color w:val="auto"/>
          <w:sz w:val="32"/>
          <w:szCs w:val="32"/>
          <w:highlight w:val="none"/>
          <w:lang w:val="en-US" w:eastAsia="zh-CN"/>
        </w:rPr>
        <w:t>用</w:t>
      </w:r>
      <w:r>
        <w:rPr>
          <w:rFonts w:hint="eastAsia" w:ascii="仿宋_GB2312" w:hAnsi="仿宋_GB2312" w:eastAsia="仿宋_GB2312" w:cs="仿宋_GB2312"/>
          <w:color w:val="auto"/>
          <w:sz w:val="32"/>
          <w:szCs w:val="32"/>
          <w:highlight w:val="none"/>
        </w:rPr>
        <w:t>、其他商品和服务支出。</w:t>
      </w:r>
      <w:bookmarkEnd w:id="65"/>
      <w:bookmarkStart w:id="66" w:name="_Toc15377215"/>
      <w:bookmarkStart w:id="67" w:name="_Toc15396609"/>
    </w:p>
    <w:p>
      <w:pPr>
        <w:pageBreakBefore w:val="0"/>
        <w:kinsoku/>
        <w:wordWrap/>
        <w:overflowPunct/>
        <w:topLinePunct w:val="0"/>
        <w:bidi w:val="0"/>
        <w:spacing w:beforeAutospacing="0" w:afterAutospacing="0" w:line="560" w:lineRule="exact"/>
        <w:ind w:firstLine="640"/>
        <w:outlineLvl w:val="1"/>
        <w:rPr>
          <w:rStyle w:val="19"/>
          <w:rFonts w:ascii="黑体" w:hAnsi="黑体" w:eastAsia="黑体"/>
          <w:b w:val="0"/>
          <w:color w:val="auto"/>
          <w:highlight w:val="none"/>
        </w:rPr>
      </w:pPr>
      <w:bookmarkStart w:id="68" w:name="_Toc6035"/>
      <w:r>
        <w:rPr>
          <w:rFonts w:hint="eastAsia" w:ascii="黑体" w:eastAsia="黑体"/>
          <w:color w:val="auto"/>
          <w:sz w:val="32"/>
          <w:szCs w:val="32"/>
          <w:highlight w:val="none"/>
        </w:rPr>
        <w:t>七、</w:t>
      </w:r>
      <w:r>
        <w:rPr>
          <w:rStyle w:val="19"/>
          <w:rFonts w:hint="eastAsia" w:ascii="黑体" w:hAnsi="黑体" w:eastAsia="黑体"/>
          <w:b w:val="0"/>
          <w:color w:val="auto"/>
          <w:highlight w:val="none"/>
        </w:rPr>
        <w:t>财政拨款</w:t>
      </w:r>
      <w:r>
        <w:rPr>
          <w:rStyle w:val="19"/>
          <w:rFonts w:hint="eastAsia" w:ascii="黑体" w:hAnsi="黑体" w:eastAsia="黑体"/>
          <w:color w:val="auto"/>
          <w:highlight w:val="none"/>
        </w:rPr>
        <w:t>“</w:t>
      </w:r>
      <w:r>
        <w:rPr>
          <w:rStyle w:val="19"/>
          <w:rFonts w:hint="eastAsia" w:ascii="黑体" w:hAnsi="黑体" w:eastAsia="黑体"/>
          <w:b w:val="0"/>
          <w:color w:val="auto"/>
          <w:highlight w:val="none"/>
        </w:rPr>
        <w:t>三公”经费支出决算情况说明</w:t>
      </w:r>
      <w:bookmarkEnd w:id="66"/>
      <w:bookmarkEnd w:id="67"/>
      <w:bookmarkEnd w:id="68"/>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69" w:name="_Toc15377216"/>
      <w:r>
        <w:rPr>
          <w:rFonts w:hint="eastAsia" w:ascii="方正楷体_GBK" w:hAnsi="方正楷体_GBK" w:eastAsia="方正楷体_GBK" w:cs="方正楷体_GBK"/>
          <w:b w:val="0"/>
          <w:bCs/>
          <w:color w:val="auto"/>
          <w:sz w:val="32"/>
          <w:szCs w:val="32"/>
          <w:highlight w:val="none"/>
        </w:rPr>
        <w:t>（一）“三公”经费财政拨款支出决算总体情况说明</w:t>
      </w:r>
      <w:bookmarkEnd w:id="69"/>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70" w:name="_Toc26876"/>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年“三公”经费财政拨款支出决算为</w:t>
      </w:r>
      <w:r>
        <w:rPr>
          <w:rFonts w:hint="eastAsia" w:ascii="仿宋_GB2312" w:hAnsi="仿宋_GB2312" w:eastAsia="仿宋_GB2312" w:cs="仿宋_GB2312"/>
          <w:color w:val="auto"/>
          <w:sz w:val="32"/>
          <w:szCs w:val="32"/>
          <w:highlight w:val="none"/>
          <w:lang w:val="en-US" w:eastAsia="zh-CN"/>
        </w:rPr>
        <w:t>25</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w:t>
      </w:r>
      <w:r>
        <w:rPr>
          <w:rFonts w:hint="eastAsia" w:ascii="仿宋_GB2312" w:hAnsi="仿宋_GB2312" w:eastAsia="仿宋_GB2312" w:cs="仿宋_GB2312"/>
          <w:color w:val="auto"/>
          <w:sz w:val="32"/>
          <w:szCs w:val="32"/>
          <w:highlight w:val="none"/>
          <w:lang w:eastAsia="zh-CN"/>
        </w:rPr>
        <w:t>较上年增加</w:t>
      </w:r>
      <w:r>
        <w:rPr>
          <w:rFonts w:hint="eastAsia" w:ascii="仿宋_GB2312" w:hAnsi="仿宋_GB2312" w:eastAsia="仿宋_GB2312" w:cs="仿宋_GB2312"/>
          <w:color w:val="auto"/>
          <w:sz w:val="32"/>
          <w:szCs w:val="32"/>
          <w:highlight w:val="none"/>
          <w:lang w:val="en-US" w:eastAsia="zh-CN"/>
        </w:rPr>
        <w:t>14.77万元，增长144.37%。</w:t>
      </w:r>
      <w:bookmarkEnd w:id="70"/>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71" w:name="_Toc15377217"/>
      <w:r>
        <w:rPr>
          <w:rFonts w:hint="eastAsia" w:ascii="方正楷体_GBK" w:hAnsi="方正楷体_GBK" w:eastAsia="方正楷体_GBK" w:cs="方正楷体_GBK"/>
          <w:b w:val="0"/>
          <w:bCs/>
          <w:color w:val="auto"/>
          <w:sz w:val="32"/>
          <w:szCs w:val="32"/>
          <w:highlight w:val="none"/>
        </w:rPr>
        <w:t>（二）“三公”经费财政拨款支出决算具体情况说明</w:t>
      </w:r>
      <w:bookmarkEnd w:id="71"/>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72" w:name="_Toc12738"/>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年“三公”经费财政拨款支出决算中，因公出国（境）费支出决算</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%；公务用车购置及运行维护费支出决算</w:t>
      </w:r>
      <w:r>
        <w:rPr>
          <w:rFonts w:hint="eastAsia" w:ascii="仿宋_GB2312" w:hAnsi="仿宋_GB2312" w:eastAsia="仿宋_GB2312" w:cs="仿宋_GB2312"/>
          <w:color w:val="auto"/>
          <w:sz w:val="32"/>
          <w:szCs w:val="32"/>
          <w:highlight w:val="none"/>
          <w:lang w:val="en-US" w:eastAsia="zh-CN"/>
        </w:rPr>
        <w:t>22.1</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88.4</w:t>
      </w:r>
      <w:r>
        <w:rPr>
          <w:rFonts w:hint="eastAsia" w:ascii="仿宋_GB2312" w:hAnsi="仿宋_GB2312" w:eastAsia="仿宋_GB2312" w:cs="仿宋_GB2312"/>
          <w:color w:val="auto"/>
          <w:sz w:val="32"/>
          <w:szCs w:val="32"/>
          <w:highlight w:val="none"/>
        </w:rPr>
        <w:t>%；公务接待费支出决算</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万元，占</w:t>
      </w:r>
      <w:r>
        <w:rPr>
          <w:rFonts w:hint="eastAsia" w:ascii="仿宋_GB2312" w:hAnsi="仿宋_GB2312" w:eastAsia="仿宋_GB2312" w:cs="仿宋_GB2312"/>
          <w:color w:val="auto"/>
          <w:sz w:val="32"/>
          <w:szCs w:val="32"/>
          <w:highlight w:val="none"/>
          <w:lang w:val="en-US" w:eastAsia="zh-CN"/>
        </w:rPr>
        <w:t>11.6</w:t>
      </w:r>
      <w:r>
        <w:rPr>
          <w:rFonts w:hint="eastAsia" w:ascii="仿宋_GB2312" w:hAnsi="仿宋_GB2312" w:eastAsia="仿宋_GB2312" w:cs="仿宋_GB2312"/>
          <w:color w:val="auto"/>
          <w:sz w:val="32"/>
          <w:szCs w:val="32"/>
          <w:highlight w:val="none"/>
        </w:rPr>
        <w:t>%。具体情况如下：</w:t>
      </w:r>
      <w:bookmarkEnd w:id="72"/>
    </w:p>
    <w:p>
      <w:pPr>
        <w:pStyle w:val="16"/>
        <w:keepNext w:val="0"/>
        <w:keepLines w:val="0"/>
        <w:pageBreakBefore w:val="0"/>
        <w:widowControl w:val="0"/>
        <w:kinsoku/>
        <w:wordWrap/>
        <w:overflowPunct/>
        <w:topLinePunct w:val="0"/>
        <w:autoSpaceDE/>
        <w:autoSpaceDN/>
        <w:bidi w:val="0"/>
        <w:adjustRightInd/>
        <w:snapToGrid/>
        <w:spacing w:before="0" w:beforeAutospacing="0" w:after="0" w:afterAutospacing="0" w:line="240" w:lineRule="auto"/>
        <w:textAlignment w:val="baseline"/>
        <w:rPr>
          <w:rFonts w:hint="eastAsia" w:eastAsia="仿宋"/>
          <w:color w:val="auto"/>
          <w:lang w:eastAsia="zh-CN"/>
        </w:rPr>
      </w:pPr>
      <w:r>
        <w:rPr>
          <w:rFonts w:hint="eastAsia" w:eastAsia="仿宋"/>
          <w:color w:val="auto"/>
          <w:lang w:eastAsia="zh-CN"/>
        </w:rPr>
        <w:drawing>
          <wp:inline distT="0" distB="0" distL="114300" distR="114300">
            <wp:extent cx="4905375" cy="2867025"/>
            <wp:effectExtent l="0" t="0" r="9525" b="9525"/>
            <wp:docPr id="8" name="图片 8" descr="图7"/>
            <wp:cNvGraphicFramePr>
              <a:graphicFrameLocks xmlns:a="http://schemas.openxmlformats.org/drawingml/2006/main" noChangeAspect="true"/>
            </wp:cNvGraphicFramePr>
            <a:graphic xmlns:a="http://schemas.openxmlformats.org/drawingml/2006/main">
              <a:graphicData uri="http://schemas.openxmlformats.org/drawingml/2006/picture">
                <pic:pic xmlns:pic="http://schemas.openxmlformats.org/drawingml/2006/picture">
                  <pic:nvPicPr>
                    <pic:cNvPr id="8" name="图片 8" descr="图7"/>
                    <pic:cNvPicPr>
                      <a:picLocks noChangeAspect="true"/>
                    </pic:cNvPicPr>
                  </pic:nvPicPr>
                  <pic:blipFill>
                    <a:blip r:embed="rId14"/>
                    <a:stretch>
                      <a:fillRect/>
                    </a:stretch>
                  </pic:blipFill>
                  <pic:spPr>
                    <a:xfrm>
                      <a:off x="0" y="0"/>
                      <a:ext cx="4905375" cy="2867025"/>
                    </a:xfrm>
                    <a:prstGeom prst="rect">
                      <a:avLst/>
                    </a:prstGeom>
                  </pic:spPr>
                </pic:pic>
              </a:graphicData>
            </a:graphic>
          </wp:inline>
        </w:drawing>
      </w:r>
    </w:p>
    <w:p>
      <w:pPr>
        <w:pageBreakBefore w:val="0"/>
        <w:kinsoku/>
        <w:wordWrap/>
        <w:overflowPunct/>
        <w:topLinePunct w:val="0"/>
        <w:bidi w:val="0"/>
        <w:spacing w:beforeAutospacing="0" w:afterAutospacing="0" w:line="560" w:lineRule="exact"/>
        <w:jc w:val="center"/>
        <w:outlineLvl w:val="1"/>
        <w:rPr>
          <w:rFonts w:hint="eastAsia" w:ascii="仿宋_GB2312" w:hAnsi="仿宋_GB2312" w:eastAsia="仿宋_GB2312" w:cs="仿宋_GB2312"/>
          <w:color w:val="auto"/>
          <w:sz w:val="32"/>
          <w:szCs w:val="32"/>
          <w:highlight w:val="none"/>
        </w:rPr>
      </w:pPr>
      <w:bookmarkStart w:id="73" w:name="_Toc22365"/>
      <w:r>
        <w:rPr>
          <w:rFonts w:hint="eastAsia" w:ascii="仿宋_GB2312" w:hAnsi="仿宋_GB2312" w:eastAsia="仿宋_GB2312" w:cs="仿宋_GB2312"/>
          <w:color w:val="auto"/>
          <w:sz w:val="32"/>
          <w:szCs w:val="32"/>
          <w:highlight w:val="none"/>
        </w:rPr>
        <w:t>（图7：“三公”经费财政拨款支出结构）</w:t>
      </w:r>
      <w:bookmarkEnd w:id="73"/>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74" w:name="_Toc502"/>
      <w:r>
        <w:rPr>
          <w:rFonts w:hint="eastAsia" w:ascii="仿宋_GB2312" w:hAnsi="仿宋_GB2312" w:eastAsia="仿宋_GB2312" w:cs="仿宋_GB2312"/>
          <w:color w:val="auto"/>
          <w:sz w:val="32"/>
          <w:szCs w:val="32"/>
          <w:highlight w:val="none"/>
        </w:rPr>
        <w:t>1.因公出国（境）经费支出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年初未安排预算</w:t>
      </w:r>
      <w:r>
        <w:rPr>
          <w:rFonts w:hint="default" w:ascii="仿宋_GB2312" w:hAnsi="仿宋_GB2312" w:eastAsia="仿宋_GB2312" w:cs="仿宋_GB2312"/>
          <w:color w:val="auto"/>
          <w:sz w:val="32"/>
          <w:szCs w:val="32"/>
          <w:highlight w:val="none"/>
          <w:lang w:eastAsia="zh-CN"/>
        </w:rPr>
        <w:t>，较上年无变化</w:t>
      </w:r>
      <w:r>
        <w:rPr>
          <w:rFonts w:hint="eastAsia" w:ascii="仿宋_GB2312" w:hAnsi="仿宋_GB2312" w:eastAsia="仿宋_GB2312" w:cs="仿宋_GB2312"/>
          <w:color w:val="auto"/>
          <w:sz w:val="32"/>
          <w:szCs w:val="32"/>
          <w:highlight w:val="none"/>
        </w:rPr>
        <w:t>。</w:t>
      </w:r>
      <w:bookmarkEnd w:id="74"/>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75" w:name="_Toc7777"/>
      <w:r>
        <w:rPr>
          <w:rFonts w:hint="eastAsia" w:ascii="仿宋_GB2312" w:hAnsi="仿宋_GB2312" w:eastAsia="仿宋_GB2312" w:cs="仿宋_GB2312"/>
          <w:color w:val="auto"/>
          <w:sz w:val="32"/>
          <w:szCs w:val="32"/>
          <w:highlight w:val="none"/>
        </w:rPr>
        <w:t>2.公务用车购置及运行维护费支出</w:t>
      </w:r>
      <w:r>
        <w:rPr>
          <w:rFonts w:hint="eastAsia" w:ascii="仿宋_GB2312" w:hAnsi="仿宋_GB2312" w:eastAsia="仿宋_GB2312" w:cs="仿宋_GB2312"/>
          <w:color w:val="auto"/>
          <w:sz w:val="32"/>
          <w:szCs w:val="32"/>
          <w:highlight w:val="none"/>
          <w:lang w:val="en-US" w:eastAsia="zh-CN"/>
        </w:rPr>
        <w:t>22.1</w:t>
      </w:r>
      <w:r>
        <w:rPr>
          <w:rFonts w:hint="eastAsia" w:ascii="仿宋_GB2312" w:hAnsi="仿宋_GB2312" w:eastAsia="仿宋_GB2312" w:cs="仿宋_GB2312"/>
          <w:color w:val="auto"/>
          <w:sz w:val="32"/>
          <w:szCs w:val="32"/>
          <w:highlight w:val="none"/>
        </w:rPr>
        <w:t>万元</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%。公务用车购置及运行维护费支出决算比20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年增加</w:t>
      </w:r>
      <w:r>
        <w:rPr>
          <w:rFonts w:hint="eastAsia" w:ascii="仿宋_GB2312" w:hAnsi="仿宋_GB2312" w:eastAsia="仿宋_GB2312" w:cs="仿宋_GB2312"/>
          <w:color w:val="auto"/>
          <w:sz w:val="32"/>
          <w:szCs w:val="32"/>
          <w:highlight w:val="none"/>
          <w:lang w:val="en-US" w:eastAsia="zh-CN"/>
        </w:rPr>
        <w:t>18.25</w:t>
      </w:r>
      <w:r>
        <w:rPr>
          <w:rFonts w:hint="eastAsia" w:ascii="仿宋_GB2312" w:hAnsi="仿宋_GB2312" w:eastAsia="仿宋_GB2312" w:cs="仿宋_GB2312"/>
          <w:color w:val="auto"/>
          <w:sz w:val="32"/>
          <w:szCs w:val="32"/>
          <w:highlight w:val="none"/>
        </w:rPr>
        <w:t>万元，增长</w:t>
      </w:r>
      <w:r>
        <w:rPr>
          <w:rFonts w:hint="eastAsia" w:ascii="仿宋_GB2312" w:hAnsi="仿宋_GB2312" w:eastAsia="仿宋_GB2312" w:cs="仿宋_GB2312"/>
          <w:color w:val="auto"/>
          <w:sz w:val="32"/>
          <w:szCs w:val="32"/>
          <w:highlight w:val="none"/>
          <w:lang w:val="en-US" w:eastAsia="zh-CN"/>
        </w:rPr>
        <w:t>474</w:t>
      </w:r>
      <w:r>
        <w:rPr>
          <w:rFonts w:hint="eastAsia" w:ascii="仿宋_GB2312" w:hAnsi="仿宋_GB2312" w:eastAsia="仿宋_GB2312" w:cs="仿宋_GB2312"/>
          <w:color w:val="auto"/>
          <w:sz w:val="32"/>
          <w:szCs w:val="32"/>
          <w:highlight w:val="none"/>
        </w:rPr>
        <w:t>%。主要原因是</w:t>
      </w:r>
      <w:r>
        <w:rPr>
          <w:rFonts w:hint="eastAsia" w:ascii="仿宋_GB2312" w:hAnsi="仿宋_GB2312" w:eastAsia="仿宋_GB2312" w:cs="仿宋_GB2312"/>
          <w:color w:val="auto"/>
          <w:sz w:val="32"/>
          <w:szCs w:val="32"/>
          <w:highlight w:val="none"/>
          <w:lang w:val="en-US" w:eastAsia="zh-CN"/>
        </w:rPr>
        <w:t>2021年末采购公务用车，22年新增采购公务用车</w:t>
      </w:r>
      <w:r>
        <w:rPr>
          <w:rFonts w:hint="eastAsia" w:ascii="仿宋_GB2312" w:hAnsi="仿宋_GB2312" w:eastAsia="仿宋_GB2312" w:cs="仿宋_GB2312"/>
          <w:color w:val="auto"/>
          <w:sz w:val="32"/>
          <w:szCs w:val="32"/>
          <w:highlight w:val="none"/>
        </w:rPr>
        <w:t>。</w:t>
      </w:r>
      <w:bookmarkEnd w:id="75"/>
    </w:p>
    <w:p>
      <w:pPr>
        <w:pageBreakBefore w:val="0"/>
        <w:kinsoku/>
        <w:wordWrap/>
        <w:overflowPunct/>
        <w:topLinePunct w:val="0"/>
        <w:bidi w:val="0"/>
        <w:spacing w:beforeAutospacing="0" w:afterAutospacing="0" w:line="560" w:lineRule="exact"/>
        <w:ind w:firstLine="640" w:firstLineChars="200"/>
        <w:textAlignment w:val="auto"/>
        <w:rPr>
          <w:rFonts w:ascii="仿宋_GB2312" w:eastAsia="仿宋_GB2312"/>
          <w:b w:val="0"/>
          <w:bCs w:val="0"/>
          <w:color w:val="auto"/>
          <w:sz w:val="32"/>
          <w:szCs w:val="32"/>
          <w:highlight w:val="none"/>
        </w:rPr>
      </w:pPr>
      <w:r>
        <w:rPr>
          <w:rFonts w:hint="eastAsia" w:ascii="仿宋_GB2312" w:eastAsia="仿宋_GB2312"/>
          <w:b w:val="0"/>
          <w:bCs w:val="0"/>
          <w:color w:val="auto"/>
          <w:sz w:val="32"/>
          <w:szCs w:val="32"/>
          <w:highlight w:val="none"/>
        </w:rPr>
        <w:t>其中：公务用车购置支出</w:t>
      </w:r>
      <w:r>
        <w:rPr>
          <w:rFonts w:hint="eastAsia" w:ascii="仿宋_GB2312" w:eastAsia="仿宋_GB2312"/>
          <w:b w:val="0"/>
          <w:bCs w:val="0"/>
          <w:color w:val="auto"/>
          <w:sz w:val="32"/>
          <w:szCs w:val="32"/>
          <w:highlight w:val="none"/>
          <w:lang w:val="en-US" w:eastAsia="zh-CN"/>
        </w:rPr>
        <w:t>19.67</w:t>
      </w:r>
      <w:r>
        <w:rPr>
          <w:rFonts w:hint="eastAsia" w:ascii="仿宋_GB2312" w:eastAsia="仿宋_GB2312"/>
          <w:b w:val="0"/>
          <w:bCs w:val="0"/>
          <w:color w:val="auto"/>
          <w:sz w:val="32"/>
          <w:szCs w:val="32"/>
          <w:highlight w:val="none"/>
        </w:rPr>
        <w:t>万元。全年按规定更新购置公务用车</w:t>
      </w:r>
      <w:r>
        <w:rPr>
          <w:rFonts w:hint="eastAsia" w:ascii="仿宋_GB2312" w:eastAsia="仿宋_GB2312"/>
          <w:b w:val="0"/>
          <w:bCs w:val="0"/>
          <w:color w:val="auto"/>
          <w:sz w:val="32"/>
          <w:szCs w:val="32"/>
          <w:highlight w:val="none"/>
          <w:lang w:val="en-US" w:eastAsia="zh-CN"/>
        </w:rPr>
        <w:t>1</w:t>
      </w:r>
      <w:r>
        <w:rPr>
          <w:rFonts w:hint="eastAsia" w:ascii="仿宋_GB2312" w:eastAsia="仿宋_GB2312"/>
          <w:b w:val="0"/>
          <w:bCs w:val="0"/>
          <w:color w:val="auto"/>
          <w:sz w:val="32"/>
          <w:szCs w:val="32"/>
          <w:highlight w:val="none"/>
        </w:rPr>
        <w:t>辆，其中：轿车</w:t>
      </w:r>
      <w:r>
        <w:rPr>
          <w:rFonts w:hint="eastAsia" w:ascii="仿宋_GB2312" w:eastAsia="仿宋_GB2312"/>
          <w:b w:val="0"/>
          <w:bCs w:val="0"/>
          <w:color w:val="auto"/>
          <w:sz w:val="32"/>
          <w:szCs w:val="32"/>
          <w:highlight w:val="none"/>
          <w:lang w:val="en-US" w:eastAsia="zh-CN"/>
        </w:rPr>
        <w:t>1</w:t>
      </w:r>
      <w:r>
        <w:rPr>
          <w:rFonts w:hint="eastAsia" w:ascii="仿宋_GB2312" w:eastAsia="仿宋_GB2312"/>
          <w:b w:val="0"/>
          <w:bCs w:val="0"/>
          <w:color w:val="auto"/>
          <w:sz w:val="32"/>
          <w:szCs w:val="32"/>
          <w:highlight w:val="none"/>
        </w:rPr>
        <w:t>辆、金额</w:t>
      </w:r>
      <w:r>
        <w:rPr>
          <w:rFonts w:hint="eastAsia" w:ascii="仿宋_GB2312" w:eastAsia="仿宋_GB2312"/>
          <w:b w:val="0"/>
          <w:bCs w:val="0"/>
          <w:color w:val="auto"/>
          <w:sz w:val="32"/>
          <w:szCs w:val="32"/>
          <w:highlight w:val="none"/>
          <w:lang w:val="en-US" w:eastAsia="zh-CN"/>
        </w:rPr>
        <w:t>19.67</w:t>
      </w:r>
      <w:r>
        <w:rPr>
          <w:rFonts w:hint="eastAsia" w:ascii="仿宋_GB2312" w:eastAsia="仿宋_GB2312"/>
          <w:b w:val="0"/>
          <w:bCs w:val="0"/>
          <w:color w:val="auto"/>
          <w:sz w:val="32"/>
          <w:szCs w:val="32"/>
          <w:highlight w:val="none"/>
        </w:rPr>
        <w:t>万元</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rPr>
        <w:t>截至</w:t>
      </w:r>
      <w:r>
        <w:rPr>
          <w:rFonts w:ascii="仿宋_GB2312" w:eastAsia="仿宋_GB2312"/>
          <w:b w:val="0"/>
          <w:bCs w:val="0"/>
          <w:color w:val="auto"/>
          <w:sz w:val="32"/>
          <w:szCs w:val="32"/>
          <w:highlight w:val="none"/>
        </w:rPr>
        <w:t>20</w:t>
      </w:r>
      <w:r>
        <w:rPr>
          <w:rFonts w:hint="eastAsia" w:ascii="仿宋_GB2312" w:eastAsia="仿宋_GB2312"/>
          <w:b w:val="0"/>
          <w:bCs w:val="0"/>
          <w:color w:val="auto"/>
          <w:sz w:val="32"/>
          <w:szCs w:val="32"/>
          <w:highlight w:val="none"/>
          <w:lang w:val="en-US" w:eastAsia="zh-CN"/>
        </w:rPr>
        <w:t>22</w:t>
      </w:r>
      <w:r>
        <w:rPr>
          <w:rFonts w:hint="eastAsia" w:ascii="仿宋_GB2312" w:eastAsia="仿宋_GB2312"/>
          <w:b w:val="0"/>
          <w:bCs w:val="0"/>
          <w:color w:val="auto"/>
          <w:sz w:val="32"/>
          <w:szCs w:val="32"/>
          <w:highlight w:val="none"/>
        </w:rPr>
        <w:t>年</w:t>
      </w:r>
      <w:r>
        <w:rPr>
          <w:rFonts w:ascii="仿宋_GB2312" w:eastAsia="仿宋_GB2312"/>
          <w:b w:val="0"/>
          <w:bCs w:val="0"/>
          <w:color w:val="auto"/>
          <w:sz w:val="32"/>
          <w:szCs w:val="32"/>
          <w:highlight w:val="none"/>
        </w:rPr>
        <w:t>12</w:t>
      </w:r>
      <w:r>
        <w:rPr>
          <w:rFonts w:hint="eastAsia" w:ascii="仿宋_GB2312" w:eastAsia="仿宋_GB2312"/>
          <w:b w:val="0"/>
          <w:bCs w:val="0"/>
          <w:color w:val="auto"/>
          <w:sz w:val="32"/>
          <w:szCs w:val="32"/>
          <w:highlight w:val="none"/>
        </w:rPr>
        <w:t>月底，单位共有公务用车</w:t>
      </w:r>
      <w:r>
        <w:rPr>
          <w:rFonts w:hint="eastAsia" w:ascii="仿宋_GB2312" w:eastAsia="仿宋_GB2312"/>
          <w:b w:val="0"/>
          <w:bCs w:val="0"/>
          <w:color w:val="auto"/>
          <w:sz w:val="32"/>
          <w:szCs w:val="32"/>
          <w:highlight w:val="none"/>
          <w:lang w:val="en-US" w:eastAsia="zh-CN"/>
        </w:rPr>
        <w:t>1</w:t>
      </w:r>
      <w:r>
        <w:rPr>
          <w:rFonts w:hint="eastAsia" w:ascii="仿宋_GB2312" w:eastAsia="仿宋_GB2312"/>
          <w:b w:val="0"/>
          <w:bCs w:val="0"/>
          <w:color w:val="auto"/>
          <w:sz w:val="32"/>
          <w:szCs w:val="32"/>
          <w:highlight w:val="none"/>
        </w:rPr>
        <w:t>辆，其中：轿车</w:t>
      </w:r>
      <w:r>
        <w:rPr>
          <w:rFonts w:hint="eastAsia" w:ascii="仿宋_GB2312" w:eastAsia="仿宋_GB2312"/>
          <w:b w:val="0"/>
          <w:bCs w:val="0"/>
          <w:color w:val="auto"/>
          <w:sz w:val="32"/>
          <w:szCs w:val="32"/>
          <w:highlight w:val="none"/>
          <w:lang w:val="en-US" w:eastAsia="zh-CN"/>
        </w:rPr>
        <w:t>1</w:t>
      </w:r>
      <w:r>
        <w:rPr>
          <w:rFonts w:hint="eastAsia" w:ascii="仿宋_GB2312" w:eastAsia="仿宋_GB2312"/>
          <w:b w:val="0"/>
          <w:bCs w:val="0"/>
          <w:color w:val="auto"/>
          <w:sz w:val="32"/>
          <w:szCs w:val="32"/>
          <w:highlight w:val="none"/>
        </w:rPr>
        <w:t>辆。</w:t>
      </w:r>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76" w:name="_Toc26928"/>
      <w:r>
        <w:rPr>
          <w:rFonts w:hint="eastAsia" w:ascii="仿宋_GB2312" w:eastAsia="仿宋_GB2312"/>
          <w:b w:val="0"/>
          <w:bCs w:val="0"/>
          <w:color w:val="auto"/>
          <w:sz w:val="32"/>
          <w:szCs w:val="32"/>
          <w:highlight w:val="none"/>
        </w:rPr>
        <w:t>公务用车运行维护费支出</w:t>
      </w:r>
      <w:r>
        <w:rPr>
          <w:rFonts w:hint="eastAsia" w:ascii="仿宋_GB2312" w:eastAsia="仿宋_GB2312"/>
          <w:b w:val="0"/>
          <w:bCs w:val="0"/>
          <w:color w:val="auto"/>
          <w:sz w:val="32"/>
          <w:szCs w:val="32"/>
          <w:highlight w:val="none"/>
          <w:lang w:val="en-US" w:eastAsia="zh-CN"/>
        </w:rPr>
        <w:t>2.43</w:t>
      </w:r>
      <w:r>
        <w:rPr>
          <w:rFonts w:hint="eastAsia" w:ascii="仿宋_GB2312" w:eastAsia="仿宋_GB2312"/>
          <w:b w:val="0"/>
          <w:bCs w:val="0"/>
          <w:color w:val="auto"/>
          <w:sz w:val="32"/>
          <w:szCs w:val="32"/>
          <w:highlight w:val="none"/>
        </w:rPr>
        <w:t>万元。</w:t>
      </w:r>
      <w:r>
        <w:rPr>
          <w:rFonts w:hint="eastAsia" w:ascii="仿宋_GB2312" w:hAnsi="仿宋_GB2312" w:eastAsia="仿宋_GB2312" w:cs="仿宋_GB2312"/>
          <w:b w:val="0"/>
          <w:bCs w:val="0"/>
          <w:color w:val="auto"/>
          <w:sz w:val="32"/>
          <w:szCs w:val="32"/>
          <w:highlight w:val="none"/>
        </w:rPr>
        <w:t>主要用于</w:t>
      </w:r>
      <w:r>
        <w:rPr>
          <w:rFonts w:hint="eastAsia" w:ascii="仿宋_GB2312" w:hAnsi="仿宋_GB2312" w:eastAsia="仿宋_GB2312" w:cs="仿宋_GB2312"/>
          <w:b w:val="0"/>
          <w:bCs w:val="0"/>
          <w:color w:val="auto"/>
          <w:sz w:val="32"/>
          <w:szCs w:val="32"/>
          <w:highlight w:val="none"/>
          <w:lang w:eastAsia="zh-CN"/>
        </w:rPr>
        <w:t>外出考察</w:t>
      </w:r>
      <w:r>
        <w:rPr>
          <w:rFonts w:hint="eastAsia" w:ascii="仿宋_GB2312" w:hAnsi="仿宋_GB2312" w:eastAsia="仿宋_GB2312" w:cs="仿宋_GB2312"/>
          <w:color w:val="auto"/>
          <w:sz w:val="32"/>
          <w:szCs w:val="32"/>
          <w:highlight w:val="none"/>
          <w:lang w:eastAsia="zh-CN"/>
        </w:rPr>
        <w:t>调研、民族宗教应急处突</w:t>
      </w:r>
      <w:r>
        <w:rPr>
          <w:rFonts w:hint="eastAsia" w:ascii="仿宋_GB2312" w:hAnsi="仿宋_GB2312" w:eastAsia="仿宋_GB2312" w:cs="仿宋_GB2312"/>
          <w:color w:val="auto"/>
          <w:sz w:val="32"/>
          <w:szCs w:val="32"/>
          <w:highlight w:val="none"/>
        </w:rPr>
        <w:t>等所需的公务用车燃料费、维修费、过路过桥费、保险费等支出。</w:t>
      </w:r>
      <w:bookmarkEnd w:id="76"/>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77" w:name="_Toc2691"/>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公务接待费支出</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万元，完成预算</w:t>
      </w:r>
      <w:r>
        <w:rPr>
          <w:rFonts w:hint="eastAsia" w:ascii="仿宋_GB2312" w:hAnsi="仿宋_GB2312" w:eastAsia="仿宋_GB2312" w:cs="仿宋_GB2312"/>
          <w:color w:val="auto"/>
          <w:sz w:val="32"/>
          <w:szCs w:val="32"/>
          <w:highlight w:val="none"/>
          <w:lang w:val="en-US" w:eastAsia="zh-CN"/>
        </w:rPr>
        <w:t>100</w:t>
      </w:r>
      <w:r>
        <w:rPr>
          <w:rFonts w:hint="eastAsia" w:ascii="仿宋_GB2312" w:hAnsi="仿宋_GB2312" w:eastAsia="仿宋_GB2312" w:cs="仿宋_GB2312"/>
          <w:color w:val="auto"/>
          <w:sz w:val="32"/>
          <w:szCs w:val="32"/>
          <w:highlight w:val="none"/>
        </w:rPr>
        <w:t>%。公务接待费支出决算比20</w:t>
      </w:r>
      <w:r>
        <w:rPr>
          <w:rFonts w:hint="eastAsia" w:ascii="仿宋_GB2312" w:hAnsi="仿宋_GB2312" w:eastAsia="仿宋_GB2312" w:cs="仿宋_GB2312"/>
          <w:color w:val="auto"/>
          <w:sz w:val="32"/>
          <w:szCs w:val="32"/>
          <w:highlight w:val="none"/>
          <w:lang w:val="en-US" w:eastAsia="zh-CN"/>
        </w:rPr>
        <w:t>21</w:t>
      </w:r>
      <w:r>
        <w:rPr>
          <w:rFonts w:hint="eastAsia" w:ascii="仿宋_GB2312" w:hAnsi="仿宋_GB2312" w:eastAsia="仿宋_GB2312" w:cs="仿宋_GB2312"/>
          <w:color w:val="auto"/>
          <w:sz w:val="32"/>
          <w:szCs w:val="32"/>
          <w:highlight w:val="none"/>
        </w:rPr>
        <w:t>年增加</w:t>
      </w:r>
      <w:r>
        <w:rPr>
          <w:rFonts w:hint="eastAsia" w:ascii="仿宋_GB2312" w:hAnsi="仿宋_GB2312" w:eastAsia="仿宋_GB2312" w:cs="仿宋_GB2312"/>
          <w:color w:val="auto"/>
          <w:sz w:val="32"/>
          <w:szCs w:val="32"/>
          <w:highlight w:val="none"/>
          <w:lang w:val="en-US" w:eastAsia="zh-CN"/>
        </w:rPr>
        <w:t>3.48</w:t>
      </w:r>
      <w:r>
        <w:rPr>
          <w:rFonts w:hint="eastAsia" w:ascii="仿宋_GB2312" w:hAnsi="仿宋_GB2312" w:eastAsia="仿宋_GB2312" w:cs="仿宋_GB2312"/>
          <w:color w:val="auto"/>
          <w:sz w:val="32"/>
          <w:szCs w:val="32"/>
          <w:highlight w:val="none"/>
        </w:rPr>
        <w:t>万元，下降</w:t>
      </w:r>
      <w:r>
        <w:rPr>
          <w:rFonts w:hint="eastAsia" w:ascii="仿宋_GB2312" w:hAnsi="仿宋_GB2312" w:eastAsia="仿宋_GB2312" w:cs="仿宋_GB2312"/>
          <w:color w:val="auto"/>
          <w:sz w:val="32"/>
          <w:szCs w:val="32"/>
          <w:highlight w:val="none"/>
          <w:lang w:val="en-US" w:eastAsia="zh-CN"/>
        </w:rPr>
        <w:t>54.54</w:t>
      </w:r>
      <w:r>
        <w:rPr>
          <w:rFonts w:hint="eastAsia" w:ascii="仿宋_GB2312" w:hAnsi="仿宋_GB2312" w:eastAsia="仿宋_GB2312" w:cs="仿宋_GB2312"/>
          <w:color w:val="auto"/>
          <w:sz w:val="32"/>
          <w:szCs w:val="32"/>
          <w:highlight w:val="none"/>
        </w:rPr>
        <w:t>%。主要</w:t>
      </w:r>
      <w:r>
        <w:rPr>
          <w:rFonts w:hint="eastAsia" w:ascii="仿宋_GB2312" w:eastAsia="仿宋_GB2312"/>
          <w:b w:val="0"/>
          <w:bCs w:val="0"/>
          <w:color w:val="auto"/>
          <w:sz w:val="32"/>
          <w:szCs w:val="32"/>
          <w:highlight w:val="none"/>
        </w:rPr>
        <w:t>原因是</w:t>
      </w:r>
      <w:r>
        <w:rPr>
          <w:rFonts w:hint="eastAsia" w:ascii="仿宋_GB2312" w:eastAsia="仿宋_GB2312"/>
          <w:b w:val="0"/>
          <w:bCs w:val="0"/>
          <w:color w:val="auto"/>
          <w:sz w:val="32"/>
          <w:szCs w:val="32"/>
          <w:highlight w:val="none"/>
          <w:lang w:eastAsia="zh-CN"/>
        </w:rPr>
        <w:t>受新冠疫情影响，各地之间和各党派之间交流考察急剧减少，上</w:t>
      </w:r>
      <w:r>
        <w:rPr>
          <w:rFonts w:hint="eastAsia" w:ascii="仿宋_GB2312" w:hAnsi="仿宋_GB2312" w:eastAsia="仿宋_GB2312" w:cs="仿宋_GB2312"/>
          <w:color w:val="auto"/>
          <w:sz w:val="32"/>
          <w:szCs w:val="32"/>
          <w:highlight w:val="none"/>
          <w:lang w:eastAsia="zh-CN"/>
        </w:rPr>
        <w:t>级下基层调研次数减少</w:t>
      </w:r>
      <w:r>
        <w:rPr>
          <w:rFonts w:hint="eastAsia" w:ascii="仿宋_GB2312" w:hAnsi="仿宋_GB2312" w:eastAsia="仿宋_GB2312" w:cs="仿宋_GB2312"/>
          <w:color w:val="auto"/>
          <w:sz w:val="32"/>
          <w:szCs w:val="32"/>
          <w:highlight w:val="none"/>
        </w:rPr>
        <w:t>。其中：</w:t>
      </w:r>
      <w:bookmarkEnd w:id="77"/>
    </w:p>
    <w:p>
      <w:pPr>
        <w:pageBreakBefore w:val="0"/>
        <w:kinsoku/>
        <w:wordWrap/>
        <w:overflowPunct/>
        <w:topLinePunct w:val="0"/>
        <w:bidi w:val="0"/>
        <w:spacing w:beforeAutospacing="0" w:afterAutospacing="0" w:line="560" w:lineRule="exact"/>
        <w:ind w:firstLine="640" w:firstLineChars="200"/>
        <w:outlineLvl w:val="1"/>
        <w:rPr>
          <w:rFonts w:ascii="仿宋_GB2312" w:eastAsia="仿宋_GB2312"/>
          <w:color w:val="auto"/>
          <w:sz w:val="32"/>
          <w:szCs w:val="32"/>
          <w:highlight w:val="none"/>
        </w:rPr>
      </w:pPr>
      <w:bookmarkStart w:id="78" w:name="_Toc15222"/>
      <w:r>
        <w:rPr>
          <w:rFonts w:hint="eastAsia" w:ascii="仿宋_GB2312" w:hAnsi="仿宋_GB2312" w:eastAsia="仿宋_GB2312" w:cs="仿宋_GB2312"/>
          <w:color w:val="auto"/>
          <w:sz w:val="32"/>
          <w:szCs w:val="32"/>
          <w:highlight w:val="none"/>
        </w:rPr>
        <w:t>国内公务接待支出</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万元，主要用于</w:t>
      </w:r>
      <w:r>
        <w:rPr>
          <w:rFonts w:hint="eastAsia" w:ascii="仿宋_GB2312" w:hAnsi="仿宋_GB2312" w:eastAsia="仿宋_GB2312" w:cs="仿宋_GB2312"/>
          <w:color w:val="auto"/>
          <w:sz w:val="32"/>
          <w:szCs w:val="32"/>
          <w:highlight w:val="none"/>
          <w:lang w:eastAsia="zh-CN"/>
        </w:rPr>
        <w:t>开展公务活动交流（</w:t>
      </w:r>
      <w:r>
        <w:rPr>
          <w:rFonts w:hint="eastAsia" w:ascii="仿宋_GB2312" w:hAnsi="仿宋_GB2312" w:eastAsia="仿宋_GB2312" w:cs="仿宋_GB2312"/>
          <w:color w:val="auto"/>
          <w:sz w:val="32"/>
          <w:szCs w:val="32"/>
          <w:highlight w:val="none"/>
        </w:rPr>
        <w:t>执行公务、开展业务活动开支的交通费、住宿费、用餐费等</w:t>
      </w:r>
      <w:r>
        <w:rPr>
          <w:rFonts w:hint="eastAsia" w:ascii="仿宋_GB2312" w:hAnsi="仿宋_GB2312" w:eastAsia="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。国内公务接待</w:t>
      </w:r>
      <w:r>
        <w:rPr>
          <w:rFonts w:hint="eastAsia" w:ascii="仿宋_GB2312" w:hAnsi="仿宋_GB2312" w:eastAsia="仿宋_GB2312" w:cs="仿宋_GB2312"/>
          <w:color w:val="auto"/>
          <w:sz w:val="32"/>
          <w:szCs w:val="32"/>
          <w:highlight w:val="none"/>
          <w:lang w:val="en-US" w:eastAsia="zh-CN"/>
        </w:rPr>
        <w:t>20</w:t>
      </w:r>
      <w:r>
        <w:rPr>
          <w:rFonts w:hint="eastAsia" w:ascii="仿宋_GB2312" w:hAnsi="仿宋_GB2312" w:eastAsia="仿宋_GB2312" w:cs="仿宋_GB2312"/>
          <w:color w:val="auto"/>
          <w:sz w:val="32"/>
          <w:szCs w:val="32"/>
          <w:highlight w:val="none"/>
        </w:rPr>
        <w:t>批次，</w:t>
      </w:r>
      <w:r>
        <w:rPr>
          <w:rFonts w:hint="eastAsia" w:ascii="仿宋_GB2312" w:hAnsi="仿宋_GB2312" w:eastAsia="仿宋_GB2312" w:cs="仿宋_GB2312"/>
          <w:color w:val="auto"/>
          <w:sz w:val="32"/>
          <w:szCs w:val="32"/>
          <w:highlight w:val="none"/>
          <w:lang w:val="en-US" w:eastAsia="zh-CN"/>
        </w:rPr>
        <w:t>200</w:t>
      </w:r>
      <w:r>
        <w:rPr>
          <w:rFonts w:hint="eastAsia" w:ascii="仿宋_GB2312" w:hAnsi="仿宋_GB2312" w:eastAsia="仿宋_GB2312" w:cs="仿宋_GB2312"/>
          <w:color w:val="auto"/>
          <w:sz w:val="32"/>
          <w:szCs w:val="32"/>
          <w:highlight w:val="none"/>
        </w:rPr>
        <w:t>人次（不包括陪同人员），共计支出</w:t>
      </w:r>
      <w:r>
        <w:rPr>
          <w:rFonts w:hint="eastAsia" w:ascii="仿宋_GB2312" w:hAnsi="仿宋_GB2312" w:eastAsia="仿宋_GB2312" w:cs="仿宋_GB2312"/>
          <w:color w:val="auto"/>
          <w:sz w:val="32"/>
          <w:szCs w:val="32"/>
          <w:highlight w:val="none"/>
          <w:lang w:val="en-US" w:eastAsia="zh-CN"/>
        </w:rPr>
        <w:t>2.9</w:t>
      </w:r>
      <w:r>
        <w:rPr>
          <w:rFonts w:hint="eastAsia" w:ascii="仿宋_GB2312" w:hAnsi="仿宋_GB2312" w:eastAsia="仿宋_GB2312" w:cs="仿宋_GB2312"/>
          <w:color w:val="auto"/>
          <w:sz w:val="32"/>
          <w:szCs w:val="32"/>
          <w:highlight w:val="none"/>
        </w:rPr>
        <w:t>万元，具体内容包括：</w:t>
      </w:r>
      <w:r>
        <w:rPr>
          <w:rFonts w:hint="eastAsia" w:ascii="仿宋_GB2312" w:hAnsi="仿宋_GB2312" w:eastAsia="仿宋_GB2312" w:cs="仿宋_GB2312"/>
          <w:color w:val="auto"/>
          <w:sz w:val="32"/>
          <w:szCs w:val="32"/>
          <w:highlight w:val="none"/>
          <w:lang w:eastAsia="zh-CN"/>
        </w:rPr>
        <w:t>统一战线（民宗）系统各级组织来广考察调研，各民主党派各级组织</w:t>
      </w:r>
      <w:r>
        <w:rPr>
          <w:rFonts w:hint="eastAsia" w:ascii="仿宋_GB2312" w:hAnsi="仿宋_GB2312" w:eastAsia="仿宋_GB2312" w:cs="仿宋_GB2312"/>
          <w:b w:val="0"/>
          <w:bCs w:val="0"/>
          <w:color w:val="auto"/>
          <w:sz w:val="32"/>
          <w:szCs w:val="32"/>
          <w:highlight w:val="none"/>
          <w:lang w:eastAsia="zh-CN"/>
        </w:rPr>
        <w:t>来广考察调研</w:t>
      </w:r>
      <w:r>
        <w:rPr>
          <w:rFonts w:hint="eastAsia" w:ascii="仿宋_GB2312" w:hAnsi="仿宋_GB2312" w:eastAsia="仿宋_GB2312" w:cs="仿宋_GB2312"/>
          <w:b w:val="0"/>
          <w:bCs w:val="0"/>
          <w:color w:val="auto"/>
          <w:sz w:val="32"/>
          <w:szCs w:val="32"/>
          <w:highlight w:val="none"/>
        </w:rPr>
        <w:t>。</w:t>
      </w:r>
      <w:bookmarkEnd w:id="78"/>
    </w:p>
    <w:p>
      <w:pPr>
        <w:pageBreakBefore w:val="0"/>
        <w:kinsoku/>
        <w:wordWrap/>
        <w:overflowPunct/>
        <w:topLinePunct w:val="0"/>
        <w:bidi w:val="0"/>
        <w:spacing w:beforeAutospacing="0" w:afterAutospacing="0" w:line="560" w:lineRule="exact"/>
        <w:ind w:firstLine="645"/>
        <w:rPr>
          <w:rFonts w:ascii="黑体" w:eastAsia="黑体"/>
          <w:color w:val="auto"/>
          <w:sz w:val="32"/>
          <w:szCs w:val="32"/>
          <w:highlight w:val="none"/>
        </w:rPr>
      </w:pPr>
      <w:r>
        <w:rPr>
          <w:rFonts w:hint="eastAsia" w:ascii="仿宋_GB2312" w:hAnsi="仿宋_GB2312" w:eastAsia="仿宋_GB2312" w:cs="仿宋_GB2312"/>
          <w:b w:val="0"/>
          <w:bCs w:val="0"/>
          <w:color w:val="auto"/>
          <w:sz w:val="32"/>
          <w:szCs w:val="32"/>
          <w:highlight w:val="none"/>
        </w:rPr>
        <w:t>外事接待支出</w:t>
      </w:r>
      <w:r>
        <w:rPr>
          <w:rFonts w:hint="eastAsia" w:ascii="仿宋" w:hAnsi="仿宋" w:eastAsia="仿宋"/>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万元</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rPr>
        <w:t>外事接待</w:t>
      </w:r>
      <w:r>
        <w:rPr>
          <w:rFonts w:hint="eastAsia" w:ascii="仿宋_GB2312" w:eastAsia="仿宋_GB2312"/>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批次，</w:t>
      </w:r>
      <w:r>
        <w:rPr>
          <w:rFonts w:hint="eastAsia" w:ascii="仿宋_GB2312" w:eastAsia="仿宋_GB2312"/>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人</w:t>
      </w:r>
      <w:r>
        <w:rPr>
          <w:rFonts w:hint="eastAsia" w:ascii="仿宋_GB2312" w:eastAsia="仿宋_GB2312"/>
          <w:b w:val="0"/>
          <w:bCs w:val="0"/>
          <w:color w:val="auto"/>
          <w:sz w:val="32"/>
          <w:szCs w:val="32"/>
          <w:highlight w:val="none"/>
          <w:lang w:eastAsia="zh-CN"/>
        </w:rPr>
        <w:t>次</w:t>
      </w:r>
      <w:r>
        <w:rPr>
          <w:rFonts w:hint="eastAsia" w:ascii="仿宋_GB2312" w:eastAsia="仿宋_GB2312"/>
          <w:b w:val="0"/>
          <w:bCs w:val="0"/>
          <w:color w:val="auto"/>
          <w:sz w:val="32"/>
          <w:szCs w:val="32"/>
          <w:highlight w:val="none"/>
        </w:rPr>
        <w:t>，共计支出</w:t>
      </w:r>
      <w:r>
        <w:rPr>
          <w:rFonts w:hint="eastAsia" w:ascii="仿宋_GB2312" w:eastAsia="仿宋_GB2312"/>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万元。</w:t>
      </w:r>
      <w:bookmarkStart w:id="79" w:name="_Toc15377218"/>
      <w:bookmarkStart w:id="80" w:name="_Toc15396610"/>
    </w:p>
    <w:p>
      <w:pPr>
        <w:pageBreakBefore w:val="0"/>
        <w:kinsoku/>
        <w:wordWrap/>
        <w:overflowPunct/>
        <w:topLinePunct w:val="0"/>
        <w:bidi w:val="0"/>
        <w:spacing w:beforeAutospacing="0" w:afterAutospacing="0" w:line="560" w:lineRule="exact"/>
        <w:ind w:firstLine="640"/>
        <w:outlineLvl w:val="1"/>
        <w:rPr>
          <w:rStyle w:val="19"/>
          <w:rFonts w:ascii="黑体" w:hAnsi="黑体" w:eastAsia="黑体"/>
          <w:color w:val="auto"/>
          <w:highlight w:val="none"/>
        </w:rPr>
      </w:pPr>
      <w:bookmarkStart w:id="81" w:name="_Toc23366"/>
      <w:r>
        <w:rPr>
          <w:rFonts w:hint="eastAsia" w:ascii="黑体" w:eastAsia="黑体"/>
          <w:color w:val="auto"/>
          <w:sz w:val="32"/>
          <w:szCs w:val="32"/>
          <w:highlight w:val="none"/>
        </w:rPr>
        <w:t>八、</w:t>
      </w:r>
      <w:r>
        <w:rPr>
          <w:rStyle w:val="19"/>
          <w:rFonts w:hint="eastAsia" w:ascii="黑体" w:hAnsi="黑体" w:eastAsia="黑体"/>
          <w:b w:val="0"/>
          <w:color w:val="auto"/>
          <w:highlight w:val="none"/>
        </w:rPr>
        <w:t>政府性基金预算支出决算情况说明</w:t>
      </w:r>
      <w:bookmarkEnd w:id="79"/>
      <w:bookmarkEnd w:id="80"/>
      <w:bookmarkEnd w:id="81"/>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82" w:name="_Toc20368"/>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年政府性基金预算</w:t>
      </w:r>
      <w:r>
        <w:rPr>
          <w:rFonts w:hint="eastAsia" w:ascii="仿宋_GB2312" w:hAnsi="仿宋_GB2312" w:eastAsia="仿宋_GB2312" w:cs="仿宋_GB2312"/>
          <w:color w:val="auto"/>
          <w:sz w:val="32"/>
          <w:szCs w:val="32"/>
          <w:highlight w:val="none"/>
          <w:lang w:eastAsia="zh-CN"/>
        </w:rPr>
        <w:t>财政</w:t>
      </w:r>
      <w:r>
        <w:rPr>
          <w:rFonts w:hint="eastAsia" w:ascii="仿宋_GB2312" w:hAnsi="仿宋_GB2312" w:eastAsia="仿宋_GB2312" w:cs="仿宋_GB2312"/>
          <w:color w:val="auto"/>
          <w:sz w:val="32"/>
          <w:szCs w:val="32"/>
          <w:highlight w:val="none"/>
        </w:rPr>
        <w:t>拨款支出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bookmarkEnd w:id="82"/>
    </w:p>
    <w:p>
      <w:pPr>
        <w:pageBreakBefore w:val="0"/>
        <w:numPr>
          <w:ilvl w:val="0"/>
          <w:numId w:val="1"/>
        </w:numPr>
        <w:kinsoku/>
        <w:wordWrap/>
        <w:overflowPunct/>
        <w:topLinePunct w:val="0"/>
        <w:bidi w:val="0"/>
        <w:spacing w:beforeAutospacing="0" w:afterAutospacing="0" w:line="560" w:lineRule="exact"/>
        <w:ind w:firstLine="640"/>
        <w:outlineLvl w:val="1"/>
        <w:rPr>
          <w:rStyle w:val="19"/>
          <w:rFonts w:ascii="黑体" w:hAnsi="黑体" w:eastAsia="黑体"/>
          <w:b w:val="0"/>
          <w:color w:val="auto"/>
          <w:highlight w:val="none"/>
        </w:rPr>
      </w:pPr>
      <w:bookmarkStart w:id="83" w:name="_Toc29812"/>
      <w:bookmarkStart w:id="84" w:name="_Toc15396611"/>
      <w:bookmarkStart w:id="85" w:name="_Toc15377219"/>
      <w:r>
        <w:rPr>
          <w:rStyle w:val="19"/>
          <w:rFonts w:hint="eastAsia" w:ascii="黑体" w:hAnsi="黑体" w:eastAsia="黑体"/>
          <w:b w:val="0"/>
          <w:color w:val="auto"/>
          <w:highlight w:val="none"/>
        </w:rPr>
        <w:t>国有资本经营预算支出决算情况说明</w:t>
      </w:r>
      <w:bookmarkEnd w:id="83"/>
      <w:bookmarkEnd w:id="84"/>
      <w:bookmarkEnd w:id="85"/>
    </w:p>
    <w:p>
      <w:pPr>
        <w:pageBreakBefore w:val="0"/>
        <w:kinsoku/>
        <w:wordWrap/>
        <w:overflowPunct/>
        <w:topLinePunct w:val="0"/>
        <w:bidi w:val="0"/>
        <w:spacing w:beforeAutospacing="0" w:afterAutospacing="0" w:line="560" w:lineRule="exact"/>
        <w:ind w:firstLine="640" w:firstLineChars="200"/>
        <w:outlineLvl w:val="1"/>
        <w:rPr>
          <w:rFonts w:hint="eastAsia" w:ascii="仿宋_GB2312" w:hAnsi="仿宋_GB2312" w:eastAsia="仿宋_GB2312" w:cs="仿宋_GB2312"/>
          <w:color w:val="auto"/>
          <w:sz w:val="32"/>
          <w:szCs w:val="32"/>
          <w:highlight w:val="none"/>
        </w:rPr>
      </w:pPr>
      <w:bookmarkStart w:id="86" w:name="_Toc18870"/>
      <w:r>
        <w:rPr>
          <w:rFonts w:hint="eastAsia" w:ascii="仿宋_GB2312" w:hAnsi="仿宋_GB2312" w:eastAsia="仿宋_GB2312" w:cs="仿宋_GB2312"/>
          <w:color w:val="auto"/>
          <w:sz w:val="32"/>
          <w:szCs w:val="32"/>
          <w:highlight w:val="none"/>
        </w:rPr>
        <w:t>20</w:t>
      </w:r>
      <w:r>
        <w:rPr>
          <w:rFonts w:hint="eastAsia" w:ascii="仿宋_GB2312" w:hAnsi="仿宋_GB2312" w:eastAsia="仿宋_GB2312" w:cs="仿宋_GB2312"/>
          <w:color w:val="auto"/>
          <w:sz w:val="32"/>
          <w:szCs w:val="32"/>
          <w:highlight w:val="none"/>
          <w:lang w:val="en-US" w:eastAsia="zh-CN"/>
        </w:rPr>
        <w:t>22</w:t>
      </w:r>
      <w:r>
        <w:rPr>
          <w:rFonts w:hint="eastAsia" w:ascii="仿宋_GB2312" w:hAnsi="仿宋_GB2312" w:eastAsia="仿宋_GB2312" w:cs="仿宋_GB2312"/>
          <w:color w:val="auto"/>
          <w:sz w:val="32"/>
          <w:szCs w:val="32"/>
          <w:highlight w:val="none"/>
        </w:rPr>
        <w:t>年国有资本经营预算</w:t>
      </w:r>
      <w:r>
        <w:rPr>
          <w:rFonts w:hint="eastAsia" w:ascii="仿宋_GB2312" w:hAnsi="仿宋_GB2312" w:eastAsia="仿宋_GB2312" w:cs="仿宋_GB2312"/>
          <w:color w:val="auto"/>
          <w:sz w:val="32"/>
          <w:szCs w:val="32"/>
          <w:highlight w:val="none"/>
          <w:lang w:eastAsia="zh-CN"/>
        </w:rPr>
        <w:t>财政</w:t>
      </w:r>
      <w:r>
        <w:rPr>
          <w:rFonts w:hint="eastAsia" w:ascii="仿宋_GB2312" w:hAnsi="仿宋_GB2312" w:eastAsia="仿宋_GB2312" w:cs="仿宋_GB2312"/>
          <w:color w:val="auto"/>
          <w:sz w:val="32"/>
          <w:szCs w:val="32"/>
          <w:highlight w:val="none"/>
        </w:rPr>
        <w:t>拨款支出</w:t>
      </w:r>
      <w:r>
        <w:rPr>
          <w:rFonts w:hint="eastAsia" w:ascii="仿宋_GB2312" w:hAnsi="仿宋_GB2312" w:eastAsia="仿宋_GB2312" w:cs="仿宋_GB2312"/>
          <w:color w:val="auto"/>
          <w:sz w:val="32"/>
          <w:szCs w:val="32"/>
          <w:highlight w:val="none"/>
          <w:lang w:val="en-US" w:eastAsia="zh-CN"/>
        </w:rPr>
        <w:t>0</w:t>
      </w:r>
      <w:r>
        <w:rPr>
          <w:rFonts w:hint="eastAsia" w:ascii="仿宋_GB2312" w:hAnsi="仿宋_GB2312" w:eastAsia="仿宋_GB2312" w:cs="仿宋_GB2312"/>
          <w:color w:val="auto"/>
          <w:sz w:val="32"/>
          <w:szCs w:val="32"/>
          <w:highlight w:val="none"/>
        </w:rPr>
        <w:t>万元。</w:t>
      </w:r>
      <w:bookmarkEnd w:id="86"/>
    </w:p>
    <w:p>
      <w:pPr>
        <w:pageBreakBefore w:val="0"/>
        <w:numPr>
          <w:ilvl w:val="0"/>
          <w:numId w:val="1"/>
        </w:numPr>
        <w:kinsoku/>
        <w:wordWrap/>
        <w:overflowPunct/>
        <w:topLinePunct w:val="0"/>
        <w:bidi w:val="0"/>
        <w:spacing w:beforeAutospacing="0" w:afterAutospacing="0" w:line="560" w:lineRule="exact"/>
        <w:ind w:firstLine="640"/>
        <w:outlineLvl w:val="1"/>
        <w:rPr>
          <w:rStyle w:val="19"/>
          <w:rFonts w:hint="eastAsia" w:ascii="黑体" w:hAnsi="黑体" w:eastAsia="黑体"/>
          <w:b w:val="0"/>
          <w:color w:val="auto"/>
          <w:highlight w:val="none"/>
        </w:rPr>
      </w:pPr>
      <w:bookmarkStart w:id="87" w:name="_Toc25236"/>
      <w:bookmarkStart w:id="88" w:name="_Toc15377221"/>
      <w:bookmarkStart w:id="89" w:name="_Toc15396612"/>
      <w:r>
        <w:rPr>
          <w:rStyle w:val="19"/>
          <w:rFonts w:hint="eastAsia" w:ascii="黑体" w:hAnsi="黑体" w:eastAsia="黑体"/>
          <w:b w:val="0"/>
          <w:color w:val="auto"/>
          <w:highlight w:val="none"/>
        </w:rPr>
        <w:t>其他重要事项的情况说明</w:t>
      </w:r>
      <w:bookmarkEnd w:id="87"/>
      <w:bookmarkEnd w:id="88"/>
      <w:bookmarkEnd w:id="89"/>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90" w:name="_Toc15377222"/>
      <w:r>
        <w:rPr>
          <w:rFonts w:hint="eastAsia" w:ascii="方正楷体_GBK" w:hAnsi="方正楷体_GBK" w:eastAsia="方正楷体_GBK" w:cs="方正楷体_GBK"/>
          <w:b w:val="0"/>
          <w:bCs/>
          <w:color w:val="auto"/>
          <w:sz w:val="32"/>
          <w:szCs w:val="32"/>
          <w:highlight w:val="none"/>
        </w:rPr>
        <w:t>（一）机关运行经费支出情况</w:t>
      </w:r>
      <w:bookmarkEnd w:id="90"/>
    </w:p>
    <w:p>
      <w:pPr>
        <w:pageBreakBefore w:val="0"/>
        <w:kinsoku/>
        <w:wordWrap/>
        <w:overflowPunct/>
        <w:topLinePunct w:val="0"/>
        <w:bidi w:val="0"/>
        <w:spacing w:beforeAutospacing="0" w:afterAutospacing="0" w:line="560" w:lineRule="exact"/>
        <w:ind w:firstLine="640" w:firstLineChars="200"/>
        <w:rPr>
          <w:rFonts w:hint="eastAsia" w:ascii="仿宋" w:hAnsi="仿宋" w:eastAsia="仿宋" w:cs="仿宋"/>
          <w:b w:val="0"/>
          <w:bCs w:val="0"/>
          <w:color w:val="auto"/>
          <w:sz w:val="32"/>
          <w:szCs w:val="32"/>
          <w:highlight w:val="none"/>
        </w:rPr>
      </w:pP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22</w:t>
      </w:r>
      <w:r>
        <w:rPr>
          <w:rFonts w:hint="eastAsia" w:ascii="仿宋_GB2312" w:eastAsia="仿宋_GB2312"/>
          <w:color w:val="auto"/>
          <w:sz w:val="32"/>
          <w:szCs w:val="32"/>
          <w:highlight w:val="none"/>
        </w:rPr>
        <w:t>年，</w:t>
      </w:r>
      <w:r>
        <w:rPr>
          <w:rFonts w:hint="eastAsia" w:ascii="仿宋_GB2312" w:eastAsia="仿宋_GB2312"/>
          <w:color w:val="auto"/>
          <w:sz w:val="32"/>
          <w:szCs w:val="32"/>
          <w:highlight w:val="none"/>
          <w:lang w:eastAsia="zh-CN"/>
        </w:rPr>
        <w:t>市委统战部</w:t>
      </w:r>
      <w:r>
        <w:rPr>
          <w:rFonts w:hint="eastAsia" w:ascii="仿宋_GB2312" w:eastAsia="仿宋_GB2312"/>
          <w:color w:val="auto"/>
          <w:sz w:val="32"/>
          <w:szCs w:val="32"/>
          <w:highlight w:val="none"/>
        </w:rPr>
        <w:t>机关运行经费支出</w:t>
      </w:r>
      <w:r>
        <w:rPr>
          <w:rFonts w:hint="eastAsia" w:ascii="仿宋_GB2312" w:eastAsia="仿宋_GB2312"/>
          <w:color w:val="auto"/>
          <w:sz w:val="32"/>
          <w:szCs w:val="32"/>
          <w:highlight w:val="none"/>
          <w:lang w:val="en-US" w:eastAsia="zh-CN"/>
        </w:rPr>
        <w:t>102.08</w:t>
      </w:r>
      <w:r>
        <w:rPr>
          <w:rFonts w:hint="eastAsia" w:ascii="仿宋_GB2312" w:eastAsia="仿宋_GB2312"/>
          <w:color w:val="auto"/>
          <w:sz w:val="32"/>
          <w:szCs w:val="32"/>
          <w:highlight w:val="none"/>
        </w:rPr>
        <w:t>万元，比</w:t>
      </w:r>
      <w:r>
        <w:rPr>
          <w:rFonts w:ascii="仿宋_GB2312" w:eastAsia="仿宋_GB2312"/>
          <w:color w:val="auto"/>
          <w:sz w:val="32"/>
          <w:szCs w:val="32"/>
          <w:highlight w:val="none"/>
        </w:rPr>
        <w:t>20</w:t>
      </w:r>
      <w:r>
        <w:rPr>
          <w:rFonts w:hint="eastAsia" w:ascii="仿宋_GB2312" w:eastAsia="仿宋_GB2312"/>
          <w:color w:val="auto"/>
          <w:sz w:val="32"/>
          <w:szCs w:val="32"/>
          <w:highlight w:val="none"/>
          <w:lang w:val="en-US" w:eastAsia="zh-CN"/>
        </w:rPr>
        <w:t>21</w:t>
      </w:r>
      <w:r>
        <w:rPr>
          <w:rFonts w:hint="eastAsia" w:ascii="仿宋_GB2312" w:eastAsia="仿宋_GB2312"/>
          <w:color w:val="auto"/>
          <w:sz w:val="32"/>
          <w:szCs w:val="32"/>
          <w:highlight w:val="none"/>
        </w:rPr>
        <w:t>年减少</w:t>
      </w:r>
      <w:r>
        <w:rPr>
          <w:rFonts w:hint="eastAsia" w:ascii="仿宋_GB2312" w:eastAsia="仿宋_GB2312"/>
          <w:color w:val="auto"/>
          <w:sz w:val="32"/>
          <w:szCs w:val="32"/>
          <w:highlight w:val="none"/>
          <w:lang w:val="en-US" w:eastAsia="zh-CN"/>
        </w:rPr>
        <w:t>12.41</w:t>
      </w:r>
      <w:r>
        <w:rPr>
          <w:rFonts w:hint="eastAsia" w:ascii="仿宋_GB2312" w:eastAsia="仿宋_GB2312"/>
          <w:color w:val="auto"/>
          <w:sz w:val="32"/>
          <w:szCs w:val="32"/>
          <w:highlight w:val="none"/>
        </w:rPr>
        <w:t>万元，下降</w:t>
      </w:r>
      <w:r>
        <w:rPr>
          <w:rFonts w:hint="eastAsia" w:ascii="仿宋_GB2312" w:eastAsia="仿宋_GB2312"/>
          <w:color w:val="auto"/>
          <w:sz w:val="32"/>
          <w:szCs w:val="32"/>
          <w:highlight w:val="none"/>
          <w:lang w:val="en-US" w:eastAsia="zh-CN"/>
        </w:rPr>
        <w:t>10.83</w:t>
      </w:r>
      <w:r>
        <w:rPr>
          <w:rFonts w:ascii="仿宋_GB2312" w:eastAsia="仿宋_GB2312"/>
          <w:color w:val="auto"/>
          <w:sz w:val="32"/>
          <w:szCs w:val="32"/>
          <w:highlight w:val="none"/>
        </w:rPr>
        <w:t>%</w:t>
      </w:r>
      <w:r>
        <w:rPr>
          <w:rFonts w:hint="eastAsia" w:ascii="仿宋_GB2312" w:eastAsia="仿宋_GB2312"/>
          <w:color w:val="auto"/>
          <w:sz w:val="32"/>
          <w:szCs w:val="32"/>
          <w:highlight w:val="none"/>
        </w:rPr>
        <w:t>。主要原因是</w:t>
      </w:r>
      <w:r>
        <w:rPr>
          <w:rFonts w:hint="eastAsia" w:ascii="仿宋_GB2312" w:eastAsia="仿宋_GB2312"/>
          <w:b w:val="0"/>
          <w:bCs w:val="0"/>
          <w:color w:val="auto"/>
          <w:sz w:val="32"/>
          <w:szCs w:val="32"/>
          <w:highlight w:val="none"/>
          <w:lang w:eastAsia="zh-CN"/>
        </w:rPr>
        <w:t>进一步落实市委过紧日子“十三条措施”，压紧压实部门开支。</w:t>
      </w:r>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91" w:name="_Toc15377223"/>
      <w:r>
        <w:rPr>
          <w:rFonts w:hint="eastAsia" w:ascii="方正楷体_GBK" w:hAnsi="方正楷体_GBK" w:eastAsia="方正楷体_GBK" w:cs="方正楷体_GBK"/>
          <w:b w:val="0"/>
          <w:bCs/>
          <w:color w:val="auto"/>
          <w:sz w:val="32"/>
          <w:szCs w:val="32"/>
          <w:highlight w:val="none"/>
        </w:rPr>
        <w:t>（二）政府采购支出情况</w:t>
      </w:r>
      <w:bookmarkEnd w:id="91"/>
    </w:p>
    <w:p>
      <w:pPr>
        <w:pageBreakBefore w:val="0"/>
        <w:kinsoku/>
        <w:wordWrap/>
        <w:overflowPunct/>
        <w:topLinePunct w:val="0"/>
        <w:bidi w:val="0"/>
        <w:spacing w:beforeAutospacing="0" w:afterAutospacing="0" w:line="560" w:lineRule="exact"/>
        <w:ind w:firstLine="640" w:firstLineChars="200"/>
        <w:textAlignment w:val="auto"/>
        <w:rPr>
          <w:rFonts w:ascii="仿宋" w:hAnsi="仿宋" w:eastAsia="仿宋"/>
          <w:b w:val="0"/>
          <w:bCs w:val="0"/>
          <w:color w:val="auto"/>
          <w:sz w:val="32"/>
          <w:szCs w:val="32"/>
          <w:highlight w:val="none"/>
        </w:rPr>
      </w:pPr>
      <w:r>
        <w:rPr>
          <w:rFonts w:ascii="仿宋_GB2312" w:eastAsia="仿宋_GB2312"/>
          <w:b w:val="0"/>
          <w:bCs w:val="0"/>
          <w:color w:val="auto"/>
          <w:sz w:val="32"/>
          <w:szCs w:val="32"/>
          <w:highlight w:val="none"/>
        </w:rPr>
        <w:t>20</w:t>
      </w:r>
      <w:r>
        <w:rPr>
          <w:rFonts w:hint="eastAsia" w:ascii="仿宋_GB2312" w:eastAsia="仿宋_GB2312"/>
          <w:b w:val="0"/>
          <w:bCs w:val="0"/>
          <w:color w:val="auto"/>
          <w:sz w:val="32"/>
          <w:szCs w:val="32"/>
          <w:highlight w:val="none"/>
          <w:lang w:val="en-US" w:eastAsia="zh-CN"/>
        </w:rPr>
        <w:t>22</w:t>
      </w:r>
      <w:r>
        <w:rPr>
          <w:rFonts w:hint="eastAsia" w:ascii="仿宋_GB2312" w:eastAsia="仿宋_GB2312"/>
          <w:b w:val="0"/>
          <w:bCs w:val="0"/>
          <w:color w:val="auto"/>
          <w:sz w:val="32"/>
          <w:szCs w:val="32"/>
          <w:highlight w:val="none"/>
        </w:rPr>
        <w:t>年，</w:t>
      </w:r>
      <w:r>
        <w:rPr>
          <w:rFonts w:hint="eastAsia" w:ascii="仿宋_GB2312" w:eastAsia="仿宋_GB2312"/>
          <w:b w:val="0"/>
          <w:bCs w:val="0"/>
          <w:color w:val="auto"/>
          <w:sz w:val="32"/>
          <w:szCs w:val="32"/>
          <w:highlight w:val="none"/>
          <w:lang w:val="en-US" w:eastAsia="zh-CN"/>
        </w:rPr>
        <w:t>市委统战部部门</w:t>
      </w:r>
      <w:r>
        <w:rPr>
          <w:rFonts w:hint="eastAsia" w:ascii="仿宋_GB2312" w:eastAsia="仿宋_GB2312"/>
          <w:b w:val="0"/>
          <w:bCs w:val="0"/>
          <w:color w:val="auto"/>
          <w:sz w:val="32"/>
          <w:szCs w:val="32"/>
          <w:highlight w:val="none"/>
        </w:rPr>
        <w:t>政府采购支出总额</w:t>
      </w:r>
      <w:r>
        <w:rPr>
          <w:rFonts w:hint="default" w:ascii="仿宋_GB2312" w:eastAsia="仿宋_GB2312"/>
          <w:b w:val="0"/>
          <w:bCs w:val="0"/>
          <w:color w:val="auto"/>
          <w:sz w:val="32"/>
          <w:szCs w:val="32"/>
          <w:highlight w:val="none"/>
          <w:lang w:val="en"/>
        </w:rPr>
        <w:t>28.98</w:t>
      </w:r>
      <w:r>
        <w:rPr>
          <w:rFonts w:hint="eastAsia" w:ascii="仿宋_GB2312" w:eastAsia="仿宋_GB2312"/>
          <w:b w:val="0"/>
          <w:bCs w:val="0"/>
          <w:color w:val="auto"/>
          <w:sz w:val="32"/>
          <w:szCs w:val="32"/>
          <w:highlight w:val="none"/>
        </w:rPr>
        <w:t>万元，其中：政府采购货物支出</w:t>
      </w:r>
      <w:r>
        <w:rPr>
          <w:rFonts w:hint="default" w:ascii="仿宋_GB2312" w:eastAsia="仿宋_GB2312"/>
          <w:b w:val="0"/>
          <w:bCs w:val="0"/>
          <w:color w:val="auto"/>
          <w:sz w:val="32"/>
          <w:szCs w:val="32"/>
          <w:highlight w:val="none"/>
          <w:lang w:val="en"/>
        </w:rPr>
        <w:t>28.98</w:t>
      </w:r>
      <w:r>
        <w:rPr>
          <w:rFonts w:hint="eastAsia" w:ascii="仿宋_GB2312" w:eastAsia="仿宋_GB2312"/>
          <w:b w:val="0"/>
          <w:bCs w:val="0"/>
          <w:color w:val="auto"/>
          <w:sz w:val="32"/>
          <w:szCs w:val="32"/>
          <w:highlight w:val="none"/>
        </w:rPr>
        <w:t>万元。</w:t>
      </w:r>
      <w:r>
        <w:rPr>
          <w:rFonts w:hint="eastAsia" w:ascii="仿宋_GB2312" w:eastAsia="仿宋_GB2312"/>
          <w:b w:val="0"/>
          <w:bCs w:val="0"/>
          <w:color w:val="auto"/>
          <w:sz w:val="32"/>
          <w:szCs w:val="32"/>
          <w:highlight w:val="none"/>
          <w:lang w:eastAsia="zh-CN"/>
        </w:rPr>
        <w:t>公务用车</w:t>
      </w:r>
      <w:r>
        <w:rPr>
          <w:rFonts w:hint="eastAsia" w:ascii="仿宋_GB2312" w:eastAsia="仿宋_GB2312"/>
          <w:b w:val="0"/>
          <w:bCs w:val="0"/>
          <w:color w:val="auto"/>
          <w:sz w:val="32"/>
          <w:szCs w:val="32"/>
          <w:highlight w:val="none"/>
        </w:rPr>
        <w:t>主要用于</w:t>
      </w:r>
      <w:r>
        <w:rPr>
          <w:rFonts w:hint="eastAsia" w:ascii="仿宋_GB2312" w:eastAsia="仿宋_GB2312"/>
          <w:b w:val="0"/>
          <w:bCs w:val="0"/>
          <w:color w:val="auto"/>
          <w:sz w:val="32"/>
          <w:szCs w:val="32"/>
          <w:highlight w:val="none"/>
          <w:lang w:eastAsia="zh-CN"/>
        </w:rPr>
        <w:t>日常外出调研考察及民族宗教应急处突，其余物品主要满足于日常办公需要</w:t>
      </w:r>
      <w:r>
        <w:rPr>
          <w:rFonts w:hint="eastAsia" w:ascii="仿宋_GB2312" w:eastAsia="仿宋_GB2312"/>
          <w:b w:val="0"/>
          <w:bCs w:val="0"/>
          <w:color w:val="auto"/>
          <w:sz w:val="32"/>
          <w:szCs w:val="32"/>
          <w:highlight w:val="none"/>
        </w:rPr>
        <w:t>。授予中小企业合同金额</w:t>
      </w:r>
      <w:r>
        <w:rPr>
          <w:rFonts w:hint="eastAsia" w:ascii="仿宋_GB2312" w:eastAsia="仿宋_GB2312"/>
          <w:b w:val="0"/>
          <w:bCs w:val="0"/>
          <w:color w:val="auto"/>
          <w:sz w:val="32"/>
          <w:szCs w:val="32"/>
          <w:highlight w:val="none"/>
          <w:lang w:val="en-US" w:eastAsia="zh-CN"/>
        </w:rPr>
        <w:t>28.98</w:t>
      </w:r>
      <w:r>
        <w:rPr>
          <w:rFonts w:hint="eastAsia" w:ascii="仿宋_GB2312" w:eastAsia="仿宋_GB2312"/>
          <w:b w:val="0"/>
          <w:bCs w:val="0"/>
          <w:color w:val="auto"/>
          <w:sz w:val="32"/>
          <w:szCs w:val="32"/>
          <w:highlight w:val="none"/>
        </w:rPr>
        <w:t>万元，占政府采购支出总额的</w:t>
      </w:r>
      <w:r>
        <w:rPr>
          <w:rFonts w:hint="eastAsia" w:ascii="仿宋_GB2312" w:eastAsia="仿宋_GB2312"/>
          <w:b w:val="0"/>
          <w:bCs w:val="0"/>
          <w:color w:val="auto"/>
          <w:sz w:val="32"/>
          <w:szCs w:val="32"/>
          <w:highlight w:val="none"/>
          <w:lang w:val="en-US" w:eastAsia="zh-CN"/>
        </w:rPr>
        <w:t>100</w:t>
      </w:r>
      <w:r>
        <w:rPr>
          <w:rFonts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rPr>
        <w:t>，其中：授予小微企业合同金额</w:t>
      </w:r>
      <w:r>
        <w:rPr>
          <w:rFonts w:hint="eastAsia" w:ascii="仿宋_GB2312" w:eastAsia="仿宋_GB2312"/>
          <w:b w:val="0"/>
          <w:bCs w:val="0"/>
          <w:color w:val="auto"/>
          <w:sz w:val="32"/>
          <w:szCs w:val="32"/>
          <w:highlight w:val="none"/>
          <w:lang w:val="en-US" w:eastAsia="zh-CN"/>
        </w:rPr>
        <w:t>28.98</w:t>
      </w:r>
      <w:r>
        <w:rPr>
          <w:rFonts w:hint="eastAsia" w:ascii="仿宋_GB2312" w:eastAsia="仿宋_GB2312"/>
          <w:b w:val="0"/>
          <w:bCs w:val="0"/>
          <w:color w:val="auto"/>
          <w:sz w:val="32"/>
          <w:szCs w:val="32"/>
          <w:highlight w:val="none"/>
        </w:rPr>
        <w:t>万元，占政府采购支出总额的</w:t>
      </w:r>
      <w:r>
        <w:rPr>
          <w:rFonts w:hint="eastAsia" w:ascii="仿宋_GB2312" w:eastAsia="仿宋_GB2312"/>
          <w:b w:val="0"/>
          <w:bCs w:val="0"/>
          <w:color w:val="auto"/>
          <w:sz w:val="32"/>
          <w:szCs w:val="32"/>
          <w:highlight w:val="none"/>
          <w:lang w:val="en-US" w:eastAsia="zh-CN"/>
        </w:rPr>
        <w:t>100</w:t>
      </w:r>
      <w:r>
        <w:rPr>
          <w:rFonts w:ascii="仿宋_GB2312" w:eastAsia="仿宋_GB2312"/>
          <w:b w:val="0"/>
          <w:bCs w:val="0"/>
          <w:color w:val="auto"/>
          <w:sz w:val="32"/>
          <w:szCs w:val="32"/>
          <w:highlight w:val="none"/>
        </w:rPr>
        <w:t>%</w:t>
      </w:r>
      <w:r>
        <w:rPr>
          <w:rFonts w:hint="eastAsia" w:ascii="仿宋_GB2312" w:eastAsia="仿宋_GB2312"/>
          <w:b w:val="0"/>
          <w:bCs w:val="0"/>
          <w:color w:val="auto"/>
          <w:sz w:val="32"/>
          <w:szCs w:val="32"/>
          <w:highlight w:val="none"/>
        </w:rPr>
        <w:t>。</w:t>
      </w:r>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rPr>
      </w:pPr>
      <w:bookmarkStart w:id="92" w:name="_Toc15377224"/>
      <w:r>
        <w:rPr>
          <w:rFonts w:hint="eastAsia" w:ascii="方正楷体_GBK" w:hAnsi="方正楷体_GBK" w:eastAsia="方正楷体_GBK" w:cs="方正楷体_GBK"/>
          <w:b w:val="0"/>
          <w:bCs/>
          <w:color w:val="auto"/>
          <w:sz w:val="32"/>
          <w:szCs w:val="32"/>
          <w:highlight w:val="none"/>
        </w:rPr>
        <w:t>（三）国有资产占有使用情况</w:t>
      </w:r>
      <w:bookmarkEnd w:id="92"/>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rPr>
          <w:rFonts w:ascii="仿宋" w:hAnsi="仿宋" w:eastAsia="仿宋"/>
          <w:b/>
          <w:color w:val="auto"/>
          <w:sz w:val="32"/>
          <w:szCs w:val="32"/>
          <w:highlight w:val="none"/>
        </w:rPr>
      </w:pPr>
      <w:r>
        <w:rPr>
          <w:rFonts w:hint="eastAsia" w:ascii="仿宋_GB2312" w:eastAsia="仿宋_GB2312"/>
          <w:b w:val="0"/>
          <w:bCs w:val="0"/>
          <w:color w:val="auto"/>
          <w:sz w:val="32"/>
          <w:szCs w:val="32"/>
          <w:highlight w:val="none"/>
        </w:rPr>
        <w:t>截至</w:t>
      </w:r>
      <w:r>
        <w:rPr>
          <w:rFonts w:ascii="仿宋_GB2312" w:eastAsia="仿宋_GB2312"/>
          <w:b w:val="0"/>
          <w:bCs w:val="0"/>
          <w:color w:val="auto"/>
          <w:sz w:val="32"/>
          <w:szCs w:val="32"/>
          <w:highlight w:val="none"/>
        </w:rPr>
        <w:t>20</w:t>
      </w:r>
      <w:r>
        <w:rPr>
          <w:rFonts w:hint="eastAsia" w:ascii="仿宋_GB2312" w:eastAsia="仿宋_GB2312"/>
          <w:b w:val="0"/>
          <w:bCs w:val="0"/>
          <w:color w:val="auto"/>
          <w:sz w:val="32"/>
          <w:szCs w:val="32"/>
          <w:highlight w:val="none"/>
          <w:lang w:val="en-US" w:eastAsia="zh-CN"/>
        </w:rPr>
        <w:t>22</w:t>
      </w:r>
      <w:r>
        <w:rPr>
          <w:rFonts w:hint="eastAsia" w:ascii="仿宋_GB2312" w:eastAsia="仿宋_GB2312"/>
          <w:b w:val="0"/>
          <w:bCs w:val="0"/>
          <w:color w:val="auto"/>
          <w:sz w:val="32"/>
          <w:szCs w:val="32"/>
          <w:highlight w:val="none"/>
        </w:rPr>
        <w:t>年</w:t>
      </w:r>
      <w:r>
        <w:rPr>
          <w:rFonts w:ascii="仿宋_GB2312" w:eastAsia="仿宋_GB2312"/>
          <w:b w:val="0"/>
          <w:bCs w:val="0"/>
          <w:color w:val="auto"/>
          <w:sz w:val="32"/>
          <w:szCs w:val="32"/>
          <w:highlight w:val="none"/>
        </w:rPr>
        <w:t>12</w:t>
      </w:r>
      <w:r>
        <w:rPr>
          <w:rFonts w:hint="eastAsia" w:ascii="仿宋_GB2312" w:eastAsia="仿宋_GB2312"/>
          <w:b w:val="0"/>
          <w:bCs w:val="0"/>
          <w:color w:val="auto"/>
          <w:sz w:val="32"/>
          <w:szCs w:val="32"/>
          <w:highlight w:val="none"/>
        </w:rPr>
        <w:t>月</w:t>
      </w:r>
      <w:r>
        <w:rPr>
          <w:rFonts w:ascii="仿宋_GB2312" w:eastAsia="仿宋_GB2312"/>
          <w:b w:val="0"/>
          <w:bCs w:val="0"/>
          <w:color w:val="auto"/>
          <w:sz w:val="32"/>
          <w:szCs w:val="32"/>
          <w:highlight w:val="none"/>
        </w:rPr>
        <w:t>31</w:t>
      </w:r>
      <w:r>
        <w:rPr>
          <w:rFonts w:hint="eastAsia" w:ascii="仿宋_GB2312" w:eastAsia="仿宋_GB2312"/>
          <w:b w:val="0"/>
          <w:bCs w:val="0"/>
          <w:color w:val="auto"/>
          <w:sz w:val="32"/>
          <w:szCs w:val="32"/>
          <w:highlight w:val="none"/>
        </w:rPr>
        <w:t>日，</w:t>
      </w:r>
      <w:r>
        <w:rPr>
          <w:rFonts w:hint="eastAsia" w:ascii="仿宋_GB2312" w:eastAsia="仿宋_GB2312"/>
          <w:b w:val="0"/>
          <w:bCs w:val="0"/>
          <w:color w:val="auto"/>
          <w:sz w:val="32"/>
          <w:szCs w:val="32"/>
          <w:highlight w:val="none"/>
          <w:lang w:val="en-US" w:eastAsia="zh-CN"/>
        </w:rPr>
        <w:t>市委统战部部门</w:t>
      </w:r>
      <w:r>
        <w:rPr>
          <w:rFonts w:hint="eastAsia" w:ascii="仿宋_GB2312" w:eastAsia="仿宋_GB2312"/>
          <w:b w:val="0"/>
          <w:bCs w:val="0"/>
          <w:color w:val="auto"/>
          <w:sz w:val="32"/>
          <w:szCs w:val="32"/>
          <w:highlight w:val="none"/>
        </w:rPr>
        <w:t>共有车辆</w:t>
      </w:r>
      <w:r>
        <w:rPr>
          <w:rFonts w:hint="eastAsia" w:ascii="仿宋_GB2312" w:eastAsia="仿宋_GB2312"/>
          <w:b w:val="0"/>
          <w:bCs w:val="0"/>
          <w:color w:val="auto"/>
          <w:sz w:val="32"/>
          <w:szCs w:val="32"/>
          <w:highlight w:val="none"/>
          <w:lang w:val="en-US" w:eastAsia="zh-CN"/>
        </w:rPr>
        <w:t>1</w:t>
      </w:r>
      <w:r>
        <w:rPr>
          <w:rFonts w:hint="eastAsia" w:ascii="仿宋_GB2312" w:eastAsia="仿宋_GB2312"/>
          <w:b w:val="0"/>
          <w:bCs w:val="0"/>
          <w:color w:val="auto"/>
          <w:sz w:val="32"/>
          <w:szCs w:val="32"/>
          <w:highlight w:val="none"/>
        </w:rPr>
        <w:t>辆，其中：主要领导干部用车</w:t>
      </w:r>
      <w:r>
        <w:rPr>
          <w:rFonts w:hint="eastAsia" w:ascii="仿宋_GB2312" w:eastAsia="仿宋_GB2312"/>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辆、机要通信用车</w:t>
      </w:r>
      <w:r>
        <w:rPr>
          <w:rFonts w:hint="eastAsia" w:ascii="仿宋_GB2312" w:eastAsia="仿宋_GB2312"/>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辆、应急保障用车</w:t>
      </w:r>
      <w:r>
        <w:rPr>
          <w:rFonts w:hint="eastAsia" w:ascii="仿宋_GB2312" w:eastAsia="仿宋_GB2312"/>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辆、其他用车</w:t>
      </w:r>
      <w:r>
        <w:rPr>
          <w:rFonts w:hint="eastAsia" w:ascii="仿宋_GB2312" w:eastAsia="仿宋_GB2312"/>
          <w:b w:val="0"/>
          <w:bCs w:val="0"/>
          <w:color w:val="auto"/>
          <w:sz w:val="32"/>
          <w:szCs w:val="32"/>
          <w:highlight w:val="none"/>
          <w:lang w:val="en-US" w:eastAsia="zh-CN"/>
        </w:rPr>
        <w:t>1</w:t>
      </w:r>
      <w:r>
        <w:rPr>
          <w:rFonts w:hint="eastAsia" w:ascii="仿宋_GB2312" w:eastAsia="仿宋_GB2312"/>
          <w:b w:val="0"/>
          <w:bCs w:val="0"/>
          <w:color w:val="auto"/>
          <w:sz w:val="32"/>
          <w:szCs w:val="32"/>
          <w:highlight w:val="none"/>
        </w:rPr>
        <w:t>辆</w:t>
      </w:r>
      <w:r>
        <w:rPr>
          <w:rFonts w:hint="eastAsia" w:ascii="仿宋_GB2312" w:eastAsia="仿宋_GB2312"/>
          <w:b w:val="0"/>
          <w:bCs w:val="0"/>
          <w:color w:val="auto"/>
          <w:sz w:val="32"/>
          <w:szCs w:val="32"/>
          <w:highlight w:val="none"/>
          <w:lang w:eastAsia="zh-CN"/>
        </w:rPr>
        <w:t>，</w:t>
      </w:r>
      <w:r>
        <w:rPr>
          <w:rFonts w:hint="eastAsia" w:ascii="仿宋_GB2312" w:eastAsia="仿宋_GB2312"/>
          <w:b w:val="0"/>
          <w:bCs w:val="0"/>
          <w:color w:val="auto"/>
          <w:sz w:val="32"/>
          <w:szCs w:val="32"/>
          <w:highlight w:val="none"/>
        </w:rPr>
        <w:t>其他用车主要是用于</w:t>
      </w:r>
      <w:r>
        <w:rPr>
          <w:rFonts w:hint="eastAsia" w:ascii="仿宋_GB2312" w:eastAsia="仿宋_GB2312"/>
          <w:b w:val="0"/>
          <w:bCs w:val="0"/>
          <w:color w:val="auto"/>
          <w:sz w:val="32"/>
          <w:szCs w:val="32"/>
          <w:highlight w:val="none"/>
          <w:lang w:eastAsia="zh-CN"/>
        </w:rPr>
        <w:t>日常外出考察调研、检查工作、宗教应急处突等事项。</w:t>
      </w:r>
      <w:r>
        <w:rPr>
          <w:rFonts w:hint="eastAsia" w:ascii="仿宋_GB2312" w:eastAsia="仿宋_GB2312"/>
          <w:b w:val="0"/>
          <w:bCs w:val="0"/>
          <w:color w:val="auto"/>
          <w:sz w:val="32"/>
          <w:szCs w:val="32"/>
          <w:highlight w:val="none"/>
        </w:rPr>
        <w:t>单价</w:t>
      </w:r>
      <w:r>
        <w:rPr>
          <w:rFonts w:ascii="仿宋_GB2312" w:eastAsia="仿宋_GB2312"/>
          <w:b w:val="0"/>
          <w:bCs w:val="0"/>
          <w:color w:val="auto"/>
          <w:sz w:val="32"/>
          <w:szCs w:val="32"/>
          <w:highlight w:val="none"/>
        </w:rPr>
        <w:t>100</w:t>
      </w:r>
      <w:r>
        <w:rPr>
          <w:rFonts w:hint="eastAsia" w:ascii="仿宋_GB2312" w:eastAsia="仿宋_GB2312"/>
          <w:b w:val="0"/>
          <w:bCs w:val="0"/>
          <w:color w:val="auto"/>
          <w:sz w:val="32"/>
          <w:szCs w:val="32"/>
          <w:highlight w:val="none"/>
        </w:rPr>
        <w:t>万元以上专用设备</w:t>
      </w:r>
      <w:r>
        <w:rPr>
          <w:rFonts w:hint="eastAsia" w:ascii="仿宋_GB2312" w:eastAsia="仿宋_GB2312"/>
          <w:b w:val="0"/>
          <w:bCs w:val="0"/>
          <w:color w:val="auto"/>
          <w:sz w:val="32"/>
          <w:szCs w:val="32"/>
          <w:highlight w:val="none"/>
          <w:lang w:val="en-US" w:eastAsia="zh-CN"/>
        </w:rPr>
        <w:t>0</w:t>
      </w:r>
      <w:r>
        <w:rPr>
          <w:rFonts w:hint="eastAsia" w:ascii="仿宋_GB2312" w:eastAsia="仿宋_GB2312"/>
          <w:b w:val="0"/>
          <w:bCs w:val="0"/>
          <w:color w:val="auto"/>
          <w:sz w:val="32"/>
          <w:szCs w:val="32"/>
          <w:highlight w:val="none"/>
        </w:rPr>
        <w:t>台（套）。</w:t>
      </w:r>
    </w:p>
    <w:p>
      <w:pPr>
        <w:pageBreakBefore w:val="0"/>
        <w:kinsoku/>
        <w:wordWrap/>
        <w:overflowPunct/>
        <w:topLinePunct w:val="0"/>
        <w:autoSpaceDE w:val="0"/>
        <w:autoSpaceDN w:val="0"/>
        <w:bidi w:val="0"/>
        <w:adjustRightInd w:val="0"/>
        <w:spacing w:beforeAutospacing="0" w:afterAutospacing="0" w:line="560" w:lineRule="exact"/>
        <w:ind w:firstLine="640" w:firstLineChars="200"/>
        <w:jc w:val="left"/>
        <w:outlineLvl w:val="2"/>
        <w:rPr>
          <w:rFonts w:hint="eastAsia" w:ascii="方正楷体_GBK" w:hAnsi="方正楷体_GBK" w:eastAsia="方正楷体_GBK" w:cs="方正楷体_GBK"/>
          <w:b w:val="0"/>
          <w:bCs/>
          <w:color w:val="auto"/>
          <w:sz w:val="32"/>
          <w:szCs w:val="32"/>
          <w:highlight w:val="none"/>
          <w:lang w:eastAsia="zh-CN"/>
        </w:rPr>
      </w:pPr>
      <w:r>
        <w:rPr>
          <w:rFonts w:hint="eastAsia" w:ascii="方正楷体_GBK" w:hAnsi="方正楷体_GBK" w:eastAsia="方正楷体_GBK" w:cs="方正楷体_GBK"/>
          <w:b w:val="0"/>
          <w:bCs/>
          <w:color w:val="auto"/>
          <w:sz w:val="32"/>
          <w:szCs w:val="32"/>
          <w:highlight w:val="none"/>
        </w:rPr>
        <w:t>（四）预算绩效管理情况</w:t>
      </w:r>
    </w:p>
    <w:p>
      <w:pPr>
        <w:pageBreakBefore w:val="0"/>
        <w:widowControl/>
        <w:kinsoku/>
        <w:wordWrap/>
        <w:overflowPunct/>
        <w:topLinePunct w:val="0"/>
        <w:bidi w:val="0"/>
        <w:spacing w:beforeAutospacing="0" w:afterAutospacing="0" w:line="560" w:lineRule="exact"/>
        <w:ind w:firstLine="640" w:firstLineChars="200"/>
        <w:jc w:val="left"/>
        <w:rPr>
          <w:rFonts w:ascii="仿宋_GB2312" w:eastAsia="仿宋_GB2312"/>
          <w:b/>
          <w:color w:val="auto"/>
          <w:sz w:val="32"/>
          <w:szCs w:val="32"/>
          <w:highlight w:val="none"/>
        </w:rPr>
      </w:pPr>
      <w:r>
        <w:rPr>
          <w:rFonts w:hint="eastAsia" w:ascii="仿宋_GB2312" w:hAnsi="仿宋_GB2312" w:eastAsia="仿宋_GB2312" w:cs="仿宋_GB2312"/>
          <w:color w:val="auto"/>
          <w:sz w:val="32"/>
          <w:szCs w:val="32"/>
          <w:highlight w:val="none"/>
        </w:rPr>
        <w:t>根据预算绩效管理要求，本单位在202</w:t>
      </w:r>
      <w:r>
        <w:rPr>
          <w:rFonts w:hint="eastAsia" w:hAnsi="仿宋_GB2312" w:cs="仿宋_GB2312"/>
          <w:color w:val="auto"/>
          <w:sz w:val="32"/>
          <w:szCs w:val="32"/>
          <w:highlight w:val="none"/>
          <w:lang w:val="en-US" w:eastAsia="zh-CN"/>
        </w:rPr>
        <w:t>2</w:t>
      </w:r>
      <w:r>
        <w:rPr>
          <w:rFonts w:hint="eastAsia" w:ascii="仿宋_GB2312" w:hAnsi="仿宋_GB2312" w:eastAsia="仿宋_GB2312" w:cs="仿宋_GB2312"/>
          <w:color w:val="auto"/>
          <w:sz w:val="32"/>
          <w:szCs w:val="32"/>
          <w:highlight w:val="none"/>
        </w:rPr>
        <w:t>年度预算编制阶段，组织对</w:t>
      </w:r>
      <w:r>
        <w:rPr>
          <w:rFonts w:hint="eastAsia" w:ascii="仿宋_GB2312" w:hAnsi="Times New Roman" w:eastAsia="仿宋_GB2312" w:cs="Times New Roman"/>
          <w:b w:val="0"/>
          <w:bCs w:val="0"/>
          <w:color w:val="auto"/>
          <w:sz w:val="32"/>
          <w:szCs w:val="32"/>
          <w:highlight w:val="none"/>
          <w:lang w:eastAsia="zh-CN"/>
        </w:rPr>
        <w:t>中华职业教育社工作经费；</w:t>
      </w:r>
      <w:r>
        <w:rPr>
          <w:rFonts w:hint="eastAsia" w:ascii="仿宋_GB2312" w:hAnsi="Times New Roman" w:eastAsia="仿宋_GB2312" w:cs="Times New Roman"/>
          <w:b w:val="0"/>
          <w:bCs w:val="0"/>
          <w:color w:val="auto"/>
          <w:sz w:val="32"/>
          <w:szCs w:val="32"/>
          <w:highlight w:val="none"/>
          <w:lang w:val="en-US" w:eastAsia="zh-CN"/>
        </w:rPr>
        <w:t>民主党派、党外知识分子、新的社会阶层人士、非公经济代表人士统战工作经费</w:t>
      </w:r>
      <w:r>
        <w:rPr>
          <w:rFonts w:hint="eastAsia" w:cs="Times New Roman"/>
          <w:b w:val="0"/>
          <w:bCs w:val="0"/>
          <w:color w:val="auto"/>
          <w:sz w:val="32"/>
          <w:szCs w:val="32"/>
          <w:highlight w:val="none"/>
          <w:lang w:val="en-US" w:eastAsia="zh-CN"/>
        </w:rPr>
        <w:t>；港澳台及海外统战工作经费</w:t>
      </w:r>
      <w:r>
        <w:rPr>
          <w:rFonts w:hint="eastAsia" w:ascii="仿宋_GB2312" w:hAnsi="仿宋_GB2312" w:eastAsia="仿宋_GB2312" w:cs="仿宋_GB2312"/>
          <w:color w:val="auto"/>
          <w:sz w:val="32"/>
          <w:szCs w:val="32"/>
          <w:highlight w:val="none"/>
        </w:rPr>
        <w:t>等</w:t>
      </w:r>
      <w:r>
        <w:rPr>
          <w:rFonts w:hint="eastAsia" w:hAnsi="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个项目开展了预算事前绩效评估，对</w:t>
      </w:r>
      <w:r>
        <w:rPr>
          <w:rFonts w:hint="eastAsia" w:hAnsi="仿宋_GB2312" w:cs="仿宋_GB2312"/>
          <w:color w:val="auto"/>
          <w:sz w:val="32"/>
          <w:szCs w:val="32"/>
          <w:highlight w:val="none"/>
          <w:lang w:val="en-US" w:eastAsia="zh-CN"/>
        </w:rPr>
        <w:t>10</w:t>
      </w:r>
      <w:r>
        <w:rPr>
          <w:rFonts w:hint="eastAsia" w:ascii="仿宋_GB2312" w:hAnsi="仿宋_GB2312" w:eastAsia="仿宋_GB2312" w:cs="仿宋_GB2312"/>
          <w:color w:val="auto"/>
          <w:sz w:val="32"/>
          <w:szCs w:val="32"/>
          <w:highlight w:val="none"/>
        </w:rPr>
        <w:t>个项目编制了绩效目标，预算执行过程中，选取</w:t>
      </w:r>
      <w:r>
        <w:rPr>
          <w:rFonts w:hint="eastAsia" w:hAnsi="仿宋_GB2312" w:cs="仿宋_GB2312"/>
          <w:color w:val="auto"/>
          <w:sz w:val="32"/>
          <w:szCs w:val="32"/>
          <w:highlight w:val="none"/>
          <w:lang w:val="en-US" w:eastAsia="zh-CN"/>
        </w:rPr>
        <w:t>5</w:t>
      </w:r>
      <w:r>
        <w:rPr>
          <w:rFonts w:hint="eastAsia" w:ascii="仿宋_GB2312" w:hAnsi="仿宋_GB2312" w:eastAsia="仿宋_GB2312" w:cs="仿宋_GB2312"/>
          <w:color w:val="auto"/>
          <w:sz w:val="32"/>
          <w:szCs w:val="32"/>
          <w:highlight w:val="none"/>
        </w:rPr>
        <w:t>个项目开展绩效监控</w:t>
      </w:r>
      <w:r>
        <w:rPr>
          <w:rFonts w:hint="eastAsia" w:hAnsi="仿宋_GB2312" w:cs="仿宋_GB2312"/>
          <w:color w:val="auto"/>
          <w:sz w:val="32"/>
          <w:szCs w:val="32"/>
          <w:highlight w:val="none"/>
          <w:lang w:eastAsia="zh-CN"/>
        </w:rPr>
        <w:t>。</w:t>
      </w:r>
      <w:r>
        <w:rPr>
          <w:rFonts w:hint="eastAsia" w:ascii="仿宋_GB2312" w:hAnsi="仿宋_GB2312" w:eastAsia="仿宋_GB2312" w:cs="仿宋_GB2312"/>
          <w:color w:val="auto"/>
          <w:sz w:val="32"/>
          <w:szCs w:val="32"/>
          <w:highlight w:val="none"/>
        </w:rPr>
        <w:t>组织对</w:t>
      </w:r>
      <w:r>
        <w:rPr>
          <w:rFonts w:hint="eastAsia" w:ascii="仿宋_GB2312" w:hAnsi="仿宋_GB2312" w:eastAsia="仿宋_GB2312" w:cs="仿宋_GB2312"/>
          <w:color w:val="auto"/>
          <w:sz w:val="32"/>
          <w:szCs w:val="32"/>
          <w:highlight w:val="none"/>
          <w:lang w:val="en-US" w:eastAsia="zh-CN"/>
        </w:rPr>
        <w:t>3</w:t>
      </w:r>
      <w:r>
        <w:rPr>
          <w:rFonts w:hint="eastAsia" w:ascii="仿宋_GB2312" w:hAnsi="仿宋_GB2312" w:eastAsia="仿宋_GB2312" w:cs="仿宋_GB2312"/>
          <w:color w:val="auto"/>
          <w:sz w:val="32"/>
          <w:szCs w:val="32"/>
          <w:highlight w:val="none"/>
        </w:rPr>
        <w:t>个项目开展绩效自评，绩效自评表详见</w:t>
      </w:r>
      <w:r>
        <w:rPr>
          <w:rFonts w:hint="eastAsia" w:hAnsi="仿宋_GB2312" w:cs="仿宋_GB2312"/>
          <w:color w:val="auto"/>
          <w:sz w:val="32"/>
          <w:szCs w:val="32"/>
          <w:highlight w:val="none"/>
          <w:lang w:eastAsia="zh-CN"/>
        </w:rPr>
        <w:t>第四部分</w:t>
      </w:r>
      <w:r>
        <w:rPr>
          <w:rFonts w:hint="eastAsia" w:ascii="仿宋_GB2312" w:hAnsi="仿宋_GB2312" w:eastAsia="仿宋_GB2312" w:cs="仿宋_GB2312"/>
          <w:color w:val="auto"/>
          <w:sz w:val="32"/>
          <w:szCs w:val="32"/>
          <w:highlight w:val="none"/>
        </w:rPr>
        <w:t>附件。</w:t>
      </w:r>
    </w:p>
    <w:p>
      <w:pPr>
        <w:rPr>
          <w:rFonts w:hint="eastAsia" w:ascii="黑体" w:hAnsi="黑体" w:eastAsia="黑体"/>
          <w:color w:val="auto"/>
          <w:sz w:val="44"/>
          <w:szCs w:val="44"/>
          <w:highlight w:val="none"/>
          <w:lang w:eastAsia="zh-CN"/>
        </w:rPr>
      </w:pPr>
      <w:bookmarkStart w:id="93" w:name="_Toc15396613"/>
      <w:bookmarkStart w:id="94" w:name="_Toc15377225"/>
      <w:r>
        <w:rPr>
          <w:rFonts w:hint="eastAsia" w:ascii="黑体" w:hAnsi="黑体" w:eastAsia="黑体"/>
          <w:color w:val="auto"/>
          <w:sz w:val="44"/>
          <w:szCs w:val="44"/>
          <w:highlight w:val="none"/>
          <w:lang w:eastAsia="zh-CN"/>
        </w:rPr>
        <w:br w:type="page"/>
      </w:r>
    </w:p>
    <w:p>
      <w:pPr>
        <w:pageBreakBefore w:val="0"/>
        <w:numPr>
          <w:ilvl w:val="0"/>
          <w:numId w:val="0"/>
        </w:numPr>
        <w:kinsoku/>
        <w:wordWrap/>
        <w:overflowPunct/>
        <w:topLinePunct w:val="0"/>
        <w:bidi w:val="0"/>
        <w:spacing w:beforeAutospacing="0" w:afterAutospacing="0" w:line="560" w:lineRule="exact"/>
        <w:jc w:val="center"/>
        <w:outlineLvl w:val="0"/>
        <w:rPr>
          <w:rStyle w:val="18"/>
          <w:rFonts w:ascii="黑体" w:hAnsi="黑体" w:eastAsia="黑体"/>
          <w:b w:val="0"/>
          <w:color w:val="auto"/>
          <w:highlight w:val="none"/>
        </w:rPr>
      </w:pPr>
      <w:bookmarkStart w:id="95" w:name="_Toc24762"/>
      <w:r>
        <w:rPr>
          <w:rFonts w:hint="eastAsia" w:ascii="黑体" w:hAnsi="黑体" w:eastAsia="黑体"/>
          <w:color w:val="auto"/>
          <w:sz w:val="44"/>
          <w:szCs w:val="44"/>
          <w:highlight w:val="none"/>
          <w:lang w:eastAsia="zh-CN"/>
        </w:rPr>
        <w:t>第三部分</w:t>
      </w:r>
      <w:r>
        <w:rPr>
          <w:rFonts w:hint="eastAsia" w:ascii="黑体" w:hAnsi="黑体" w:eastAsia="黑体"/>
          <w:color w:val="auto"/>
          <w:sz w:val="44"/>
          <w:szCs w:val="44"/>
          <w:highlight w:val="none"/>
          <w:lang w:val="en-US" w:eastAsia="zh-CN"/>
        </w:rPr>
        <w:t xml:space="preserve">  </w:t>
      </w:r>
      <w:r>
        <w:rPr>
          <w:rFonts w:hint="eastAsia" w:ascii="黑体" w:hAnsi="黑体" w:eastAsia="黑体"/>
          <w:color w:val="auto"/>
          <w:sz w:val="44"/>
          <w:szCs w:val="44"/>
          <w:highlight w:val="none"/>
        </w:rPr>
        <w:t>名</w:t>
      </w:r>
      <w:r>
        <w:rPr>
          <w:rStyle w:val="18"/>
          <w:rFonts w:hint="eastAsia" w:ascii="黑体" w:hAnsi="黑体" w:eastAsia="黑体"/>
          <w:b w:val="0"/>
          <w:color w:val="auto"/>
          <w:highlight w:val="none"/>
        </w:rPr>
        <w:t>词解释</w:t>
      </w:r>
      <w:bookmarkEnd w:id="93"/>
      <w:bookmarkEnd w:id="94"/>
      <w:bookmarkEnd w:id="95"/>
    </w:p>
    <w:p>
      <w:pPr>
        <w:pageBreakBefore w:val="0"/>
        <w:kinsoku/>
        <w:wordWrap/>
        <w:overflowPunct/>
        <w:topLinePunct w:val="0"/>
        <w:bidi w:val="0"/>
        <w:spacing w:beforeAutospacing="0" w:afterAutospacing="0" w:line="560" w:lineRule="exact"/>
        <w:jc w:val="left"/>
        <w:rPr>
          <w:rFonts w:hint="eastAsia" w:ascii="仿宋_GB2312" w:hAnsi="仿宋_GB2312" w:eastAsia="仿宋_GB2312" w:cs="仿宋_GB2312"/>
          <w:b w:val="0"/>
          <w:bCs/>
          <w:color w:val="auto"/>
          <w:sz w:val="44"/>
          <w:szCs w:val="44"/>
          <w:highlight w:val="none"/>
        </w:rPr>
      </w:pPr>
    </w:p>
    <w:p>
      <w:pPr>
        <w:pStyle w:val="27"/>
        <w:pageBreakBefore w:val="0"/>
        <w:numPr>
          <w:ilvl w:val="0"/>
          <w:numId w:val="2"/>
        </w:numPr>
        <w:kinsoku/>
        <w:wordWrap/>
        <w:overflowPunct/>
        <w:topLinePunct w:val="0"/>
        <w:bidi w:val="0"/>
        <w:spacing w:beforeAutospacing="0" w:afterAutospacing="0" w:line="560" w:lineRule="exact"/>
        <w:ind w:left="0" w:leftChars="0" w:firstLine="400" w:firstLineChars="0"/>
        <w:outlineLvl w:val="1"/>
        <w:rPr>
          <w:rFonts w:hint="eastAsia" w:ascii="仿宋_GB2312" w:hAnsi="仿宋_GB2312" w:eastAsia="仿宋_GB2312" w:cs="仿宋_GB2312"/>
          <w:b w:val="0"/>
          <w:bCs/>
          <w:color w:val="auto"/>
          <w:sz w:val="32"/>
          <w:szCs w:val="32"/>
          <w:highlight w:val="none"/>
        </w:rPr>
      </w:pPr>
      <w:bookmarkStart w:id="96" w:name="_Toc5108"/>
      <w:r>
        <w:rPr>
          <w:rFonts w:hint="eastAsia" w:ascii="仿宋_GB2312" w:hAnsi="仿宋_GB2312" w:eastAsia="仿宋_GB2312" w:cs="仿宋_GB2312"/>
          <w:b w:val="0"/>
          <w:bCs/>
          <w:color w:val="auto"/>
          <w:sz w:val="32"/>
          <w:szCs w:val="32"/>
          <w:highlight w:val="none"/>
        </w:rPr>
        <w:t>财政拨款收入：指单位从同级财政部门取得的财政预算资金。</w:t>
      </w:r>
      <w:bookmarkEnd w:id="96"/>
    </w:p>
    <w:p>
      <w:pPr>
        <w:pStyle w:val="27"/>
        <w:pageBreakBefore w:val="0"/>
        <w:numPr>
          <w:ilvl w:val="0"/>
          <w:numId w:val="2"/>
        </w:numPr>
        <w:kinsoku/>
        <w:wordWrap/>
        <w:overflowPunct/>
        <w:topLinePunct w:val="0"/>
        <w:bidi w:val="0"/>
        <w:spacing w:beforeAutospacing="0" w:afterAutospacing="0" w:line="56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 xml:space="preserve">年初结转和结余：指以前年度尚未完成、结转到本年按有关规定继续使用的资金。 </w:t>
      </w:r>
    </w:p>
    <w:p>
      <w:pPr>
        <w:pStyle w:val="27"/>
        <w:pageBreakBefore w:val="0"/>
        <w:numPr>
          <w:ilvl w:val="0"/>
          <w:numId w:val="2"/>
        </w:numPr>
        <w:kinsoku/>
        <w:wordWrap/>
        <w:overflowPunct/>
        <w:topLinePunct w:val="0"/>
        <w:bidi w:val="0"/>
        <w:spacing w:beforeAutospacing="0" w:afterAutospacing="0" w:line="56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年末结转和结余：指单位按有关规定结转到下年或以后年度继续使用的资金。</w:t>
      </w:r>
    </w:p>
    <w:p>
      <w:pPr>
        <w:pageBreakBefore w:val="0"/>
        <w:numPr>
          <w:ilvl w:val="0"/>
          <w:numId w:val="2"/>
        </w:numPr>
        <w:kinsoku/>
        <w:wordWrap/>
        <w:overflowPunct/>
        <w:topLinePunct w:val="0"/>
        <w:bidi w:val="0"/>
        <w:spacing w:beforeAutospacing="0" w:afterAutospacing="0" w:line="560" w:lineRule="exact"/>
        <w:ind w:left="0" w:leftChars="0" w:firstLine="400" w:firstLineChars="0"/>
        <w:textAlignment w:val="auto"/>
        <w:rPr>
          <w:rFonts w:hint="eastAsia" w:ascii="仿宋_GB2312" w:hAnsi="仿宋_GB2312" w:eastAsia="仿宋_GB2312" w:cs="仿宋_GB2312"/>
          <w:b w:val="0"/>
          <w:bCs/>
          <w:color w:val="auto"/>
          <w:sz w:val="32"/>
          <w:szCs w:val="32"/>
          <w:highlight w:val="none"/>
        </w:rPr>
      </w:pPr>
      <w:r>
        <w:rPr>
          <w:rStyle w:val="14"/>
          <w:rFonts w:hint="eastAsia" w:ascii="仿宋_GB2312" w:hAnsi="仿宋_GB2312" w:eastAsia="仿宋_GB2312" w:cs="仿宋_GB2312"/>
          <w:b w:val="0"/>
          <w:bCs/>
          <w:color w:val="auto"/>
          <w:sz w:val="32"/>
          <w:szCs w:val="32"/>
          <w:highlight w:val="none"/>
        </w:rPr>
        <w:t>一般公共服务</w:t>
      </w:r>
      <w:r>
        <w:rPr>
          <w:rFonts w:hint="eastAsia" w:ascii="仿宋_GB2312" w:hAnsi="仿宋_GB2312" w:eastAsia="仿宋_GB2312" w:cs="仿宋_GB2312"/>
          <w:b w:val="0"/>
          <w:bCs/>
          <w:color w:val="auto"/>
          <w:sz w:val="32"/>
          <w:szCs w:val="32"/>
          <w:highlight w:val="none"/>
          <w:lang w:val="en-US" w:eastAsia="zh-CN"/>
        </w:rPr>
        <w:t>201</w:t>
      </w:r>
      <w:r>
        <w:rPr>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统战事务</w:t>
      </w:r>
      <w:r>
        <w:rPr>
          <w:rFonts w:hint="eastAsia" w:ascii="仿宋_GB2312" w:hAnsi="仿宋_GB2312" w:eastAsia="仿宋_GB2312" w:cs="仿宋_GB2312"/>
          <w:b w:val="0"/>
          <w:bCs/>
          <w:color w:val="auto"/>
          <w:sz w:val="32"/>
          <w:szCs w:val="32"/>
          <w:highlight w:val="none"/>
          <w:lang w:val="en-US" w:eastAsia="zh-CN"/>
        </w:rPr>
        <w:t>34</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行政运行</w:t>
      </w:r>
      <w:r>
        <w:rPr>
          <w:rFonts w:hint="eastAsia" w:ascii="仿宋_GB2312" w:hAnsi="仿宋_GB2312" w:eastAsia="仿宋_GB2312" w:cs="仿宋_GB2312"/>
          <w:b w:val="0"/>
          <w:bCs/>
          <w:color w:val="auto"/>
          <w:sz w:val="32"/>
          <w:szCs w:val="32"/>
          <w:highlight w:val="none"/>
          <w:lang w:val="en-US" w:eastAsia="zh-CN"/>
        </w:rPr>
        <w:t>01</w:t>
      </w:r>
      <w:r>
        <w:rPr>
          <w:rStyle w:val="14"/>
          <w:rFonts w:hint="eastAsia" w:ascii="仿宋_GB2312" w:hAnsi="仿宋_GB2312" w:eastAsia="仿宋_GB2312" w:cs="仿宋_GB2312"/>
          <w:b w:val="0"/>
          <w:bCs/>
          <w:color w:val="auto"/>
          <w:sz w:val="32"/>
          <w:szCs w:val="32"/>
          <w:highlight w:val="none"/>
        </w:rPr>
        <w:t>（项）</w:t>
      </w:r>
      <w:r>
        <w:rPr>
          <w:rStyle w:val="14"/>
          <w:rFonts w:hint="eastAsia" w:ascii="仿宋_GB2312" w:hAnsi="仿宋_GB2312" w:eastAsia="仿宋_GB2312" w:cs="仿宋_GB2312"/>
          <w:b w:val="0"/>
          <w:bCs/>
          <w:color w:val="auto"/>
          <w:sz w:val="32"/>
          <w:szCs w:val="32"/>
          <w:highlight w:val="none"/>
          <w:lang w:eastAsia="zh-CN"/>
        </w:rPr>
        <w:t>：指反映行政单位（包括实行公务员管理的事业单位）的基本支出。</w:t>
      </w:r>
    </w:p>
    <w:p>
      <w:pPr>
        <w:pageBreakBefore w:val="0"/>
        <w:numPr>
          <w:ilvl w:val="0"/>
          <w:numId w:val="2"/>
        </w:numPr>
        <w:kinsoku/>
        <w:wordWrap/>
        <w:overflowPunct/>
        <w:topLinePunct w:val="0"/>
        <w:bidi w:val="0"/>
        <w:spacing w:beforeAutospacing="0" w:afterAutospacing="0" w:line="560" w:lineRule="exact"/>
        <w:ind w:left="0" w:leftChars="0" w:firstLine="400" w:firstLineChars="0"/>
        <w:rPr>
          <w:rStyle w:val="14"/>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一般公共服务</w:t>
      </w:r>
      <w:r>
        <w:rPr>
          <w:rFonts w:hint="eastAsia" w:ascii="仿宋_GB2312" w:hAnsi="仿宋_GB2312" w:eastAsia="仿宋_GB2312" w:cs="仿宋_GB2312"/>
          <w:b w:val="0"/>
          <w:bCs/>
          <w:color w:val="auto"/>
          <w:sz w:val="32"/>
          <w:szCs w:val="32"/>
          <w:highlight w:val="none"/>
          <w:lang w:val="en-US" w:eastAsia="zh-CN"/>
        </w:rPr>
        <w:t>201</w:t>
      </w:r>
      <w:r>
        <w:rPr>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统战事务</w:t>
      </w:r>
      <w:r>
        <w:rPr>
          <w:rFonts w:hint="eastAsia" w:ascii="仿宋_GB2312" w:hAnsi="仿宋_GB2312" w:eastAsia="仿宋_GB2312" w:cs="仿宋_GB2312"/>
          <w:b w:val="0"/>
          <w:bCs/>
          <w:color w:val="auto"/>
          <w:sz w:val="32"/>
          <w:szCs w:val="32"/>
          <w:highlight w:val="none"/>
          <w:lang w:val="en-US" w:eastAsia="zh-CN"/>
        </w:rPr>
        <w:t>34</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一般行政管理事务</w:t>
      </w:r>
      <w:r>
        <w:rPr>
          <w:rFonts w:hint="eastAsia" w:ascii="仿宋_GB2312" w:hAnsi="仿宋_GB2312" w:eastAsia="仿宋_GB2312" w:cs="仿宋_GB2312"/>
          <w:b w:val="0"/>
          <w:bCs/>
          <w:color w:val="auto"/>
          <w:sz w:val="32"/>
          <w:szCs w:val="32"/>
          <w:highlight w:val="none"/>
          <w:lang w:val="en-US" w:eastAsia="zh-CN"/>
        </w:rPr>
        <w:t>02</w:t>
      </w:r>
      <w:r>
        <w:rPr>
          <w:rFonts w:hint="eastAsia" w:ascii="仿宋_GB2312" w:hAnsi="仿宋_GB2312" w:eastAsia="仿宋_GB2312" w:cs="仿宋_GB2312"/>
          <w:b w:val="0"/>
          <w:bCs/>
          <w:color w:val="auto"/>
          <w:sz w:val="32"/>
          <w:szCs w:val="32"/>
          <w:highlight w:val="none"/>
        </w:rPr>
        <w:t>（项）</w:t>
      </w:r>
      <w:r>
        <w:rPr>
          <w:rFonts w:hint="eastAsia" w:ascii="仿宋_GB2312" w:hAnsi="仿宋_GB2312" w:eastAsia="仿宋_GB2312" w:cs="仿宋_GB2312"/>
          <w:b w:val="0"/>
          <w:bCs/>
          <w:color w:val="auto"/>
          <w:sz w:val="32"/>
          <w:szCs w:val="32"/>
          <w:highlight w:val="none"/>
          <w:lang w:eastAsia="zh-CN"/>
        </w:rPr>
        <w:t>：</w:t>
      </w:r>
      <w:r>
        <w:rPr>
          <w:rStyle w:val="14"/>
          <w:rFonts w:hint="eastAsia" w:ascii="仿宋_GB2312" w:hAnsi="仿宋_GB2312" w:eastAsia="仿宋_GB2312" w:cs="仿宋_GB2312"/>
          <w:b w:val="0"/>
          <w:bCs/>
          <w:color w:val="auto"/>
          <w:sz w:val="32"/>
          <w:szCs w:val="32"/>
          <w:highlight w:val="none"/>
          <w:lang w:eastAsia="zh-CN"/>
        </w:rPr>
        <w:t>指反映行政单位（包括实行公务员管理的事业单位）未单独设置项级科目的其他项目支出。</w:t>
      </w:r>
    </w:p>
    <w:p>
      <w:pPr>
        <w:pageBreakBefore w:val="0"/>
        <w:numPr>
          <w:ilvl w:val="0"/>
          <w:numId w:val="2"/>
        </w:numPr>
        <w:kinsoku/>
        <w:wordWrap/>
        <w:overflowPunct/>
        <w:topLinePunct w:val="0"/>
        <w:bidi w:val="0"/>
        <w:spacing w:beforeAutospacing="0" w:afterAutospacing="0" w:line="560" w:lineRule="exact"/>
        <w:ind w:left="0" w:leftChars="0" w:firstLine="400" w:firstLineChars="0"/>
        <w:textAlignment w:val="auto"/>
        <w:rPr>
          <w:rStyle w:val="14"/>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一般公共服务</w:t>
      </w:r>
      <w:r>
        <w:rPr>
          <w:rFonts w:hint="eastAsia" w:ascii="仿宋_GB2312" w:hAnsi="仿宋_GB2312" w:eastAsia="仿宋_GB2312" w:cs="仿宋_GB2312"/>
          <w:b w:val="0"/>
          <w:bCs/>
          <w:color w:val="auto"/>
          <w:sz w:val="32"/>
          <w:szCs w:val="32"/>
          <w:highlight w:val="none"/>
          <w:lang w:val="en-US" w:eastAsia="zh-CN"/>
        </w:rPr>
        <w:t>201</w:t>
      </w:r>
      <w:r>
        <w:rPr>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统战事务</w:t>
      </w:r>
      <w:r>
        <w:rPr>
          <w:rFonts w:hint="eastAsia" w:ascii="仿宋_GB2312" w:hAnsi="仿宋_GB2312" w:eastAsia="仿宋_GB2312" w:cs="仿宋_GB2312"/>
          <w:b w:val="0"/>
          <w:bCs/>
          <w:color w:val="auto"/>
          <w:sz w:val="32"/>
          <w:szCs w:val="32"/>
          <w:highlight w:val="none"/>
          <w:lang w:val="en-US" w:eastAsia="zh-CN"/>
        </w:rPr>
        <w:t>34</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事业运行</w:t>
      </w:r>
      <w:r>
        <w:rPr>
          <w:rFonts w:hint="eastAsia" w:ascii="仿宋_GB2312" w:hAnsi="仿宋_GB2312" w:eastAsia="仿宋_GB2312" w:cs="仿宋_GB2312"/>
          <w:b w:val="0"/>
          <w:bCs/>
          <w:color w:val="auto"/>
          <w:sz w:val="32"/>
          <w:szCs w:val="32"/>
          <w:highlight w:val="none"/>
          <w:lang w:val="en" w:eastAsia="zh-CN"/>
        </w:rPr>
        <w:t>50</w:t>
      </w:r>
      <w:r>
        <w:rPr>
          <w:rFonts w:hint="eastAsia" w:ascii="仿宋_GB2312" w:hAnsi="仿宋_GB2312" w:eastAsia="仿宋_GB2312" w:cs="仿宋_GB2312"/>
          <w:b w:val="0"/>
          <w:bCs/>
          <w:color w:val="auto"/>
          <w:sz w:val="32"/>
          <w:szCs w:val="32"/>
          <w:highlight w:val="none"/>
        </w:rPr>
        <w:t>（项）</w:t>
      </w:r>
      <w:r>
        <w:rPr>
          <w:rFonts w:hint="eastAsia" w:ascii="仿宋_GB2312" w:hAnsi="仿宋_GB2312" w:eastAsia="仿宋_GB2312" w:cs="仿宋_GB2312"/>
          <w:b w:val="0"/>
          <w:bCs/>
          <w:color w:val="auto"/>
          <w:sz w:val="32"/>
          <w:szCs w:val="32"/>
          <w:highlight w:val="none"/>
          <w:lang w:eastAsia="zh-CN"/>
        </w:rPr>
        <w:t>：</w:t>
      </w:r>
      <w:r>
        <w:rPr>
          <w:rStyle w:val="14"/>
          <w:rFonts w:hint="eastAsia" w:ascii="仿宋_GB2312" w:hAnsi="仿宋_GB2312" w:eastAsia="仿宋_GB2312" w:cs="仿宋_GB2312"/>
          <w:b w:val="0"/>
          <w:bCs/>
          <w:color w:val="auto"/>
          <w:sz w:val="32"/>
          <w:szCs w:val="32"/>
          <w:highlight w:val="none"/>
        </w:rPr>
        <w:t xml:space="preserve"> </w:t>
      </w:r>
      <w:r>
        <w:rPr>
          <w:rStyle w:val="14"/>
          <w:rFonts w:hint="eastAsia" w:ascii="仿宋_GB2312" w:hAnsi="仿宋_GB2312" w:eastAsia="仿宋_GB2312" w:cs="仿宋_GB2312"/>
          <w:b w:val="0"/>
          <w:bCs/>
          <w:color w:val="auto"/>
          <w:sz w:val="32"/>
          <w:szCs w:val="32"/>
          <w:highlight w:val="none"/>
          <w:lang w:eastAsia="zh-CN"/>
        </w:rPr>
        <w:t>指反映事业单位的基本支出，不包括行政单位（包括实行公务员管理的事业单位）后勤服务中心、医务室等附属事业单位。</w:t>
      </w:r>
    </w:p>
    <w:p>
      <w:pPr>
        <w:pageBreakBefore w:val="0"/>
        <w:numPr>
          <w:ilvl w:val="0"/>
          <w:numId w:val="2"/>
        </w:numPr>
        <w:kinsoku/>
        <w:wordWrap/>
        <w:overflowPunct/>
        <w:topLinePunct w:val="0"/>
        <w:bidi w:val="0"/>
        <w:spacing w:beforeAutospacing="0" w:afterAutospacing="0" w:line="560" w:lineRule="exact"/>
        <w:ind w:left="0" w:leftChars="0" w:firstLine="400" w:firstLineChars="0"/>
        <w:rPr>
          <w:rStyle w:val="14"/>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社会保障和就业</w:t>
      </w:r>
      <w:r>
        <w:rPr>
          <w:rFonts w:hint="eastAsia" w:ascii="仿宋_GB2312" w:hAnsi="仿宋_GB2312" w:eastAsia="仿宋_GB2312" w:cs="仿宋_GB2312"/>
          <w:b w:val="0"/>
          <w:bCs/>
          <w:color w:val="auto"/>
          <w:sz w:val="32"/>
          <w:szCs w:val="32"/>
          <w:highlight w:val="none"/>
          <w:lang w:val="en-US" w:eastAsia="zh-CN"/>
        </w:rPr>
        <w:t>208</w:t>
      </w:r>
      <w:r>
        <w:rPr>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行政事业单位养老支出</w:t>
      </w:r>
      <w:r>
        <w:rPr>
          <w:rFonts w:hint="eastAsia" w:ascii="仿宋_GB2312" w:hAnsi="仿宋_GB2312" w:eastAsia="仿宋_GB2312" w:cs="仿宋_GB2312"/>
          <w:b w:val="0"/>
          <w:bCs/>
          <w:color w:val="auto"/>
          <w:sz w:val="32"/>
          <w:szCs w:val="32"/>
          <w:highlight w:val="none"/>
          <w:lang w:val="en-US" w:eastAsia="zh-CN"/>
        </w:rPr>
        <w:t>05</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机关事业单位基本养老保险缴费支出</w:t>
      </w:r>
      <w:r>
        <w:rPr>
          <w:rFonts w:hint="eastAsia" w:ascii="仿宋_GB2312" w:hAnsi="仿宋_GB2312" w:eastAsia="仿宋_GB2312" w:cs="仿宋_GB2312"/>
          <w:b w:val="0"/>
          <w:bCs/>
          <w:color w:val="auto"/>
          <w:sz w:val="32"/>
          <w:szCs w:val="32"/>
          <w:highlight w:val="none"/>
          <w:lang w:val="en-US" w:eastAsia="zh-CN"/>
        </w:rPr>
        <w:t>05（项）：</w:t>
      </w:r>
      <w:r>
        <w:rPr>
          <w:rStyle w:val="14"/>
          <w:rFonts w:hint="eastAsia" w:ascii="仿宋_GB2312" w:hAnsi="仿宋_GB2312" w:eastAsia="仿宋_GB2312" w:cs="仿宋_GB2312"/>
          <w:b w:val="0"/>
          <w:bCs/>
          <w:color w:val="auto"/>
          <w:sz w:val="32"/>
          <w:szCs w:val="32"/>
          <w:highlight w:val="none"/>
        </w:rPr>
        <w:t xml:space="preserve"> </w:t>
      </w:r>
      <w:r>
        <w:rPr>
          <w:rStyle w:val="14"/>
          <w:rFonts w:hint="eastAsia" w:ascii="仿宋_GB2312" w:hAnsi="仿宋_GB2312" w:eastAsia="仿宋_GB2312" w:cs="仿宋_GB2312"/>
          <w:b w:val="0"/>
          <w:bCs/>
          <w:color w:val="auto"/>
          <w:sz w:val="32"/>
          <w:szCs w:val="32"/>
          <w:highlight w:val="none"/>
          <w:lang w:eastAsia="zh-CN"/>
        </w:rPr>
        <w:t>指反映机关事业单位实施养老保险制度由单位缴纳的基本养老保险费支出。</w:t>
      </w:r>
    </w:p>
    <w:p>
      <w:pPr>
        <w:pageBreakBefore w:val="0"/>
        <w:numPr>
          <w:ilvl w:val="0"/>
          <w:numId w:val="2"/>
        </w:numPr>
        <w:kinsoku/>
        <w:wordWrap/>
        <w:overflowPunct/>
        <w:topLinePunct w:val="0"/>
        <w:bidi w:val="0"/>
        <w:spacing w:beforeAutospacing="0" w:afterAutospacing="0" w:line="560" w:lineRule="exact"/>
        <w:ind w:left="0" w:leftChars="0" w:firstLine="400" w:firstLineChars="0"/>
        <w:rPr>
          <w:rStyle w:val="14"/>
          <w:rFonts w:hint="eastAsia" w:ascii="仿宋_GB2312" w:hAnsi="仿宋_GB2312" w:eastAsia="仿宋_GB2312" w:cs="仿宋_GB2312"/>
          <w:b w:val="0"/>
          <w:bCs/>
          <w:color w:val="auto"/>
          <w:sz w:val="32"/>
          <w:szCs w:val="32"/>
          <w:highlight w:val="none"/>
          <w:lang w:eastAsia="zh-CN"/>
        </w:rPr>
      </w:pPr>
      <w:r>
        <w:rPr>
          <w:rFonts w:hint="eastAsia" w:ascii="仿宋_GB2312" w:hAnsi="仿宋_GB2312" w:eastAsia="仿宋_GB2312" w:cs="仿宋_GB2312"/>
          <w:b w:val="0"/>
          <w:bCs/>
          <w:color w:val="auto"/>
          <w:sz w:val="32"/>
          <w:szCs w:val="32"/>
          <w:highlight w:val="none"/>
        </w:rPr>
        <w:t>社会保障和就业</w:t>
      </w:r>
      <w:r>
        <w:rPr>
          <w:rFonts w:hint="eastAsia" w:ascii="仿宋_GB2312" w:hAnsi="仿宋_GB2312" w:eastAsia="仿宋_GB2312" w:cs="仿宋_GB2312"/>
          <w:b w:val="0"/>
          <w:bCs/>
          <w:color w:val="auto"/>
          <w:sz w:val="32"/>
          <w:szCs w:val="32"/>
          <w:highlight w:val="none"/>
          <w:lang w:val="en-US" w:eastAsia="zh-CN"/>
        </w:rPr>
        <w:t>208</w:t>
      </w:r>
      <w:r>
        <w:rPr>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行政事业单位养老支出</w:t>
      </w:r>
      <w:r>
        <w:rPr>
          <w:rFonts w:hint="eastAsia" w:ascii="仿宋_GB2312" w:hAnsi="仿宋_GB2312" w:eastAsia="仿宋_GB2312" w:cs="仿宋_GB2312"/>
          <w:b w:val="0"/>
          <w:bCs/>
          <w:color w:val="auto"/>
          <w:sz w:val="32"/>
          <w:szCs w:val="32"/>
          <w:highlight w:val="none"/>
          <w:lang w:val="en-US" w:eastAsia="zh-CN"/>
        </w:rPr>
        <w:t>05</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机关事业单位职业年金缴费支出</w:t>
      </w:r>
      <w:r>
        <w:rPr>
          <w:rFonts w:hint="eastAsia" w:ascii="仿宋_GB2312" w:hAnsi="仿宋_GB2312" w:eastAsia="仿宋_GB2312" w:cs="仿宋_GB2312"/>
          <w:b w:val="0"/>
          <w:bCs/>
          <w:color w:val="auto"/>
          <w:sz w:val="32"/>
          <w:szCs w:val="32"/>
          <w:highlight w:val="none"/>
          <w:lang w:val="en-US" w:eastAsia="zh-CN"/>
        </w:rPr>
        <w:t>06（项）：</w:t>
      </w:r>
      <w:r>
        <w:rPr>
          <w:rStyle w:val="14"/>
          <w:rFonts w:hint="eastAsia" w:ascii="仿宋_GB2312" w:hAnsi="仿宋_GB2312" w:eastAsia="仿宋_GB2312" w:cs="仿宋_GB2312"/>
          <w:b w:val="0"/>
          <w:bCs/>
          <w:color w:val="auto"/>
          <w:sz w:val="32"/>
          <w:szCs w:val="32"/>
          <w:highlight w:val="none"/>
        </w:rPr>
        <w:t xml:space="preserve"> </w:t>
      </w:r>
      <w:r>
        <w:rPr>
          <w:rStyle w:val="14"/>
          <w:rFonts w:hint="eastAsia" w:ascii="仿宋_GB2312" w:hAnsi="仿宋_GB2312" w:eastAsia="仿宋_GB2312" w:cs="仿宋_GB2312"/>
          <w:b w:val="0"/>
          <w:bCs/>
          <w:color w:val="auto"/>
          <w:sz w:val="32"/>
          <w:szCs w:val="32"/>
          <w:highlight w:val="none"/>
          <w:lang w:eastAsia="zh-CN"/>
        </w:rPr>
        <w:t>指反映机关事业单位实施养老保险制度由单位实际缴纳的职业年金支出。</w:t>
      </w:r>
    </w:p>
    <w:p>
      <w:pPr>
        <w:pageBreakBefore w:val="0"/>
        <w:numPr>
          <w:ilvl w:val="0"/>
          <w:numId w:val="2"/>
        </w:numPr>
        <w:kinsoku/>
        <w:wordWrap/>
        <w:overflowPunct/>
        <w:topLinePunct w:val="0"/>
        <w:bidi w:val="0"/>
        <w:spacing w:beforeAutospacing="0" w:afterAutospacing="0" w:line="560" w:lineRule="exact"/>
        <w:ind w:left="0" w:leftChars="0" w:firstLine="400" w:firstLineChars="0"/>
        <w:textAlignment w:val="auto"/>
        <w:rPr>
          <w:rFonts w:hint="eastAsia" w:ascii="仿宋_GB2312" w:hAnsi="仿宋_GB2312" w:eastAsia="仿宋_GB2312" w:cs="仿宋_GB2312"/>
          <w:b w:val="0"/>
          <w:bCs/>
          <w:color w:val="auto"/>
          <w:lang w:eastAsia="zh-CN"/>
        </w:rPr>
      </w:pPr>
      <w:r>
        <w:rPr>
          <w:rFonts w:hint="eastAsia" w:ascii="仿宋_GB2312" w:hAnsi="仿宋_GB2312" w:eastAsia="仿宋_GB2312" w:cs="仿宋_GB2312"/>
          <w:b w:val="0"/>
          <w:bCs/>
          <w:color w:val="auto"/>
          <w:sz w:val="32"/>
          <w:szCs w:val="32"/>
          <w:highlight w:val="none"/>
        </w:rPr>
        <w:t>卫生健康</w:t>
      </w:r>
      <w:r>
        <w:rPr>
          <w:rFonts w:hint="eastAsia" w:ascii="仿宋_GB2312" w:hAnsi="仿宋_GB2312" w:eastAsia="仿宋_GB2312" w:cs="仿宋_GB2312"/>
          <w:b w:val="0"/>
          <w:bCs/>
          <w:color w:val="auto"/>
          <w:sz w:val="32"/>
          <w:szCs w:val="32"/>
          <w:highlight w:val="none"/>
          <w:lang w:val="en-US" w:eastAsia="zh-CN"/>
        </w:rPr>
        <w:t>210</w:t>
      </w:r>
      <w:r>
        <w:rPr>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行政事业单位医疗</w:t>
      </w:r>
      <w:r>
        <w:rPr>
          <w:rFonts w:hint="eastAsia" w:ascii="仿宋_GB2312" w:hAnsi="仿宋_GB2312" w:eastAsia="仿宋_GB2312" w:cs="仿宋_GB2312"/>
          <w:b w:val="0"/>
          <w:bCs/>
          <w:color w:val="auto"/>
          <w:sz w:val="32"/>
          <w:szCs w:val="32"/>
          <w:highlight w:val="none"/>
          <w:lang w:val="en-US" w:eastAsia="zh-CN"/>
        </w:rPr>
        <w:t>11</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行政单位医疗</w:t>
      </w:r>
      <w:r>
        <w:rPr>
          <w:rFonts w:hint="eastAsia" w:ascii="仿宋_GB2312" w:hAnsi="仿宋_GB2312" w:eastAsia="仿宋_GB2312" w:cs="仿宋_GB2312"/>
          <w:b w:val="0"/>
          <w:bCs/>
          <w:color w:val="auto"/>
          <w:sz w:val="32"/>
          <w:szCs w:val="32"/>
          <w:highlight w:val="none"/>
          <w:lang w:val="en-US" w:eastAsia="zh-CN"/>
        </w:rPr>
        <w:t>01</w:t>
      </w:r>
      <w:r>
        <w:rPr>
          <w:rFonts w:hint="eastAsia" w:ascii="仿宋_GB2312" w:hAnsi="仿宋_GB2312" w:eastAsia="仿宋_GB2312" w:cs="仿宋_GB2312"/>
          <w:b w:val="0"/>
          <w:bCs/>
          <w:color w:val="auto"/>
          <w:sz w:val="32"/>
          <w:szCs w:val="32"/>
          <w:highlight w:val="none"/>
        </w:rPr>
        <w:t>（项）</w:t>
      </w:r>
      <w:r>
        <w:rPr>
          <w:rFonts w:hint="eastAsia" w:ascii="仿宋_GB2312" w:hAnsi="仿宋_GB2312" w:eastAsia="仿宋_GB2312" w:cs="仿宋_GB2312"/>
          <w:b w:val="0"/>
          <w:bCs/>
          <w:color w:val="auto"/>
          <w:sz w:val="32"/>
          <w:szCs w:val="32"/>
          <w:highlight w:val="none"/>
          <w:lang w:eastAsia="zh-CN"/>
        </w:rPr>
        <w:t>：</w:t>
      </w:r>
      <w:r>
        <w:rPr>
          <w:rStyle w:val="14"/>
          <w:rFonts w:hint="eastAsia" w:ascii="仿宋_GB2312" w:hAnsi="仿宋_GB2312" w:eastAsia="仿宋_GB2312" w:cs="仿宋_GB2312"/>
          <w:b w:val="0"/>
          <w:bCs/>
          <w:color w:val="auto"/>
          <w:sz w:val="32"/>
          <w:szCs w:val="32"/>
          <w:highlight w:val="none"/>
          <w:lang w:eastAsia="zh-CN"/>
        </w:rPr>
        <w:t>指反映财政部门安排的行政单位（包括实行公务员管理的事业单位）基本医疗保险缴费经费，未参加医疗保险的行政单位的公费医疗经费，按国家享受离休人员、红军老战士待遇人员的医疗经费。</w:t>
      </w:r>
    </w:p>
    <w:p>
      <w:pPr>
        <w:pageBreakBefore w:val="0"/>
        <w:numPr>
          <w:ilvl w:val="0"/>
          <w:numId w:val="2"/>
        </w:numPr>
        <w:kinsoku/>
        <w:wordWrap/>
        <w:overflowPunct/>
        <w:topLinePunct w:val="0"/>
        <w:bidi w:val="0"/>
        <w:spacing w:beforeAutospacing="0" w:afterAutospacing="0" w:line="560" w:lineRule="exact"/>
        <w:ind w:left="0" w:leftChars="0" w:firstLine="400" w:firstLineChars="0"/>
        <w:textAlignment w:val="auto"/>
        <w:rPr>
          <w:rStyle w:val="14"/>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lang w:eastAsia="zh-CN"/>
        </w:rPr>
        <w:t>住房保障支出</w:t>
      </w:r>
      <w:r>
        <w:rPr>
          <w:rFonts w:hint="eastAsia" w:ascii="仿宋_GB2312" w:hAnsi="仿宋_GB2312" w:eastAsia="仿宋_GB2312" w:cs="仿宋_GB2312"/>
          <w:b w:val="0"/>
          <w:bCs/>
          <w:color w:val="auto"/>
          <w:sz w:val="32"/>
          <w:szCs w:val="32"/>
          <w:highlight w:val="none"/>
          <w:lang w:val="en-US" w:eastAsia="zh-CN"/>
        </w:rPr>
        <w:t>221</w:t>
      </w:r>
      <w:r>
        <w:rPr>
          <w:rFonts w:hint="eastAsia" w:ascii="仿宋_GB2312" w:hAnsi="仿宋_GB2312" w:eastAsia="仿宋_GB2312" w:cs="仿宋_GB2312"/>
          <w:b w:val="0"/>
          <w:bCs/>
          <w:color w:val="auto"/>
          <w:sz w:val="32"/>
          <w:szCs w:val="32"/>
          <w:highlight w:val="none"/>
        </w:rPr>
        <w:t>（类）</w:t>
      </w:r>
      <w:r>
        <w:rPr>
          <w:rFonts w:hint="eastAsia" w:ascii="仿宋_GB2312" w:hAnsi="仿宋_GB2312" w:eastAsia="仿宋_GB2312" w:cs="仿宋_GB2312"/>
          <w:b w:val="0"/>
          <w:bCs/>
          <w:color w:val="auto"/>
          <w:sz w:val="32"/>
          <w:szCs w:val="32"/>
          <w:highlight w:val="none"/>
          <w:lang w:eastAsia="zh-CN"/>
        </w:rPr>
        <w:t>住房改革支出</w:t>
      </w:r>
      <w:r>
        <w:rPr>
          <w:rFonts w:hint="eastAsia" w:ascii="仿宋_GB2312" w:hAnsi="仿宋_GB2312" w:eastAsia="仿宋_GB2312" w:cs="仿宋_GB2312"/>
          <w:b w:val="0"/>
          <w:bCs/>
          <w:color w:val="auto"/>
          <w:sz w:val="32"/>
          <w:szCs w:val="32"/>
          <w:highlight w:val="none"/>
          <w:lang w:val="en-US" w:eastAsia="zh-CN"/>
        </w:rPr>
        <w:t>02</w:t>
      </w:r>
      <w:r>
        <w:rPr>
          <w:rFonts w:hint="eastAsia" w:ascii="仿宋_GB2312" w:hAnsi="仿宋_GB2312" w:eastAsia="仿宋_GB2312" w:cs="仿宋_GB2312"/>
          <w:b w:val="0"/>
          <w:bCs/>
          <w:color w:val="auto"/>
          <w:sz w:val="32"/>
          <w:szCs w:val="32"/>
          <w:highlight w:val="none"/>
        </w:rPr>
        <w:t>（款）</w:t>
      </w:r>
      <w:r>
        <w:rPr>
          <w:rFonts w:hint="eastAsia" w:ascii="仿宋_GB2312" w:hAnsi="仿宋_GB2312" w:eastAsia="仿宋_GB2312" w:cs="仿宋_GB2312"/>
          <w:b w:val="0"/>
          <w:bCs/>
          <w:color w:val="auto"/>
          <w:sz w:val="32"/>
          <w:szCs w:val="32"/>
          <w:highlight w:val="none"/>
          <w:lang w:eastAsia="zh-CN"/>
        </w:rPr>
        <w:t>住房公积金</w:t>
      </w:r>
      <w:r>
        <w:rPr>
          <w:rFonts w:hint="eastAsia" w:ascii="仿宋_GB2312" w:hAnsi="仿宋_GB2312" w:eastAsia="仿宋_GB2312" w:cs="仿宋_GB2312"/>
          <w:b w:val="0"/>
          <w:bCs/>
          <w:color w:val="auto"/>
          <w:sz w:val="32"/>
          <w:szCs w:val="32"/>
          <w:highlight w:val="none"/>
          <w:lang w:val="en-US" w:eastAsia="zh-CN"/>
        </w:rPr>
        <w:t>01</w:t>
      </w:r>
      <w:r>
        <w:rPr>
          <w:rFonts w:hint="eastAsia" w:ascii="仿宋_GB2312" w:hAnsi="仿宋_GB2312" w:eastAsia="仿宋_GB2312" w:cs="仿宋_GB2312"/>
          <w:b w:val="0"/>
          <w:bCs/>
          <w:color w:val="auto"/>
          <w:sz w:val="32"/>
          <w:szCs w:val="32"/>
          <w:highlight w:val="none"/>
        </w:rPr>
        <w:t>（项）</w:t>
      </w:r>
      <w:r>
        <w:rPr>
          <w:rFonts w:hint="eastAsia" w:ascii="仿宋_GB2312" w:hAnsi="仿宋_GB2312" w:eastAsia="仿宋_GB2312" w:cs="仿宋_GB2312"/>
          <w:b w:val="0"/>
          <w:bCs/>
          <w:color w:val="auto"/>
          <w:sz w:val="32"/>
          <w:szCs w:val="32"/>
          <w:highlight w:val="none"/>
          <w:lang w:eastAsia="zh-CN"/>
        </w:rPr>
        <w:t>：</w:t>
      </w:r>
      <w:r>
        <w:rPr>
          <w:rStyle w:val="14"/>
          <w:rFonts w:hint="eastAsia" w:ascii="仿宋_GB2312" w:hAnsi="仿宋_GB2312" w:eastAsia="仿宋_GB2312" w:cs="仿宋_GB2312"/>
          <w:b w:val="0"/>
          <w:bCs/>
          <w:color w:val="auto"/>
          <w:sz w:val="32"/>
          <w:szCs w:val="32"/>
          <w:highlight w:val="none"/>
          <w:lang w:eastAsia="zh-CN"/>
        </w:rPr>
        <w:t>指反映行政事业单位按人力资源和社会保障部、财政部规定的基本工资和津贴补贴以及规定比例为职工缴纳的住房公积金。</w:t>
      </w:r>
    </w:p>
    <w:p>
      <w:pPr>
        <w:pageBreakBefore w:val="0"/>
        <w:numPr>
          <w:ilvl w:val="0"/>
          <w:numId w:val="2"/>
        </w:numPr>
        <w:kinsoku/>
        <w:wordWrap/>
        <w:overflowPunct/>
        <w:topLinePunct w:val="0"/>
        <w:bidi w:val="0"/>
        <w:spacing w:beforeAutospacing="0" w:afterAutospacing="0" w:line="56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基本支出：指为保障机构正常运转、完成日常工作任务而发生的人员支出和公用支出。</w:t>
      </w:r>
    </w:p>
    <w:p>
      <w:pPr>
        <w:pageBreakBefore w:val="0"/>
        <w:numPr>
          <w:ilvl w:val="0"/>
          <w:numId w:val="2"/>
        </w:numPr>
        <w:kinsoku/>
        <w:wordWrap/>
        <w:overflowPunct/>
        <w:topLinePunct w:val="0"/>
        <w:bidi w:val="0"/>
        <w:spacing w:beforeAutospacing="0" w:afterAutospacing="0" w:line="56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 xml:space="preserve">项目支出：指在基本支出之外为完成特定行政任务和事业发展目标所发生的支出。 </w:t>
      </w:r>
    </w:p>
    <w:p>
      <w:pPr>
        <w:pStyle w:val="27"/>
        <w:pageBreakBefore w:val="0"/>
        <w:numPr>
          <w:ilvl w:val="0"/>
          <w:numId w:val="2"/>
        </w:numPr>
        <w:kinsoku/>
        <w:wordWrap/>
        <w:overflowPunct/>
        <w:topLinePunct w:val="0"/>
        <w:bidi w:val="0"/>
        <w:spacing w:beforeAutospacing="0" w:afterAutospacing="0" w:line="56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“三公”经费：指</w:t>
      </w:r>
      <w:r>
        <w:rPr>
          <w:rFonts w:hint="eastAsia" w:ascii="仿宋_GB2312" w:hAnsi="仿宋_GB2312" w:eastAsia="仿宋_GB2312" w:cs="仿宋_GB2312"/>
          <w:b w:val="0"/>
          <w:bCs/>
          <w:color w:val="auto"/>
          <w:sz w:val="32"/>
          <w:szCs w:val="32"/>
          <w:highlight w:val="none"/>
          <w:lang w:eastAsia="zh-CN"/>
        </w:rPr>
        <w:t>单位</w:t>
      </w:r>
      <w:r>
        <w:rPr>
          <w:rFonts w:hint="eastAsia" w:ascii="仿宋_GB2312" w:hAnsi="仿宋_GB2312" w:eastAsia="仿宋_GB2312" w:cs="仿宋_GB2312"/>
          <w:b w:val="0"/>
          <w:bCs/>
          <w:color w:val="auto"/>
          <w:sz w:val="32"/>
          <w:szCs w:val="32"/>
          <w:highlight w:val="none"/>
        </w:rPr>
        <w:t>用财政拨款安排的因公出国（境）费、公务用车购置及运行费和公务接待费。其中，因公出国（境）费反映单位公务出国（境）的国际旅费、国外城市间交通费、住宿费、伙食费、培训费、公杂费等支出；公务用车购置及运行费反映单位公务用车车辆购置支出（含车辆购置税）及租用费、燃料费、维修费、过路过桥费、保险费等支出；公务接待费反映单位按规定开支的各类公务接待（含外宾接待）支出。</w:t>
      </w:r>
    </w:p>
    <w:p>
      <w:pPr>
        <w:pageBreakBefore w:val="0"/>
        <w:numPr>
          <w:ilvl w:val="0"/>
          <w:numId w:val="2"/>
        </w:numPr>
        <w:kinsoku/>
        <w:wordWrap/>
        <w:overflowPunct/>
        <w:topLinePunct w:val="0"/>
        <w:bidi w:val="0"/>
        <w:spacing w:beforeAutospacing="0" w:afterAutospacing="0" w:line="560" w:lineRule="exact"/>
        <w:ind w:left="0" w:leftChars="0" w:firstLine="400" w:firstLineChars="0"/>
        <w:rPr>
          <w:rFonts w:hint="eastAsia" w:ascii="仿宋_GB2312" w:hAnsi="仿宋_GB2312" w:eastAsia="仿宋_GB2312" w:cs="仿宋_GB2312"/>
          <w:b w:val="0"/>
          <w:bCs/>
          <w:color w:val="auto"/>
          <w:sz w:val="32"/>
          <w:szCs w:val="32"/>
          <w:highlight w:val="none"/>
        </w:rPr>
      </w:pPr>
      <w:r>
        <w:rPr>
          <w:rFonts w:hint="eastAsia" w:ascii="仿宋_GB2312" w:hAnsi="仿宋_GB2312" w:eastAsia="仿宋_GB2312" w:cs="仿宋_GB2312"/>
          <w:b w:val="0"/>
          <w:bCs/>
          <w:color w:val="auto"/>
          <w:sz w:val="32"/>
          <w:szCs w:val="32"/>
          <w:highlight w:val="none"/>
        </w:rPr>
        <w:t>机关运行经费：为保障行政单位（含参照公务员法管理的事业单位）运行用于购买货物和服务的各项资金，包括办公及印刷费、邮电费、差旅费、会议费、福利费、日常维修费、专用材料及一般设备购置费、办公用房水电费、办公用房取暖费、办公用房物业管理费、公务用车运行维护费以及其他费用。</w:t>
      </w:r>
    </w:p>
    <w:p>
      <w:pPr>
        <w:keepNext w:val="0"/>
        <w:keepLines w:val="0"/>
        <w:pageBreakBefore w:val="0"/>
        <w:widowControl w:val="0"/>
        <w:kinsoku/>
        <w:wordWrap/>
        <w:overflowPunct/>
        <w:topLinePunct w:val="0"/>
        <w:autoSpaceDE/>
        <w:autoSpaceDN/>
        <w:bidi w:val="0"/>
        <w:adjustRightInd/>
        <w:snapToGrid/>
        <w:spacing w:line="576" w:lineRule="exact"/>
        <w:jc w:val="center"/>
        <w:textAlignment w:val="auto"/>
        <w:outlineLvl w:val="0"/>
        <w:rPr>
          <w:rFonts w:hint="eastAsia" w:ascii="黑体" w:hAnsi="黑体" w:eastAsia="黑体" w:cs="黑体"/>
          <w:sz w:val="44"/>
          <w:szCs w:val="44"/>
        </w:rPr>
      </w:pPr>
      <w:bookmarkStart w:id="97" w:name="_Toc15396618"/>
      <w:bookmarkStart w:id="98" w:name="_Toc15377226"/>
      <w:r>
        <w:rPr>
          <w:rFonts w:ascii="宋体"/>
          <w:b/>
          <w:color w:val="auto"/>
          <w:sz w:val="44"/>
          <w:szCs w:val="44"/>
          <w:highlight w:val="none"/>
        </w:rPr>
        <w:br w:type="page"/>
      </w:r>
      <w:bookmarkStart w:id="99" w:name="_Toc20130"/>
      <w:r>
        <w:rPr>
          <w:rFonts w:hint="eastAsia" w:ascii="黑体" w:hAnsi="黑体" w:eastAsia="黑体" w:cs="黑体"/>
          <w:sz w:val="44"/>
          <w:szCs w:val="44"/>
        </w:rPr>
        <w:t>第四部分</w:t>
      </w:r>
      <w:r>
        <w:rPr>
          <w:rFonts w:hint="eastAsia" w:ascii="黑体" w:hAnsi="黑体" w:eastAsia="黑体" w:cs="黑体"/>
          <w:sz w:val="44"/>
          <w:szCs w:val="44"/>
          <w:lang w:val="en-US" w:eastAsia="zh-CN"/>
        </w:rPr>
        <w:t xml:space="preserve">  </w:t>
      </w:r>
      <w:r>
        <w:rPr>
          <w:rFonts w:hint="eastAsia" w:ascii="黑体" w:hAnsi="黑体" w:eastAsia="黑体" w:cs="黑体"/>
          <w:sz w:val="44"/>
          <w:szCs w:val="44"/>
        </w:rPr>
        <w:t>附件</w:t>
      </w:r>
      <w:bookmarkEnd w:id="99"/>
    </w:p>
    <w:p>
      <w:pPr>
        <w:keepNext w:val="0"/>
        <w:keepLines w:val="0"/>
        <w:pageBreakBefore w:val="0"/>
        <w:widowControl w:val="0"/>
        <w:kinsoku/>
        <w:wordWrap/>
        <w:overflowPunct/>
        <w:topLinePunct w:val="0"/>
        <w:autoSpaceDE/>
        <w:autoSpaceDN/>
        <w:bidi w:val="0"/>
        <w:adjustRightInd/>
        <w:snapToGrid/>
        <w:spacing w:line="576" w:lineRule="exact"/>
        <w:ind w:firstLine="640" w:firstLineChars="200"/>
        <w:textAlignment w:val="auto"/>
        <w:rPr>
          <w:rFonts w:hint="eastAsia" w:ascii="仿宋_GB2312" w:hAnsi="仿宋_GB2312" w:eastAsia="仿宋_GB2312" w:cs="仿宋_GB2312"/>
          <w:sz w:val="32"/>
          <w:szCs w:val="32"/>
        </w:rPr>
      </w:pPr>
    </w:p>
    <w:p>
      <w:pPr>
        <w:ind w:firstLine="640" w:firstLineChars="200"/>
        <w:rPr>
          <w:rFonts w:hint="default" w:ascii="仿宋_GB2312" w:hAnsi="仿宋_GB2312" w:eastAsia="仿宋_GB2312" w:cs="仿宋_GB2312"/>
          <w:sz w:val="32"/>
          <w:szCs w:val="32"/>
          <w:lang w:eastAsia="zh-CN"/>
        </w:rPr>
      </w:pPr>
      <w:r>
        <w:rPr>
          <w:rFonts w:hint="eastAsia" w:ascii="仿宋_GB2312" w:hAnsi="仿宋_GB2312" w:eastAsia="仿宋_GB2312" w:cs="仿宋_GB2312"/>
          <w:sz w:val="32"/>
          <w:szCs w:val="32"/>
          <w:lang w:val="en-US" w:eastAsia="zh-CN"/>
        </w:rPr>
        <w:t>部门预算项目支出绩效自评表（2022年度）</w:t>
      </w:r>
      <w:r>
        <w:rPr>
          <w:rFonts w:hint="default" w:ascii="仿宋_GB2312" w:hAnsi="仿宋_GB2312" w:eastAsia="仿宋_GB2312" w:cs="仿宋_GB2312"/>
          <w:sz w:val="32"/>
          <w:szCs w:val="32"/>
          <w:lang w:eastAsia="zh-CN"/>
        </w:rPr>
        <w:t>见附件。</w:t>
      </w:r>
    </w:p>
    <w:p>
      <w:pPr>
        <w:rPr>
          <w:rFonts w:hint="default" w:ascii="仿宋_GB2312" w:hAnsi="仿宋_GB2312" w:eastAsia="仿宋_GB2312" w:cs="仿宋_GB2312"/>
          <w:sz w:val="32"/>
          <w:szCs w:val="32"/>
          <w:lang w:eastAsia="zh-CN"/>
        </w:rPr>
      </w:pPr>
      <w:r>
        <w:rPr>
          <w:rFonts w:hint="default" w:ascii="仿宋_GB2312" w:hAnsi="仿宋_GB2312" w:eastAsia="仿宋_GB2312" w:cs="仿宋_GB2312"/>
          <w:sz w:val="32"/>
          <w:szCs w:val="32"/>
          <w:lang w:eastAsia="zh-CN"/>
        </w:rPr>
        <w:br w:type="page"/>
      </w:r>
    </w:p>
    <w:p>
      <w:pPr>
        <w:pStyle w:val="16"/>
        <w:rPr>
          <w:rFonts w:hint="eastAsia" w:ascii="宋体"/>
          <w:b/>
          <w:color w:val="auto"/>
          <w:sz w:val="44"/>
          <w:szCs w:val="44"/>
          <w:highlight w:val="none"/>
        </w:rPr>
      </w:pPr>
    </w:p>
    <w:p>
      <w:pPr>
        <w:spacing w:line="600" w:lineRule="exact"/>
        <w:jc w:val="center"/>
        <w:outlineLvl w:val="0"/>
        <w:rPr>
          <w:rFonts w:hint="eastAsia" w:ascii="仿宋" w:hAnsi="仿宋" w:eastAsia="仿宋"/>
          <w:b w:val="0"/>
          <w:color w:val="auto"/>
          <w:highlight w:val="none"/>
        </w:rPr>
      </w:pPr>
      <w:bookmarkStart w:id="100" w:name="_Toc29418"/>
      <w:r>
        <w:rPr>
          <w:rFonts w:hint="eastAsia" w:ascii="黑体" w:hAnsi="黑体" w:eastAsia="黑体"/>
          <w:color w:val="auto"/>
          <w:sz w:val="44"/>
          <w:szCs w:val="44"/>
          <w:highlight w:val="none"/>
        </w:rPr>
        <w:t>第</w:t>
      </w:r>
      <w:r>
        <w:rPr>
          <w:rStyle w:val="18"/>
          <w:rFonts w:hint="eastAsia" w:ascii="黑体" w:hAnsi="黑体" w:eastAsia="黑体"/>
          <w:b w:val="0"/>
          <w:color w:val="auto"/>
          <w:highlight w:val="none"/>
        </w:rPr>
        <w:t>五部分 附表</w:t>
      </w:r>
      <w:bookmarkEnd w:id="97"/>
      <w:bookmarkEnd w:id="98"/>
      <w:bookmarkEnd w:id="100"/>
      <w:bookmarkStart w:id="101" w:name="_Toc15396619"/>
    </w:p>
    <w:p>
      <w:pPr>
        <w:pStyle w:val="4"/>
        <w:keepNext/>
        <w:keepLines/>
        <w:pageBreakBefore w:val="0"/>
        <w:widowControl w:val="0"/>
        <w:kinsoku/>
        <w:wordWrap/>
        <w:overflowPunct/>
        <w:topLinePunct w:val="0"/>
        <w:autoSpaceDE/>
        <w:autoSpaceDN/>
        <w:bidi w:val="0"/>
        <w:adjustRightInd/>
        <w:snapToGrid/>
        <w:spacing w:before="0" w:after="0" w:line="560" w:lineRule="exact"/>
        <w:textAlignment w:val="auto"/>
        <w:outlineLvl w:val="9"/>
        <w:rPr>
          <w:rFonts w:hint="eastAsia" w:ascii="仿宋" w:hAnsi="仿宋" w:eastAsia="仿宋"/>
          <w:b w:val="0"/>
          <w:color w:val="auto"/>
          <w:highlight w:val="none"/>
        </w:rPr>
      </w:pPr>
    </w:p>
    <w:p>
      <w:pPr>
        <w:pStyle w:val="4"/>
        <w:keepNext/>
        <w:keepLines/>
        <w:pageBreakBefore w:val="0"/>
        <w:widowControl w:val="0"/>
        <w:numPr>
          <w:ilvl w:val="0"/>
          <w:numId w:val="0"/>
        </w:numPr>
        <w:kinsoku/>
        <w:wordWrap/>
        <w:overflowPunct/>
        <w:topLinePunct w:val="0"/>
        <w:autoSpaceDE/>
        <w:autoSpaceDN/>
        <w:bidi w:val="0"/>
        <w:adjustRightInd/>
        <w:snapToGrid/>
        <w:spacing w:before="0" w:after="0" w:line="560" w:lineRule="exact"/>
        <w:ind w:firstLine="640" w:firstLineChars="200"/>
        <w:textAlignment w:val="auto"/>
        <w:rPr>
          <w:rFonts w:hint="eastAsia"/>
          <w:color w:val="auto"/>
        </w:rPr>
      </w:pPr>
      <w:bookmarkStart w:id="102" w:name="_Toc4706"/>
      <w:r>
        <w:rPr>
          <w:rFonts w:hint="eastAsia" w:ascii="仿宋_GB2312" w:hAnsi="仿宋_GB2312" w:eastAsia="仿宋_GB2312" w:cs="仿宋_GB2312"/>
          <w:b w:val="0"/>
          <w:color w:val="auto"/>
          <w:highlight w:val="none"/>
          <w:lang w:eastAsia="zh-CN"/>
        </w:rPr>
        <w:t>一、</w:t>
      </w:r>
      <w:r>
        <w:rPr>
          <w:rFonts w:hint="eastAsia" w:ascii="仿宋_GB2312" w:hAnsi="仿宋_GB2312" w:eastAsia="仿宋_GB2312" w:cs="仿宋_GB2312"/>
          <w:b w:val="0"/>
          <w:color w:val="auto"/>
          <w:highlight w:val="none"/>
        </w:rPr>
        <w:t>收</w:t>
      </w:r>
      <w:r>
        <w:rPr>
          <w:rStyle w:val="19"/>
          <w:rFonts w:hint="eastAsia" w:ascii="仿宋_GB2312" w:hAnsi="仿宋_GB2312" w:eastAsia="仿宋_GB2312" w:cs="仿宋_GB2312"/>
          <w:b w:val="0"/>
          <w:bCs w:val="0"/>
          <w:color w:val="auto"/>
          <w:highlight w:val="none"/>
        </w:rPr>
        <w:t>入支出决算总表</w:t>
      </w:r>
      <w:bookmarkEnd w:id="101"/>
      <w:bookmarkEnd w:id="102"/>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03" w:name="_Toc15396620"/>
      <w:bookmarkStart w:id="104" w:name="_Toc13118"/>
      <w:r>
        <w:rPr>
          <w:rFonts w:hint="eastAsia" w:ascii="仿宋_GB2312" w:hAnsi="仿宋_GB2312" w:eastAsia="仿宋_GB2312" w:cs="仿宋_GB2312"/>
          <w:b w:val="0"/>
          <w:color w:val="auto"/>
          <w:highlight w:val="none"/>
        </w:rPr>
        <w:t>二、收</w:t>
      </w:r>
      <w:r>
        <w:rPr>
          <w:rStyle w:val="19"/>
          <w:rFonts w:hint="eastAsia" w:ascii="仿宋_GB2312" w:hAnsi="仿宋_GB2312" w:eastAsia="仿宋_GB2312" w:cs="仿宋_GB2312"/>
          <w:b w:val="0"/>
          <w:bCs w:val="0"/>
          <w:color w:val="auto"/>
          <w:highlight w:val="none"/>
        </w:rPr>
        <w:t>入决算表</w:t>
      </w:r>
      <w:bookmarkEnd w:id="103"/>
      <w:bookmarkEnd w:id="104"/>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05" w:name="_Toc15396621"/>
      <w:bookmarkStart w:id="106" w:name="_Toc2574"/>
      <w:r>
        <w:rPr>
          <w:rStyle w:val="19"/>
          <w:rFonts w:hint="eastAsia" w:ascii="仿宋_GB2312" w:hAnsi="仿宋_GB2312" w:eastAsia="仿宋_GB2312" w:cs="仿宋_GB2312"/>
          <w:b w:val="0"/>
          <w:bCs w:val="0"/>
          <w:color w:val="auto"/>
          <w:highlight w:val="none"/>
        </w:rPr>
        <w:t>三、</w:t>
      </w:r>
      <w:r>
        <w:rPr>
          <w:rFonts w:hint="eastAsia" w:ascii="仿宋_GB2312" w:hAnsi="仿宋_GB2312" w:eastAsia="仿宋_GB2312" w:cs="仿宋_GB2312"/>
          <w:b w:val="0"/>
          <w:color w:val="auto"/>
          <w:highlight w:val="none"/>
        </w:rPr>
        <w:t>支</w:t>
      </w:r>
      <w:r>
        <w:rPr>
          <w:rStyle w:val="19"/>
          <w:rFonts w:hint="eastAsia" w:ascii="仿宋_GB2312" w:hAnsi="仿宋_GB2312" w:eastAsia="仿宋_GB2312" w:cs="仿宋_GB2312"/>
          <w:b w:val="0"/>
          <w:bCs w:val="0"/>
          <w:color w:val="auto"/>
          <w:highlight w:val="none"/>
        </w:rPr>
        <w:t>出决算表</w:t>
      </w:r>
      <w:bookmarkEnd w:id="105"/>
      <w:bookmarkEnd w:id="106"/>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b w:val="0"/>
          <w:color w:val="auto"/>
          <w:highlight w:val="none"/>
        </w:rPr>
      </w:pPr>
      <w:bookmarkStart w:id="107" w:name="_Toc29666"/>
      <w:bookmarkStart w:id="108" w:name="_Toc15396622"/>
      <w:r>
        <w:rPr>
          <w:rStyle w:val="19"/>
          <w:rFonts w:hint="eastAsia" w:ascii="仿宋_GB2312" w:hAnsi="仿宋_GB2312" w:eastAsia="仿宋_GB2312" w:cs="仿宋_GB2312"/>
          <w:b w:val="0"/>
          <w:bCs w:val="0"/>
          <w:color w:val="auto"/>
          <w:highlight w:val="none"/>
        </w:rPr>
        <w:t>四、</w:t>
      </w:r>
      <w:r>
        <w:rPr>
          <w:rFonts w:hint="eastAsia" w:ascii="仿宋_GB2312" w:hAnsi="仿宋_GB2312" w:eastAsia="仿宋_GB2312" w:cs="仿宋_GB2312"/>
          <w:b w:val="0"/>
          <w:color w:val="auto"/>
          <w:highlight w:val="none"/>
        </w:rPr>
        <w:t>财</w:t>
      </w:r>
      <w:r>
        <w:rPr>
          <w:rStyle w:val="19"/>
          <w:rFonts w:hint="eastAsia" w:ascii="仿宋_GB2312" w:hAnsi="仿宋_GB2312" w:eastAsia="仿宋_GB2312" w:cs="仿宋_GB2312"/>
          <w:b w:val="0"/>
          <w:bCs w:val="0"/>
          <w:color w:val="auto"/>
          <w:highlight w:val="none"/>
        </w:rPr>
        <w:t>政拨款收入支出决算总表</w:t>
      </w:r>
      <w:bookmarkEnd w:id="107"/>
      <w:bookmarkEnd w:id="108"/>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Style w:val="19"/>
          <w:rFonts w:hint="eastAsia" w:ascii="仿宋_GB2312" w:hAnsi="仿宋_GB2312" w:eastAsia="仿宋_GB2312" w:cs="仿宋_GB2312"/>
          <w:b w:val="0"/>
          <w:bCs w:val="0"/>
          <w:color w:val="auto"/>
          <w:highlight w:val="none"/>
        </w:rPr>
      </w:pPr>
      <w:bookmarkStart w:id="109" w:name="_Toc23624"/>
      <w:bookmarkStart w:id="110" w:name="_Toc15396623"/>
      <w:r>
        <w:rPr>
          <w:rStyle w:val="19"/>
          <w:rFonts w:hint="eastAsia" w:ascii="仿宋_GB2312" w:hAnsi="仿宋_GB2312" w:eastAsia="仿宋_GB2312" w:cs="仿宋_GB2312"/>
          <w:b w:val="0"/>
          <w:bCs w:val="0"/>
          <w:color w:val="auto"/>
          <w:highlight w:val="none"/>
        </w:rPr>
        <w:t>五、</w:t>
      </w:r>
      <w:r>
        <w:rPr>
          <w:rFonts w:hint="eastAsia" w:ascii="仿宋_GB2312" w:hAnsi="仿宋_GB2312" w:eastAsia="仿宋_GB2312" w:cs="仿宋_GB2312"/>
          <w:b w:val="0"/>
          <w:color w:val="auto"/>
          <w:highlight w:val="none"/>
        </w:rPr>
        <w:t>财</w:t>
      </w:r>
      <w:r>
        <w:rPr>
          <w:rStyle w:val="19"/>
          <w:rFonts w:hint="eastAsia" w:ascii="仿宋_GB2312" w:hAnsi="仿宋_GB2312" w:eastAsia="仿宋_GB2312" w:cs="仿宋_GB2312"/>
          <w:b w:val="0"/>
          <w:bCs w:val="0"/>
          <w:color w:val="auto"/>
          <w:highlight w:val="none"/>
        </w:rPr>
        <w:t>政拨款支出决算明细表</w:t>
      </w:r>
      <w:bookmarkEnd w:id="109"/>
      <w:bookmarkEnd w:id="110"/>
      <w:bookmarkStart w:id="111" w:name="_Toc15396624"/>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12" w:name="_Toc8030"/>
      <w:r>
        <w:rPr>
          <w:rStyle w:val="19"/>
          <w:rFonts w:hint="eastAsia" w:ascii="仿宋_GB2312" w:hAnsi="仿宋_GB2312" w:eastAsia="仿宋_GB2312" w:cs="仿宋_GB2312"/>
          <w:b w:val="0"/>
          <w:bCs w:val="0"/>
          <w:color w:val="auto"/>
          <w:highlight w:val="none"/>
        </w:rPr>
        <w:t>六、</w:t>
      </w:r>
      <w:r>
        <w:rPr>
          <w:rFonts w:hint="eastAsia" w:ascii="仿宋_GB2312" w:hAnsi="仿宋_GB2312" w:eastAsia="仿宋_GB2312" w:cs="仿宋_GB2312"/>
          <w:b w:val="0"/>
          <w:color w:val="auto"/>
          <w:highlight w:val="none"/>
        </w:rPr>
        <w:t>一</w:t>
      </w:r>
      <w:r>
        <w:rPr>
          <w:rStyle w:val="19"/>
          <w:rFonts w:hint="eastAsia" w:ascii="仿宋_GB2312" w:hAnsi="仿宋_GB2312" w:eastAsia="仿宋_GB2312" w:cs="仿宋_GB2312"/>
          <w:b w:val="0"/>
          <w:bCs w:val="0"/>
          <w:color w:val="auto"/>
          <w:highlight w:val="none"/>
        </w:rPr>
        <w:t>般公共预算财政拨款支出决算表</w:t>
      </w:r>
      <w:bookmarkEnd w:id="111"/>
      <w:bookmarkEnd w:id="112"/>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13" w:name="_Toc15396625"/>
      <w:bookmarkStart w:id="114" w:name="_Toc22389"/>
      <w:r>
        <w:rPr>
          <w:rStyle w:val="19"/>
          <w:rFonts w:hint="eastAsia" w:ascii="仿宋_GB2312" w:hAnsi="仿宋_GB2312" w:eastAsia="仿宋_GB2312" w:cs="仿宋_GB2312"/>
          <w:b w:val="0"/>
          <w:bCs w:val="0"/>
          <w:color w:val="auto"/>
          <w:highlight w:val="none"/>
        </w:rPr>
        <w:t>七、</w:t>
      </w:r>
      <w:r>
        <w:rPr>
          <w:rFonts w:hint="eastAsia" w:ascii="仿宋_GB2312" w:hAnsi="仿宋_GB2312" w:eastAsia="仿宋_GB2312" w:cs="仿宋_GB2312"/>
          <w:b w:val="0"/>
          <w:color w:val="auto"/>
          <w:highlight w:val="none"/>
        </w:rPr>
        <w:t>一</w:t>
      </w:r>
      <w:r>
        <w:rPr>
          <w:rStyle w:val="19"/>
          <w:rFonts w:hint="eastAsia" w:ascii="仿宋_GB2312" w:hAnsi="仿宋_GB2312" w:eastAsia="仿宋_GB2312" w:cs="仿宋_GB2312"/>
          <w:b w:val="0"/>
          <w:bCs w:val="0"/>
          <w:color w:val="auto"/>
          <w:highlight w:val="none"/>
        </w:rPr>
        <w:t>般公共预算财政拨款支出决算明细表</w:t>
      </w:r>
      <w:bookmarkEnd w:id="113"/>
      <w:bookmarkEnd w:id="114"/>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15" w:name="_Toc15396626"/>
      <w:bookmarkStart w:id="116" w:name="_Toc2199"/>
      <w:r>
        <w:rPr>
          <w:rStyle w:val="19"/>
          <w:rFonts w:hint="eastAsia" w:ascii="仿宋_GB2312" w:hAnsi="仿宋_GB2312" w:eastAsia="仿宋_GB2312" w:cs="仿宋_GB2312"/>
          <w:b w:val="0"/>
          <w:bCs w:val="0"/>
          <w:color w:val="auto"/>
          <w:highlight w:val="none"/>
        </w:rPr>
        <w:t>八、</w:t>
      </w:r>
      <w:r>
        <w:rPr>
          <w:rFonts w:hint="eastAsia" w:ascii="仿宋_GB2312" w:hAnsi="仿宋_GB2312" w:eastAsia="仿宋_GB2312" w:cs="仿宋_GB2312"/>
          <w:b w:val="0"/>
          <w:color w:val="auto"/>
          <w:highlight w:val="none"/>
        </w:rPr>
        <w:t>一</w:t>
      </w:r>
      <w:r>
        <w:rPr>
          <w:rStyle w:val="19"/>
          <w:rFonts w:hint="eastAsia" w:ascii="仿宋_GB2312" w:hAnsi="仿宋_GB2312" w:eastAsia="仿宋_GB2312" w:cs="仿宋_GB2312"/>
          <w:b w:val="0"/>
          <w:bCs w:val="0"/>
          <w:color w:val="auto"/>
          <w:highlight w:val="none"/>
        </w:rPr>
        <w:t>般公共预算财政拨款基本支出决算表</w:t>
      </w:r>
      <w:bookmarkEnd w:id="115"/>
      <w:bookmarkEnd w:id="116"/>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17" w:name="_Toc15396627"/>
      <w:bookmarkStart w:id="118" w:name="_Toc4272"/>
      <w:r>
        <w:rPr>
          <w:rStyle w:val="19"/>
          <w:rFonts w:hint="eastAsia" w:ascii="仿宋_GB2312" w:hAnsi="仿宋_GB2312" w:eastAsia="仿宋_GB2312" w:cs="仿宋_GB2312"/>
          <w:b w:val="0"/>
          <w:bCs w:val="0"/>
          <w:color w:val="auto"/>
          <w:highlight w:val="none"/>
        </w:rPr>
        <w:t>九、</w:t>
      </w:r>
      <w:r>
        <w:rPr>
          <w:rFonts w:hint="eastAsia" w:ascii="仿宋_GB2312" w:hAnsi="仿宋_GB2312" w:eastAsia="仿宋_GB2312" w:cs="仿宋_GB2312"/>
          <w:b w:val="0"/>
          <w:color w:val="auto"/>
          <w:highlight w:val="none"/>
        </w:rPr>
        <w:t>一</w:t>
      </w:r>
      <w:r>
        <w:rPr>
          <w:rStyle w:val="19"/>
          <w:rFonts w:hint="eastAsia" w:ascii="仿宋_GB2312" w:hAnsi="仿宋_GB2312" w:eastAsia="仿宋_GB2312" w:cs="仿宋_GB2312"/>
          <w:b w:val="0"/>
          <w:bCs w:val="0"/>
          <w:color w:val="auto"/>
          <w:highlight w:val="none"/>
        </w:rPr>
        <w:t>般公共预算财政拨款项目支出决算表</w:t>
      </w:r>
      <w:bookmarkEnd w:id="117"/>
      <w:bookmarkEnd w:id="118"/>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19" w:name="_Toc15396628"/>
      <w:bookmarkStart w:id="120" w:name="_Toc28380"/>
      <w:r>
        <w:rPr>
          <w:rStyle w:val="19"/>
          <w:rFonts w:hint="eastAsia" w:ascii="仿宋_GB2312" w:hAnsi="仿宋_GB2312" w:eastAsia="仿宋_GB2312" w:cs="仿宋_GB2312"/>
          <w:b w:val="0"/>
          <w:bCs w:val="0"/>
          <w:color w:val="auto"/>
          <w:highlight w:val="none"/>
        </w:rPr>
        <w:t>十、</w:t>
      </w:r>
      <w:bookmarkEnd w:id="119"/>
      <w:r>
        <w:rPr>
          <w:rFonts w:hint="eastAsia" w:ascii="仿宋_GB2312" w:hAnsi="仿宋_GB2312" w:eastAsia="仿宋_GB2312" w:cs="仿宋_GB2312"/>
          <w:b w:val="0"/>
          <w:color w:val="auto"/>
          <w:highlight w:val="none"/>
        </w:rPr>
        <w:t>政</w:t>
      </w:r>
      <w:r>
        <w:rPr>
          <w:rStyle w:val="19"/>
          <w:rFonts w:hint="eastAsia" w:ascii="仿宋_GB2312" w:hAnsi="仿宋_GB2312" w:eastAsia="仿宋_GB2312" w:cs="仿宋_GB2312"/>
          <w:b w:val="0"/>
          <w:bCs w:val="0"/>
          <w:color w:val="auto"/>
          <w:highlight w:val="none"/>
        </w:rPr>
        <w:t>府性基金预算财政拨款收入支出决算表</w:t>
      </w:r>
      <w:bookmarkEnd w:id="120"/>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21" w:name="_Toc15396629"/>
      <w:bookmarkStart w:id="122" w:name="_Toc22050"/>
      <w:r>
        <w:rPr>
          <w:rStyle w:val="19"/>
          <w:rFonts w:hint="eastAsia" w:ascii="仿宋_GB2312" w:hAnsi="仿宋_GB2312" w:eastAsia="仿宋_GB2312" w:cs="仿宋_GB2312"/>
          <w:b w:val="0"/>
          <w:bCs w:val="0"/>
          <w:color w:val="auto"/>
          <w:highlight w:val="none"/>
        </w:rPr>
        <w:t>十一、</w:t>
      </w:r>
      <w:bookmarkEnd w:id="121"/>
      <w:r>
        <w:rPr>
          <w:rFonts w:hint="eastAsia" w:ascii="仿宋_GB2312" w:hAnsi="仿宋_GB2312" w:eastAsia="仿宋_GB2312" w:cs="仿宋_GB2312"/>
          <w:b w:val="0"/>
          <w:color w:val="auto"/>
          <w:highlight w:val="none"/>
        </w:rPr>
        <w:t>国</w:t>
      </w:r>
      <w:r>
        <w:rPr>
          <w:rStyle w:val="19"/>
          <w:rFonts w:hint="eastAsia" w:ascii="仿宋_GB2312" w:hAnsi="仿宋_GB2312" w:eastAsia="仿宋_GB2312" w:cs="仿宋_GB2312"/>
          <w:b w:val="0"/>
          <w:bCs w:val="0"/>
          <w:color w:val="auto"/>
          <w:highlight w:val="none"/>
        </w:rPr>
        <w:t>有资本经营预算</w:t>
      </w:r>
      <w:r>
        <w:rPr>
          <w:rStyle w:val="19"/>
          <w:rFonts w:hint="eastAsia" w:ascii="仿宋_GB2312" w:hAnsi="仿宋_GB2312" w:eastAsia="仿宋_GB2312" w:cs="仿宋_GB2312"/>
          <w:b w:val="0"/>
          <w:bCs w:val="0"/>
          <w:color w:val="auto"/>
          <w:highlight w:val="none"/>
          <w:lang w:eastAsia="zh-CN"/>
        </w:rPr>
        <w:t>财政拨款收入</w:t>
      </w:r>
      <w:r>
        <w:rPr>
          <w:rStyle w:val="19"/>
          <w:rFonts w:hint="eastAsia" w:ascii="仿宋_GB2312" w:hAnsi="仿宋_GB2312" w:eastAsia="仿宋_GB2312" w:cs="仿宋_GB2312"/>
          <w:b w:val="0"/>
          <w:bCs w:val="0"/>
          <w:color w:val="auto"/>
          <w:highlight w:val="none"/>
        </w:rPr>
        <w:t>支出决算表</w:t>
      </w:r>
      <w:bookmarkEnd w:id="122"/>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rPr>
      </w:pPr>
      <w:bookmarkStart w:id="123" w:name="_Toc15396630"/>
      <w:bookmarkStart w:id="124" w:name="_Toc11108"/>
      <w:r>
        <w:rPr>
          <w:rStyle w:val="19"/>
          <w:rFonts w:hint="eastAsia" w:ascii="仿宋_GB2312" w:hAnsi="仿宋_GB2312" w:eastAsia="仿宋_GB2312" w:cs="仿宋_GB2312"/>
          <w:b w:val="0"/>
          <w:bCs w:val="0"/>
          <w:color w:val="auto"/>
          <w:highlight w:val="none"/>
        </w:rPr>
        <w:t>十二、</w:t>
      </w:r>
      <w:bookmarkEnd w:id="123"/>
      <w:r>
        <w:rPr>
          <w:rStyle w:val="19"/>
          <w:rFonts w:hint="eastAsia" w:ascii="仿宋_GB2312" w:hAnsi="仿宋_GB2312" w:eastAsia="仿宋_GB2312" w:cs="仿宋_GB2312"/>
          <w:b w:val="0"/>
          <w:bCs w:val="0"/>
          <w:color w:val="auto"/>
          <w:highlight w:val="none"/>
          <w:lang w:eastAsia="zh-CN"/>
        </w:rPr>
        <w:t>国有资本经营预算财政拨款支出决算表</w:t>
      </w:r>
      <w:bookmarkEnd w:id="124"/>
    </w:p>
    <w:p>
      <w:pPr>
        <w:pStyle w:val="4"/>
        <w:keepNext/>
        <w:keepLines/>
        <w:pageBreakBefore w:val="0"/>
        <w:widowControl w:val="0"/>
        <w:kinsoku/>
        <w:wordWrap/>
        <w:overflowPunct/>
        <w:topLinePunct w:val="0"/>
        <w:autoSpaceDE/>
        <w:autoSpaceDN/>
        <w:bidi w:val="0"/>
        <w:adjustRightInd/>
        <w:snapToGrid/>
        <w:spacing w:before="0" w:after="0" w:line="560" w:lineRule="exact"/>
        <w:ind w:firstLine="640" w:firstLineChars="200"/>
        <w:textAlignment w:val="auto"/>
        <w:rPr>
          <w:rFonts w:hint="eastAsia" w:ascii="仿宋_GB2312" w:hAnsi="仿宋_GB2312" w:eastAsia="仿宋_GB2312" w:cs="仿宋_GB2312"/>
          <w:color w:val="auto"/>
          <w:highlight w:val="none"/>
          <w:lang w:eastAsia="zh-CN"/>
        </w:rPr>
      </w:pPr>
      <w:bookmarkStart w:id="125" w:name="_Toc15396631"/>
      <w:bookmarkStart w:id="126" w:name="_Toc6418"/>
      <w:r>
        <w:rPr>
          <w:rStyle w:val="19"/>
          <w:rFonts w:hint="eastAsia" w:ascii="仿宋_GB2312" w:hAnsi="仿宋_GB2312" w:eastAsia="仿宋_GB2312" w:cs="仿宋_GB2312"/>
          <w:b w:val="0"/>
          <w:bCs w:val="0"/>
          <w:color w:val="auto"/>
          <w:highlight w:val="none"/>
        </w:rPr>
        <w:t>十三、</w:t>
      </w:r>
      <w:bookmarkEnd w:id="125"/>
      <w:r>
        <w:rPr>
          <w:rStyle w:val="19"/>
          <w:rFonts w:hint="eastAsia" w:ascii="仿宋_GB2312" w:hAnsi="仿宋_GB2312" w:eastAsia="仿宋_GB2312" w:cs="仿宋_GB2312"/>
          <w:b w:val="0"/>
          <w:bCs w:val="0"/>
          <w:color w:val="auto"/>
          <w:highlight w:val="none"/>
          <w:lang w:eastAsia="zh-CN"/>
        </w:rPr>
        <w:t>财政拨款“三公”经费支出决算表</w:t>
      </w:r>
      <w:bookmarkEnd w:id="126"/>
    </w:p>
    <w:sectPr>
      <w:footerReference r:id="rId7" w:type="first"/>
      <w:footerReference r:id="rId6" w:type="default"/>
      <w:pgSz w:w="11906" w:h="16838"/>
      <w:pgMar w:top="2098" w:right="1474" w:bottom="1984" w:left="1587" w:header="851" w:footer="1417" w:gutter="0"/>
      <w:pgNumType w:start="1"/>
      <w:cols w:space="0" w:num="1"/>
      <w:titlePg/>
      <w:rtlGutter w:val="0"/>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AFF" w:usb1="C00078FB" w:usb2="0000002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00007A87" w:usb1="80000000" w:usb2="00000008" w:usb3="00000000" w:csb0="400001FF" w:csb1="FFFF0000"/>
  </w:font>
  <w:font w:name="黑体">
    <w:panose1 w:val="02010600030101010101"/>
    <w:charset w:val="86"/>
    <w:family w:val="auto"/>
    <w:pitch w:val="default"/>
    <w:sig w:usb0="00000001" w:usb1="080E0000" w:usb2="00000000" w:usb3="00000000" w:csb0="00040000" w:csb1="00000000"/>
  </w:font>
  <w:font w:name="Courier New">
    <w:panose1 w:val="02070309020205020404"/>
    <w:charset w:val="01"/>
    <w:family w:val="modern"/>
    <w:pitch w:val="default"/>
    <w:sig w:usb0="00007A87" w:usb1="80000000" w:usb2="00000008" w:usb3="00000000" w:csb0="400001FF" w:csb1="FFFF0000"/>
  </w:font>
  <w:font w:name="Symbol">
    <w:panose1 w:val="02000609000000000000"/>
    <w:charset w:val="02"/>
    <w:family w:val="roman"/>
    <w:pitch w:val="default"/>
    <w:sig w:usb0="800000AF" w:usb1="4000204A" w:usb2="00000000" w:usb3="00000000" w:csb0="20000000" w:csb1="00000000"/>
  </w:font>
  <w:font w:name="Calibri">
    <w:altName w:val="Lucida Sans"/>
    <w:panose1 w:val="020F0502020204030204"/>
    <w:charset w:val="00"/>
    <w:family w:val="swiss"/>
    <w:pitch w:val="default"/>
    <w:sig w:usb0="00000000" w:usb1="00000000" w:usb2="00000001" w:usb3="00000000" w:csb0="0000019F" w:csb1="00000000"/>
  </w:font>
  <w:font w:name="Cambria">
    <w:altName w:val="Georgia"/>
    <w:panose1 w:val="02040503050406030204"/>
    <w:charset w:val="00"/>
    <w:family w:val="roman"/>
    <w:pitch w:val="default"/>
    <w:sig w:usb0="00000000" w:usb1="00000000" w:usb2="02000000" w:usb3="00000000" w:csb0="2000019F" w:csb1="00000000"/>
  </w:font>
  <w:font w:name="仿宋_GB2312">
    <w:panose1 w:val="02010609030101010101"/>
    <w:charset w:val="86"/>
    <w:family w:val="modern"/>
    <w:pitch w:val="default"/>
    <w:sig w:usb0="00000001" w:usb1="080E0000" w:usb2="00000000" w:usb3="00000000" w:csb0="00040000" w:csb1="00000000"/>
  </w:font>
  <w:font w:name="仿宋">
    <w:altName w:val="宋体"/>
    <w:panose1 w:val="02010609060101010101"/>
    <w:charset w:val="86"/>
    <w:family w:val="auto"/>
    <w:pitch w:val="default"/>
    <w:sig w:usb0="00000000" w:usb1="00000000" w:usb2="00000016" w:usb3="00000000" w:csb0="00040001" w:csb1="00000000"/>
  </w:font>
  <w:font w:name="方正小标宋简体">
    <w:panose1 w:val="02000000000000000000"/>
    <w:charset w:val="86"/>
    <w:family w:val="script"/>
    <w:pitch w:val="default"/>
    <w:sig w:usb0="A00002BF" w:usb1="184F6CFA" w:usb2="00000012" w:usb3="00000000" w:csb0="00040001" w:csb1="00000000"/>
  </w:font>
  <w:font w:name="方正楷体_GBK">
    <w:panose1 w:val="02000000000000000000"/>
    <w:charset w:val="86"/>
    <w:family w:val="auto"/>
    <w:pitch w:val="default"/>
    <w:sig w:usb0="00000001" w:usb1="08000000" w:usb2="00000000" w:usb3="00000000" w:csb0="00040000" w:csb1="00000000"/>
  </w:font>
  <w:font w:name="Lucida Sans">
    <w:panose1 w:val="020B0602030504020204"/>
    <w:charset w:val="00"/>
    <w:family w:val="auto"/>
    <w:pitch w:val="default"/>
    <w:sig w:usb0="00000000" w:usb1="00000000" w:usb2="00000000" w:usb3="00000000" w:csb0="00000000" w:csb1="00000000"/>
  </w:font>
  <w:font w:name="Comic Sans MS">
    <w:panose1 w:val="030F0702030302020204"/>
    <w:charset w:val="00"/>
    <w:family w:val="auto"/>
    <w:pitch w:val="default"/>
    <w:sig w:usb0="00000287" w:usb1="00000000" w:usb2="00000000" w:usb3="00000000" w:csb0="2000009F" w:csb1="00000000"/>
  </w:font>
  <w:font w:name="Georgia">
    <w:panose1 w:val="02040502050405020303"/>
    <w:charset w:val="00"/>
    <w:family w:val="auto"/>
    <w:pitch w:val="default"/>
    <w:sig w:usb0="00000287" w:usb1="00000000" w:usb2="00000000" w:usb3="00000000" w:csb0="2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1312" behindDoc="0" locked="0" layoutInCell="1" allowOverlap="1">
              <wp:simplePos x="0" y="0"/>
              <wp:positionH relativeFrom="margin">
                <wp:align>outside</wp:align>
              </wp:positionH>
              <wp:positionV relativeFrom="paragraph">
                <wp:posOffset>0</wp:posOffset>
              </wp:positionV>
              <wp:extent cx="1828800" cy="1828800"/>
              <wp:effectExtent l="0" t="0" r="0" b="0"/>
              <wp:wrapNone/>
              <wp:docPr id="13" name="文本框 13"/>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1312;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">
              <v:fill on="f" focussize="0,0"/>
              <v:stroke on="f" weight="0.5pt"/>
              <v:imagedata o:title=""/>
              <o:lock v:ext="edit" aspectratio="f"/>
              <v:textbox inset="0mm,0mm,0mm,0mm" style="mso-fit-shape-to-text:t;">
                <w:txbxContent>
                  <w:p>
                    <w:pPr>
                      <w:pStyle w:val="8"/>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59264" behindDoc="0" locked="0" layoutInCell="1" allowOverlap="1">
              <wp:simplePos x="0" y="0"/>
              <wp:positionH relativeFrom="margin">
                <wp:align>outside</wp:align>
              </wp:positionH>
              <wp:positionV relativeFrom="paragraph">
                <wp:posOffset>0</wp:posOffset>
              </wp:positionV>
              <wp:extent cx="1828800" cy="1828800"/>
              <wp:effectExtent l="0" t="0" r="0" b="0"/>
              <wp:wrapNone/>
              <wp:docPr id="10" name="文本框 10"/>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59264;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WAAAAZHJzL1BLAQIUABQAAAAI&#10;AIdO4kCzSVju0AAAAAUBAAAPAAAAAAAAAAEAIAAAADgAAABkcnMvZG93bnJldi54bWxQSwECFAAU&#10;AAAACACHTuJAFsIeAxwCAAArBAAADgAAAAAAAAABACAAAAA1AQAAZHJzL2Uyb0RvYy54bWxQSwUG&#10;AAAAAAYABgBZAQAAwwUAAAAA&#10;">
              <v:fill on="f" focussize="0,0"/>
              <v:stroke on="f" weight="0.5pt"/>
              <v:imagedata o:title=""/>
              <o:lock v:ext="edit" aspectratio="f"/>
              <v:textbox inset="0mm,0mm,0mm,0mm" style="mso-fit-shape-to-text:t;">
                <w:txbxContent>
                  <w:p>
                    <w:pPr>
                      <w:pStyle w:val="8"/>
                      <w:rPr>
                        <w:rFonts w:hint="eastAsia" w:asciiTheme="majorEastAsia" w:hAnsiTheme="majorEastAsia" w:eastAsiaTheme="majorEastAsia" w:cstheme="majorEastAsia"/>
                        <w:sz w:val="28"/>
                        <w:szCs w:val="28"/>
                        <w:lang w:eastAsia="zh-CN"/>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2</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v:textbox>
            </v:shape>
          </w:pict>
        </mc:Fallback>
      </mc:AlternateContent>
    </w: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8"/>
    </w:pPr>
    <w:r>
      <w:rPr>
        <w:sz w:val="18"/>
      </w:rPr>
      <mc:AlternateContent>
        <mc:Choice Requires="wps">
          <w:drawing>
            <wp:anchor distT="0" distB="0" distL="114300" distR="114300" simplePos="0" relativeHeight="251660288" behindDoc="0" locked="0" layoutInCell="1" allowOverlap="1">
              <wp:simplePos x="0" y="0"/>
              <wp:positionH relativeFrom="margin">
                <wp:align>outside</wp:align>
              </wp:positionH>
              <wp:positionV relativeFrom="paragraph">
                <wp:posOffset>0</wp:posOffset>
              </wp:positionV>
              <wp:extent cx="1828800" cy="1828800"/>
              <wp:effectExtent l="0" t="0" r="0" b="0"/>
              <wp:wrapNone/>
              <wp:docPr id="11" name="文本框 11"/>
              <wp:cNvGraphicFramePr/>
              <a:graphic xmlns:a="http://schemas.openxmlformats.org/drawingml/2006/main">
                <a:graphicData uri="http://schemas.microsoft.com/office/word/2010/wordprocessingShape">
                  <wps:wsp>
                    <wps:cNvSpPr txBox="true"/>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8"/>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wps:txbx>
                    <wps:bodyPr rot="0" spcFirstLastPara="0" vertOverflow="overflow" horzOverflow="overflow" vert="horz" wrap="none" lIns="0" tIns="0" rIns="0" bIns="0" numCol="1" spcCol="0" rtlCol="0" fromWordArt="false" anchor="t" anchorCtr="false" forceAA="false" upright="false" compatLnSpc="true">
                      <a:spAutoFit/>
                    </wps:bodyPr>
                  </wps:wsp>
                </a:graphicData>
              </a:graphic>
            </wp:anchor>
          </w:drawing>
        </mc:Choice>
        <mc:Fallback>
          <w:pict>
            <v:shape id="_x0000_s1026" o:spid="_x0000_s1026" o:spt="202" type="#_x0000_t202" style="position:absolute;left:0pt;margin-top:0pt;height:144pt;width:144pt;mso-position-horizontal:outside;mso-position-horizontal-relative:margin;mso-wrap-style:none;z-index:251660288;mso-width-relative:page;mso-height-relative:page;" filled="f" stroked="f" coordsize="21600,21600" o:gfxdata="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">
              <v:fill on="f" focussize="0,0"/>
              <v:stroke on="f" weight="0.5pt"/>
              <v:imagedata o:title=""/>
              <o:lock v:ext="edit" aspectratio="f"/>
              <v:textbox inset="0mm,0mm,0mm,0mm" style="mso-fit-shape-to-text:t;">
                <w:txbxContent>
                  <w:p>
                    <w:pPr>
                      <w:pStyle w:val="8"/>
                      <w:rPr>
                        <w:rFonts w:hint="eastAsia" w:asciiTheme="majorEastAsia" w:hAnsiTheme="majorEastAsia" w:eastAsiaTheme="majorEastAsia" w:cstheme="majorEastAsia"/>
                        <w:sz w:val="28"/>
                        <w:szCs w:val="28"/>
                      </w:rPr>
                    </w:pPr>
                    <w:r>
                      <w:rPr>
                        <w:rFonts w:hint="eastAsia" w:asciiTheme="majorEastAsia" w:hAnsiTheme="majorEastAsia" w:eastAsiaTheme="majorEastAsia" w:cstheme="majorEastAsia"/>
                        <w:sz w:val="28"/>
                        <w:szCs w:val="28"/>
                        <w:lang w:eastAsia="zh-CN"/>
                      </w:rPr>
                      <w:t>—</w:t>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rPr>
                      <w:fldChar w:fldCharType="begin"/>
                    </w:r>
                    <w:r>
                      <w:rPr>
                        <w:rFonts w:hint="eastAsia" w:asciiTheme="majorEastAsia" w:hAnsiTheme="majorEastAsia" w:eastAsiaTheme="majorEastAsia" w:cstheme="majorEastAsia"/>
                        <w:sz w:val="28"/>
                        <w:szCs w:val="28"/>
                      </w:rPr>
                      <w:instrText xml:space="preserve"> PAGE  \* MERGEFORMAT </w:instrText>
                    </w:r>
                    <w:r>
                      <w:rPr>
                        <w:rFonts w:hint="eastAsia" w:asciiTheme="majorEastAsia" w:hAnsiTheme="majorEastAsia" w:eastAsiaTheme="majorEastAsia" w:cstheme="majorEastAsia"/>
                        <w:sz w:val="28"/>
                        <w:szCs w:val="28"/>
                      </w:rPr>
                      <w:fldChar w:fldCharType="separate"/>
                    </w:r>
                    <w:r>
                      <w:rPr>
                        <w:rFonts w:hint="eastAsia" w:asciiTheme="majorEastAsia" w:hAnsiTheme="majorEastAsia" w:eastAsiaTheme="majorEastAsia" w:cstheme="majorEastAsia"/>
                        <w:sz w:val="28"/>
                        <w:szCs w:val="28"/>
                      </w:rPr>
                      <w:t>1</w:t>
                    </w:r>
                    <w:r>
                      <w:rPr>
                        <w:rFonts w:hint="eastAsia" w:asciiTheme="majorEastAsia" w:hAnsiTheme="majorEastAsia" w:eastAsiaTheme="majorEastAsia" w:cstheme="majorEastAsia"/>
                        <w:sz w:val="28"/>
                        <w:szCs w:val="28"/>
                      </w:rPr>
                      <w:fldChar w:fldCharType="end"/>
                    </w:r>
                    <w:r>
                      <w:rPr>
                        <w:rFonts w:hint="eastAsia" w:asciiTheme="majorEastAsia" w:hAnsiTheme="majorEastAsia" w:eastAsiaTheme="majorEastAsia" w:cstheme="majorEastAsia"/>
                        <w:sz w:val="28"/>
                        <w:szCs w:val="28"/>
                        <w:lang w:val="en-US" w:eastAsia="zh-CN"/>
                      </w:rPr>
                      <w:t xml:space="preserve"> </w:t>
                    </w:r>
                    <w:r>
                      <w:rPr>
                        <w:rFonts w:hint="eastAsia" w:asciiTheme="majorEastAsia" w:hAnsiTheme="majorEastAsia" w:eastAsiaTheme="majorEastAsia" w:cstheme="majorEastAsia"/>
                        <w:sz w:val="28"/>
                        <w:szCs w:val="28"/>
                        <w:lang w:eastAsia="zh-CN"/>
                      </w:rPr>
                      <w:t>—</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9"/>
      <w:pBdr>
        <w:bottom w:val="none" w:color="auto" w:sz="0" w:space="0"/>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8556B943"/>
    <w:multiLevelType w:val="singleLevel"/>
    <w:tmpl w:val="8556B943"/>
    <w:lvl w:ilvl="0" w:tentative="0">
      <w:start w:val="1"/>
      <w:numFmt w:val="decimal"/>
      <w:suff w:val="nothing"/>
      <w:lvlText w:val="%1．"/>
      <w:lvlJc w:val="left"/>
      <w:pPr>
        <w:ind w:left="0" w:firstLine="400"/>
      </w:pPr>
      <w:rPr>
        <w:rFonts w:hint="default"/>
        <w:sz w:val="32"/>
        <w:szCs w:val="32"/>
      </w:rPr>
    </w:lvl>
  </w:abstractNum>
  <w:abstractNum w:abstractNumId="1">
    <w:nsid w:val="CF652CEC"/>
    <w:multiLevelType w:val="singleLevel"/>
    <w:tmpl w:val="CF652CEC"/>
    <w:lvl w:ilvl="0" w:tentative="0">
      <w:start w:val="9"/>
      <w:numFmt w:val="chineseCounting"/>
      <w:suff w:val="nothing"/>
      <w:lvlText w:val="%1、"/>
      <w:lvlJc w:val="left"/>
      <w:rPr>
        <w:rFonts w:hint="eastAsia"/>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false"/>
  <w:bordersDoNotSurroundFooter w:val="false"/>
  <w:documentProtection w:enforcement="0"/>
  <w:defaultTabStop w:val="420"/>
  <w:drawingGridHorizontalSpacing w:val="105"/>
  <w:drawingGridVerticalSpacing w:val="156"/>
  <w:displayHorizontalDrawingGridEvery w:val="1"/>
  <w:displayVerticalDrawingGridEvery w:val="1"/>
  <w:noPunctuationKerning w:val="true"/>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Tc2ZGZiNzZiNDVlOGViOWVmM2JhOTY0NGJkNjUyYzgifQ=="/>
  </w:docVars>
  <w:rsids>
    <w:rsidRoot w:val="00F1361C"/>
    <w:rsid w:val="000222C6"/>
    <w:rsid w:val="0002549F"/>
    <w:rsid w:val="000468DB"/>
    <w:rsid w:val="0006487A"/>
    <w:rsid w:val="00065F8F"/>
    <w:rsid w:val="00070A43"/>
    <w:rsid w:val="000768F2"/>
    <w:rsid w:val="0009184B"/>
    <w:rsid w:val="00094236"/>
    <w:rsid w:val="0009593C"/>
    <w:rsid w:val="00097322"/>
    <w:rsid w:val="000A6A92"/>
    <w:rsid w:val="000B047F"/>
    <w:rsid w:val="000B5923"/>
    <w:rsid w:val="000B5A48"/>
    <w:rsid w:val="000B6FF3"/>
    <w:rsid w:val="000C3467"/>
    <w:rsid w:val="000C3CA6"/>
    <w:rsid w:val="000D1267"/>
    <w:rsid w:val="000D1D50"/>
    <w:rsid w:val="000D5782"/>
    <w:rsid w:val="000E6613"/>
    <w:rsid w:val="000E7119"/>
    <w:rsid w:val="00114E9B"/>
    <w:rsid w:val="00142216"/>
    <w:rsid w:val="00144D6A"/>
    <w:rsid w:val="0014729F"/>
    <w:rsid w:val="00157BAB"/>
    <w:rsid w:val="001654D1"/>
    <w:rsid w:val="00174518"/>
    <w:rsid w:val="0018106D"/>
    <w:rsid w:val="001877A7"/>
    <w:rsid w:val="00191536"/>
    <w:rsid w:val="00196687"/>
    <w:rsid w:val="001C0962"/>
    <w:rsid w:val="001D7531"/>
    <w:rsid w:val="001E737D"/>
    <w:rsid w:val="001F0592"/>
    <w:rsid w:val="001F7506"/>
    <w:rsid w:val="002006CD"/>
    <w:rsid w:val="00202B36"/>
    <w:rsid w:val="00204B7A"/>
    <w:rsid w:val="00204CDE"/>
    <w:rsid w:val="0021101A"/>
    <w:rsid w:val="00220536"/>
    <w:rsid w:val="00235629"/>
    <w:rsid w:val="00260C38"/>
    <w:rsid w:val="002616C0"/>
    <w:rsid w:val="00265372"/>
    <w:rsid w:val="002662AA"/>
    <w:rsid w:val="00280496"/>
    <w:rsid w:val="00294DC9"/>
    <w:rsid w:val="00295495"/>
    <w:rsid w:val="002A31DE"/>
    <w:rsid w:val="002B2613"/>
    <w:rsid w:val="002D6D05"/>
    <w:rsid w:val="002F1818"/>
    <w:rsid w:val="002F567B"/>
    <w:rsid w:val="003216A9"/>
    <w:rsid w:val="00335A74"/>
    <w:rsid w:val="0036561B"/>
    <w:rsid w:val="0037013F"/>
    <w:rsid w:val="00380C92"/>
    <w:rsid w:val="003A484F"/>
    <w:rsid w:val="003A4883"/>
    <w:rsid w:val="003B0BE0"/>
    <w:rsid w:val="003B0C1B"/>
    <w:rsid w:val="003B688C"/>
    <w:rsid w:val="003C0291"/>
    <w:rsid w:val="003C39AE"/>
    <w:rsid w:val="003C7B60"/>
    <w:rsid w:val="003D0C0F"/>
    <w:rsid w:val="003D1FB2"/>
    <w:rsid w:val="003D66DA"/>
    <w:rsid w:val="003E1310"/>
    <w:rsid w:val="003E6F55"/>
    <w:rsid w:val="00406254"/>
    <w:rsid w:val="004223DE"/>
    <w:rsid w:val="00434489"/>
    <w:rsid w:val="00437085"/>
    <w:rsid w:val="00443880"/>
    <w:rsid w:val="004464F4"/>
    <w:rsid w:val="00471401"/>
    <w:rsid w:val="00473F31"/>
    <w:rsid w:val="0048263A"/>
    <w:rsid w:val="00487E5D"/>
    <w:rsid w:val="004A711F"/>
    <w:rsid w:val="004B199D"/>
    <w:rsid w:val="004B4690"/>
    <w:rsid w:val="004E0A2D"/>
    <w:rsid w:val="004E206B"/>
    <w:rsid w:val="004E6DF7"/>
    <w:rsid w:val="004F0FBD"/>
    <w:rsid w:val="00505A47"/>
    <w:rsid w:val="00512FDA"/>
    <w:rsid w:val="00520DA0"/>
    <w:rsid w:val="005664BB"/>
    <w:rsid w:val="00566FFA"/>
    <w:rsid w:val="0057481D"/>
    <w:rsid w:val="0058486E"/>
    <w:rsid w:val="00585B33"/>
    <w:rsid w:val="0059014D"/>
    <w:rsid w:val="005B5C64"/>
    <w:rsid w:val="005C5337"/>
    <w:rsid w:val="005C6BD0"/>
    <w:rsid w:val="005D1C8B"/>
    <w:rsid w:val="005D468D"/>
    <w:rsid w:val="005D5CED"/>
    <w:rsid w:val="005F1A4C"/>
    <w:rsid w:val="00605688"/>
    <w:rsid w:val="006070AF"/>
    <w:rsid w:val="00607E6C"/>
    <w:rsid w:val="006101B1"/>
    <w:rsid w:val="00614E44"/>
    <w:rsid w:val="0062270A"/>
    <w:rsid w:val="00622830"/>
    <w:rsid w:val="00623DA0"/>
    <w:rsid w:val="00630AEF"/>
    <w:rsid w:val="006325F8"/>
    <w:rsid w:val="00633463"/>
    <w:rsid w:val="00634C9A"/>
    <w:rsid w:val="006440E4"/>
    <w:rsid w:val="0066343B"/>
    <w:rsid w:val="00664777"/>
    <w:rsid w:val="006748A4"/>
    <w:rsid w:val="00681A31"/>
    <w:rsid w:val="00683E73"/>
    <w:rsid w:val="006A3141"/>
    <w:rsid w:val="006A5E34"/>
    <w:rsid w:val="006B2422"/>
    <w:rsid w:val="006B2B9A"/>
    <w:rsid w:val="006C1937"/>
    <w:rsid w:val="006F020C"/>
    <w:rsid w:val="007127B7"/>
    <w:rsid w:val="0071798E"/>
    <w:rsid w:val="007416B6"/>
    <w:rsid w:val="00746F48"/>
    <w:rsid w:val="0075404D"/>
    <w:rsid w:val="0076182A"/>
    <w:rsid w:val="00767B7E"/>
    <w:rsid w:val="007770C3"/>
    <w:rsid w:val="00784D24"/>
    <w:rsid w:val="00785FBA"/>
    <w:rsid w:val="00786E4A"/>
    <w:rsid w:val="007875EB"/>
    <w:rsid w:val="0079426B"/>
    <w:rsid w:val="007D1682"/>
    <w:rsid w:val="007D312A"/>
    <w:rsid w:val="007D3F19"/>
    <w:rsid w:val="007E23B0"/>
    <w:rsid w:val="007E23E5"/>
    <w:rsid w:val="007F1991"/>
    <w:rsid w:val="007F2C2F"/>
    <w:rsid w:val="007F55FC"/>
    <w:rsid w:val="007F5665"/>
    <w:rsid w:val="00800112"/>
    <w:rsid w:val="00813348"/>
    <w:rsid w:val="008253BB"/>
    <w:rsid w:val="0083706E"/>
    <w:rsid w:val="008408F6"/>
    <w:rsid w:val="008423A5"/>
    <w:rsid w:val="00850625"/>
    <w:rsid w:val="00853718"/>
    <w:rsid w:val="00855221"/>
    <w:rsid w:val="00860645"/>
    <w:rsid w:val="00871F71"/>
    <w:rsid w:val="00872FD8"/>
    <w:rsid w:val="00885AF4"/>
    <w:rsid w:val="008939CD"/>
    <w:rsid w:val="008B768C"/>
    <w:rsid w:val="008C4DB1"/>
    <w:rsid w:val="008C4EAF"/>
    <w:rsid w:val="008C5176"/>
    <w:rsid w:val="008C7FD0"/>
    <w:rsid w:val="008E1DE7"/>
    <w:rsid w:val="008E707C"/>
    <w:rsid w:val="00900B08"/>
    <w:rsid w:val="00902155"/>
    <w:rsid w:val="00902FA3"/>
    <w:rsid w:val="00923564"/>
    <w:rsid w:val="0092392E"/>
    <w:rsid w:val="009315F9"/>
    <w:rsid w:val="00933499"/>
    <w:rsid w:val="00935C98"/>
    <w:rsid w:val="00946945"/>
    <w:rsid w:val="00951248"/>
    <w:rsid w:val="0095152F"/>
    <w:rsid w:val="00954C49"/>
    <w:rsid w:val="00955E37"/>
    <w:rsid w:val="0097099F"/>
    <w:rsid w:val="00971997"/>
    <w:rsid w:val="00971FFC"/>
    <w:rsid w:val="0098660A"/>
    <w:rsid w:val="009931C3"/>
    <w:rsid w:val="009B2C43"/>
    <w:rsid w:val="009B4EAE"/>
    <w:rsid w:val="009B7573"/>
    <w:rsid w:val="009C22F4"/>
    <w:rsid w:val="009C2A4B"/>
    <w:rsid w:val="009C2E98"/>
    <w:rsid w:val="009D3447"/>
    <w:rsid w:val="009D4711"/>
    <w:rsid w:val="009F1185"/>
    <w:rsid w:val="009F18CD"/>
    <w:rsid w:val="009F2A13"/>
    <w:rsid w:val="009F7527"/>
    <w:rsid w:val="00A04EB0"/>
    <w:rsid w:val="00A13CC1"/>
    <w:rsid w:val="00A16847"/>
    <w:rsid w:val="00A237D8"/>
    <w:rsid w:val="00A268C4"/>
    <w:rsid w:val="00A307CD"/>
    <w:rsid w:val="00A331C8"/>
    <w:rsid w:val="00A40A00"/>
    <w:rsid w:val="00A4142F"/>
    <w:rsid w:val="00A422EB"/>
    <w:rsid w:val="00A45BB7"/>
    <w:rsid w:val="00A56DF2"/>
    <w:rsid w:val="00A56E6E"/>
    <w:rsid w:val="00A67AB5"/>
    <w:rsid w:val="00A733B2"/>
    <w:rsid w:val="00A741C2"/>
    <w:rsid w:val="00A91760"/>
    <w:rsid w:val="00A93B00"/>
    <w:rsid w:val="00A93C21"/>
    <w:rsid w:val="00AB64C9"/>
    <w:rsid w:val="00AC3C6A"/>
    <w:rsid w:val="00AD5620"/>
    <w:rsid w:val="00AD656B"/>
    <w:rsid w:val="00AD7C1B"/>
    <w:rsid w:val="00AE16BA"/>
    <w:rsid w:val="00AE1EBE"/>
    <w:rsid w:val="00B03C9D"/>
    <w:rsid w:val="00B060AE"/>
    <w:rsid w:val="00B10517"/>
    <w:rsid w:val="00B14E76"/>
    <w:rsid w:val="00B161B8"/>
    <w:rsid w:val="00B2048C"/>
    <w:rsid w:val="00B310B9"/>
    <w:rsid w:val="00B35F3F"/>
    <w:rsid w:val="00B36CBB"/>
    <w:rsid w:val="00B425E0"/>
    <w:rsid w:val="00B440AA"/>
    <w:rsid w:val="00B44B70"/>
    <w:rsid w:val="00B53C56"/>
    <w:rsid w:val="00B57DAF"/>
    <w:rsid w:val="00B77EA6"/>
    <w:rsid w:val="00B81598"/>
    <w:rsid w:val="00B841F1"/>
    <w:rsid w:val="00B944D6"/>
    <w:rsid w:val="00BB4DF0"/>
    <w:rsid w:val="00BC289F"/>
    <w:rsid w:val="00BC2D50"/>
    <w:rsid w:val="00BC5361"/>
    <w:rsid w:val="00BC5460"/>
    <w:rsid w:val="00BC6B50"/>
    <w:rsid w:val="00BD0E25"/>
    <w:rsid w:val="00BF5BD6"/>
    <w:rsid w:val="00C03E31"/>
    <w:rsid w:val="00C33E72"/>
    <w:rsid w:val="00C354B2"/>
    <w:rsid w:val="00C35554"/>
    <w:rsid w:val="00C42709"/>
    <w:rsid w:val="00C533CC"/>
    <w:rsid w:val="00C5751C"/>
    <w:rsid w:val="00C61BFC"/>
    <w:rsid w:val="00C62B85"/>
    <w:rsid w:val="00C65438"/>
    <w:rsid w:val="00C87FD8"/>
    <w:rsid w:val="00C91381"/>
    <w:rsid w:val="00C91CBB"/>
    <w:rsid w:val="00CB4E70"/>
    <w:rsid w:val="00CC09B6"/>
    <w:rsid w:val="00CC666F"/>
    <w:rsid w:val="00CD1E3F"/>
    <w:rsid w:val="00CE44F6"/>
    <w:rsid w:val="00CE49DA"/>
    <w:rsid w:val="00CE7B61"/>
    <w:rsid w:val="00D00095"/>
    <w:rsid w:val="00D114F0"/>
    <w:rsid w:val="00D20620"/>
    <w:rsid w:val="00D254F7"/>
    <w:rsid w:val="00D26091"/>
    <w:rsid w:val="00D2685C"/>
    <w:rsid w:val="00D34E7C"/>
    <w:rsid w:val="00D35489"/>
    <w:rsid w:val="00D36AFE"/>
    <w:rsid w:val="00D51276"/>
    <w:rsid w:val="00D7035F"/>
    <w:rsid w:val="00DA634F"/>
    <w:rsid w:val="00DA65AC"/>
    <w:rsid w:val="00DB1913"/>
    <w:rsid w:val="00DC410D"/>
    <w:rsid w:val="00DC5A81"/>
    <w:rsid w:val="00DC68CA"/>
    <w:rsid w:val="00DC7CBA"/>
    <w:rsid w:val="00DD73B7"/>
    <w:rsid w:val="00DF28BC"/>
    <w:rsid w:val="00DF34B9"/>
    <w:rsid w:val="00E01053"/>
    <w:rsid w:val="00E07ACF"/>
    <w:rsid w:val="00E331A1"/>
    <w:rsid w:val="00E33202"/>
    <w:rsid w:val="00E336A9"/>
    <w:rsid w:val="00E472B1"/>
    <w:rsid w:val="00E50624"/>
    <w:rsid w:val="00E568DF"/>
    <w:rsid w:val="00E64269"/>
    <w:rsid w:val="00E82267"/>
    <w:rsid w:val="00E853CE"/>
    <w:rsid w:val="00E867B6"/>
    <w:rsid w:val="00EA010F"/>
    <w:rsid w:val="00ED1B63"/>
    <w:rsid w:val="00ED3C1F"/>
    <w:rsid w:val="00ED4085"/>
    <w:rsid w:val="00ED420E"/>
    <w:rsid w:val="00ED6FBE"/>
    <w:rsid w:val="00EE2F57"/>
    <w:rsid w:val="00EF4C34"/>
    <w:rsid w:val="00EF77C6"/>
    <w:rsid w:val="00F05438"/>
    <w:rsid w:val="00F1361C"/>
    <w:rsid w:val="00F156F0"/>
    <w:rsid w:val="00F160C7"/>
    <w:rsid w:val="00F2408F"/>
    <w:rsid w:val="00F240E9"/>
    <w:rsid w:val="00F36D8F"/>
    <w:rsid w:val="00F417B1"/>
    <w:rsid w:val="00F45853"/>
    <w:rsid w:val="00F602DF"/>
    <w:rsid w:val="00F754A1"/>
    <w:rsid w:val="00F81FD9"/>
    <w:rsid w:val="00F841AA"/>
    <w:rsid w:val="00F84A94"/>
    <w:rsid w:val="00F87E96"/>
    <w:rsid w:val="00FA23E8"/>
    <w:rsid w:val="00FD3CC1"/>
    <w:rsid w:val="00FF1E02"/>
    <w:rsid w:val="00FF30B4"/>
    <w:rsid w:val="053A62B5"/>
    <w:rsid w:val="0A2032A3"/>
    <w:rsid w:val="0B8A37D8"/>
    <w:rsid w:val="10C055FF"/>
    <w:rsid w:val="118107EC"/>
    <w:rsid w:val="11DD6519"/>
    <w:rsid w:val="16BB723D"/>
    <w:rsid w:val="18015F3F"/>
    <w:rsid w:val="1BE8440E"/>
    <w:rsid w:val="1D155CEE"/>
    <w:rsid w:val="1FD8CC11"/>
    <w:rsid w:val="20F57F95"/>
    <w:rsid w:val="240371BF"/>
    <w:rsid w:val="25711CC6"/>
    <w:rsid w:val="25C741E6"/>
    <w:rsid w:val="27842671"/>
    <w:rsid w:val="29FD04D3"/>
    <w:rsid w:val="2ABE7A3E"/>
    <w:rsid w:val="2CA234A8"/>
    <w:rsid w:val="2D1FE0D6"/>
    <w:rsid w:val="2EFA178C"/>
    <w:rsid w:val="30B46D73"/>
    <w:rsid w:val="319F7F4E"/>
    <w:rsid w:val="383D272C"/>
    <w:rsid w:val="39AE70AB"/>
    <w:rsid w:val="3C0C0783"/>
    <w:rsid w:val="3F9F3A96"/>
    <w:rsid w:val="41085755"/>
    <w:rsid w:val="48BF60AB"/>
    <w:rsid w:val="493C27E9"/>
    <w:rsid w:val="496F39ED"/>
    <w:rsid w:val="49FF41D3"/>
    <w:rsid w:val="4BE068DB"/>
    <w:rsid w:val="4BF6002B"/>
    <w:rsid w:val="4ECE2238"/>
    <w:rsid w:val="51DB4B86"/>
    <w:rsid w:val="55333C3E"/>
    <w:rsid w:val="583D4E25"/>
    <w:rsid w:val="5AEFCD44"/>
    <w:rsid w:val="5D9789FB"/>
    <w:rsid w:val="5DA48B14"/>
    <w:rsid w:val="5FF9BAF6"/>
    <w:rsid w:val="64CA39A1"/>
    <w:rsid w:val="69630ADE"/>
    <w:rsid w:val="6C4A05C8"/>
    <w:rsid w:val="6D3B1A89"/>
    <w:rsid w:val="6FE60686"/>
    <w:rsid w:val="71BF4EC2"/>
    <w:rsid w:val="72734D90"/>
    <w:rsid w:val="73EBB5E4"/>
    <w:rsid w:val="7412278C"/>
    <w:rsid w:val="77FD9E10"/>
    <w:rsid w:val="7904082E"/>
    <w:rsid w:val="79E7B28D"/>
    <w:rsid w:val="7DA9D786"/>
    <w:rsid w:val="7F9F20EE"/>
    <w:rsid w:val="7FEF8AE2"/>
    <w:rsid w:val="7FF5F2DB"/>
    <w:rsid w:val="7FFB3078"/>
    <w:rsid w:val="7FFFE6CE"/>
    <w:rsid w:val="9E3A10E2"/>
    <w:rsid w:val="B47F7421"/>
    <w:rsid w:val="C9DF27DA"/>
    <w:rsid w:val="EFEE9157"/>
    <w:rsid w:val="F2E1F9D4"/>
    <w:rsid w:val="F7880819"/>
    <w:rsid w:val="F7FBBAB7"/>
    <w:rsid w:val="F92BFF57"/>
    <w:rsid w:val="FBF5899B"/>
    <w:rsid w:val="FF5F5718"/>
    <w:rsid w:val="FFBF7ED2"/>
    <w:rsid w:val="FFBFF1C1"/>
  </w:rsids>
  <m:mathPr>
    <m:mathFont m:val="Cambria Math"/>
    <m:brkBin m:val="before"/>
    <m:brkBinSub m:val="--"/>
    <m:smallFrac m:val="0"/>
    <m:dispDef/>
    <m:lMargin m:val="0"/>
    <m:rMargin m:val="0"/>
    <m:defJc m:val="centerGroup"/>
    <m:wrapIndent m:val="1440"/>
    <m:intLim m:val="subSup"/>
    <m:naryLim m:val="undOvr"/>
  </m:mathPr>
  <w:doNotAutoCompressPicture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semiHidden="0" w:name="heading 2"/>
    <w:lsdException w:qFormat="1" w:uiPriority="9" w:semiHidden="0"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nhideWhenUsed="0" w:uiPriority="99" w:name="header"/>
    <w:lsdException w:qFormat="1" w:unhideWhenUsed="0"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qFormat="1" w:unhideWhenUsed="0" w:uiPriority="99"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iPriority="99" w:semiHidden="0"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3">
    <w:name w:val="heading 1"/>
    <w:basedOn w:val="1"/>
    <w:next w:val="1"/>
    <w:link w:val="18"/>
    <w:qFormat/>
    <w:uiPriority w:val="9"/>
    <w:pPr>
      <w:keepNext/>
      <w:keepLines/>
      <w:spacing w:before="340" w:after="330" w:line="578" w:lineRule="auto"/>
      <w:outlineLvl w:val="0"/>
    </w:pPr>
    <w:rPr>
      <w:b/>
      <w:bCs/>
      <w:kern w:val="44"/>
      <w:sz w:val="44"/>
      <w:szCs w:val="44"/>
    </w:rPr>
  </w:style>
  <w:style w:type="paragraph" w:styleId="4">
    <w:name w:val="heading 2"/>
    <w:basedOn w:val="1"/>
    <w:next w:val="1"/>
    <w:link w:val="19"/>
    <w:unhideWhenUsed/>
    <w:qFormat/>
    <w:uiPriority w:val="9"/>
    <w:pPr>
      <w:keepNext/>
      <w:keepLines/>
      <w:spacing w:before="260" w:after="260" w:line="416" w:lineRule="auto"/>
      <w:outlineLvl w:val="1"/>
    </w:pPr>
    <w:rPr>
      <w:rFonts w:asciiTheme="majorHAnsi" w:hAnsiTheme="majorHAnsi" w:eastAsiaTheme="majorEastAsia" w:cstheme="majorBidi"/>
      <w:b/>
      <w:bCs/>
      <w:sz w:val="32"/>
      <w:szCs w:val="32"/>
    </w:rPr>
  </w:style>
  <w:style w:type="paragraph" w:styleId="5">
    <w:name w:val="heading 3"/>
    <w:basedOn w:val="1"/>
    <w:next w:val="1"/>
    <w:link w:val="20"/>
    <w:unhideWhenUsed/>
    <w:qFormat/>
    <w:uiPriority w:val="9"/>
    <w:pPr>
      <w:keepNext/>
      <w:keepLines/>
      <w:spacing w:before="260" w:after="260" w:line="416" w:lineRule="auto"/>
      <w:outlineLvl w:val="2"/>
    </w:pPr>
    <w:rPr>
      <w:b/>
      <w:bCs/>
      <w:sz w:val="32"/>
      <w:szCs w:val="32"/>
    </w:rPr>
  </w:style>
  <w:style w:type="character" w:default="1" w:styleId="13">
    <w:name w:val="Default Paragraph Font"/>
    <w:semiHidden/>
    <w:unhideWhenUsed/>
    <w:qFormat/>
    <w:uiPriority w:val="1"/>
  </w:style>
  <w:style w:type="table" w:default="1" w:styleId="12">
    <w:name w:val="Normal Table"/>
    <w:semiHidden/>
    <w:unhideWhenUsed/>
    <w:qFormat/>
    <w:uiPriority w:val="99"/>
    <w:tblPr>
      <w:tblCellMar>
        <w:top w:w="0" w:type="dxa"/>
        <w:left w:w="108" w:type="dxa"/>
        <w:bottom w:w="0" w:type="dxa"/>
        <w:right w:w="108" w:type="dxa"/>
      </w:tblCellMar>
    </w:tblPr>
  </w:style>
  <w:style w:type="paragraph" w:styleId="2">
    <w:name w:val="Body Text"/>
    <w:basedOn w:val="1"/>
    <w:link w:val="26"/>
    <w:qFormat/>
    <w:uiPriority w:val="99"/>
    <w:pPr>
      <w:spacing w:beforeLines="30"/>
    </w:pPr>
    <w:rPr>
      <w:rFonts w:ascii="仿宋_GB2312" w:eastAsia="仿宋_GB2312"/>
      <w:kern w:val="0"/>
      <w:sz w:val="30"/>
    </w:rPr>
  </w:style>
  <w:style w:type="paragraph" w:styleId="6">
    <w:name w:val="toc 3"/>
    <w:basedOn w:val="1"/>
    <w:next w:val="1"/>
    <w:unhideWhenUsed/>
    <w:qFormat/>
    <w:uiPriority w:val="39"/>
    <w:pPr>
      <w:tabs>
        <w:tab w:val="right" w:leader="dot" w:pos="8296"/>
      </w:tabs>
      <w:ind w:left="840" w:leftChars="400"/>
    </w:pPr>
  </w:style>
  <w:style w:type="paragraph" w:styleId="7">
    <w:name w:val="Balloon Text"/>
    <w:basedOn w:val="1"/>
    <w:link w:val="30"/>
    <w:semiHidden/>
    <w:unhideWhenUsed/>
    <w:qFormat/>
    <w:uiPriority w:val="99"/>
    <w:rPr>
      <w:sz w:val="18"/>
      <w:szCs w:val="18"/>
    </w:rPr>
  </w:style>
  <w:style w:type="paragraph" w:styleId="8">
    <w:name w:val="footer"/>
    <w:basedOn w:val="1"/>
    <w:link w:val="24"/>
    <w:qFormat/>
    <w:uiPriority w:val="99"/>
    <w:pPr>
      <w:tabs>
        <w:tab w:val="center" w:pos="4153"/>
        <w:tab w:val="right" w:pos="8306"/>
      </w:tabs>
      <w:snapToGrid w:val="0"/>
      <w:jc w:val="left"/>
    </w:pPr>
    <w:rPr>
      <w:rFonts w:ascii="Calibri" w:hAnsi="Calibri"/>
      <w:kern w:val="0"/>
      <w:sz w:val="18"/>
      <w:szCs w:val="18"/>
    </w:rPr>
  </w:style>
  <w:style w:type="paragraph" w:styleId="9">
    <w:name w:val="header"/>
    <w:basedOn w:val="1"/>
    <w:link w:val="22"/>
    <w:semiHidden/>
    <w:qFormat/>
    <w:uiPriority w:val="99"/>
    <w:pPr>
      <w:pBdr>
        <w:bottom w:val="single" w:color="auto" w:sz="6" w:space="1"/>
      </w:pBdr>
      <w:tabs>
        <w:tab w:val="center" w:pos="4153"/>
        <w:tab w:val="right" w:pos="8306"/>
      </w:tabs>
      <w:snapToGrid w:val="0"/>
      <w:jc w:val="center"/>
    </w:pPr>
    <w:rPr>
      <w:rFonts w:ascii="Calibri" w:hAnsi="Calibri"/>
      <w:kern w:val="0"/>
      <w:sz w:val="18"/>
      <w:szCs w:val="18"/>
    </w:rPr>
  </w:style>
  <w:style w:type="paragraph" w:styleId="10">
    <w:name w:val="toc 1"/>
    <w:basedOn w:val="1"/>
    <w:next w:val="1"/>
    <w:unhideWhenUsed/>
    <w:qFormat/>
    <w:uiPriority w:val="39"/>
    <w:pPr>
      <w:tabs>
        <w:tab w:val="right" w:leader="dot" w:pos="8296"/>
      </w:tabs>
      <w:spacing w:before="93"/>
      <w:jc w:val="center"/>
    </w:pPr>
    <w:rPr>
      <w:rFonts w:ascii="仿宋" w:hAnsi="仿宋" w:eastAsia="仿宋"/>
      <w:sz w:val="28"/>
      <w:szCs w:val="28"/>
    </w:rPr>
  </w:style>
  <w:style w:type="paragraph" w:styleId="11">
    <w:name w:val="toc 2"/>
    <w:basedOn w:val="1"/>
    <w:next w:val="1"/>
    <w:unhideWhenUsed/>
    <w:qFormat/>
    <w:uiPriority w:val="39"/>
    <w:pPr>
      <w:tabs>
        <w:tab w:val="right" w:leader="dot" w:pos="8296"/>
      </w:tabs>
      <w:ind w:left="420" w:leftChars="200"/>
    </w:pPr>
  </w:style>
  <w:style w:type="character" w:styleId="14">
    <w:name w:val="Strong"/>
    <w:basedOn w:val="13"/>
    <w:qFormat/>
    <w:uiPriority w:val="99"/>
    <w:rPr>
      <w:b/>
    </w:rPr>
  </w:style>
  <w:style w:type="character" w:styleId="15">
    <w:name w:val="Hyperlink"/>
    <w:basedOn w:val="13"/>
    <w:unhideWhenUsed/>
    <w:qFormat/>
    <w:uiPriority w:val="99"/>
    <w:rPr>
      <w:color w:val="0000FF" w:themeColor="hyperlink"/>
      <w:u w:val="single"/>
      <w14:textFill>
        <w14:solidFill>
          <w14:schemeClr w14:val="hlink"/>
        </w14:solidFill>
      </w14:textFill>
    </w:rPr>
  </w:style>
  <w:style w:type="paragraph" w:customStyle="1" w:styleId="16">
    <w:name w:val="BodyText1I2"/>
    <w:basedOn w:val="17"/>
    <w:qFormat/>
    <w:uiPriority w:val="0"/>
    <w:pPr>
      <w:spacing w:before="100" w:beforeAutospacing="1" w:after="100" w:afterAutospacing="1"/>
      <w:ind w:firstLine="420" w:firstLineChars="200"/>
      <w:jc w:val="both"/>
      <w:textAlignment w:val="baseline"/>
    </w:pPr>
  </w:style>
  <w:style w:type="paragraph" w:customStyle="1" w:styleId="17">
    <w:name w:val="BodyTextIndent"/>
    <w:basedOn w:val="1"/>
    <w:qFormat/>
    <w:uiPriority w:val="0"/>
    <w:pPr>
      <w:ind w:firstLine="640" w:firstLineChars="200"/>
      <w:jc w:val="both"/>
      <w:textAlignment w:val="baseline"/>
    </w:pPr>
    <w:rPr>
      <w:rFonts w:ascii="Times New Roman" w:hAnsi="Times New Roman" w:eastAsia="仿宋_GB2312"/>
      <w:kern w:val="2"/>
      <w:sz w:val="32"/>
      <w:szCs w:val="24"/>
      <w:lang w:val="en-US" w:eastAsia="zh-CN" w:bidi="ar-SA"/>
    </w:rPr>
  </w:style>
  <w:style w:type="character" w:customStyle="1" w:styleId="18">
    <w:name w:val="标题 1 Char"/>
    <w:basedOn w:val="13"/>
    <w:link w:val="3"/>
    <w:qFormat/>
    <w:uiPriority w:val="9"/>
    <w:rPr>
      <w:rFonts w:ascii="Times New Roman" w:hAnsi="Times New Roman"/>
      <w:b/>
      <w:bCs/>
      <w:kern w:val="44"/>
      <w:sz w:val="44"/>
      <w:szCs w:val="44"/>
    </w:rPr>
  </w:style>
  <w:style w:type="character" w:customStyle="1" w:styleId="19">
    <w:name w:val="标题 2 Char"/>
    <w:basedOn w:val="13"/>
    <w:link w:val="4"/>
    <w:qFormat/>
    <w:uiPriority w:val="9"/>
    <w:rPr>
      <w:rFonts w:asciiTheme="majorHAnsi" w:hAnsiTheme="majorHAnsi" w:eastAsiaTheme="majorEastAsia" w:cstheme="majorBidi"/>
      <w:b/>
      <w:bCs/>
      <w:kern w:val="2"/>
      <w:sz w:val="32"/>
      <w:szCs w:val="32"/>
    </w:rPr>
  </w:style>
  <w:style w:type="character" w:customStyle="1" w:styleId="20">
    <w:name w:val="标题 3 Char"/>
    <w:basedOn w:val="13"/>
    <w:link w:val="5"/>
    <w:qFormat/>
    <w:uiPriority w:val="9"/>
    <w:rPr>
      <w:rFonts w:ascii="Times New Roman" w:hAnsi="Times New Roman"/>
      <w:b/>
      <w:bCs/>
      <w:kern w:val="2"/>
      <w:sz w:val="32"/>
      <w:szCs w:val="32"/>
    </w:rPr>
  </w:style>
  <w:style w:type="character" w:customStyle="1" w:styleId="21">
    <w:name w:val="Header Char"/>
    <w:basedOn w:val="13"/>
    <w:semiHidden/>
    <w:qFormat/>
    <w:uiPriority w:val="99"/>
    <w:rPr>
      <w:rFonts w:ascii="Times New Roman" w:hAnsi="Times New Roman"/>
      <w:sz w:val="18"/>
      <w:szCs w:val="18"/>
    </w:rPr>
  </w:style>
  <w:style w:type="character" w:customStyle="1" w:styleId="22">
    <w:name w:val="页眉 Char"/>
    <w:link w:val="9"/>
    <w:semiHidden/>
    <w:qFormat/>
    <w:locked/>
    <w:uiPriority w:val="99"/>
    <w:rPr>
      <w:sz w:val="18"/>
    </w:rPr>
  </w:style>
  <w:style w:type="character" w:customStyle="1" w:styleId="23">
    <w:name w:val="Footer Char"/>
    <w:basedOn w:val="13"/>
    <w:semiHidden/>
    <w:qFormat/>
    <w:uiPriority w:val="99"/>
    <w:rPr>
      <w:rFonts w:ascii="Times New Roman" w:hAnsi="Times New Roman"/>
      <w:sz w:val="18"/>
      <w:szCs w:val="18"/>
    </w:rPr>
  </w:style>
  <w:style w:type="character" w:customStyle="1" w:styleId="24">
    <w:name w:val="页脚 Char"/>
    <w:link w:val="8"/>
    <w:qFormat/>
    <w:locked/>
    <w:uiPriority w:val="99"/>
    <w:rPr>
      <w:sz w:val="18"/>
    </w:rPr>
  </w:style>
  <w:style w:type="character" w:customStyle="1" w:styleId="25">
    <w:name w:val="Body Text Char"/>
    <w:basedOn w:val="13"/>
    <w:semiHidden/>
    <w:qFormat/>
    <w:uiPriority w:val="99"/>
    <w:rPr>
      <w:rFonts w:ascii="Times New Roman" w:hAnsi="Times New Roman"/>
      <w:szCs w:val="24"/>
    </w:rPr>
  </w:style>
  <w:style w:type="character" w:customStyle="1" w:styleId="26">
    <w:name w:val="正文文本 Char"/>
    <w:link w:val="2"/>
    <w:qFormat/>
    <w:locked/>
    <w:uiPriority w:val="99"/>
    <w:rPr>
      <w:rFonts w:ascii="仿宋_GB2312" w:hAnsi="Times New Roman" w:eastAsia="仿宋_GB2312"/>
      <w:sz w:val="24"/>
    </w:rPr>
  </w:style>
  <w:style w:type="paragraph" w:customStyle="1" w:styleId="27">
    <w:name w:val="Default"/>
    <w:qFormat/>
    <w:uiPriority w:val="99"/>
    <w:pPr>
      <w:widowControl w:val="0"/>
      <w:autoSpaceDE w:val="0"/>
      <w:autoSpaceDN w:val="0"/>
      <w:adjustRightInd w:val="0"/>
    </w:pPr>
    <w:rPr>
      <w:rFonts w:ascii="仿宋" w:hAnsi="Calibri" w:eastAsia="仿宋" w:cs="仿宋"/>
      <w:color w:val="000000"/>
      <w:sz w:val="24"/>
      <w:szCs w:val="24"/>
      <w:lang w:val="en-US" w:eastAsia="zh-CN" w:bidi="ar-SA"/>
    </w:rPr>
  </w:style>
  <w:style w:type="paragraph" w:styleId="28">
    <w:name w:val="List Paragraph"/>
    <w:basedOn w:val="1"/>
    <w:qFormat/>
    <w:uiPriority w:val="34"/>
    <w:pPr>
      <w:ind w:firstLine="420" w:firstLineChars="200"/>
    </w:pPr>
  </w:style>
  <w:style w:type="paragraph" w:customStyle="1" w:styleId="29">
    <w:name w:val="TOC 标题1"/>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0">
    <w:name w:val="批注框文本 Char"/>
    <w:basedOn w:val="13"/>
    <w:link w:val="7"/>
    <w:semiHidden/>
    <w:qFormat/>
    <w:uiPriority w:val="99"/>
    <w:rPr>
      <w:rFonts w:ascii="Times New Roman" w:hAnsi="Times New Roman"/>
      <w:kern w:val="2"/>
      <w:sz w:val="18"/>
      <w:szCs w:val="18"/>
    </w:rPr>
  </w:style>
  <w:style w:type="paragraph" w:customStyle="1" w:styleId="31">
    <w:name w:val="TOC Heading"/>
    <w:basedOn w:val="3"/>
    <w:next w:val="1"/>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32">
    <w:name w:val="font01"/>
    <w:basedOn w:val="13"/>
    <w:qFormat/>
    <w:uiPriority w:val="0"/>
    <w:rPr>
      <w:rFonts w:hint="eastAsia" w:ascii="宋体" w:hAnsi="宋体" w:eastAsia="宋体" w:cs="宋体"/>
      <w:color w:val="000000"/>
      <w:sz w:val="18"/>
      <w:szCs w:val="18"/>
      <w:u w:val="none"/>
    </w:rPr>
  </w:style>
  <w:style w:type="character" w:customStyle="1" w:styleId="33">
    <w:name w:val="font11"/>
    <w:basedOn w:val="13"/>
    <w:qFormat/>
    <w:uiPriority w:val="0"/>
    <w:rPr>
      <w:rFonts w:hint="eastAsia" w:ascii="宋体" w:hAnsi="宋体" w:eastAsia="宋体" w:cs="宋体"/>
      <w:color w:val="000000"/>
      <w:sz w:val="18"/>
      <w:szCs w:val="18"/>
      <w:u w:val="none"/>
    </w:rPr>
  </w:style>
  <w:style w:type="character" w:customStyle="1" w:styleId="34">
    <w:name w:val="font31"/>
    <w:basedOn w:val="13"/>
    <w:qFormat/>
    <w:uiPriority w:val="0"/>
    <w:rPr>
      <w:rFonts w:hint="eastAsia" w:ascii="宋体" w:hAnsi="宋体" w:eastAsia="宋体" w:cs="宋体"/>
      <w:color w:val="000000"/>
      <w:sz w:val="18"/>
      <w:szCs w:val="18"/>
      <w:u w:val="none"/>
    </w:rPr>
  </w:style>
  <w:style w:type="paragraph" w:customStyle="1" w:styleId="35">
    <w:name w:val="WPSOffice手动目录 1"/>
    <w:qFormat/>
    <w:uiPriority w:val="0"/>
    <w:pPr>
      <w:ind w:leftChars="0"/>
    </w:pPr>
    <w:rPr>
      <w:rFonts w:ascii="Times New Roman" w:hAnsi="Times New Roman" w:eastAsia="宋体" w:cs="Times New Roman"/>
      <w:sz w:val="20"/>
      <w:szCs w:val="20"/>
    </w:rPr>
  </w:style>
  <w:style w:type="paragraph" w:customStyle="1" w:styleId="3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image" Target="media/image1.png"/><Relationship Id="rId8" Type="http://schemas.openxmlformats.org/officeDocument/2006/relationships/theme" Target="theme/theme1.xml"/><Relationship Id="rId7" Type="http://schemas.openxmlformats.org/officeDocument/2006/relationships/footer" Target="footer4.xml"/><Relationship Id="rId6" Type="http://schemas.openxmlformats.org/officeDocument/2006/relationships/footer" Target="footer3.xml"/><Relationship Id="rId5" Type="http://schemas.openxmlformats.org/officeDocument/2006/relationships/footer" Target="foot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6.png"/><Relationship Id="rId13" Type="http://schemas.openxmlformats.org/officeDocument/2006/relationships/image" Target="media/image5.png"/><Relationship Id="rId12" Type="http://schemas.openxmlformats.org/officeDocument/2006/relationships/image" Target="media/image4.png"/><Relationship Id="rId11" Type="http://schemas.openxmlformats.org/officeDocument/2006/relationships/image" Target="media/image3.png"/><Relationship Id="rId10" Type="http://schemas.openxmlformats.org/officeDocument/2006/relationships/image" Target="media/image2.png"/><Relationship Id="rId1" Type="http://schemas.openxmlformats.org/officeDocument/2006/relationships/styles" Target="styl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Company>四川省财政厅</Company>
  <Pages>24</Pages>
  <Words>1299</Words>
  <Characters>7410</Characters>
  <Lines>61</Lines>
  <Paragraphs>17</Paragraphs>
  <TotalTime>4</TotalTime>
  <ScaleCrop>false</ScaleCrop>
  <LinksUpToDate>false</LinksUpToDate>
  <CharactersWithSpaces>8692</CharactersWithSpaces>
  <Application>WPS Office_11.8.2.9980_F1E327BC-269C-435d-A152-05C5408002CA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2020-08-07T01:49:00Z</dcterms:created>
  <dc:creator>曹颖</dc:creator>
  <cp:lastModifiedBy> </cp:lastModifiedBy>
  <cp:lastPrinted>2023-08-02T02:35:00Z</cp:lastPrinted>
  <dcterms:modified xsi:type="dcterms:W3CDTF">2023-10-24T17:02:40Z</dcterms:modified>
  <dc:title>四川省***</dc:titl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2052-11.8.2.9980</vt:lpwstr>
  </property>
  <property fmtid="{D5CDD505-2E9C-101B-9397-08002B2CF9AE}" pid="3" name="ICV">
    <vt:lpwstr>6B70361D626A4593B4A9C4A901EC4F63</vt:lpwstr>
  </property>
</Properties>
</file>