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outlineLvl w:val="9"/>
        <w:rPr>
          <w:rFonts w:ascii="方正小标宋简体" w:hAnsi="宋体" w:eastAsia="方正小标宋简体"/>
          <w:sz w:val="72"/>
          <w:szCs w:val="72"/>
        </w:rPr>
      </w:pPr>
      <w:bookmarkStart w:id="0" w:name="_Toc15306267"/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sz w:val="72"/>
          <w:szCs w:val="72"/>
        </w:rPr>
      </w:pPr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sz w:val="72"/>
          <w:szCs w:val="72"/>
        </w:rPr>
      </w:pPr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sz w:val="72"/>
          <w:szCs w:val="72"/>
        </w:rPr>
      </w:pPr>
    </w:p>
    <w:p>
      <w:pPr>
        <w:adjustRightInd w:val="0"/>
        <w:snapToGrid w:val="0"/>
        <w:spacing w:line="360" w:lineRule="auto"/>
        <w:jc w:val="center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  <w:bookmarkStart w:id="1" w:name="_Toc15378441"/>
      <w:bookmarkStart w:id="2" w:name="_Toc20885"/>
      <w:bookmarkStart w:id="3" w:name="_Toc15377425"/>
      <w:bookmarkStart w:id="4" w:name="_Toc15396597"/>
      <w:bookmarkStart w:id="5" w:name="_Toc15396475"/>
      <w:bookmarkStart w:id="6" w:name="_Toc15377193"/>
      <w:bookmarkStart w:id="7" w:name="_Toc16677"/>
      <w:bookmarkStart w:id="8" w:name="_Toc10534"/>
      <w:bookmarkStart w:id="9" w:name="_Toc10351"/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202</w:t>
      </w: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年度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z w:val="72"/>
          <w:szCs w:val="72"/>
          <w:lang w:eastAsia="zh-CN"/>
        </w:rPr>
      </w:pPr>
      <w:bookmarkStart w:id="10" w:name="_Toc3350"/>
      <w:bookmarkStart w:id="11" w:name="_Toc25055"/>
      <w:bookmarkStart w:id="12" w:name="_Toc20301"/>
      <w:bookmarkStart w:id="13" w:name="_Toc24395"/>
      <w:bookmarkStart w:id="14" w:name="_Toc15396598"/>
      <w:bookmarkStart w:id="15" w:name="_Toc15396476"/>
      <w:bookmarkStart w:id="16" w:name="_Toc15378442"/>
      <w:bookmarkStart w:id="17" w:name="_Toc15377194"/>
      <w:bookmarkStart w:id="18" w:name="_Toc15377426"/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广元市</w:t>
      </w:r>
      <w:bookmarkEnd w:id="0"/>
      <w:bookmarkStart w:id="19" w:name="_Toc15306268"/>
      <w:r>
        <w:rPr>
          <w:rFonts w:hint="eastAsia" w:ascii="方正小标宋简体" w:hAnsi="方正小标宋简体" w:eastAsia="方正小标宋简体" w:cs="方正小标宋简体"/>
          <w:sz w:val="72"/>
          <w:szCs w:val="72"/>
          <w:lang w:eastAsia="zh-CN"/>
        </w:rPr>
        <w:t>粮油质量监测站</w:t>
      </w:r>
      <w:bookmarkEnd w:id="10"/>
      <w:bookmarkEnd w:id="11"/>
      <w:bookmarkEnd w:id="12"/>
      <w:bookmarkEnd w:id="13"/>
    </w:p>
    <w:p>
      <w:pPr>
        <w:adjustRightInd w:val="0"/>
        <w:snapToGrid w:val="0"/>
        <w:spacing w:line="360" w:lineRule="auto"/>
        <w:jc w:val="center"/>
        <w:outlineLvl w:val="0"/>
        <w:rPr>
          <w:rFonts w:ascii="方正小标宋简体" w:hAnsi="方正小标宋简体" w:eastAsia="方正小标宋简体" w:cs="方正小标宋简体"/>
          <w:sz w:val="72"/>
          <w:szCs w:val="72"/>
        </w:rPr>
      </w:pPr>
      <w:bookmarkStart w:id="20" w:name="_Toc2111"/>
      <w:bookmarkStart w:id="21" w:name="_Toc18952"/>
      <w:bookmarkStart w:id="22" w:name="_Toc23982"/>
      <w:bookmarkStart w:id="23" w:name="_Toc23333"/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单位决算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方正小标宋简体" w:hAnsi="黑体" w:eastAsia="方正小标宋简体"/>
          <w:color w:val="000000"/>
          <w:sz w:val="44"/>
          <w:szCs w:val="44"/>
        </w:rPr>
      </w:pPr>
      <w:r>
        <w:rPr>
          <w:rFonts w:ascii="方正小标宋简体" w:hAnsi="宋体" w:eastAsia="方正小标宋简体"/>
          <w:sz w:val="36"/>
          <w:szCs w:val="36"/>
        </w:rPr>
        <w:br w:type="page"/>
      </w:r>
      <w:bookmarkStart w:id="24" w:name="_Toc162"/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目      录</w:t>
      </w:r>
      <w:bookmarkEnd w:id="24"/>
    </w:p>
    <w:p>
      <w:pPr>
        <w:jc w:val="center"/>
        <w:rPr>
          <w:rFonts w:hint="eastAsia"/>
        </w:rPr>
      </w:pPr>
    </w:p>
    <w:p>
      <w:pPr>
        <w:pStyle w:val="2"/>
        <w:jc w:val="center"/>
      </w:pPr>
      <w:r>
        <w:rPr>
          <w:rFonts w:hint="eastAsia"/>
          <w:lang w:val="en-US" w:eastAsia="zh-CN"/>
        </w:rPr>
        <w:t>(公开时间：2023年10月12日）</w:t>
      </w:r>
      <w:bookmarkStart w:id="191" w:name="_GoBack"/>
      <w:bookmarkEnd w:id="191"/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76328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_Toc25435 </w:instrText>
          </w:r>
          <w:r>
            <w:fldChar w:fldCharType="separate"/>
          </w:r>
          <w:r>
            <w:rPr>
              <w:rFonts w:hint="eastAsia"/>
            </w:rPr>
            <w:t>第一部分 单位概况</w:t>
          </w:r>
          <w:r>
            <w:tab/>
          </w:r>
          <w:r>
            <w:fldChar w:fldCharType="begin"/>
          </w:r>
          <w:r>
            <w:instrText xml:space="preserve"> PAGEREF _Toc25435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_Toc10649 </w:instrText>
          </w:r>
          <w:r>
            <w:fldChar w:fldCharType="separate"/>
          </w:r>
          <w:r>
            <w:rPr>
              <w:rFonts w:hint="eastAsia"/>
              <w:lang w:eastAsia="zh-CN"/>
            </w:rPr>
            <w:t>一、主要职责</w:t>
          </w:r>
          <w:r>
            <w:tab/>
          </w:r>
          <w:r>
            <w:fldChar w:fldCharType="begin"/>
          </w:r>
          <w:r>
            <w:instrText xml:space="preserve"> PAGEREF _Toc10649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_Toc5257 </w:instrText>
          </w:r>
          <w:r>
            <w:fldChar w:fldCharType="separate"/>
          </w:r>
          <w:r>
            <w:rPr>
              <w:rFonts w:hint="eastAsia"/>
            </w:rPr>
            <w:t>二、</w:t>
          </w:r>
          <w:r>
            <w:rPr>
              <w:rFonts w:hint="eastAsia"/>
              <w:lang w:eastAsia="zh-CN"/>
            </w:rPr>
            <w:t>机构设置</w:t>
          </w:r>
          <w:r>
            <w:tab/>
          </w:r>
          <w:r>
            <w:fldChar w:fldCharType="begin"/>
          </w:r>
          <w:r>
            <w:instrText xml:space="preserve"> PAGEREF _Toc5257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_Toc16549 </w:instrText>
          </w:r>
          <w:r>
            <w:fldChar w:fldCharType="separate"/>
          </w:r>
          <w:r>
            <w:rPr>
              <w:rFonts w:hint="eastAsia"/>
            </w:rPr>
            <w:t>第二部分 202</w:t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/>
            </w:rPr>
            <w:t>年度单位决算情况说明</w:t>
          </w:r>
          <w:r>
            <w:tab/>
          </w:r>
          <w:r>
            <w:fldChar w:fldCharType="begin"/>
          </w:r>
          <w:r>
            <w:instrText xml:space="preserve"> PAGEREF _Toc16549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_Toc22833 </w:instrText>
          </w:r>
          <w:r>
            <w:fldChar w:fldCharType="separate"/>
          </w:r>
          <w:r>
            <w:rPr>
              <w:rFonts w:hint="default"/>
            </w:rPr>
            <w:t xml:space="preserve">一、 </w:t>
          </w:r>
          <w:r>
            <w:rPr>
              <w:rFonts w:hint="eastAsia"/>
            </w:rPr>
            <w:t>收入支出决算总体情况说明</w:t>
          </w:r>
          <w:r>
            <w:tab/>
          </w:r>
          <w:r>
            <w:fldChar w:fldCharType="begin"/>
          </w:r>
          <w:r>
            <w:instrText xml:space="preserve"> PAGEREF _Toc22833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_Toc5447 </w:instrText>
          </w:r>
          <w:r>
            <w:fldChar w:fldCharType="separate"/>
          </w:r>
          <w:r>
            <w:rPr>
              <w:rFonts w:hint="default"/>
            </w:rPr>
            <w:t xml:space="preserve">二、 </w:t>
          </w:r>
          <w:r>
            <w:rPr>
              <w:rFonts w:hint="eastAsia"/>
            </w:rPr>
            <w:t>收入决算情况说明</w:t>
          </w:r>
          <w:r>
            <w:tab/>
          </w:r>
          <w:r>
            <w:fldChar w:fldCharType="begin"/>
          </w:r>
          <w:r>
            <w:instrText xml:space="preserve"> PAGEREF _Toc5447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_Toc10269 </w:instrText>
          </w:r>
          <w:r>
            <w:fldChar w:fldCharType="separate"/>
          </w:r>
          <w:r>
            <w:rPr>
              <w:rFonts w:hint="default"/>
            </w:rPr>
            <w:t xml:space="preserve">三、 </w:t>
          </w:r>
          <w:r>
            <w:rPr>
              <w:rFonts w:hint="eastAsia"/>
            </w:rPr>
            <w:t>支出决算情况说明</w:t>
          </w:r>
          <w:r>
            <w:tab/>
          </w:r>
          <w:r>
            <w:fldChar w:fldCharType="begin"/>
          </w:r>
          <w:r>
            <w:instrText xml:space="preserve"> PAGEREF _Toc10269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_Toc13028 </w:instrText>
          </w:r>
          <w:r>
            <w:fldChar w:fldCharType="separate"/>
          </w:r>
          <w:r>
            <w:rPr>
              <w:rFonts w:hint="eastAsia"/>
            </w:rPr>
            <w:t>四、财政拨款收入支出决算总体情况说明</w:t>
          </w:r>
          <w:r>
            <w:tab/>
          </w:r>
          <w:r>
            <w:fldChar w:fldCharType="begin"/>
          </w:r>
          <w:r>
            <w:instrText xml:space="preserve"> PAGEREF _Toc13028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_Toc17049 </w:instrText>
          </w:r>
          <w:r>
            <w:fldChar w:fldCharType="separate"/>
          </w:r>
          <w:r>
            <w:rPr>
              <w:rFonts w:hint="eastAsia"/>
            </w:rPr>
            <w:t>五、一般公共预算财政拨款支出决算情况说明</w:t>
          </w:r>
          <w:r>
            <w:tab/>
          </w:r>
          <w:r>
            <w:fldChar w:fldCharType="begin"/>
          </w:r>
          <w:r>
            <w:instrText xml:space="preserve"> PAGEREF _Toc17049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_Toc774 </w:instrText>
          </w:r>
          <w:r>
            <w:fldChar w:fldCharType="separate"/>
          </w:r>
          <w:r>
            <w:rPr>
              <w:rFonts w:hint="eastAsia"/>
            </w:rPr>
            <w:t>六、一般公共预算财政拨款基本支出决算情况说明</w:t>
          </w:r>
          <w:r>
            <w:tab/>
          </w:r>
          <w:r>
            <w:fldChar w:fldCharType="begin"/>
          </w:r>
          <w:r>
            <w:instrText xml:space="preserve"> PAGEREF _Toc774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_Toc9738 </w:instrText>
          </w:r>
          <w:r>
            <w:fldChar w:fldCharType="separate"/>
          </w:r>
          <w:r>
            <w:rPr>
              <w:rFonts w:hint="eastAsia"/>
            </w:rPr>
            <w:t>七、“三公”经费财政拨款支出决算情况说明</w:t>
          </w:r>
          <w:r>
            <w:tab/>
          </w:r>
          <w:r>
            <w:fldChar w:fldCharType="begin"/>
          </w:r>
          <w:r>
            <w:instrText xml:space="preserve"> PAGEREF _Toc9738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_Toc3122 </w:instrText>
          </w:r>
          <w:r>
            <w:fldChar w:fldCharType="separate"/>
          </w:r>
          <w:r>
            <w:rPr>
              <w:rFonts w:hint="eastAsia"/>
            </w:rPr>
            <w:t>八、政府性基金预算支出决算情况说明</w:t>
          </w:r>
          <w:r>
            <w:tab/>
          </w:r>
          <w:r>
            <w:fldChar w:fldCharType="begin"/>
          </w:r>
          <w:r>
            <w:instrText xml:space="preserve"> PAGEREF _Toc3122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_Toc15010 </w:instrText>
          </w:r>
          <w:r>
            <w:fldChar w:fldCharType="separate"/>
          </w:r>
          <w:r>
            <w:rPr>
              <w:rFonts w:hint="eastAsia"/>
            </w:rPr>
            <w:t>九、 国有资本经营预算支出决算情况说明</w:t>
          </w:r>
          <w:r>
            <w:tab/>
          </w:r>
          <w:r>
            <w:fldChar w:fldCharType="begin"/>
          </w:r>
          <w:r>
            <w:instrText xml:space="preserve"> PAGEREF _Toc15010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_Toc21271 </w:instrText>
          </w:r>
          <w:r>
            <w:fldChar w:fldCharType="separate"/>
          </w:r>
          <w:r>
            <w:rPr>
              <w:rFonts w:hint="eastAsia"/>
            </w:rPr>
            <w:t>十、 其他重要事项的情况说明</w:t>
          </w:r>
          <w:r>
            <w:tab/>
          </w:r>
          <w:r>
            <w:fldChar w:fldCharType="begin"/>
          </w:r>
          <w:r>
            <w:instrText xml:space="preserve"> PAGEREF _Toc21271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_Toc17789 </w:instrText>
          </w:r>
          <w:r>
            <w:fldChar w:fldCharType="separate"/>
          </w:r>
          <w:r>
            <w:rPr>
              <w:rFonts w:hint="eastAsia"/>
            </w:rPr>
            <w:t>第三部分 名词解释</w:t>
          </w:r>
          <w:r>
            <w:tab/>
          </w:r>
          <w:r>
            <w:fldChar w:fldCharType="begin"/>
          </w:r>
          <w:r>
            <w:instrText xml:space="preserve"> PAGEREF _Toc17789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_Toc13567 </w:instrText>
          </w:r>
          <w:r>
            <w:fldChar w:fldCharType="separate"/>
          </w:r>
          <w:r>
            <w:rPr>
              <w:rFonts w:hint="eastAsia"/>
            </w:rPr>
            <w:t>第四部分 附件</w:t>
          </w:r>
          <w:r>
            <w:tab/>
          </w:r>
          <w:r>
            <w:fldChar w:fldCharType="begin"/>
          </w:r>
          <w:r>
            <w:instrText xml:space="preserve"> PAGEREF _Toc13567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fldChar w:fldCharType="begin"/>
          </w:r>
          <w:r>
            <w:instrText xml:space="preserve"> HYPERLINK \l _Toc30229 </w:instrText>
          </w:r>
          <w:r>
            <w:fldChar w:fldCharType="separate"/>
          </w:r>
          <w:r>
            <w:rPr>
              <w:rFonts w:hint="eastAsia"/>
            </w:rPr>
            <w:t>第五部分 附表</w:t>
          </w:r>
          <w:r>
            <w:tab/>
          </w:r>
          <w:r>
            <w:fldChar w:fldCharType="begin"/>
          </w:r>
          <w:r>
            <w:instrText xml:space="preserve"> PAGEREF _Toc30229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_Toc22831 </w:instrText>
          </w:r>
          <w:r>
            <w:fldChar w:fldCharType="separate"/>
          </w:r>
          <w:r>
            <w:rPr>
              <w:rFonts w:hint="eastAsia"/>
            </w:rPr>
            <w:t>一、收入支出决算总表</w:t>
          </w:r>
          <w:r>
            <w:tab/>
          </w:r>
          <w:r>
            <w:fldChar w:fldCharType="begin"/>
          </w:r>
          <w:r>
            <w:instrText xml:space="preserve"> PAGEREF _Toc22831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_Toc16371 </w:instrText>
          </w:r>
          <w:r>
            <w:fldChar w:fldCharType="separate"/>
          </w:r>
          <w:r>
            <w:rPr>
              <w:rFonts w:hint="eastAsia"/>
            </w:rPr>
            <w:t>二、收入决算表</w:t>
          </w:r>
          <w:r>
            <w:tab/>
          </w:r>
          <w:r>
            <w:fldChar w:fldCharType="begin"/>
          </w:r>
          <w:r>
            <w:instrText xml:space="preserve"> PAGEREF _Toc16371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_Toc19104 </w:instrText>
          </w:r>
          <w:r>
            <w:fldChar w:fldCharType="separate"/>
          </w:r>
          <w:r>
            <w:rPr>
              <w:rFonts w:hint="eastAsia"/>
            </w:rPr>
            <w:t>三、支出决算表</w:t>
          </w:r>
          <w:r>
            <w:tab/>
          </w:r>
          <w:r>
            <w:fldChar w:fldCharType="begin"/>
          </w:r>
          <w:r>
            <w:instrText xml:space="preserve"> PAGEREF _Toc19104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_Toc24604 </w:instrText>
          </w:r>
          <w:r>
            <w:fldChar w:fldCharType="separate"/>
          </w:r>
          <w:r>
            <w:rPr>
              <w:rFonts w:hint="eastAsia"/>
            </w:rPr>
            <w:t>四、财政拨款收入支出决算总表</w:t>
          </w:r>
          <w:r>
            <w:tab/>
          </w:r>
          <w:r>
            <w:fldChar w:fldCharType="begin"/>
          </w:r>
          <w:r>
            <w:instrText xml:space="preserve"> PAGEREF _Toc24604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_Toc26576 </w:instrText>
          </w:r>
          <w:r>
            <w:fldChar w:fldCharType="separate"/>
          </w:r>
          <w:r>
            <w:rPr>
              <w:rFonts w:hint="eastAsia"/>
            </w:rPr>
            <w:t>五、财政拨款支出决算明细表</w:t>
          </w:r>
          <w:r>
            <w:tab/>
          </w:r>
          <w:r>
            <w:fldChar w:fldCharType="begin"/>
          </w:r>
          <w:r>
            <w:instrText xml:space="preserve"> PAGEREF _Toc26576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_Toc32297 </w:instrText>
          </w:r>
          <w:r>
            <w:fldChar w:fldCharType="separate"/>
          </w:r>
          <w:r>
            <w:rPr>
              <w:rFonts w:hint="eastAsia"/>
            </w:rPr>
            <w:t>六、一般公共预算财政拨款支出决算表</w:t>
          </w:r>
          <w:r>
            <w:tab/>
          </w:r>
          <w:r>
            <w:fldChar w:fldCharType="begin"/>
          </w:r>
          <w:r>
            <w:instrText xml:space="preserve"> PAGEREF _Toc32297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_Toc24814 </w:instrText>
          </w:r>
          <w:r>
            <w:fldChar w:fldCharType="separate"/>
          </w:r>
          <w:r>
            <w:rPr>
              <w:rFonts w:hint="eastAsia"/>
            </w:rPr>
            <w:t>七、一般公共预算财政拨款支出决算明细表</w:t>
          </w:r>
          <w:r>
            <w:tab/>
          </w:r>
          <w:r>
            <w:fldChar w:fldCharType="begin"/>
          </w:r>
          <w:r>
            <w:instrText xml:space="preserve"> PAGEREF _Toc24814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_Toc31907 </w:instrText>
          </w:r>
          <w:r>
            <w:fldChar w:fldCharType="separate"/>
          </w:r>
          <w:r>
            <w:rPr>
              <w:rFonts w:hint="eastAsia"/>
            </w:rPr>
            <w:t>八、一般公共预算财政拨款基本支出决算表</w:t>
          </w:r>
          <w:r>
            <w:tab/>
          </w:r>
          <w:r>
            <w:fldChar w:fldCharType="begin"/>
          </w:r>
          <w:r>
            <w:instrText xml:space="preserve"> PAGEREF _Toc31907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_Toc32039 </w:instrText>
          </w:r>
          <w:r>
            <w:fldChar w:fldCharType="separate"/>
          </w:r>
          <w:r>
            <w:rPr>
              <w:rFonts w:hint="eastAsia"/>
            </w:rPr>
            <w:t>九、一般公共预算财政拨款项目支出决算表</w:t>
          </w:r>
          <w:r>
            <w:tab/>
          </w:r>
          <w:r>
            <w:fldChar w:fldCharType="begin"/>
          </w:r>
          <w:r>
            <w:instrText xml:space="preserve"> PAGEREF _Toc32039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_Toc24993 </w:instrText>
          </w:r>
          <w:r>
            <w:fldChar w:fldCharType="separate"/>
          </w:r>
          <w:r>
            <w:rPr>
              <w:rFonts w:hint="eastAsia"/>
            </w:rPr>
            <w:t>十、政府性基金预算财政拨款收入支出决算表</w:t>
          </w:r>
          <w:r>
            <w:tab/>
          </w:r>
          <w:r>
            <w:fldChar w:fldCharType="begin"/>
          </w:r>
          <w:r>
            <w:instrText xml:space="preserve"> PAGEREF _Toc24993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_Toc8018 </w:instrText>
          </w:r>
          <w:r>
            <w:fldChar w:fldCharType="separate"/>
          </w:r>
          <w:r>
            <w:rPr>
              <w:rFonts w:hint="eastAsia"/>
            </w:rPr>
            <w:t>十一、国有资本经营预算</w:t>
          </w:r>
          <w:r>
            <w:rPr>
              <w:rFonts w:hint="eastAsia"/>
              <w:lang w:eastAsia="zh-CN"/>
            </w:rPr>
            <w:t>财政拨款收入</w:t>
          </w:r>
          <w:r>
            <w:rPr>
              <w:rFonts w:hint="eastAsia"/>
            </w:rPr>
            <w:t>支出决算表</w:t>
          </w:r>
          <w:r>
            <w:tab/>
          </w:r>
          <w:r>
            <w:fldChar w:fldCharType="begin"/>
          </w:r>
          <w:r>
            <w:instrText xml:space="preserve"> PAGEREF _Toc8018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_Toc3409 </w:instrText>
          </w:r>
          <w:r>
            <w:fldChar w:fldCharType="separate"/>
          </w:r>
          <w:r>
            <w:rPr>
              <w:rFonts w:hint="eastAsia"/>
            </w:rPr>
            <w:t>十二、</w:t>
          </w:r>
          <w:r>
            <w:rPr>
              <w:rFonts w:hint="eastAsia"/>
              <w:lang w:eastAsia="zh-CN"/>
            </w:rPr>
            <w:t>国有资本经营预算财政拨款支出决算表</w:t>
          </w:r>
          <w:r>
            <w:tab/>
          </w:r>
          <w:r>
            <w:fldChar w:fldCharType="begin"/>
          </w:r>
          <w:r>
            <w:instrText xml:space="preserve"> PAGEREF _Toc3409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rPr>
              <w:rFonts w:hint="eastAsia"/>
              <w:lang w:val="en-US" w:eastAsia="zh-CN"/>
            </w:rPr>
            <w:t xml:space="preserve">    </w:t>
          </w:r>
          <w:r>
            <w:fldChar w:fldCharType="begin"/>
          </w:r>
          <w:r>
            <w:instrText xml:space="preserve"> HYPERLINK \l _Toc21710 </w:instrText>
          </w:r>
          <w:r>
            <w:fldChar w:fldCharType="separate"/>
          </w:r>
          <w:r>
            <w:rPr>
              <w:rFonts w:hint="eastAsia"/>
            </w:rPr>
            <w:t>十三、</w:t>
          </w:r>
          <w:r>
            <w:rPr>
              <w:rFonts w:hint="eastAsia"/>
              <w:lang w:eastAsia="zh-CN"/>
            </w:rPr>
            <w:t>财政拨款“三公”经费支出决算表</w:t>
          </w:r>
          <w:r>
            <w:tab/>
          </w:r>
          <w:r>
            <w:fldChar w:fldCharType="begin"/>
          </w:r>
          <w:r>
            <w:instrText xml:space="preserve"> PAGEREF _Toc21710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16"/>
            <w:tabs>
              <w:tab w:val="right" w:leader="dot" w:pos="8306"/>
              <w:tab w:val="clear" w:pos="8296"/>
            </w:tabs>
          </w:pPr>
          <w:r>
            <w:fldChar w:fldCharType="end"/>
          </w:r>
        </w:p>
      </w:sdtContent>
    </w:sdt>
    <w:p>
      <w:pPr>
        <w:pStyle w:val="16"/>
        <w:tabs>
          <w:tab w:val="right" w:leader="dot" w:pos="8306"/>
          <w:tab w:val="clear" w:pos="8296"/>
        </w:tabs>
      </w:pPr>
    </w:p>
    <w:p>
      <w:pPr>
        <w:widowControl/>
        <w:spacing w:line="440" w:lineRule="exact"/>
        <w:jc w:val="left"/>
        <w:rPr>
          <w:rFonts w:ascii="仿宋" w:hAnsi="仿宋" w:eastAsia="仿宋"/>
          <w:bCs/>
          <w:kern w:val="44"/>
          <w:sz w:val="24"/>
        </w:rPr>
      </w:pPr>
      <w:bookmarkStart w:id="25" w:name="_Toc15396599"/>
      <w:bookmarkStart w:id="26" w:name="_Toc15377196"/>
      <w:r>
        <w:rPr>
          <w:rFonts w:ascii="仿宋" w:hAnsi="仿宋" w:eastAsia="仿宋"/>
          <w:b/>
          <w:sz w:val="24"/>
        </w:rPr>
        <w:br w:type="page"/>
      </w:r>
    </w:p>
    <w:p>
      <w:pPr>
        <w:pStyle w:val="3"/>
        <w:jc w:val="center"/>
        <w:rPr>
          <w:rFonts w:ascii="黑体" w:eastAsia="黑体"/>
          <w:sz w:val="32"/>
          <w:szCs w:val="32"/>
        </w:rPr>
      </w:pPr>
      <w:bookmarkStart w:id="27" w:name="_Toc29879"/>
      <w:bookmarkStart w:id="28" w:name="_Toc25435"/>
      <w:r>
        <w:rPr>
          <w:rFonts w:hint="eastAsia" w:ascii="黑体" w:hAnsi="黑体" w:eastAsia="黑体"/>
          <w:b w:val="0"/>
        </w:rPr>
        <w:t>第一部分 单位</w:t>
      </w:r>
      <w:r>
        <w:rPr>
          <w:rStyle w:val="31"/>
          <w:rFonts w:hint="eastAsia" w:ascii="黑体" w:hAnsi="黑体" w:eastAsia="黑体"/>
          <w:b w:val="0"/>
          <w:bCs w:val="0"/>
        </w:rPr>
        <w:t>概况</w:t>
      </w:r>
      <w:bookmarkEnd w:id="25"/>
      <w:bookmarkEnd w:id="26"/>
      <w:bookmarkEnd w:id="27"/>
      <w:bookmarkEnd w:id="28"/>
    </w:p>
    <w:p>
      <w:pPr>
        <w:pStyle w:val="8"/>
        <w:adjustRightInd w:val="0"/>
        <w:snapToGrid w:val="0"/>
        <w:spacing w:beforeLines="0" w:line="576" w:lineRule="exact"/>
        <w:ind w:firstLine="640" w:firstLineChars="200"/>
        <w:outlineLvl w:val="1"/>
        <w:rPr>
          <w:rStyle w:val="32"/>
          <w:rFonts w:hint="eastAsia" w:ascii="黑体" w:hAnsi="黑体" w:eastAsia="黑体"/>
          <w:b w:val="0"/>
          <w:bCs w:val="0"/>
        </w:rPr>
      </w:pPr>
      <w:bookmarkStart w:id="29" w:name="_Toc10649"/>
      <w:bookmarkStart w:id="30" w:name="_Toc31678"/>
      <w:bookmarkStart w:id="31" w:name="_Toc15377197"/>
      <w:bookmarkStart w:id="32" w:name="_Toc15396600"/>
      <w:r>
        <w:rPr>
          <w:rStyle w:val="32"/>
          <w:rFonts w:hint="eastAsia" w:ascii="黑体" w:hAnsi="黑体" w:eastAsia="黑体"/>
          <w:b w:val="0"/>
          <w:bCs w:val="0"/>
          <w:lang w:eastAsia="zh-CN"/>
        </w:rPr>
        <w:t>一、主要职责</w:t>
      </w:r>
      <w:bookmarkEnd w:id="29"/>
    </w:p>
    <w:bookmarkEnd w:id="30"/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000000"/>
          <w:sz w:val="32"/>
          <w:szCs w:val="32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（一）</w:t>
      </w:r>
      <w:r>
        <w:rPr>
          <w:rFonts w:hint="eastAsia" w:hAnsi="仿宋" w:cs="Times New Roman"/>
          <w:bCs/>
          <w:color w:val="000000"/>
          <w:sz w:val="32"/>
          <w:szCs w:val="32"/>
        </w:rPr>
        <w:t>承担市级粮食行政管理部门下达的储备粮、军粮、最低收购价粮食等政策性粮食的质量安全检测工作；</w:t>
      </w:r>
    </w:p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000000"/>
          <w:sz w:val="32"/>
          <w:szCs w:val="32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（二）</w:t>
      </w:r>
      <w:r>
        <w:rPr>
          <w:rFonts w:hint="eastAsia" w:hAnsi="仿宋" w:cs="Times New Roman"/>
          <w:bCs/>
          <w:color w:val="000000"/>
          <w:sz w:val="32"/>
          <w:szCs w:val="32"/>
        </w:rPr>
        <w:t>承担粮食质量安全监测预警体系建设和快速反应机制研究；负责组织全市粮食质量安全突发事件应急检验工作；</w:t>
      </w:r>
    </w:p>
    <w:p>
      <w:pPr>
        <w:pStyle w:val="8"/>
        <w:adjustRightInd w:val="0"/>
        <w:snapToGrid w:val="0"/>
        <w:spacing w:beforeLines="0" w:line="576" w:lineRule="exact"/>
        <w:ind w:firstLine="640" w:firstLineChars="200"/>
        <w:outlineLvl w:val="2"/>
        <w:rPr>
          <w:rFonts w:hint="eastAsia" w:hAnsi="仿宋" w:cs="Times New Roman"/>
          <w:bCs/>
          <w:color w:val="000000"/>
          <w:sz w:val="32"/>
          <w:szCs w:val="32"/>
        </w:rPr>
      </w:pPr>
      <w:bookmarkStart w:id="33" w:name="_Toc21507"/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（三）</w:t>
      </w:r>
      <w:r>
        <w:rPr>
          <w:rFonts w:hint="eastAsia" w:hAnsi="仿宋" w:cs="Times New Roman"/>
          <w:bCs/>
          <w:color w:val="000000"/>
          <w:sz w:val="32"/>
          <w:szCs w:val="32"/>
        </w:rPr>
        <w:t>组织开展全市粮食质量安全调查、品质测报会检工作；</w:t>
      </w:r>
      <w:bookmarkEnd w:id="33"/>
    </w:p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000000"/>
          <w:sz w:val="32"/>
          <w:szCs w:val="32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（四）</w:t>
      </w:r>
      <w:r>
        <w:rPr>
          <w:rFonts w:hint="eastAsia" w:hAnsi="仿宋" w:cs="Times New Roman"/>
          <w:bCs/>
          <w:color w:val="000000"/>
          <w:sz w:val="32"/>
          <w:szCs w:val="32"/>
        </w:rPr>
        <w:t>组织全市粮食质量检验机构检验人员能力培训；组织开展全市粮食质检机构的比对考核、职能技术培训等工作；</w:t>
      </w:r>
    </w:p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000000"/>
          <w:sz w:val="32"/>
          <w:szCs w:val="32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（五）</w:t>
      </w:r>
      <w:r>
        <w:rPr>
          <w:rFonts w:hint="eastAsia" w:hAnsi="仿宋" w:cs="Times New Roman"/>
          <w:bCs/>
          <w:color w:val="000000"/>
          <w:sz w:val="32"/>
          <w:szCs w:val="32"/>
        </w:rPr>
        <w:t>负责全市粮食行业质量安全风险监测计划及方案的实施；</w:t>
      </w:r>
    </w:p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000000"/>
          <w:sz w:val="32"/>
          <w:szCs w:val="32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（六）</w:t>
      </w:r>
      <w:r>
        <w:rPr>
          <w:rFonts w:hint="eastAsia" w:hAnsi="仿宋" w:cs="Times New Roman"/>
          <w:bCs/>
          <w:color w:val="000000"/>
          <w:sz w:val="32"/>
          <w:szCs w:val="32"/>
        </w:rPr>
        <w:t>负责全市粮食质量监测机构检验检测能力建设的技术指导；</w:t>
      </w:r>
    </w:p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000000"/>
          <w:sz w:val="32"/>
          <w:szCs w:val="32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（七）</w:t>
      </w:r>
      <w:r>
        <w:rPr>
          <w:rFonts w:hint="eastAsia" w:hAnsi="仿宋" w:cs="Times New Roman"/>
          <w:bCs/>
          <w:color w:val="000000"/>
          <w:sz w:val="32"/>
          <w:szCs w:val="32"/>
        </w:rPr>
        <w:t xml:space="preserve">负责国家、行业标准的宣传贯彻工作; </w:t>
      </w:r>
    </w:p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000000"/>
          <w:sz w:val="32"/>
          <w:szCs w:val="32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（八）</w:t>
      </w:r>
      <w:r>
        <w:rPr>
          <w:rFonts w:hint="eastAsia" w:hAnsi="仿宋" w:cs="Times New Roman"/>
          <w:bCs/>
          <w:color w:val="000000"/>
          <w:sz w:val="32"/>
          <w:szCs w:val="32"/>
        </w:rPr>
        <w:t>具备检验各种粮食质量指标、品质指标和安全指标的能力及具备一定的科研能力。</w:t>
      </w:r>
    </w:p>
    <w:p>
      <w:pPr>
        <w:pStyle w:val="8"/>
        <w:adjustRightInd w:val="0"/>
        <w:snapToGrid w:val="0"/>
        <w:spacing w:beforeLines="0" w:line="576" w:lineRule="exact"/>
        <w:ind w:firstLine="640" w:firstLineChars="200"/>
        <w:rPr>
          <w:rStyle w:val="32"/>
          <w:rFonts w:ascii="黑体" w:hAnsi="黑体" w:eastAsia="黑体"/>
          <w:b w:val="0"/>
          <w:bCs w:val="0"/>
        </w:rPr>
      </w:pPr>
      <w:r>
        <w:rPr>
          <w:rFonts w:hint="eastAsia" w:hAnsi="仿宋" w:cs="Times New Roman"/>
          <w:bCs/>
          <w:color w:val="000000"/>
          <w:sz w:val="32"/>
          <w:szCs w:val="32"/>
          <w:lang w:eastAsia="zh-CN"/>
        </w:rPr>
        <w:t>（九）</w:t>
      </w:r>
      <w:r>
        <w:rPr>
          <w:rFonts w:hint="eastAsia" w:hAnsi="仿宋" w:cs="Times New Roman"/>
          <w:bCs/>
          <w:color w:val="000000"/>
          <w:sz w:val="32"/>
          <w:szCs w:val="32"/>
        </w:rPr>
        <w:t>承办国家粮食和物资储备局、省粮食和物资储备局交办的其它工作。</w:t>
      </w:r>
    </w:p>
    <w:p/>
    <w:bookmarkEnd w:id="31"/>
    <w:bookmarkEnd w:id="32"/>
    <w:p>
      <w:pPr>
        <w:pStyle w:val="4"/>
        <w:rPr>
          <w:rFonts w:hint="eastAsia" w:ascii="黑体" w:hAnsi="黑体" w:eastAsia="黑体"/>
          <w:b w:val="0"/>
          <w:lang w:eastAsia="zh-CN"/>
        </w:rPr>
      </w:pPr>
      <w:bookmarkStart w:id="34" w:name="_Toc13439"/>
      <w:bookmarkStart w:id="35" w:name="_Toc5257"/>
      <w:r>
        <w:rPr>
          <w:rFonts w:hint="eastAsia" w:ascii="黑体" w:hAnsi="黑体" w:eastAsia="黑体"/>
          <w:b w:val="0"/>
        </w:rPr>
        <w:t>二、</w:t>
      </w:r>
      <w:r>
        <w:rPr>
          <w:rFonts w:hint="eastAsia" w:ascii="黑体" w:hAnsi="黑体" w:eastAsia="黑体"/>
          <w:b w:val="0"/>
          <w:lang w:eastAsia="zh-CN"/>
        </w:rPr>
        <w:t>机构设置</w:t>
      </w:r>
      <w:bookmarkEnd w:id="34"/>
      <w:bookmarkEnd w:id="35"/>
    </w:p>
    <w:p>
      <w:pPr>
        <w:pStyle w:val="4"/>
        <w:ind w:firstLine="640" w:firstLineChars="200"/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bookmarkStart w:id="36" w:name="_Toc11804"/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广元市粮油质量监测站(广元市救灾物资管理中心）属于广元市发展和改革委员会下属二级预算单位，下设独立预算机构0个，其中行政单位0个，其他事业单位0个。纳入2022年度单位决算编制范围的独立编制机构：1.广元市粮油质量监测站</w:t>
      </w:r>
      <w:bookmarkEnd w:id="36"/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（广元市救灾物资管理中心）</w:t>
      </w:r>
    </w:p>
    <w:p>
      <w:pPr>
        <w:pStyle w:val="3"/>
        <w:ind w:right="440"/>
        <w:jc w:val="both"/>
        <w:outlineLvl w:val="9"/>
        <w:rPr>
          <w:rFonts w:hint="eastAsia" w:ascii="黑体" w:hAnsi="黑体" w:eastAsia="黑体"/>
          <w:b w:val="0"/>
        </w:rPr>
      </w:pPr>
      <w:bookmarkStart w:id="37" w:name="_Toc15377204"/>
      <w:bookmarkStart w:id="38" w:name="_Toc15396602"/>
    </w:p>
    <w:p>
      <w:pPr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8"/>
        <w:rPr>
          <w:rFonts w:hint="eastAsia" w:ascii="黑体" w:hAnsi="黑体" w:eastAsia="黑体"/>
          <w:b w:val="0"/>
        </w:rPr>
      </w:pPr>
    </w:p>
    <w:p>
      <w:pPr>
        <w:pStyle w:val="3"/>
        <w:ind w:right="440"/>
        <w:jc w:val="center"/>
        <w:rPr>
          <w:rStyle w:val="31"/>
          <w:rFonts w:ascii="黑体" w:hAnsi="黑体" w:eastAsia="黑体"/>
          <w:b w:val="0"/>
          <w:bCs/>
        </w:rPr>
      </w:pPr>
      <w:bookmarkStart w:id="39" w:name="_Toc27976"/>
      <w:bookmarkStart w:id="40" w:name="_Toc16549"/>
      <w:r>
        <w:rPr>
          <w:rFonts w:hint="eastAsia" w:ascii="黑体" w:hAnsi="黑体" w:eastAsia="黑体"/>
          <w:b w:val="0"/>
        </w:rPr>
        <w:t>第二部分 202</w:t>
      </w:r>
      <w:r>
        <w:rPr>
          <w:rFonts w:hint="eastAsia" w:ascii="黑体" w:hAnsi="黑体" w:eastAsia="黑体"/>
          <w:b w:val="0"/>
          <w:lang w:val="en-US" w:eastAsia="zh-CN"/>
        </w:rPr>
        <w:t>2</w:t>
      </w:r>
      <w:r>
        <w:rPr>
          <w:rFonts w:hint="eastAsia" w:ascii="黑体" w:hAnsi="黑体" w:eastAsia="黑体"/>
          <w:b w:val="0"/>
        </w:rPr>
        <w:t>年度</w:t>
      </w:r>
      <w:r>
        <w:rPr>
          <w:rStyle w:val="31"/>
          <w:rFonts w:hint="eastAsia" w:ascii="黑体" w:hAnsi="黑体" w:eastAsia="黑体"/>
          <w:b w:val="0"/>
          <w:bCs/>
        </w:rPr>
        <w:t>单位决算情况说明</w:t>
      </w:r>
      <w:bookmarkEnd w:id="37"/>
      <w:bookmarkEnd w:id="38"/>
      <w:bookmarkEnd w:id="39"/>
      <w:bookmarkEnd w:id="40"/>
    </w:p>
    <w:p/>
    <w:p>
      <w:pPr>
        <w:pStyle w:val="30"/>
        <w:numPr>
          <w:ilvl w:val="0"/>
          <w:numId w:val="1"/>
        </w:numPr>
        <w:spacing w:line="600" w:lineRule="exact"/>
        <w:ind w:firstLineChars="0"/>
        <w:outlineLvl w:val="1"/>
        <w:rPr>
          <w:rStyle w:val="32"/>
          <w:rFonts w:ascii="黑体" w:hAnsi="黑体" w:eastAsia="黑体"/>
          <w:b w:val="0"/>
        </w:rPr>
      </w:pPr>
      <w:bookmarkStart w:id="41" w:name="_Toc22833"/>
      <w:bookmarkStart w:id="42" w:name="_Toc15377205"/>
      <w:bookmarkStart w:id="43" w:name="_Toc15396603"/>
      <w:bookmarkStart w:id="44" w:name="_Toc27584"/>
      <w:r>
        <w:rPr>
          <w:rFonts w:hint="eastAsia" w:ascii="黑体" w:hAnsi="黑体" w:eastAsia="黑体"/>
          <w:sz w:val="32"/>
          <w:szCs w:val="32"/>
        </w:rPr>
        <w:t>收</w:t>
      </w:r>
      <w:r>
        <w:rPr>
          <w:rStyle w:val="32"/>
          <w:rFonts w:hint="eastAsia" w:ascii="黑体" w:hAnsi="黑体" w:eastAsia="黑体"/>
          <w:b w:val="0"/>
        </w:rPr>
        <w:t>入支出决算总体情况说明</w:t>
      </w:r>
      <w:bookmarkEnd w:id="41"/>
      <w:bookmarkEnd w:id="42"/>
      <w:bookmarkEnd w:id="43"/>
      <w:bookmarkEnd w:id="44"/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年度收、支总计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900.76</w:t>
      </w:r>
      <w:r>
        <w:rPr>
          <w:rFonts w:hint="eastAsia" w:ascii="仿宋" w:hAnsi="仿宋" w:eastAsia="仿宋"/>
          <w:sz w:val="32"/>
          <w:szCs w:val="32"/>
        </w:rPr>
        <w:t>万元。与202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年相比，收、支总计各增加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75.18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9.11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。主要变动原因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b/>
          <w:color w:val="000000"/>
          <w:sz w:val="32"/>
          <w:szCs w:val="32"/>
        </w:rPr>
        <w:t>一是</w:t>
      </w:r>
      <w:r>
        <w:rPr>
          <w:rFonts w:hint="eastAsia" w:ascii="仿宋_GB2312" w:hAnsi="仿宋" w:eastAsia="仿宋_GB2312"/>
          <w:b w:val="0"/>
          <w:bCs/>
          <w:color w:val="000000"/>
          <w:sz w:val="32"/>
          <w:szCs w:val="32"/>
          <w:lang w:eastAsia="zh-CN"/>
        </w:rPr>
        <w:t>当年人员经费增加；</w:t>
      </w:r>
      <w:r>
        <w:rPr>
          <w:rFonts w:hint="eastAsia" w:ascii="仿宋_GB2312" w:hAnsi="仿宋" w:eastAsia="仿宋_GB2312"/>
          <w:b/>
          <w:bCs w:val="0"/>
          <w:color w:val="000000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bCs w:val="0"/>
          <w:color w:val="auto"/>
          <w:sz w:val="32"/>
          <w:szCs w:val="32"/>
          <w:highlight w:val="none"/>
        </w:rPr>
        <w:t>是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项目工作经费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pict>
          <v:shape id="Object 2" o:spid="_x0000_s2050" o:spt="75" type="#_x0000_t75" style="position:absolute;left:0pt;margin-left:42.1pt;margin-top:17.5pt;height:163.75pt;width:337.8pt;z-index:251659264;mso-width-relative:page;mso-height-relative:page;" o:ole="t" fillcolor="#FFFFFF" filled="t" o:preferrelative="t" stroked="f" coordsize="21600,21600">
            <v:path/>
            <v:fill on="t" color2="#FFFFFF" focussize="0,0"/>
            <v:stroke on="f"/>
            <v:imagedata r:id="rId7" o:title=""/>
            <o:lock v:ext="edit" aspectratio="f"/>
          </v:shape>
          <o:OLEObject Type="Embed" ProgID="Excel.Chart.8" ShapeID="Object 2" DrawAspect="Content" ObjectID="_1468075725" r:id="rId6">
            <o:LockedField>false</o:LockedField>
          </o:OLEObject>
        </w:pic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pStyle w:val="37"/>
        <w:spacing w:line="600" w:lineRule="exact"/>
        <w:ind w:left="640" w:firstLine="0" w:firstLineChars="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Style w:val="32"/>
          <w:rFonts w:ascii="黑体" w:hAnsi="黑体" w:eastAsia="黑体"/>
          <w:b w:val="0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ab/>
      </w:r>
    </w:p>
    <w:p>
      <w:pPr>
        <w:spacing w:line="600" w:lineRule="exact"/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（图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：收、支决算总计变动情况图）</w:t>
      </w:r>
    </w:p>
    <w:p>
      <w:pPr>
        <w:pStyle w:val="30"/>
        <w:numPr>
          <w:ilvl w:val="0"/>
          <w:numId w:val="1"/>
        </w:numPr>
        <w:spacing w:line="600" w:lineRule="exact"/>
        <w:ind w:firstLineChars="0"/>
        <w:outlineLvl w:val="1"/>
        <w:rPr>
          <w:rStyle w:val="32"/>
          <w:rFonts w:ascii="黑体" w:hAnsi="黑体" w:eastAsia="黑体"/>
          <w:b w:val="0"/>
        </w:rPr>
      </w:pPr>
      <w:bookmarkStart w:id="45" w:name="_Toc15377206"/>
      <w:bookmarkStart w:id="46" w:name="_Toc15396604"/>
      <w:bookmarkStart w:id="47" w:name="_Toc5447"/>
      <w:bookmarkStart w:id="48" w:name="_Toc16384"/>
      <w:r>
        <w:rPr>
          <w:rFonts w:hint="eastAsia" w:ascii="黑体" w:hAnsi="黑体" w:eastAsia="黑体"/>
          <w:sz w:val="32"/>
          <w:szCs w:val="32"/>
        </w:rPr>
        <w:t>收</w:t>
      </w:r>
      <w:r>
        <w:rPr>
          <w:rStyle w:val="32"/>
          <w:rFonts w:hint="eastAsia" w:ascii="黑体" w:hAnsi="黑体" w:eastAsia="黑体"/>
          <w:b w:val="0"/>
        </w:rPr>
        <w:t>入决算情况说明</w:t>
      </w:r>
      <w:bookmarkEnd w:id="45"/>
      <w:bookmarkEnd w:id="46"/>
      <w:bookmarkEnd w:id="47"/>
      <w:bookmarkEnd w:id="48"/>
    </w:p>
    <w:p>
      <w:pPr>
        <w:spacing w:line="600" w:lineRule="exact"/>
        <w:ind w:firstLine="640" w:firstLineChars="200"/>
        <w:outlineLvl w:val="1"/>
        <w:rPr>
          <w:rFonts w:hint="eastAsia" w:ascii="仿宋" w:hAnsi="仿宋" w:eastAsia="仿宋"/>
          <w:sz w:val="32"/>
          <w:szCs w:val="32"/>
        </w:rPr>
      </w:pPr>
      <w:bookmarkStart w:id="49" w:name="_Toc15961"/>
      <w:bookmarkStart w:id="50" w:name="_Toc17022"/>
      <w:bookmarkStart w:id="51" w:name="_Toc2538"/>
      <w:bookmarkStart w:id="52" w:name="_Toc11594"/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年本年收入合</w:t>
      </w:r>
      <w:r>
        <w:rPr>
          <w:rFonts w:hint="eastAsia" w:ascii="仿宋" w:hAnsi="仿宋" w:eastAsia="仿宋"/>
          <w:color w:val="auto"/>
          <w:sz w:val="32"/>
          <w:szCs w:val="32"/>
        </w:rPr>
        <w:t>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613.14</w:t>
      </w:r>
      <w:r>
        <w:rPr>
          <w:rFonts w:hint="eastAsia" w:ascii="仿宋" w:hAnsi="仿宋" w:eastAsia="仿宋"/>
          <w:sz w:val="32"/>
          <w:szCs w:val="32"/>
        </w:rPr>
        <w:t>万元，其中：一般公共预算财政拨款收入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575</w:t>
      </w:r>
      <w:r>
        <w:rPr>
          <w:rFonts w:hint="default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94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；其他收入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37.6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</w:t>
      </w:r>
      <w:bookmarkEnd w:id="49"/>
      <w:bookmarkEnd w:id="50"/>
      <w:bookmarkEnd w:id="51"/>
      <w:bookmarkEnd w:id="52"/>
    </w:p>
    <w:p>
      <w:pPr>
        <w:pStyle w:val="8"/>
        <w:spacing w:before="93"/>
        <w:rPr>
          <w:rFonts w:hint="eastAsia"/>
        </w:rPr>
      </w:pPr>
    </w:p>
    <w:p>
      <w:pPr>
        <w:pStyle w:val="8"/>
        <w:spacing w:before="93"/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pict>
          <v:shape id="Object 6" o:spid="_x0000_s2055" o:spt="75" type="#_x0000_t75" style="position:absolute;left:0pt;margin-left:60.4pt;margin-top:-4.6pt;height:191.05pt;width:310.1pt;z-index:251663360;mso-width-relative:page;mso-height-relative:page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  <o:OLEObject Type="Embed" ProgID="Excel.Chart.8" ShapeID="Object 6" DrawAspect="Content" ObjectID="_1468075726" r:id="rId8">
            <o:LockedField>false</o:LockedField>
          </o:OLEObject>
        </w:pict>
      </w:r>
    </w:p>
    <w:p>
      <w:pPr>
        <w:pStyle w:val="8"/>
        <w:rPr>
          <w:rFonts w:hint="eastAsia" w:ascii="仿宋" w:hAnsi="仿宋" w:eastAsia="仿宋"/>
          <w:sz w:val="32"/>
          <w:szCs w:val="32"/>
        </w:rPr>
      </w:pPr>
    </w:p>
    <w:p>
      <w:pPr>
        <w:pStyle w:val="8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（图2：收入决算结构图）</w:t>
      </w:r>
    </w:p>
    <w:p>
      <w:pPr>
        <w:pStyle w:val="30"/>
        <w:numPr>
          <w:ilvl w:val="0"/>
          <w:numId w:val="1"/>
        </w:numPr>
        <w:spacing w:line="600" w:lineRule="exact"/>
        <w:ind w:firstLineChars="0"/>
        <w:outlineLvl w:val="1"/>
        <w:rPr>
          <w:rStyle w:val="32"/>
          <w:rFonts w:ascii="黑体" w:hAnsi="黑体" w:eastAsia="黑体"/>
          <w:b w:val="0"/>
        </w:rPr>
      </w:pPr>
      <w:bookmarkStart w:id="53" w:name="_Toc12984"/>
      <w:bookmarkStart w:id="54" w:name="_Toc15377207"/>
      <w:bookmarkStart w:id="55" w:name="_Toc15396605"/>
      <w:bookmarkStart w:id="56" w:name="_Toc10269"/>
      <w:r>
        <w:rPr>
          <w:rFonts w:hint="eastAsia" w:ascii="黑体" w:hAnsi="黑体" w:eastAsia="黑体"/>
          <w:sz w:val="32"/>
          <w:szCs w:val="32"/>
        </w:rPr>
        <w:t>支</w:t>
      </w:r>
      <w:r>
        <w:rPr>
          <w:rStyle w:val="32"/>
          <w:rFonts w:hint="eastAsia" w:ascii="黑体" w:hAnsi="黑体" w:eastAsia="黑体"/>
          <w:b w:val="0"/>
        </w:rPr>
        <w:t>出决算情况说明</w:t>
      </w:r>
      <w:bookmarkEnd w:id="53"/>
      <w:bookmarkEnd w:id="54"/>
      <w:bookmarkEnd w:id="55"/>
      <w:bookmarkEnd w:id="56"/>
    </w:p>
    <w:p>
      <w:pPr>
        <w:spacing w:line="600" w:lineRule="exact"/>
        <w:ind w:firstLine="640" w:firstLineChars="200"/>
        <w:outlineLvl w:val="1"/>
        <w:rPr>
          <w:rFonts w:hint="eastAsia" w:ascii="仿宋" w:hAnsi="仿宋" w:eastAsia="仿宋"/>
          <w:sz w:val="32"/>
          <w:szCs w:val="32"/>
        </w:rPr>
      </w:pPr>
      <w:bookmarkStart w:id="57" w:name="_Toc7994"/>
      <w:bookmarkStart w:id="58" w:name="_Toc23198"/>
      <w:bookmarkStart w:id="59" w:name="_Toc14334"/>
      <w:bookmarkStart w:id="60" w:name="_Toc8778"/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年本年支出合计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873.49</w:t>
      </w:r>
      <w:r>
        <w:rPr>
          <w:rFonts w:hint="eastAsia" w:ascii="仿宋" w:hAnsi="仿宋" w:eastAsia="仿宋"/>
          <w:sz w:val="32"/>
          <w:szCs w:val="32"/>
        </w:rPr>
        <w:t>万元，其中：基本支出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343.08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39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；项目支出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530.41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61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</w:t>
      </w:r>
      <w:bookmarkEnd w:id="57"/>
      <w:bookmarkEnd w:id="58"/>
      <w:bookmarkEnd w:id="59"/>
      <w:bookmarkEnd w:id="60"/>
    </w:p>
    <w:p>
      <w:pPr>
        <w:spacing w:line="600" w:lineRule="exact"/>
        <w:ind w:firstLine="643" w:firstLineChars="200"/>
        <w:rPr>
          <w:rFonts w:hint="eastAsia" w:ascii="仿宋_GB2312" w:hAnsi="仿宋" w:eastAsia="仿宋_GB2312"/>
          <w:b/>
          <w:color w:val="FF0000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color w:val="FF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pict>
          <v:shape id="Object 8" o:spid="_x0000_s2052" o:spt="75" type="#_x0000_t75" style="position:absolute;left:0pt;margin-left:45.2pt;margin-top:6.4pt;height:207.35pt;width:341.35pt;z-index:251660288;mso-width-relative:page;mso-height-relative:page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</v:shape>
          <o:OLEObject Type="Embed" ProgID="Excel.Chart.8" ShapeID="Object 8" DrawAspect="Content" ObjectID="_1468075727" r:id="rId10">
            <o:LockedField>false</o:LockedField>
          </o:OLEObject>
        </w:pic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FF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outlineLvl w:val="9"/>
        <w:rPr>
          <w:rFonts w:hint="eastAsia" w:ascii="仿宋_GB2312" w:hAnsi="仿宋" w:eastAsia="仿宋_GB2312"/>
          <w:color w:val="000000"/>
          <w:sz w:val="32"/>
          <w:szCs w:val="32"/>
        </w:rPr>
      </w:pPr>
      <w:bookmarkStart w:id="61" w:name="_Toc23388"/>
      <w:bookmarkStart w:id="62" w:name="_Toc9363"/>
      <w:bookmarkStart w:id="63" w:name="_Toc29138"/>
      <w:bookmarkStart w:id="64" w:name="_Toc489"/>
    </w:p>
    <w:p>
      <w:pPr>
        <w:spacing w:line="600" w:lineRule="exact"/>
        <w:ind w:firstLine="640" w:firstLineChars="200"/>
        <w:jc w:val="center"/>
        <w:outlineLvl w:val="9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outlineLvl w:val="2"/>
        <w:rPr>
          <w:rFonts w:hint="default" w:ascii="仿宋_GB2312" w:hAnsi="黑体" w:eastAsia="仿宋_GB2312"/>
          <w:color w:val="000000"/>
          <w:sz w:val="32"/>
          <w:szCs w:val="32"/>
        </w:rPr>
      </w:pPr>
      <w:bookmarkStart w:id="65" w:name="_Toc6688"/>
      <w:bookmarkStart w:id="66" w:name="_Toc29646"/>
      <w:bookmarkStart w:id="67" w:name="_Toc414"/>
      <w:bookmarkStart w:id="68" w:name="_Toc27780"/>
      <w:r>
        <w:rPr>
          <w:rFonts w:hint="default" w:ascii="仿宋_GB2312" w:hAnsi="仿宋" w:eastAsia="仿宋_GB2312"/>
          <w:color w:val="000000"/>
          <w:sz w:val="32"/>
          <w:szCs w:val="32"/>
        </w:rPr>
        <w:t>（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图3：支出决算结构图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hint="eastAsia" w:ascii="仿宋_GB2312" w:hAnsi="黑体" w:eastAsia="仿宋_GB2312"/>
          <w:color w:val="000000"/>
          <w:sz w:val="32"/>
          <w:szCs w:val="32"/>
        </w:rPr>
        <w:tab/>
      </w:r>
      <w:r>
        <w:rPr>
          <w:rFonts w:hint="default" w:ascii="仿宋_GB2312" w:hAnsi="黑体" w:eastAsia="仿宋_GB2312"/>
          <w:color w:val="000000"/>
          <w:sz w:val="32"/>
          <w:szCs w:val="32"/>
        </w:rPr>
        <w:t>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outlineLvl w:val="1"/>
        <w:rPr>
          <w:rStyle w:val="32"/>
          <w:rFonts w:ascii="黑体" w:hAnsi="黑体" w:eastAsia="黑体"/>
          <w:b w:val="0"/>
        </w:rPr>
      </w:pPr>
      <w:bookmarkStart w:id="69" w:name="_Toc13028"/>
      <w:bookmarkStart w:id="70" w:name="_Toc15396606"/>
      <w:bookmarkStart w:id="71" w:name="_Toc15377208"/>
      <w:bookmarkStart w:id="72" w:name="_Toc4904"/>
      <w:r>
        <w:rPr>
          <w:rFonts w:hint="eastAsia" w:ascii="黑体" w:hAnsi="黑体" w:eastAsia="黑体"/>
          <w:sz w:val="32"/>
          <w:szCs w:val="32"/>
        </w:rPr>
        <w:t>四、财</w:t>
      </w:r>
      <w:r>
        <w:rPr>
          <w:rStyle w:val="32"/>
          <w:rFonts w:hint="eastAsia" w:ascii="黑体" w:hAnsi="黑体" w:eastAsia="黑体"/>
          <w:b w:val="0"/>
        </w:rPr>
        <w:t>政拨款收入支出决算总体情况说明</w:t>
      </w:r>
      <w:bookmarkEnd w:id="69"/>
      <w:bookmarkEnd w:id="70"/>
      <w:bookmarkEnd w:id="71"/>
      <w:bookmarkEnd w:id="72"/>
    </w:p>
    <w:p>
      <w:pPr>
        <w:spacing w:line="600" w:lineRule="exact"/>
        <w:ind w:firstLine="64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年财政拨款收、支总计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861.15</w:t>
      </w:r>
      <w:r>
        <w:rPr>
          <w:rFonts w:hint="eastAsia" w:ascii="仿宋" w:hAnsi="仿宋" w:eastAsia="仿宋"/>
          <w:sz w:val="32"/>
          <w:szCs w:val="32"/>
        </w:rPr>
        <w:t>万元。与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年相比，财政拨款收、支总计各增加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67.75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8.54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主要变动原因是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当年人员经费及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项目工作经费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pict>
          <v:shape id="Object 9" o:spid="_x0000_s2053" o:spt="75" type="#_x0000_t75" style="position:absolute;left:0pt;margin-left:50.55pt;margin-top:28.05pt;height:206.45pt;width:339.75pt;z-index:251661312;mso-width-relative:page;mso-height-relative:page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</v:shape>
          <o:OLEObject Type="Embed" ProgID="Excel.Chart.8" ShapeID="Object 9" DrawAspect="Content" ObjectID="_1468075728" r:id="rId12">
            <o:LockedField>false</o:LockedField>
          </o:OLEObject>
        </w:pic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（图4：财政拨款收、支决算总计变动情况）</w:t>
      </w:r>
    </w:p>
    <w:p>
      <w:pPr>
        <w:spacing w:line="600" w:lineRule="exact"/>
        <w:ind w:firstLine="640"/>
        <w:rPr>
          <w:rFonts w:ascii="仿宋" w:hAnsi="仿宋" w:eastAsia="仿宋"/>
          <w:b/>
          <w:sz w:val="32"/>
          <w:szCs w:val="32"/>
        </w:rPr>
      </w:pPr>
    </w:p>
    <w:p>
      <w:pPr>
        <w:spacing w:line="600" w:lineRule="exact"/>
        <w:ind w:firstLine="640" w:firstLineChars="200"/>
        <w:outlineLvl w:val="1"/>
        <w:rPr>
          <w:rStyle w:val="32"/>
          <w:rFonts w:ascii="黑体" w:hAnsi="黑体" w:eastAsia="黑体"/>
          <w:b w:val="0"/>
        </w:rPr>
      </w:pPr>
      <w:bookmarkStart w:id="73" w:name="_Toc15377209"/>
      <w:bookmarkStart w:id="74" w:name="_Toc15396607"/>
      <w:bookmarkStart w:id="75" w:name="_Toc10707"/>
      <w:bookmarkStart w:id="76" w:name="_Toc17049"/>
      <w:r>
        <w:rPr>
          <w:rFonts w:hint="eastAsia" w:ascii="黑体" w:hAnsi="黑体" w:eastAsia="黑体"/>
          <w:sz w:val="32"/>
          <w:szCs w:val="32"/>
        </w:rPr>
        <w:t>五、</w:t>
      </w:r>
      <w:r>
        <w:rPr>
          <w:rFonts w:hint="eastAsia" w:ascii="黑体" w:hAnsi="黑体" w:eastAsia="黑体"/>
          <w:b/>
          <w:sz w:val="32"/>
          <w:szCs w:val="32"/>
        </w:rPr>
        <w:t>一</w:t>
      </w:r>
      <w:r>
        <w:rPr>
          <w:rStyle w:val="32"/>
          <w:rFonts w:hint="eastAsia" w:ascii="黑体" w:hAnsi="黑体" w:eastAsia="黑体"/>
          <w:b w:val="0"/>
        </w:rPr>
        <w:t>般公共预算财政拨款支出决算情况说明</w:t>
      </w:r>
      <w:bookmarkEnd w:id="73"/>
      <w:bookmarkEnd w:id="74"/>
      <w:bookmarkEnd w:id="75"/>
      <w:bookmarkEnd w:id="76"/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b/>
          <w:sz w:val="32"/>
          <w:szCs w:val="32"/>
        </w:rPr>
      </w:pPr>
      <w:bookmarkStart w:id="77" w:name="_Toc10045"/>
      <w:bookmarkStart w:id="78" w:name="_Toc15377210"/>
      <w:bookmarkStart w:id="79" w:name="_Toc14908"/>
      <w:bookmarkStart w:id="80" w:name="_Toc32494"/>
      <w:r>
        <w:rPr>
          <w:rFonts w:hint="eastAsia" w:ascii="仿宋" w:hAnsi="仿宋" w:eastAsia="仿宋"/>
          <w:b/>
          <w:sz w:val="32"/>
          <w:szCs w:val="32"/>
        </w:rPr>
        <w:t>（一）一般公共预算财政拨款支出决算总体情况</w:t>
      </w:r>
      <w:bookmarkEnd w:id="77"/>
      <w:bookmarkEnd w:id="78"/>
      <w:bookmarkEnd w:id="79"/>
      <w:bookmarkEnd w:id="80"/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年一般公共预算财政拨款支出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861.15</w:t>
      </w:r>
      <w:r>
        <w:rPr>
          <w:rFonts w:hint="eastAsia" w:ascii="仿宋" w:hAnsi="仿宋" w:eastAsia="仿宋"/>
          <w:sz w:val="32"/>
          <w:szCs w:val="32"/>
        </w:rPr>
        <w:t>万元，占本年支出合计的</w:t>
      </w:r>
      <w:r>
        <w:rPr>
          <w:rFonts w:hint="default" w:ascii="仿宋" w:hAnsi="仿宋" w:eastAsia="仿宋"/>
          <w:sz w:val="32"/>
          <w:szCs w:val="32"/>
        </w:rPr>
        <w:t>98.59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。与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年相比，一般公共预算财政拨款支出增加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397.41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85.70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主要变动原因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当年人员经费及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项目工作经费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pict>
          <v:shape id="Object 12" o:spid="_x0000_s2054" o:spt="75" type="#_x0000_t75" style="position:absolute;left:0pt;margin-left:58.3pt;margin-top:-72.8pt;height:200.1pt;width:329.05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</v:shape>
          <o:OLEObject Type="Embed" ProgID="Excel.Chart.8" ShapeID="Object 12" DrawAspect="Content" ObjectID="_1468075729" r:id="rId14">
            <o:LockedField>false</o:LockedField>
          </o:OLEObject>
        </w:pict>
      </w:r>
    </w:p>
    <w:p>
      <w:pPr>
        <w:spacing w:line="60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pStyle w:val="8"/>
        <w:rPr>
          <w:rFonts w:hint="eastAsia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（图5：一般公共预算财政拨款支出决算变动情况）</w:t>
      </w:r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b/>
          <w:sz w:val="32"/>
          <w:szCs w:val="32"/>
        </w:rPr>
      </w:pPr>
      <w:bookmarkStart w:id="81" w:name="_Toc17354"/>
      <w:bookmarkStart w:id="82" w:name="_Toc3013"/>
      <w:bookmarkStart w:id="83" w:name="_Toc15377211"/>
      <w:bookmarkStart w:id="84" w:name="_Toc22190"/>
      <w:r>
        <w:rPr>
          <w:rFonts w:hint="eastAsia" w:ascii="仿宋" w:hAnsi="仿宋" w:eastAsia="仿宋"/>
          <w:b/>
          <w:sz w:val="32"/>
          <w:szCs w:val="32"/>
        </w:rPr>
        <w:t>（二）一般公共预算财政拨款支出决算结构情况</w:t>
      </w:r>
      <w:bookmarkEnd w:id="81"/>
      <w:bookmarkEnd w:id="82"/>
      <w:bookmarkEnd w:id="83"/>
      <w:bookmarkEnd w:id="84"/>
    </w:p>
    <w:p>
      <w:pPr>
        <w:spacing w:line="60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21年一般公共预算财政拨款支出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861.15</w:t>
      </w:r>
      <w:r>
        <w:rPr>
          <w:rFonts w:hint="eastAsia" w:ascii="仿宋" w:hAnsi="仿宋" w:eastAsia="仿宋"/>
          <w:sz w:val="32"/>
          <w:szCs w:val="32"/>
        </w:rPr>
        <w:t>万元，主要用于以下方面</w:t>
      </w:r>
      <w:r>
        <w:rPr>
          <w:rFonts w:ascii="仿宋" w:hAnsi="仿宋" w:eastAsia="仿宋"/>
          <w:sz w:val="32"/>
          <w:szCs w:val="32"/>
        </w:rPr>
        <w:t>:</w:t>
      </w:r>
      <w:r>
        <w:rPr>
          <w:rFonts w:hint="eastAsia" w:ascii="仿宋" w:hAnsi="仿宋" w:eastAsia="仿宋"/>
          <w:b/>
          <w:sz w:val="32"/>
          <w:szCs w:val="32"/>
        </w:rPr>
        <w:t>社会保障和就业（类）</w:t>
      </w:r>
      <w:r>
        <w:rPr>
          <w:rFonts w:hint="eastAsia" w:ascii="仿宋" w:hAnsi="仿宋" w:eastAsia="仿宋"/>
          <w:sz w:val="32"/>
          <w:szCs w:val="32"/>
        </w:rPr>
        <w:t>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37.22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default" w:ascii="仿宋" w:hAnsi="仿宋" w:eastAsia="仿宋"/>
          <w:sz w:val="32"/>
          <w:szCs w:val="32"/>
        </w:rPr>
        <w:t>4.32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hint="eastAsia" w:ascii="仿宋" w:hAnsi="仿宋" w:eastAsia="仿宋"/>
          <w:b/>
          <w:bCs/>
          <w:sz w:val="32"/>
          <w:szCs w:val="32"/>
        </w:rPr>
        <w:t>卫生健康支出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16.02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default" w:ascii="仿宋" w:hAnsi="仿宋" w:eastAsia="仿宋"/>
          <w:sz w:val="32"/>
          <w:szCs w:val="32"/>
        </w:rPr>
        <w:t>1.86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hint="eastAsia" w:ascii="仿宋" w:hAnsi="仿宋" w:eastAsia="仿宋"/>
          <w:b/>
          <w:bCs/>
          <w:sz w:val="32"/>
          <w:szCs w:val="32"/>
        </w:rPr>
        <w:t>住房保障支出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24.20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default" w:ascii="仿宋" w:hAnsi="仿宋" w:eastAsia="仿宋"/>
          <w:sz w:val="32"/>
          <w:szCs w:val="32"/>
        </w:rPr>
        <w:t>2.81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;</w:t>
      </w:r>
      <w:r>
        <w:rPr>
          <w:rFonts w:hint="eastAsia" w:ascii="仿宋_GB2312" w:hAnsi="仿宋" w:eastAsia="仿宋_GB2312"/>
          <w:b/>
          <w:bCs/>
          <w:color w:val="000000"/>
          <w:sz w:val="32"/>
          <w:szCs w:val="32"/>
        </w:rPr>
        <w:t>粮油物资储备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支出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783.71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万元，占</w:t>
      </w:r>
      <w:r>
        <w:rPr>
          <w:rFonts w:hint="default" w:ascii="仿宋_GB2312" w:hAnsi="仿宋" w:eastAsia="仿宋_GB2312"/>
          <w:color w:val="000000"/>
          <w:sz w:val="32"/>
          <w:szCs w:val="32"/>
        </w:rPr>
        <w:t>91.01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Style w:val="8"/>
        <w:spacing w:before="93"/>
        <w:jc w:val="center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4457700" cy="26365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63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spacing w:before="93"/>
        <w:rPr>
          <w:rFonts w:hint="eastAsia"/>
        </w:rPr>
      </w:pPr>
    </w:p>
    <w:p>
      <w:pPr>
        <w:pStyle w:val="8"/>
        <w:spacing w:before="93"/>
        <w:rPr>
          <w:rFonts w:hint="eastAsia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（图6：一般公共预算财政拨款支出决算结构）</w:t>
      </w:r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b/>
          <w:sz w:val="32"/>
          <w:szCs w:val="32"/>
        </w:rPr>
      </w:pPr>
      <w:bookmarkStart w:id="85" w:name="_Toc15377212"/>
      <w:bookmarkStart w:id="86" w:name="_Toc21293"/>
      <w:bookmarkStart w:id="87" w:name="_Toc24276"/>
      <w:bookmarkStart w:id="88" w:name="_Toc19832"/>
      <w:r>
        <w:rPr>
          <w:rFonts w:hint="eastAsia" w:ascii="仿宋" w:hAnsi="仿宋" w:eastAsia="仿宋"/>
          <w:b/>
          <w:sz w:val="32"/>
          <w:szCs w:val="32"/>
        </w:rPr>
        <w:t>（三）一般公共预算财政拨款支出决算具体情况</w:t>
      </w:r>
      <w:bookmarkEnd w:id="85"/>
      <w:bookmarkEnd w:id="86"/>
      <w:bookmarkEnd w:id="87"/>
      <w:bookmarkEnd w:id="8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outlineLvl w:val="1"/>
        <w:rPr>
          <w:rFonts w:ascii="仿宋" w:hAnsi="仿宋" w:eastAsia="仿宋"/>
          <w:sz w:val="32"/>
          <w:szCs w:val="32"/>
        </w:rPr>
      </w:pPr>
      <w:bookmarkStart w:id="89" w:name="_Toc15377444"/>
      <w:bookmarkStart w:id="90" w:name="_Toc15378460"/>
      <w:bookmarkStart w:id="91" w:name="_Toc22749"/>
      <w:bookmarkStart w:id="92" w:name="_Toc9528"/>
      <w:bookmarkStart w:id="93" w:name="_Toc17994"/>
      <w:bookmarkStart w:id="94" w:name="_Toc15377213"/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/>
          <w:sz w:val="32"/>
          <w:szCs w:val="32"/>
        </w:rPr>
        <w:t>年一般公共预算支出决算数为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861.15</w:t>
      </w:r>
      <w:r>
        <w:rPr>
          <w:rFonts w:hint="eastAsia" w:ascii="仿宋" w:hAnsi="仿宋" w:eastAsia="仿宋"/>
          <w:b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Style w:val="21"/>
          <w:rFonts w:hint="eastAsia" w:ascii="仿宋" w:hAnsi="仿宋" w:eastAsia="仿宋"/>
          <w:bCs/>
          <w:sz w:val="32"/>
          <w:szCs w:val="32"/>
        </w:rPr>
        <w:t>完成预算</w:t>
      </w:r>
      <w:r>
        <w:rPr>
          <w:rStyle w:val="21"/>
          <w:rFonts w:hint="eastAsia" w:ascii="仿宋" w:hAnsi="仿宋" w:eastAsia="仿宋"/>
          <w:bCs/>
          <w:sz w:val="32"/>
          <w:szCs w:val="32"/>
          <w:lang w:val="en-US" w:eastAsia="zh-CN"/>
        </w:rPr>
        <w:t>100</w:t>
      </w:r>
      <w:r>
        <w:rPr>
          <w:rStyle w:val="21"/>
          <w:rFonts w:ascii="仿宋" w:hAnsi="仿宋" w:eastAsia="仿宋"/>
          <w:bCs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Cs/>
          <w:sz w:val="32"/>
          <w:szCs w:val="32"/>
        </w:rPr>
        <w:t>。其中：</w:t>
      </w:r>
      <w:bookmarkEnd w:id="89"/>
      <w:bookmarkEnd w:id="90"/>
      <w:bookmarkEnd w:id="91"/>
      <w:bookmarkEnd w:id="92"/>
      <w:bookmarkEnd w:id="93"/>
      <w:bookmarkEnd w:id="9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</w:pP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.社会保障和就业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  <w:lang w:eastAsia="zh-CN"/>
        </w:rPr>
        <w:t>支出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（类）行政事业单位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  <w:lang w:eastAsia="zh-CN"/>
        </w:rPr>
        <w:t>养老支出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（款）机关事业单位基本养老保险缴费支出（项）: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  <w:lang w:val="en-US" w:eastAsia="zh-CN"/>
        </w:rPr>
        <w:t>23.77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万元，完成预算100%。</w:t>
      </w:r>
    </w:p>
    <w:p>
      <w:pPr>
        <w:spacing w:line="600" w:lineRule="exact"/>
        <w:ind w:firstLine="643" w:firstLineChars="200"/>
        <w:rPr>
          <w:rStyle w:val="21"/>
          <w:rFonts w:hint="eastAsia" w:ascii="仿宋" w:hAnsi="仿宋" w:eastAsia="仿宋"/>
          <w:b w:val="0"/>
          <w:bCs/>
          <w:sz w:val="32"/>
          <w:szCs w:val="32"/>
        </w:rPr>
      </w:pPr>
      <w:r>
        <w:rPr>
          <w:rStyle w:val="21"/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Style w:val="21"/>
          <w:rFonts w:ascii="仿宋" w:hAnsi="仿宋" w:eastAsia="仿宋"/>
          <w:bCs/>
          <w:sz w:val="32"/>
          <w:szCs w:val="32"/>
        </w:rPr>
        <w:t>.</w:t>
      </w:r>
      <w:r>
        <w:rPr>
          <w:rStyle w:val="21"/>
          <w:rFonts w:hint="eastAsia" w:ascii="仿宋" w:hAnsi="仿宋" w:eastAsia="仿宋"/>
          <w:bCs/>
          <w:sz w:val="32"/>
          <w:szCs w:val="32"/>
        </w:rPr>
        <w:t>社会保障和就业支出（类）行政事业单位养老支出（款）机关事业单位职业年金缴费支出（项）</w:t>
      </w:r>
      <w:r>
        <w:rPr>
          <w:rStyle w:val="21"/>
          <w:rFonts w:ascii="仿宋" w:hAnsi="仿宋" w:eastAsia="仿宋"/>
          <w:bCs/>
          <w:sz w:val="32"/>
          <w:szCs w:val="32"/>
        </w:rPr>
        <w:t>:</w:t>
      </w:r>
      <w:r>
        <w:rPr>
          <w:rStyle w:val="21"/>
          <w:rFonts w:ascii="仿宋" w:hAnsi="仿宋" w:eastAsia="仿宋"/>
          <w:b w:val="0"/>
          <w:bCs/>
          <w:sz w:val="32"/>
          <w:szCs w:val="32"/>
        </w:rPr>
        <w:t xml:space="preserve"> 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支出决算为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8.77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万元，完成预算100</w:t>
      </w:r>
      <w:r>
        <w:rPr>
          <w:rStyle w:val="21"/>
          <w:rFonts w:ascii="仿宋" w:hAnsi="仿宋" w:eastAsia="仿宋"/>
          <w:b w:val="0"/>
          <w:bCs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hint="eastAsia"/>
        </w:rPr>
      </w:pPr>
      <w:r>
        <w:rPr>
          <w:rStyle w:val="21"/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Style w:val="21"/>
          <w:rFonts w:ascii="仿宋" w:hAnsi="仿宋" w:eastAsia="仿宋"/>
          <w:bCs/>
          <w:sz w:val="32"/>
          <w:szCs w:val="32"/>
        </w:rPr>
        <w:t>.</w:t>
      </w:r>
      <w:r>
        <w:rPr>
          <w:rStyle w:val="21"/>
          <w:rFonts w:hint="eastAsia" w:ascii="仿宋" w:hAnsi="仿宋" w:eastAsia="仿宋"/>
          <w:bCs/>
          <w:sz w:val="32"/>
          <w:szCs w:val="32"/>
        </w:rPr>
        <w:t>社会保障和就业支出（类）其他社会保障和就业支出（款）其他社会保障和就业支出（项）</w:t>
      </w:r>
      <w:r>
        <w:rPr>
          <w:rStyle w:val="21"/>
          <w:rFonts w:ascii="仿宋" w:hAnsi="仿宋" w:eastAsia="仿宋"/>
          <w:bCs/>
          <w:sz w:val="32"/>
          <w:szCs w:val="32"/>
        </w:rPr>
        <w:t>:</w:t>
      </w:r>
      <w:r>
        <w:rPr>
          <w:rStyle w:val="21"/>
          <w:rFonts w:ascii="仿宋" w:hAnsi="仿宋" w:eastAsia="仿宋"/>
          <w:b w:val="0"/>
          <w:bCs/>
          <w:sz w:val="32"/>
          <w:szCs w:val="32"/>
        </w:rPr>
        <w:t xml:space="preserve"> 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支出决算为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4.68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万元，完成预算100</w:t>
      </w:r>
      <w:r>
        <w:rPr>
          <w:rStyle w:val="21"/>
          <w:rFonts w:ascii="仿宋" w:hAnsi="仿宋" w:eastAsia="仿宋"/>
          <w:b w:val="0"/>
          <w:bCs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.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卫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生健康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（类）行政事业单位医疗（款）事业单位医疗（项）: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  <w:lang w:val="en-US" w:eastAsia="zh-CN"/>
        </w:rPr>
        <w:t>16.02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万元，完成预算100%。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.住房保障支出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（类）住房改革支出（款）住房公积金（项）: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  <w:lang w:val="en-US" w:eastAsia="zh-CN"/>
        </w:rPr>
        <w:t>24.20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万元，完成预算100%。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/>
        </w:rPr>
      </w:pPr>
      <w:r>
        <w:rPr>
          <w:rStyle w:val="21"/>
          <w:rFonts w:hint="eastAsia" w:ascii="仿宋" w:hAnsi="仿宋" w:eastAsia="仿宋"/>
          <w:bCs/>
          <w:sz w:val="32"/>
          <w:szCs w:val="32"/>
          <w:lang w:val="en-US" w:eastAsia="zh-CN"/>
        </w:rPr>
        <w:t>6</w:t>
      </w:r>
      <w:r>
        <w:rPr>
          <w:rStyle w:val="21"/>
          <w:rFonts w:hint="eastAsia" w:ascii="仿宋" w:hAnsi="仿宋" w:eastAsia="仿宋"/>
          <w:bCs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事务（款）专项业务活动（项）: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35.2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万元，完成预算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%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default" w:ascii="仿宋_GB2312" w:hAnsi="仿宋" w:eastAsia="仿宋_GB2312"/>
          <w:b/>
          <w:bCs/>
          <w:sz w:val="32"/>
          <w:szCs w:val="32"/>
        </w:rPr>
        <w:t>7.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粮油物资储备支出（类）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粮油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物资事务（款）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物资保管保养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（项）: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19.13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万元，完成预算100%。</w:t>
      </w:r>
      <w:r>
        <w:rPr>
          <w:rStyle w:val="21"/>
          <w:rFonts w:hint="eastAsia" w:ascii="仿宋" w:hAnsi="仿宋" w:eastAsia="仿宋"/>
          <w:bCs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Style w:val="21"/>
          <w:rFonts w:hint="eastAsia" w:ascii="仿宋_GB2312" w:hAnsi="仿宋" w:eastAsia="仿宋_GB2312"/>
          <w:b w:val="0"/>
          <w:sz w:val="32"/>
          <w:szCs w:val="32"/>
        </w:rPr>
      </w:pPr>
      <w:r>
        <w:rPr>
          <w:rFonts w:hint="default" w:ascii="仿宋_GB2312" w:hAnsi="仿宋" w:eastAsia="仿宋_GB2312"/>
          <w:b/>
          <w:bCs/>
          <w:sz w:val="32"/>
          <w:szCs w:val="32"/>
        </w:rPr>
        <w:t>8.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事务（款）事业运行（项）: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265.64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万元，完成预算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Style w:val="21"/>
          <w:rFonts w:hint="default" w:ascii="仿宋_GB2312" w:hAnsi="仿宋" w:eastAsia="仿宋_GB2312"/>
          <w:b w:val="0"/>
          <w:sz w:val="32"/>
          <w:szCs w:val="32"/>
        </w:rPr>
        <w:t>9.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事务（款）其他粮油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事务支出（项）: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支出决算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283.81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万元，完成预算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  <w:b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Style w:val="21"/>
          <w:rFonts w:hint="eastAsia" w:ascii="仿宋_GB2312" w:hAnsi="仿宋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/>
          <w:b/>
          <w:bCs/>
          <w:sz w:val="32"/>
          <w:szCs w:val="32"/>
        </w:rPr>
        <w:t>10.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粮油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储备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支出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（类）</w:t>
      </w:r>
      <w:r>
        <w:rPr>
          <w:rStyle w:val="21"/>
          <w:rFonts w:hint="eastAsia" w:ascii="仿宋_GB2312" w:hAnsi="仿宋" w:eastAsia="仿宋_GB2312" w:cs="Times New Roman"/>
          <w:b/>
          <w:bCs w:val="0"/>
          <w:kern w:val="2"/>
          <w:sz w:val="32"/>
          <w:szCs w:val="32"/>
          <w:lang w:val="en-US" w:eastAsia="zh-CN" w:bidi="ar-SA"/>
        </w:rPr>
        <w:t>重要商品储备（款）应急物资储备（项）：</w:t>
      </w:r>
      <w:r>
        <w:rPr>
          <w:rStyle w:val="21"/>
          <w:rFonts w:hint="eastAsia" w:ascii="仿宋_GB2312" w:hAnsi="仿宋" w:eastAsia="仿宋_GB2312" w:cs="Times New Roman"/>
          <w:b w:val="0"/>
          <w:bCs/>
          <w:kern w:val="2"/>
          <w:sz w:val="32"/>
          <w:szCs w:val="32"/>
          <w:lang w:val="en-US" w:eastAsia="zh-CN" w:bidi="ar-SA"/>
        </w:rPr>
        <w:t>支出决算书179.93万元，完成预算100%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Style w:val="32"/>
        </w:rPr>
      </w:pPr>
      <w:bookmarkStart w:id="95" w:name="_Toc15377214"/>
      <w:bookmarkStart w:id="96" w:name="_Toc774"/>
      <w:bookmarkStart w:id="97" w:name="_Toc15396608"/>
      <w:bookmarkStart w:id="98" w:name="_Toc18260"/>
      <w:r>
        <w:rPr>
          <w:rFonts w:hint="eastAsia" w:ascii="黑体" w:eastAsia="黑体"/>
          <w:sz w:val="32"/>
          <w:szCs w:val="32"/>
        </w:rPr>
        <w:t>六</w:t>
      </w:r>
      <w:r>
        <w:rPr>
          <w:rFonts w:hint="eastAsia" w:ascii="黑体" w:eastAsia="黑体"/>
          <w:b/>
          <w:sz w:val="32"/>
          <w:szCs w:val="32"/>
        </w:rPr>
        <w:t>、</w:t>
      </w:r>
      <w:r>
        <w:rPr>
          <w:rFonts w:hint="eastAsia" w:ascii="黑体" w:hAnsi="黑体" w:eastAsia="黑体"/>
          <w:b/>
          <w:sz w:val="32"/>
          <w:szCs w:val="32"/>
        </w:rPr>
        <w:t>一</w:t>
      </w:r>
      <w:r>
        <w:rPr>
          <w:rStyle w:val="32"/>
          <w:rFonts w:hint="eastAsia" w:ascii="黑体" w:hAnsi="黑体" w:eastAsia="黑体"/>
          <w:b w:val="0"/>
        </w:rPr>
        <w:t>般公共预算财政拨款基本支出决算情况说明</w:t>
      </w:r>
      <w:bookmarkEnd w:id="95"/>
      <w:bookmarkEnd w:id="96"/>
      <w:bookmarkEnd w:id="97"/>
      <w:bookmarkEnd w:id="98"/>
      <w:r>
        <w:rPr>
          <w:rStyle w:val="32"/>
          <w:rFonts w:ascii="黑体" w:hAnsi="黑体" w:eastAsia="黑体"/>
          <w:b w:val="0"/>
        </w:rPr>
        <w:tab/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年一般公共预算财政拨款基本支出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343.08</w:t>
      </w:r>
      <w:r>
        <w:rPr>
          <w:rFonts w:hint="eastAsia" w:ascii="仿宋" w:hAnsi="仿宋" w:eastAsia="仿宋"/>
          <w:sz w:val="32"/>
          <w:szCs w:val="32"/>
        </w:rPr>
        <w:t>万元，其中：</w:t>
      </w:r>
    </w:p>
    <w:p>
      <w:pPr>
        <w:spacing w:line="60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人员经费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309.92</w:t>
      </w:r>
      <w:r>
        <w:rPr>
          <w:rFonts w:hint="eastAsia" w:ascii="仿宋" w:hAnsi="仿宋" w:eastAsia="仿宋"/>
          <w:sz w:val="32"/>
          <w:szCs w:val="32"/>
        </w:rPr>
        <w:t>万元，主要包括：基本工资、津贴补贴、</w:t>
      </w:r>
      <w:r>
        <w:rPr>
          <w:rFonts w:hint="eastAsia" w:ascii="仿宋" w:hAnsi="仿宋" w:eastAsia="仿宋"/>
          <w:sz w:val="32"/>
          <w:szCs w:val="32"/>
          <w:lang w:eastAsia="zh-CN"/>
        </w:rPr>
        <w:t>奖金</w:t>
      </w:r>
      <w:r>
        <w:rPr>
          <w:rFonts w:hint="eastAsia" w:ascii="仿宋" w:hAnsi="仿宋" w:eastAsia="仿宋"/>
          <w:sz w:val="32"/>
          <w:szCs w:val="32"/>
        </w:rPr>
        <w:t>、绩效工资、机关事业单位基本养老保险缴费、职业年金缴费、</w:t>
      </w:r>
      <w:r>
        <w:rPr>
          <w:rFonts w:hint="eastAsia" w:ascii="仿宋" w:hAnsi="仿宋" w:eastAsia="仿宋"/>
          <w:sz w:val="32"/>
          <w:szCs w:val="32"/>
          <w:lang w:eastAsia="zh-CN"/>
        </w:rPr>
        <w:t>职工基本医疗保险缴费、</w:t>
      </w:r>
      <w:r>
        <w:rPr>
          <w:rFonts w:hint="eastAsia" w:ascii="仿宋" w:hAnsi="仿宋" w:eastAsia="仿宋"/>
          <w:sz w:val="32"/>
          <w:szCs w:val="32"/>
        </w:rPr>
        <w:t>其他社会保障缴费、住房公积金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其他工资福利支出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生活补助</w:t>
      </w:r>
      <w:r>
        <w:rPr>
          <w:rFonts w:hint="default" w:ascii="仿宋" w:hAnsi="仿宋" w:eastAsia="仿宋"/>
          <w:color w:val="auto"/>
          <w:sz w:val="32"/>
          <w:szCs w:val="32"/>
          <w:highlight w:val="none"/>
          <w:lang w:eastAsia="zh-CN"/>
        </w:rPr>
        <w:t>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公用经费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33.16</w:t>
      </w:r>
      <w:r>
        <w:rPr>
          <w:rFonts w:hint="eastAsia" w:ascii="仿宋" w:hAnsi="仿宋" w:eastAsia="仿宋"/>
          <w:sz w:val="32"/>
          <w:szCs w:val="32"/>
        </w:rPr>
        <w:t>万元，主要包括：办公费、印刷费、咨询费、水费、电费、邮电费、差旅费、维修（护）费、培训费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劳务费、工会经费、</w:t>
      </w:r>
      <w:r>
        <w:rPr>
          <w:rFonts w:hint="default" w:ascii="仿宋" w:hAnsi="仿宋" w:eastAsia="仿宋"/>
          <w:sz w:val="32"/>
          <w:szCs w:val="32"/>
        </w:rPr>
        <w:t>福利费、</w:t>
      </w:r>
      <w:r>
        <w:rPr>
          <w:rFonts w:hint="eastAsia" w:ascii="仿宋" w:hAnsi="仿宋" w:eastAsia="仿宋"/>
          <w:sz w:val="32"/>
          <w:szCs w:val="32"/>
        </w:rPr>
        <w:t>公务用车运行维护费、其他交通费、其他商品和服务支出等。</w:t>
      </w:r>
    </w:p>
    <w:p>
      <w:pPr>
        <w:spacing w:line="600" w:lineRule="exact"/>
        <w:ind w:firstLine="640"/>
        <w:rPr>
          <w:rFonts w:ascii="仿宋" w:hAnsi="仿宋" w:eastAsia="仿宋"/>
          <w:b/>
          <w:sz w:val="32"/>
          <w:szCs w:val="32"/>
        </w:rPr>
      </w:pPr>
    </w:p>
    <w:p>
      <w:pPr>
        <w:spacing w:line="600" w:lineRule="exact"/>
        <w:ind w:firstLine="640"/>
        <w:outlineLvl w:val="1"/>
        <w:rPr>
          <w:rStyle w:val="32"/>
          <w:rFonts w:ascii="黑体" w:hAnsi="黑体" w:eastAsia="黑体"/>
          <w:b w:val="0"/>
        </w:rPr>
      </w:pPr>
      <w:bookmarkStart w:id="99" w:name="_Toc15377215"/>
      <w:bookmarkStart w:id="100" w:name="_Toc9738"/>
      <w:bookmarkStart w:id="101" w:name="_Toc15396609"/>
      <w:bookmarkStart w:id="102" w:name="_Toc3033"/>
      <w:r>
        <w:rPr>
          <w:rFonts w:hint="eastAsia" w:ascii="黑体" w:eastAsia="黑体"/>
          <w:sz w:val="32"/>
          <w:szCs w:val="32"/>
        </w:rPr>
        <w:t>七、</w:t>
      </w:r>
      <w:r>
        <w:rPr>
          <w:rStyle w:val="32"/>
          <w:rFonts w:hint="eastAsia" w:ascii="黑体" w:hAnsi="黑体" w:eastAsia="黑体"/>
        </w:rPr>
        <w:t>“</w:t>
      </w:r>
      <w:r>
        <w:rPr>
          <w:rStyle w:val="32"/>
          <w:rFonts w:hint="eastAsia" w:ascii="黑体" w:hAnsi="黑体" w:eastAsia="黑体"/>
          <w:b w:val="0"/>
        </w:rPr>
        <w:t>三公”经费财政拨款支出决算情况说明</w:t>
      </w:r>
      <w:bookmarkEnd w:id="99"/>
      <w:bookmarkEnd w:id="100"/>
      <w:bookmarkEnd w:id="101"/>
      <w:bookmarkEnd w:id="102"/>
    </w:p>
    <w:p>
      <w:pPr>
        <w:spacing w:line="600" w:lineRule="exact"/>
        <w:ind w:firstLine="640"/>
        <w:outlineLvl w:val="2"/>
        <w:rPr>
          <w:rFonts w:ascii="仿宋" w:hAnsi="仿宋" w:eastAsia="仿宋"/>
          <w:b/>
          <w:sz w:val="32"/>
          <w:szCs w:val="32"/>
        </w:rPr>
      </w:pPr>
      <w:bookmarkStart w:id="103" w:name="_Toc2286"/>
      <w:bookmarkStart w:id="104" w:name="_Toc15377216"/>
      <w:bookmarkStart w:id="105" w:name="_Toc24239"/>
      <w:bookmarkStart w:id="106" w:name="_Toc7924"/>
      <w:r>
        <w:rPr>
          <w:rFonts w:hint="eastAsia" w:ascii="仿宋" w:hAnsi="仿宋" w:eastAsia="仿宋"/>
          <w:b/>
          <w:sz w:val="32"/>
          <w:szCs w:val="32"/>
        </w:rPr>
        <w:t>（一）“三公”经费财政拨款支出决算总体情况说明</w:t>
      </w:r>
      <w:bookmarkEnd w:id="103"/>
      <w:bookmarkEnd w:id="104"/>
      <w:bookmarkEnd w:id="105"/>
      <w:bookmarkEnd w:id="106"/>
    </w:p>
    <w:p>
      <w:pPr>
        <w:keepNext w:val="0"/>
        <w:keepLines w:val="0"/>
        <w:widowControl/>
        <w:suppressLineNumbers w:val="0"/>
        <w:spacing w:before="0" w:beforeAutospacing="1" w:after="0" w:afterAutospacing="1" w:line="600" w:lineRule="exact"/>
        <w:ind w:left="0" w:right="0" w:firstLine="640"/>
        <w:jc w:val="left"/>
        <w:rPr>
          <w:rFonts w:hint="default"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年“三公”经费财政拨款支出决算为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1.26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</w:rPr>
        <w:t>完成预算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较上年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0.23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万元，下降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22.33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%，决算数与预算数持平。</w:t>
      </w:r>
      <w:r>
        <w:rPr>
          <w:rFonts w:hint="default" w:ascii="仿宋" w:hAnsi="仿宋" w:eastAsia="仿宋" w:cs="仿宋"/>
          <w:kern w:val="2"/>
          <w:sz w:val="32"/>
          <w:szCs w:val="32"/>
          <w:lang w:eastAsia="zh-CN" w:bidi="ar"/>
        </w:rPr>
        <w:t xml:space="preserve"> </w:t>
      </w:r>
    </w:p>
    <w:p>
      <w:pPr>
        <w:spacing w:line="600" w:lineRule="exact"/>
        <w:ind w:firstLine="640"/>
        <w:outlineLvl w:val="2"/>
        <w:rPr>
          <w:rFonts w:ascii="仿宋" w:hAnsi="仿宋" w:eastAsia="仿宋"/>
          <w:b/>
          <w:sz w:val="32"/>
          <w:szCs w:val="32"/>
        </w:rPr>
      </w:pPr>
      <w:bookmarkStart w:id="107" w:name="_Toc15377217"/>
      <w:bookmarkStart w:id="108" w:name="_Toc31500"/>
      <w:bookmarkStart w:id="109" w:name="_Toc4145"/>
      <w:bookmarkStart w:id="110" w:name="_Toc30889"/>
      <w:r>
        <w:rPr>
          <w:rFonts w:hint="eastAsia" w:ascii="仿宋" w:hAnsi="仿宋" w:eastAsia="仿宋"/>
          <w:b/>
          <w:sz w:val="32"/>
          <w:szCs w:val="32"/>
        </w:rPr>
        <w:t>（二）“三公”经费财政拨款支出决算具体情况说明</w:t>
      </w:r>
      <w:bookmarkEnd w:id="107"/>
      <w:bookmarkEnd w:id="108"/>
      <w:bookmarkEnd w:id="109"/>
      <w:bookmarkEnd w:id="110"/>
    </w:p>
    <w:p>
      <w:pPr>
        <w:spacing w:line="600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年“三公”经费财政拨款支出决算中，因公出国（境）费支出决算0万元；公务用车购置及运行维护费支出决算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1.26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；公务接待费支出决算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ascii="仿宋" w:hAnsi="仿宋" w:eastAsia="仿宋"/>
          <w:sz w:val="32"/>
          <w:szCs w:val="32"/>
        </w:rPr>
        <w:t>%</w:t>
      </w:r>
      <w:r>
        <w:rPr>
          <w:rFonts w:hint="eastAsia" w:ascii="仿宋" w:hAnsi="仿宋" w:eastAsia="仿宋"/>
          <w:sz w:val="32"/>
          <w:szCs w:val="32"/>
        </w:rPr>
        <w:t>。具体情况如下：</w:t>
      </w:r>
    </w:p>
    <w:p>
      <w:pPr>
        <w:pStyle w:val="8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pict>
          <v:shape id="Object 13" o:spid="_x0000_s2057" o:spt="75" type="#_x0000_t75" style="position:absolute;left:0pt;margin-left:59.65pt;margin-top:6.45pt;height:201.85pt;width:332.3pt;z-index:251664384;mso-width-relative:page;mso-height-relative:page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</v:shape>
          <o:OLEObject Type="Embed" ProgID="Excel.Chart.8" ShapeID="Object 13" DrawAspect="Content" ObjectID="_1468075730" r:id="rId17">
            <o:LockedField>false</o:LockedField>
          </o:OLEObject>
        </w:pict>
      </w:r>
    </w:p>
    <w:p>
      <w:pPr>
        <w:pStyle w:val="8"/>
        <w:rPr>
          <w:rFonts w:hint="eastAsia" w:ascii="仿宋" w:hAnsi="仿宋" w:eastAsia="仿宋"/>
          <w:sz w:val="32"/>
          <w:szCs w:val="32"/>
        </w:rPr>
      </w:pPr>
    </w:p>
    <w:p>
      <w:pPr>
        <w:pStyle w:val="8"/>
        <w:rPr>
          <w:rFonts w:hint="eastAsia" w:ascii="仿宋" w:hAnsi="仿宋" w:eastAsia="仿宋"/>
          <w:sz w:val="32"/>
          <w:szCs w:val="32"/>
        </w:rPr>
      </w:pPr>
    </w:p>
    <w:p>
      <w:pPr>
        <w:pStyle w:val="8"/>
        <w:rPr>
          <w:rFonts w:hint="eastAsia" w:ascii="仿宋" w:hAnsi="仿宋" w:eastAsia="仿宋"/>
          <w:sz w:val="32"/>
          <w:szCs w:val="32"/>
        </w:rPr>
      </w:pPr>
    </w:p>
    <w:p>
      <w:pPr>
        <w:pStyle w:val="8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（图7：“三公”经费财政拨款支出结构）</w:t>
      </w:r>
    </w:p>
    <w:p>
      <w:pPr>
        <w:spacing w:line="600" w:lineRule="exact"/>
        <w:ind w:firstLine="640"/>
      </w:pPr>
      <w:r>
        <w:rPr>
          <w:rFonts w:ascii="仿宋_GB2312" w:eastAsia="仿宋_GB2312"/>
          <w:b/>
          <w:sz w:val="32"/>
          <w:szCs w:val="32"/>
        </w:rPr>
        <w:t>1.</w:t>
      </w:r>
      <w:r>
        <w:rPr>
          <w:rFonts w:hint="eastAsia" w:ascii="仿宋" w:hAnsi="仿宋" w:eastAsia="仿宋"/>
          <w:b/>
          <w:sz w:val="32"/>
          <w:szCs w:val="32"/>
        </w:rPr>
        <w:t xml:space="preserve"> 因公出国经费为0万元，年初未安排预算，因公出国</w:t>
      </w:r>
      <w:r>
        <w:rPr>
          <w:rFonts w:hint="eastAsia" w:ascii="仿宋_GB2312" w:eastAsia="仿宋_GB2312"/>
          <w:b/>
          <w:sz w:val="32"/>
          <w:szCs w:val="32"/>
        </w:rPr>
        <w:t>（境）</w:t>
      </w:r>
      <w:r>
        <w:rPr>
          <w:rFonts w:hint="eastAsia" w:ascii="仿宋" w:hAnsi="仿宋" w:eastAsia="仿宋"/>
          <w:b/>
          <w:sz w:val="32"/>
          <w:szCs w:val="32"/>
        </w:rPr>
        <w:t>支出决算较202</w:t>
      </w:r>
      <w:r>
        <w:rPr>
          <w:rFonts w:hint="default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</w:rPr>
        <w:t>年无变化。</w:t>
      </w:r>
    </w:p>
    <w:p>
      <w:pPr>
        <w:spacing w:line="600" w:lineRule="exact"/>
        <w:ind w:firstLine="640"/>
        <w:rPr>
          <w:rFonts w:hint="eastAsia" w:ascii="仿宋_GB2312" w:eastAsia="仿宋"/>
          <w:b/>
          <w:sz w:val="32"/>
          <w:szCs w:val="32"/>
          <w:lang w:val="en-US" w:eastAsia="zh-CN"/>
        </w:rPr>
      </w:pPr>
      <w:r>
        <w:rPr>
          <w:rFonts w:ascii="仿宋_GB2312" w:eastAsia="仿宋_GB2312"/>
          <w:b/>
          <w:sz w:val="32"/>
          <w:szCs w:val="32"/>
        </w:rPr>
        <w:t>2.</w:t>
      </w:r>
      <w:r>
        <w:rPr>
          <w:rFonts w:hint="eastAsia" w:ascii="仿宋_GB2312" w:eastAsia="仿宋_GB2312"/>
          <w:b/>
          <w:sz w:val="32"/>
          <w:szCs w:val="32"/>
        </w:rPr>
        <w:t>公务用车购置及运行维护费支出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1.26</w:t>
      </w:r>
      <w:r>
        <w:rPr>
          <w:rFonts w:hint="eastAsia" w:ascii="仿宋_GB2312" w:eastAsia="仿宋_GB2312"/>
          <w:sz w:val="32"/>
          <w:szCs w:val="32"/>
        </w:rPr>
        <w:t>万元,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完成预算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100</w:t>
      </w:r>
      <w:r>
        <w:rPr>
          <w:rStyle w:val="21"/>
          <w:rFonts w:ascii="仿宋" w:hAnsi="仿宋" w:eastAsia="仿宋"/>
          <w:b w:val="0"/>
          <w:bCs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公务用车购置及运行维护费支出决算比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0.32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34.04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。主要原因是</w:t>
      </w:r>
      <w:r>
        <w:rPr>
          <w:rFonts w:hint="eastAsia" w:ascii="仿宋_GB2312" w:eastAsia="仿宋_GB2312"/>
          <w:sz w:val="32"/>
          <w:szCs w:val="32"/>
          <w:lang w:eastAsia="zh-CN"/>
        </w:rPr>
        <w:t>市救灾物资中心公务用车维修及保险费增加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其中：</w:t>
      </w:r>
      <w:r>
        <w:rPr>
          <w:rFonts w:hint="eastAsia" w:ascii="仿宋_GB2312" w:eastAsia="仿宋_GB2312"/>
          <w:b/>
          <w:sz w:val="32"/>
          <w:szCs w:val="32"/>
        </w:rPr>
        <w:t>公务用车购置支出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全年按规定更新购置公务用车0辆，</w:t>
      </w:r>
      <w:r>
        <w:rPr>
          <w:rFonts w:hint="eastAsia" w:ascii="仿宋_GB2312" w:eastAsia="仿宋_GB2312"/>
          <w:color w:val="000000"/>
          <w:sz w:val="32"/>
          <w:szCs w:val="32"/>
        </w:rPr>
        <w:t>金额0元。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截至202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年12月底，</w:t>
      </w:r>
      <w:r>
        <w:rPr>
          <w:rFonts w:hint="eastAsia" w:ascii="仿宋_GB2312" w:eastAsia="仿宋_GB2312"/>
          <w:sz w:val="32"/>
          <w:szCs w:val="32"/>
        </w:rPr>
        <w:t>市粮油质监站（包括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市救灾物资管理中心</w:t>
      </w:r>
      <w:r>
        <w:rPr>
          <w:rFonts w:hint="eastAsia" w:ascii="仿宋_GB2312" w:eastAsia="仿宋_GB2312"/>
          <w:sz w:val="32"/>
          <w:szCs w:val="32"/>
        </w:rPr>
        <w:t>）载客汽车1辆。</w:t>
      </w:r>
    </w:p>
    <w:p>
      <w:pPr>
        <w:spacing w:line="60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公务用车运行维护费支出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1.26</w:t>
      </w:r>
      <w:r>
        <w:rPr>
          <w:rFonts w:hint="eastAsia" w:ascii="仿宋_GB2312" w:eastAsia="仿宋_GB2312"/>
          <w:sz w:val="32"/>
          <w:szCs w:val="32"/>
        </w:rPr>
        <w:t>万元。主要用于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市救灾物资管理中心</w:t>
      </w:r>
      <w:r>
        <w:rPr>
          <w:rFonts w:hint="eastAsia" w:ascii="仿宋_GB2312" w:eastAsia="仿宋_GB2312"/>
          <w:bCs/>
          <w:color w:val="000000"/>
          <w:sz w:val="32"/>
          <w:szCs w:val="32"/>
          <w:lang w:eastAsia="zh-CN"/>
        </w:rPr>
        <w:t>车辆保险及维修维护费支出。</w:t>
      </w:r>
    </w:p>
    <w:p>
      <w:pPr>
        <w:spacing w:line="6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3.</w:t>
      </w:r>
      <w:r>
        <w:rPr>
          <w:rFonts w:hint="eastAsia" w:ascii="仿宋_GB2312" w:eastAsia="仿宋_GB2312"/>
          <w:b/>
          <w:sz w:val="32"/>
          <w:szCs w:val="32"/>
        </w:rPr>
        <w:t>公务接待费支出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Style w:val="21"/>
          <w:rFonts w:hint="eastAsia" w:ascii="仿宋" w:hAnsi="仿宋" w:eastAsia="仿宋"/>
          <w:b w:val="0"/>
          <w:bCs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公务接待费支出决算比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1年减少0.09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下降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。主要原因：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受新冠肺炎疫情影响，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未产生公务接待支出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其中：</w:t>
      </w:r>
    </w:p>
    <w:p>
      <w:pPr>
        <w:spacing w:line="60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国内公务接待支出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</w:t>
      </w:r>
      <w:bookmarkStart w:id="111" w:name="_Toc15377218"/>
      <w:bookmarkStart w:id="112" w:name="_Toc15396610"/>
      <w:r>
        <w:rPr>
          <w:rFonts w:hint="eastAsia" w:ascii="仿宋_GB2312" w:eastAsia="仿宋_GB2312"/>
          <w:sz w:val="32"/>
          <w:szCs w:val="32"/>
        </w:rPr>
        <w:t>国内公务接待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批次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共计支出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hint="eastAsia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外事接待支出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0"/>
        <w:outlineLvl w:val="1"/>
        <w:rPr>
          <w:rStyle w:val="32"/>
          <w:rFonts w:ascii="黑体" w:hAnsi="黑体" w:eastAsia="黑体"/>
        </w:rPr>
      </w:pPr>
      <w:bookmarkStart w:id="113" w:name="_Toc9109"/>
      <w:bookmarkStart w:id="114" w:name="_Toc3122"/>
      <w:r>
        <w:rPr>
          <w:rFonts w:hint="eastAsia" w:ascii="黑体" w:eastAsia="黑体"/>
          <w:sz w:val="32"/>
          <w:szCs w:val="32"/>
        </w:rPr>
        <w:t>八、</w:t>
      </w:r>
      <w:r>
        <w:rPr>
          <w:rStyle w:val="32"/>
          <w:rFonts w:hint="eastAsia" w:ascii="黑体" w:hAnsi="黑体" w:eastAsia="黑体"/>
          <w:b w:val="0"/>
        </w:rPr>
        <w:t>政府性基金预算支出决算情况说明</w:t>
      </w:r>
      <w:bookmarkEnd w:id="111"/>
      <w:bookmarkEnd w:id="112"/>
      <w:bookmarkEnd w:id="113"/>
      <w:bookmarkEnd w:id="114"/>
    </w:p>
    <w:p>
      <w:pPr>
        <w:spacing w:line="60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年我</w:t>
      </w:r>
      <w:r>
        <w:rPr>
          <w:rFonts w:hint="eastAsia" w:ascii="仿宋_GB2312" w:eastAsia="仿宋_GB2312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sz w:val="32"/>
          <w:szCs w:val="32"/>
        </w:rPr>
        <w:t>无政府性基金预算财政拨款支出。</w:t>
      </w:r>
    </w:p>
    <w:p>
      <w:pPr>
        <w:pStyle w:val="8"/>
      </w:pPr>
    </w:p>
    <w:p>
      <w:pPr>
        <w:numPr>
          <w:ilvl w:val="0"/>
          <w:numId w:val="2"/>
        </w:numPr>
        <w:spacing w:line="600" w:lineRule="exact"/>
        <w:ind w:firstLine="640"/>
        <w:outlineLvl w:val="1"/>
        <w:rPr>
          <w:rStyle w:val="32"/>
          <w:rFonts w:ascii="黑体" w:hAnsi="黑体" w:eastAsia="黑体"/>
          <w:b w:val="0"/>
        </w:rPr>
      </w:pPr>
      <w:bookmarkStart w:id="115" w:name="_Toc15377219"/>
      <w:bookmarkStart w:id="116" w:name="_Toc15396611"/>
      <w:bookmarkStart w:id="117" w:name="_Toc15010"/>
      <w:bookmarkStart w:id="118" w:name="_Toc16341"/>
      <w:r>
        <w:rPr>
          <w:rStyle w:val="32"/>
          <w:rFonts w:hint="eastAsia" w:ascii="黑体" w:hAnsi="黑体" w:eastAsia="黑体"/>
          <w:b w:val="0"/>
        </w:rPr>
        <w:t>国有资本经营预算支出决算情况说明</w:t>
      </w:r>
      <w:bookmarkEnd w:id="115"/>
      <w:bookmarkEnd w:id="116"/>
      <w:bookmarkEnd w:id="117"/>
      <w:bookmarkEnd w:id="118"/>
    </w:p>
    <w:p>
      <w:pPr>
        <w:spacing w:line="60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年我</w:t>
      </w:r>
      <w:r>
        <w:rPr>
          <w:rFonts w:hint="eastAsia" w:ascii="仿宋_GB2312" w:eastAsia="仿宋_GB2312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sz w:val="32"/>
          <w:szCs w:val="32"/>
        </w:rPr>
        <w:t>无国有资本经营预算财政拨款支出。</w:t>
      </w:r>
      <w:bookmarkStart w:id="119" w:name="_Toc15377221"/>
      <w:bookmarkStart w:id="120" w:name="_Toc15396612"/>
    </w:p>
    <w:p>
      <w:pPr>
        <w:pStyle w:val="2"/>
        <w:rPr>
          <w:rFonts w:hint="eastAsia" w:ascii="仿宋_GB2312" w:eastAsia="仿宋_GB2312"/>
          <w:sz w:val="32"/>
          <w:szCs w:val="32"/>
        </w:rPr>
      </w:pPr>
    </w:p>
    <w:p/>
    <w:p>
      <w:pPr>
        <w:numPr>
          <w:ilvl w:val="0"/>
          <w:numId w:val="2"/>
        </w:numPr>
        <w:spacing w:line="600" w:lineRule="exact"/>
        <w:ind w:firstLine="640"/>
        <w:outlineLvl w:val="1"/>
        <w:rPr>
          <w:rStyle w:val="32"/>
          <w:rFonts w:ascii="黑体" w:hAnsi="黑体" w:eastAsia="黑体"/>
          <w:b w:val="0"/>
        </w:rPr>
      </w:pPr>
      <w:bookmarkStart w:id="121" w:name="_Toc21271"/>
      <w:bookmarkStart w:id="122" w:name="_Toc12798"/>
      <w:r>
        <w:rPr>
          <w:rStyle w:val="32"/>
          <w:rFonts w:hint="eastAsia" w:ascii="黑体" w:hAnsi="黑体" w:eastAsia="黑体"/>
          <w:b w:val="0"/>
        </w:rPr>
        <w:t>其他重要事项的情况说明</w:t>
      </w:r>
      <w:bookmarkEnd w:id="119"/>
      <w:bookmarkEnd w:id="120"/>
      <w:bookmarkEnd w:id="121"/>
      <w:bookmarkEnd w:id="122"/>
    </w:p>
    <w:p>
      <w:pPr>
        <w:spacing w:line="600" w:lineRule="exact"/>
        <w:ind w:firstLine="643" w:firstLineChars="200"/>
        <w:outlineLvl w:val="2"/>
        <w:rPr>
          <w:rFonts w:ascii="仿宋" w:hAnsi="仿宋" w:eastAsia="仿宋"/>
          <w:sz w:val="32"/>
          <w:szCs w:val="32"/>
        </w:rPr>
      </w:pPr>
      <w:bookmarkStart w:id="123" w:name="_Toc12885"/>
      <w:bookmarkStart w:id="124" w:name="_Toc15377222"/>
      <w:bookmarkStart w:id="125" w:name="_Toc26677"/>
      <w:bookmarkStart w:id="126" w:name="_Toc536"/>
      <w:r>
        <w:rPr>
          <w:rFonts w:hint="eastAsia" w:ascii="仿宋" w:hAnsi="仿宋" w:eastAsia="仿宋"/>
          <w:b/>
          <w:sz w:val="32"/>
          <w:szCs w:val="32"/>
        </w:rPr>
        <w:t>（一）机关运行经费支出情况</w:t>
      </w:r>
      <w:bookmarkEnd w:id="123"/>
      <w:bookmarkEnd w:id="124"/>
      <w:bookmarkEnd w:id="125"/>
      <w:bookmarkEnd w:id="126"/>
    </w:p>
    <w:p>
      <w:pPr>
        <w:spacing w:line="576" w:lineRule="exact"/>
        <w:ind w:firstLine="640" w:firstLineChars="200"/>
        <w:rPr>
          <w:rFonts w:hint="eastAsia" w:ascii="仿宋_GB2312" w:hAnsi="仿宋" w:eastAsia="仿宋_GB2312"/>
          <w:color w:val="FF0000"/>
          <w:sz w:val="32"/>
          <w:szCs w:val="32"/>
        </w:rPr>
      </w:pPr>
      <w:bookmarkStart w:id="127" w:name="_Toc15377223"/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我站为公益一类事业单位，202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年未发生机关运行经费支出，与202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年决算数持平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utoSpaceDE w:val="0"/>
        <w:autoSpaceDN w:val="0"/>
        <w:adjustRightInd w:val="0"/>
        <w:spacing w:line="600" w:lineRule="exact"/>
        <w:ind w:firstLine="643" w:firstLineChars="200"/>
        <w:jc w:val="left"/>
        <w:outlineLvl w:val="2"/>
        <w:rPr>
          <w:rFonts w:ascii="仿宋" w:hAnsi="仿宋" w:eastAsia="仿宋"/>
          <w:b/>
          <w:sz w:val="32"/>
          <w:szCs w:val="32"/>
        </w:rPr>
      </w:pPr>
      <w:bookmarkStart w:id="128" w:name="_Toc8421"/>
      <w:bookmarkStart w:id="129" w:name="_Toc1402"/>
      <w:bookmarkStart w:id="130" w:name="_Toc15143"/>
      <w:r>
        <w:rPr>
          <w:rFonts w:hint="eastAsia" w:ascii="仿宋" w:hAnsi="仿宋" w:eastAsia="仿宋"/>
          <w:b/>
          <w:sz w:val="32"/>
          <w:szCs w:val="32"/>
        </w:rPr>
        <w:t>（二）政府采购支出情况</w:t>
      </w:r>
      <w:bookmarkEnd w:id="127"/>
      <w:bookmarkEnd w:id="128"/>
      <w:bookmarkEnd w:id="129"/>
      <w:bookmarkEnd w:id="130"/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年，我</w:t>
      </w:r>
      <w:r>
        <w:rPr>
          <w:rFonts w:hint="eastAsia" w:ascii="仿宋_GB2312" w:eastAsia="仿宋_GB2312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sz w:val="32"/>
          <w:szCs w:val="32"/>
        </w:rPr>
        <w:t>政府采购支出总额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357.07</w:t>
      </w:r>
      <w:r>
        <w:rPr>
          <w:rFonts w:hint="eastAsia" w:ascii="仿宋_GB2312" w:eastAsia="仿宋_GB2312"/>
          <w:sz w:val="32"/>
          <w:szCs w:val="32"/>
        </w:rPr>
        <w:t>万元，其中：政府采购货物支出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357.07</w:t>
      </w:r>
      <w:r>
        <w:rPr>
          <w:rFonts w:hint="eastAsia" w:asci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专用设备</w:t>
      </w:r>
      <w:r>
        <w:rPr>
          <w:rFonts w:hint="eastAsia" w:ascii="仿宋_GB2312" w:hAnsi="仿宋_GB2312" w:eastAsia="仿宋_GB2312" w:cs="仿宋_GB2312"/>
          <w:sz w:val="32"/>
          <w:szCs w:val="32"/>
        </w:rPr>
        <w:t>及救灾物资的采购</w:t>
      </w:r>
      <w:r>
        <w:rPr>
          <w:rFonts w:hint="eastAsia" w:ascii="仿宋_GB2312" w:eastAsia="仿宋_GB2312"/>
          <w:sz w:val="32"/>
          <w:szCs w:val="32"/>
        </w:rPr>
        <w:t>。授予中小企业合同金额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357.07</w:t>
      </w:r>
      <w:r>
        <w:rPr>
          <w:rFonts w:hint="eastAsia" w:ascii="仿宋_GB2312" w:eastAsia="仿宋_GB2312"/>
          <w:sz w:val="32"/>
          <w:szCs w:val="32"/>
        </w:rPr>
        <w:t>万元，占政府采购支出总额的100</w:t>
      </w:r>
      <w:r>
        <w:rPr>
          <w:rFonts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,其中：授予小微企业合同金额357.07万元，占政府采购支出总额的100%。</w:t>
      </w:r>
    </w:p>
    <w:p>
      <w:pPr>
        <w:autoSpaceDE w:val="0"/>
        <w:autoSpaceDN w:val="0"/>
        <w:adjustRightInd w:val="0"/>
        <w:spacing w:line="600" w:lineRule="exact"/>
        <w:ind w:firstLine="643" w:firstLineChars="200"/>
        <w:jc w:val="left"/>
        <w:outlineLvl w:val="2"/>
        <w:rPr>
          <w:rFonts w:ascii="仿宋" w:hAnsi="仿宋" w:eastAsia="仿宋"/>
          <w:b/>
          <w:sz w:val="32"/>
          <w:szCs w:val="32"/>
        </w:rPr>
      </w:pPr>
      <w:bookmarkStart w:id="131" w:name="_Toc19085"/>
      <w:bookmarkStart w:id="132" w:name="_Toc15377224"/>
      <w:bookmarkStart w:id="133" w:name="_Toc16963"/>
      <w:bookmarkStart w:id="134" w:name="_Toc20096"/>
      <w:r>
        <w:rPr>
          <w:rFonts w:hint="eastAsia" w:ascii="仿宋" w:hAnsi="仿宋" w:eastAsia="仿宋"/>
          <w:b/>
          <w:sz w:val="32"/>
          <w:szCs w:val="32"/>
        </w:rPr>
        <w:t>（三）国有资产占有使用情况</w:t>
      </w:r>
      <w:bookmarkEnd w:id="131"/>
      <w:bookmarkEnd w:id="132"/>
      <w:bookmarkEnd w:id="133"/>
      <w:bookmarkEnd w:id="134"/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31</w:t>
      </w:r>
      <w:r>
        <w:rPr>
          <w:rFonts w:hint="eastAsia" w:ascii="仿宋_GB2312" w:eastAsia="仿宋_GB2312"/>
          <w:sz w:val="32"/>
          <w:szCs w:val="32"/>
        </w:rPr>
        <w:t>日，我</w:t>
      </w:r>
      <w:r>
        <w:rPr>
          <w:rFonts w:hint="eastAsia" w:ascii="仿宋_GB2312" w:eastAsia="仿宋_GB2312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sz w:val="32"/>
          <w:szCs w:val="32"/>
        </w:rPr>
        <w:t>共有车辆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辆，其中：其他用车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辆。其他用车主要是用于</w:t>
      </w:r>
      <w:r>
        <w:rPr>
          <w:rFonts w:hint="eastAsia" w:ascii="仿宋_GB2312" w:eastAsia="仿宋_GB2312"/>
          <w:sz w:val="32"/>
          <w:szCs w:val="32"/>
          <w:lang w:eastAsia="zh-CN"/>
        </w:rPr>
        <w:t>市救灾物资管理中心</w:t>
      </w:r>
      <w:r>
        <w:rPr>
          <w:rFonts w:hint="eastAsia" w:ascii="仿宋_GB2312" w:eastAsia="仿宋_GB2312"/>
          <w:sz w:val="32"/>
          <w:szCs w:val="32"/>
        </w:rPr>
        <w:t>日常工作任务开展用车。单价</w:t>
      </w:r>
      <w:r>
        <w:rPr>
          <w:rFonts w:ascii="仿宋_GB2312" w:eastAsia="仿宋_GB2312"/>
          <w:sz w:val="32"/>
          <w:szCs w:val="32"/>
        </w:rPr>
        <w:t>100</w:t>
      </w:r>
      <w:r>
        <w:rPr>
          <w:rFonts w:hint="eastAsia" w:ascii="仿宋_GB2312" w:eastAsia="仿宋_GB2312"/>
          <w:sz w:val="32"/>
          <w:szCs w:val="32"/>
        </w:rPr>
        <w:t>万元以上专用设备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台（套）。</w:t>
      </w:r>
      <w:bookmarkStart w:id="135" w:name="_Toc7892"/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outlineLvl w:val="2"/>
        <w:rPr>
          <w:rStyle w:val="32"/>
          <w:rFonts w:ascii="黑体" w:hAnsi="黑体" w:eastAsia="黑体"/>
          <w:b w:val="0"/>
        </w:rPr>
      </w:pPr>
      <w:bookmarkStart w:id="136" w:name="_Toc8522"/>
      <w:bookmarkStart w:id="137" w:name="_Toc26911"/>
      <w:r>
        <w:rPr>
          <w:rStyle w:val="32"/>
          <w:rFonts w:hint="eastAsia" w:ascii="黑体" w:hAnsi="黑体" w:eastAsia="黑体"/>
          <w:b w:val="0"/>
          <w:lang w:eastAsia="zh-CN"/>
        </w:rPr>
        <w:t>（四）</w:t>
      </w:r>
      <w:r>
        <w:rPr>
          <w:rStyle w:val="32"/>
          <w:rFonts w:hint="eastAsia" w:ascii="黑体" w:hAnsi="黑体" w:eastAsia="黑体"/>
          <w:b w:val="0"/>
        </w:rPr>
        <w:t>预算绩效管理情况</w:t>
      </w:r>
      <w:bookmarkEnd w:id="135"/>
      <w:bookmarkEnd w:id="136"/>
    </w:p>
    <w:bookmarkEnd w:id="137"/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根据预算绩效管理要求，本单位在202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年度预算编制阶段，组织对粮食质量调查与品质测报、实验室基础设施及仪器设备运行维护费、政策性库存粮油质量检测经费等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个项目开展了预算事前绩效评估，对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个项目编制了绩效目标，预算执行过程中，选取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个项目开展绩效监控，年终执行完毕后，对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个项目开展了绩效自评，绩效自评表详见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第四部分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附件。</w:t>
      </w:r>
    </w:p>
    <w:p>
      <w:pPr>
        <w:pStyle w:val="2"/>
      </w:pPr>
    </w:p>
    <w:p>
      <w:pPr>
        <w:pStyle w:val="8"/>
        <w:spacing w:before="93"/>
        <w:rPr>
          <w:highlight w:val="yellow"/>
        </w:rPr>
      </w:pPr>
    </w:p>
    <w:p>
      <w:pPr>
        <w:widowControl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br w:type="page"/>
      </w:r>
    </w:p>
    <w:p>
      <w:pPr>
        <w:numPr>
          <w:ilvl w:val="0"/>
          <w:numId w:val="3"/>
        </w:numPr>
        <w:spacing w:line="600" w:lineRule="exact"/>
        <w:ind w:firstLine="660" w:firstLineChars="150"/>
        <w:jc w:val="center"/>
        <w:outlineLvl w:val="0"/>
        <w:rPr>
          <w:rStyle w:val="31"/>
          <w:rFonts w:ascii="黑体" w:hAnsi="黑体" w:eastAsia="黑体"/>
          <w:b w:val="0"/>
        </w:rPr>
      </w:pPr>
      <w:bookmarkStart w:id="138" w:name="_Toc15377225"/>
      <w:bookmarkStart w:id="139" w:name="_Toc17789"/>
      <w:bookmarkStart w:id="140" w:name="_Toc28594"/>
      <w:bookmarkStart w:id="141" w:name="_Toc15396613"/>
      <w:r>
        <w:rPr>
          <w:rFonts w:hint="eastAsia" w:ascii="黑体" w:hAnsi="黑体" w:eastAsia="黑体"/>
          <w:sz w:val="44"/>
          <w:szCs w:val="44"/>
        </w:rPr>
        <w:t>名</w:t>
      </w:r>
      <w:r>
        <w:rPr>
          <w:rStyle w:val="31"/>
          <w:rFonts w:hint="eastAsia" w:ascii="黑体" w:hAnsi="黑体" w:eastAsia="黑体"/>
          <w:b w:val="0"/>
        </w:rPr>
        <w:t>词解释</w:t>
      </w:r>
      <w:bookmarkEnd w:id="138"/>
      <w:bookmarkEnd w:id="139"/>
      <w:bookmarkEnd w:id="140"/>
      <w:bookmarkEnd w:id="141"/>
    </w:p>
    <w:p>
      <w:pPr>
        <w:spacing w:line="600" w:lineRule="exact"/>
        <w:jc w:val="left"/>
        <w:rPr>
          <w:rFonts w:ascii="宋体"/>
          <w:b/>
          <w:sz w:val="44"/>
          <w:szCs w:val="44"/>
        </w:rPr>
      </w:pPr>
    </w:p>
    <w:p>
      <w:pPr>
        <w:pStyle w:val="29"/>
        <w:numPr>
          <w:ilvl w:val="0"/>
          <w:numId w:val="4"/>
        </w:numPr>
        <w:spacing w:line="560" w:lineRule="exact"/>
        <w:ind w:left="425" w:leftChars="0" w:hanging="42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财政拨款收入：指单位从同级财政部门取得的财政预算资金。</w:t>
      </w:r>
    </w:p>
    <w:p>
      <w:pPr>
        <w:pStyle w:val="29"/>
        <w:numPr>
          <w:ilvl w:val="0"/>
          <w:numId w:val="4"/>
        </w:numPr>
        <w:spacing w:line="560" w:lineRule="exact"/>
        <w:ind w:left="425" w:leftChars="0" w:hanging="425" w:firstLine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其他收入：指单位取得的除上述收入以外的各项收入。主要是账户存款利息收入等。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pStyle w:val="29"/>
        <w:numPr>
          <w:ilvl w:val="0"/>
          <w:numId w:val="4"/>
        </w:numPr>
        <w:spacing w:line="560" w:lineRule="exact"/>
        <w:ind w:left="425" w:leftChars="0" w:hanging="425" w:firstLine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年初结转和结余：指以前年度尚未完成、结转到本年按有关规定继续使用的资金。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pStyle w:val="29"/>
        <w:numPr>
          <w:ilvl w:val="0"/>
          <w:numId w:val="4"/>
        </w:numPr>
        <w:spacing w:line="560" w:lineRule="exact"/>
        <w:ind w:left="425" w:leftChars="0" w:hanging="425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年末结转和结余：指单位按有关规定结转到下年或以后年度继续使用的资金。</w:t>
      </w:r>
    </w:p>
    <w:p>
      <w:pPr>
        <w:pStyle w:val="29"/>
        <w:numPr>
          <w:ilvl w:val="0"/>
          <w:numId w:val="0"/>
        </w:numPr>
        <w:spacing w:line="560" w:lineRule="exact"/>
        <w:ind w:leftChars="0"/>
      </w:pP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5.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社会保障和就业支出（类）行政事业单位养老支出（款）</w:t>
      </w: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 xml:space="preserve">  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机关事业单位基本养老保险缴费支出（项）指本单位人员养老保险支出。</w:t>
      </w:r>
    </w:p>
    <w:p>
      <w:pPr>
        <w:pStyle w:val="29"/>
        <w:numPr>
          <w:ilvl w:val="0"/>
          <w:numId w:val="0"/>
        </w:numPr>
        <w:spacing w:line="560" w:lineRule="exact"/>
        <w:ind w:leftChars="0"/>
      </w:pP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6.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社会保障和就业支出（类）行政事业单位养老支出（款）机关事业单位职业年金缴费支出（项）指本单位退休人中职业年金纪实支出。</w:t>
      </w:r>
    </w:p>
    <w:p>
      <w:pPr>
        <w:pStyle w:val="29"/>
        <w:numPr>
          <w:ilvl w:val="0"/>
          <w:numId w:val="0"/>
        </w:numPr>
        <w:spacing w:line="560" w:lineRule="exact"/>
        <w:ind w:leftChars="0"/>
      </w:pPr>
      <w:r>
        <w:rPr>
          <w:rFonts w:hint="default" w:ascii="仿宋_GB2312" w:eastAsia="仿宋_GB2312"/>
          <w:b w:val="0"/>
          <w:bCs w:val="0"/>
          <w:sz w:val="32"/>
          <w:szCs w:val="32"/>
          <w:lang w:eastAsia="zh-CN"/>
        </w:rPr>
        <w:t>7.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社会保障和就业支出（类）其他社会保障和就业支出（款）其他社会保障和就业支出（项）指本单位其他社会保障缴费。</w:t>
      </w:r>
    </w:p>
    <w:p>
      <w:pPr>
        <w:pStyle w:val="29"/>
        <w:numPr>
          <w:ilvl w:val="0"/>
          <w:numId w:val="0"/>
        </w:numPr>
        <w:spacing w:line="560" w:lineRule="exact"/>
        <w:ind w:leftChars="0"/>
      </w:pPr>
      <w:r>
        <w:rPr>
          <w:rFonts w:hint="default" w:hAnsi="仿宋"/>
          <w:b w:val="0"/>
          <w:bCs w:val="0"/>
          <w:sz w:val="32"/>
          <w:szCs w:val="32"/>
        </w:rPr>
        <w:t>8.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卫生健康支出</w:t>
      </w:r>
      <w:r>
        <w:rPr>
          <w:rStyle w:val="21"/>
          <w:rFonts w:hint="eastAsia" w:ascii="仿宋" w:hAnsi="仿宋" w:eastAsia="仿宋"/>
          <w:b w:val="0"/>
          <w:bCs w:val="0"/>
          <w:sz w:val="32"/>
          <w:szCs w:val="32"/>
        </w:rPr>
        <w:t>（类）行政</w:t>
      </w:r>
      <w:r>
        <w:rPr>
          <w:rStyle w:val="21"/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事业</w:t>
      </w:r>
      <w:r>
        <w:rPr>
          <w:rStyle w:val="21"/>
          <w:rFonts w:hint="eastAsia" w:ascii="仿宋" w:hAnsi="仿宋" w:eastAsia="仿宋"/>
          <w:b w:val="0"/>
          <w:bCs w:val="0"/>
          <w:sz w:val="32"/>
          <w:szCs w:val="32"/>
        </w:rPr>
        <w:t>单位医疗（款）</w:t>
      </w:r>
      <w:r>
        <w:rPr>
          <w:rStyle w:val="21"/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事业</w:t>
      </w:r>
      <w:r>
        <w:rPr>
          <w:rStyle w:val="21"/>
          <w:rFonts w:hint="eastAsia" w:ascii="仿宋" w:hAnsi="仿宋" w:eastAsia="仿宋"/>
          <w:b w:val="0"/>
          <w:bCs w:val="0"/>
          <w:sz w:val="32"/>
          <w:szCs w:val="32"/>
        </w:rPr>
        <w:t>单位医疗（项）指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事业单位人员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医疗保险支出</w:t>
      </w:r>
      <w:r>
        <w:rPr>
          <w:rStyle w:val="21"/>
          <w:rFonts w:hint="eastAsia" w:ascii="仿宋" w:hAnsi="仿宋" w:eastAsia="仿宋"/>
          <w:b w:val="0"/>
          <w:bCs w:val="0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leftChars="0"/>
      </w:pPr>
      <w:r>
        <w:rPr>
          <w:rFonts w:hint="default" w:ascii="仿宋" w:hAnsi="仿宋" w:eastAsia="仿宋"/>
          <w:b w:val="0"/>
          <w:bCs w:val="0"/>
          <w:sz w:val="32"/>
          <w:szCs w:val="32"/>
        </w:rPr>
        <w:t>9.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住房保障支出（类）住房改革支出（款）住房公积金（项）指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事业单位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人员住房公积金缴费支出。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hint="eastAsia"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10.</w:t>
      </w:r>
      <w:r>
        <w:rPr>
          <w:rFonts w:hint="eastAsia" w:ascii="仿宋_GB2312" w:hAnsi="仿宋" w:eastAsia="仿宋_GB2312"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sz w:val="32"/>
          <w:szCs w:val="32"/>
        </w:rPr>
        <w:t>事务（款）专项业务活动（项）反映粮食体制改革、制度研究、军粮供应等专项业务活动。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11.</w:t>
      </w:r>
      <w:r>
        <w:rPr>
          <w:rFonts w:hint="eastAsia" w:ascii="仿宋_GB2312" w:eastAsia="仿宋_GB2312"/>
          <w:sz w:val="32"/>
          <w:szCs w:val="32"/>
        </w:rPr>
        <w:t>粮油物资储备支出（类）粮油物资事务（款）物资保管保养（项）是用于</w:t>
      </w:r>
      <w:r>
        <w:rPr>
          <w:rFonts w:hint="eastAsia" w:ascii="仿宋_GB2312" w:eastAsia="仿宋_GB2312"/>
          <w:sz w:val="32"/>
          <w:szCs w:val="32"/>
          <w:lang w:eastAsia="zh-CN"/>
        </w:rPr>
        <w:t>我站（市救灾物资中心）</w:t>
      </w:r>
      <w:r>
        <w:rPr>
          <w:rFonts w:hint="eastAsia" w:ascii="仿宋_GB2312" w:eastAsia="仿宋_GB2312"/>
          <w:sz w:val="32"/>
          <w:szCs w:val="32"/>
        </w:rPr>
        <w:t>救灾物资仓库守库、装卸、翻晒、保养、运输方面的支出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29"/>
        <w:numPr>
          <w:ilvl w:val="0"/>
          <w:numId w:val="0"/>
        </w:numPr>
        <w:spacing w:line="560" w:lineRule="exact"/>
        <w:ind w:leftChars="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</w:rPr>
        <w:t>12.</w:t>
      </w:r>
      <w:r>
        <w:rPr>
          <w:rFonts w:hint="eastAsia" w:ascii="仿宋_GB2312" w:hAnsi="仿宋" w:eastAsia="仿宋_GB2312"/>
          <w:sz w:val="32"/>
          <w:szCs w:val="32"/>
        </w:rPr>
        <w:t>油物资储备支出（类）粮油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sz w:val="32"/>
          <w:szCs w:val="32"/>
        </w:rPr>
        <w:t>事务（款）事业运行（项）反映事业单位的基本支出。</w:t>
      </w:r>
    </w:p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ind w:leftChars="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13.</w:t>
      </w:r>
      <w:r>
        <w:rPr>
          <w:rFonts w:hint="eastAsia" w:ascii="仿宋_GB2312" w:hAnsi="仿宋" w:eastAsia="仿宋_GB2312"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sz w:val="32"/>
          <w:szCs w:val="32"/>
        </w:rPr>
        <w:t>事务（款）其他粮油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sz w:val="32"/>
          <w:szCs w:val="32"/>
        </w:rPr>
        <w:t>事务支出（项）反映除上述项目以外其他用于粮油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sz w:val="32"/>
          <w:szCs w:val="32"/>
        </w:rPr>
        <w:t>事务方面的支出。</w:t>
      </w:r>
    </w:p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ind w:leftChars="0"/>
      </w:pPr>
      <w:r>
        <w:rPr>
          <w:rFonts w:hint="default" w:ascii="仿宋_GB2312" w:eastAsia="仿宋_GB2312"/>
          <w:sz w:val="32"/>
          <w:szCs w:val="32"/>
        </w:rPr>
        <w:t>14.</w:t>
      </w:r>
      <w:r>
        <w:rPr>
          <w:rFonts w:hint="eastAsia" w:ascii="仿宋_GB2312" w:eastAsia="仿宋_GB2312"/>
          <w:sz w:val="32"/>
          <w:szCs w:val="32"/>
        </w:rPr>
        <w:t>粮油物资储备支出（类）重要商品储备（款）应急物资储备（项）</w:t>
      </w:r>
      <w:r>
        <w:rPr>
          <w:rFonts w:hint="eastAsia" w:ascii="仿宋_GB2312" w:eastAsia="仿宋_GB2312"/>
          <w:sz w:val="32"/>
          <w:szCs w:val="32"/>
          <w:lang w:eastAsia="zh-CN"/>
        </w:rPr>
        <w:t>指采购救灾物资储备支出。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15.</w:t>
      </w:r>
      <w:r>
        <w:rPr>
          <w:rFonts w:hint="eastAsia" w:ascii="仿宋_GB2312" w:eastAsia="仿宋_GB2312"/>
          <w:sz w:val="32"/>
          <w:szCs w:val="32"/>
        </w:rPr>
        <w:t>基本支出：指为保障机构正常运转、完成日常工作任务而发生的人员支出和公用支出。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16.</w:t>
      </w:r>
      <w:r>
        <w:rPr>
          <w:rFonts w:hint="eastAsia" w:ascii="仿宋_GB2312" w:eastAsia="仿宋_GB2312"/>
          <w:sz w:val="32"/>
          <w:szCs w:val="32"/>
        </w:rPr>
        <w:t>项目支出：指在基本支出之外为完成特定事业发展目标所发生的支出。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numPr>
          <w:ilvl w:val="0"/>
          <w:numId w:val="0"/>
        </w:numPr>
        <w:spacing w:line="600" w:lineRule="exact"/>
        <w:ind w:left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17.</w:t>
      </w:r>
      <w:r>
        <w:rPr>
          <w:rFonts w:hint="eastAsia" w:ascii="仿宋_GB2312" w:eastAsia="仿宋_GB2312"/>
          <w:color w:val="auto"/>
          <w:sz w:val="32"/>
          <w:szCs w:val="32"/>
        </w:rPr>
        <w:t>“三公”经费：指单位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  <w:bookmarkStart w:id="142" w:name="_Toc15377226"/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pStyle w:val="2"/>
        <w:rPr>
          <w:rFonts w:ascii="宋体"/>
          <w:b/>
          <w:sz w:val="44"/>
          <w:szCs w:val="44"/>
        </w:rPr>
      </w:pPr>
    </w:p>
    <w:p/>
    <w:p>
      <w:pPr>
        <w:spacing w:line="600" w:lineRule="exact"/>
        <w:jc w:val="center"/>
        <w:outlineLvl w:val="0"/>
        <w:rPr>
          <w:rStyle w:val="31"/>
          <w:rFonts w:ascii="黑体" w:hAnsi="黑体" w:eastAsia="黑体"/>
          <w:b w:val="0"/>
          <w:color w:val="auto"/>
          <w:highlight w:val="none"/>
        </w:rPr>
      </w:pPr>
      <w:bookmarkStart w:id="143" w:name="_Toc13567"/>
      <w:bookmarkStart w:id="144" w:name="_Toc6997"/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第</w:t>
      </w:r>
      <w:r>
        <w:rPr>
          <w:rStyle w:val="31"/>
          <w:rFonts w:hint="eastAsia" w:ascii="黑体" w:hAnsi="黑体" w:eastAsia="黑体"/>
          <w:b w:val="0"/>
          <w:color w:val="auto"/>
          <w:highlight w:val="none"/>
        </w:rPr>
        <w:t>四部分 附件</w:t>
      </w:r>
      <w:bookmarkEnd w:id="143"/>
      <w:bookmarkEnd w:id="144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2" w:lineRule="exact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pacing w:line="600" w:lineRule="exact"/>
        <w:jc w:val="center"/>
        <w:outlineLvl w:val="1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  <w:bookmarkStart w:id="145" w:name="_Toc1743"/>
      <w:bookmarkStart w:id="146" w:name="_Toc21060"/>
      <w:bookmarkStart w:id="147" w:name="_Toc12890"/>
      <w: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  <w:t>部门预算项目支出绩效自评表（2022年度）</w:t>
      </w:r>
      <w:bookmarkEnd w:id="145"/>
      <w:bookmarkEnd w:id="146"/>
      <w:bookmarkEnd w:id="147"/>
    </w:p>
    <w:p>
      <w:pPr>
        <w:pStyle w:val="2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tbl>
      <w:tblPr>
        <w:tblStyle w:val="19"/>
        <w:tblW w:w="11310" w:type="dxa"/>
        <w:tblInd w:w="-13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245"/>
        <w:gridCol w:w="930"/>
        <w:gridCol w:w="1110"/>
        <w:gridCol w:w="660"/>
        <w:gridCol w:w="765"/>
        <w:gridCol w:w="960"/>
        <w:gridCol w:w="945"/>
        <w:gridCol w:w="720"/>
        <w:gridCol w:w="765"/>
        <w:gridCol w:w="21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131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部门预算项目支出绩效自评表（2022年度）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51000021R000000019951-工资性支出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广元市发展和改革委员会部门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6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4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42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严格执行相关政策，保障工资及时发放、足额发放，预算编制科学合理，减少结余资金</w:t>
            </w:r>
          </w:p>
        </w:tc>
        <w:tc>
          <w:tcPr>
            <w:tcW w:w="45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严格执行相关政策，保障工资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了职工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及时发放、足额发放，预算编制科学合理，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年末无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结余资金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90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2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88.75</w:t>
            </w:r>
          </w:p>
        </w:tc>
        <w:tc>
          <w:tcPr>
            <w:tcW w:w="2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2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/>
                <w:iCs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88.75</w:t>
            </w:r>
          </w:p>
        </w:tc>
        <w:tc>
          <w:tcPr>
            <w:tcW w:w="2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足额保障率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科目调整次数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按时发放率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结余率（计算方法为：结余数/预算数）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6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评价结论</w:t>
            </w:r>
          </w:p>
        </w:tc>
        <w:tc>
          <w:tcPr>
            <w:tcW w:w="102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自评100分。该项目严格按照年度目标绩效完成了对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单位职工工资的发放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，保障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了职工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工资及时、足额发放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达到了项目绩效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存在问题</w:t>
            </w:r>
          </w:p>
        </w:tc>
        <w:tc>
          <w:tcPr>
            <w:tcW w:w="102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eastAsia="zh-CN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</w:t>
            </w:r>
          </w:p>
        </w:tc>
        <w:tc>
          <w:tcPr>
            <w:tcW w:w="102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eastAsia="zh-CN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49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63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tbl>
      <w:tblPr>
        <w:tblStyle w:val="19"/>
        <w:tblpPr w:leftFromText="180" w:rightFromText="180" w:vertAnchor="text" w:horzAnchor="page" w:tblpX="460" w:tblpY="970"/>
        <w:tblOverlap w:val="never"/>
        <w:tblW w:w="113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930"/>
        <w:gridCol w:w="909"/>
        <w:gridCol w:w="1131"/>
        <w:gridCol w:w="154"/>
        <w:gridCol w:w="821"/>
        <w:gridCol w:w="1065"/>
        <w:gridCol w:w="960"/>
        <w:gridCol w:w="1035"/>
        <w:gridCol w:w="720"/>
        <w:gridCol w:w="900"/>
        <w:gridCol w:w="2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132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部门预算项目支出绩效自评表（2022年度）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7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51000021R000000019956-离退休费支出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0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广元市发展和改革委员会部门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50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严格执行相关政策，保障工资及时发放、足额发放，预算编制科学合理，减少结余资金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严格执行相关政策，保障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退休人员生活补助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及时发放、足额发放，预算编制科学合理，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年末无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结余资金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97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30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总额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2.80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4.59</w:t>
            </w:r>
          </w:p>
        </w:tc>
        <w:tc>
          <w:tcPr>
            <w:tcW w:w="30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20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/>
                <w:iCs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2.80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4.59</w:t>
            </w:r>
          </w:p>
        </w:tc>
        <w:tc>
          <w:tcPr>
            <w:tcW w:w="30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0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0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0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足额保障率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科目调整次数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按时发放率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结余率（计算方法为：结余数/预算数）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69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评价结论</w:t>
            </w:r>
          </w:p>
        </w:tc>
        <w:tc>
          <w:tcPr>
            <w:tcW w:w="1063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自评100分。该项目严格按照年度目标绩效完成了对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退休人员生活补助及时、足额的发放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，达到了项目绩效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存在问题</w:t>
            </w:r>
          </w:p>
        </w:tc>
        <w:tc>
          <w:tcPr>
            <w:tcW w:w="1063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</w:t>
            </w:r>
          </w:p>
        </w:tc>
        <w:tc>
          <w:tcPr>
            <w:tcW w:w="1063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38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75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tbl>
      <w:tblPr>
        <w:tblStyle w:val="19"/>
        <w:tblW w:w="11370" w:type="dxa"/>
        <w:tblInd w:w="-13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077"/>
        <w:gridCol w:w="964"/>
        <w:gridCol w:w="1631"/>
        <w:gridCol w:w="729"/>
        <w:gridCol w:w="808"/>
        <w:gridCol w:w="946"/>
        <w:gridCol w:w="1170"/>
        <w:gridCol w:w="840"/>
        <w:gridCol w:w="691"/>
        <w:gridCol w:w="17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137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部门预算项目支出绩效自评表（2022年度）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5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51080021Y000000176770-其他公用经费（福利、工会、公车补贴、党建、退休活动）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07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广元市发展和改革委员会部门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507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44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7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保障单位日常运转，提高预算编制质量，严格执行预算</w:t>
            </w:r>
          </w:p>
        </w:tc>
        <w:tc>
          <w:tcPr>
            <w:tcW w:w="44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严格执行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年初绩效目标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单位日常运转，提高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预算编制质量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，年末无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结余资金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95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2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总额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6.38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6.38</w:t>
            </w:r>
          </w:p>
        </w:tc>
        <w:tc>
          <w:tcPr>
            <w:tcW w:w="2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/>
                <w:iCs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6.38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6.38</w:t>
            </w:r>
          </w:p>
        </w:tc>
        <w:tc>
          <w:tcPr>
            <w:tcW w:w="2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4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科目调整次数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预算编制准确率（计算方法为：∣（执行数-预算数）/预算数∣）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运转保障率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“三公经费”控制率[计算方法为：（三公经费实际支出数/预算安排数]×100%）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0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评价结论</w:t>
            </w:r>
          </w:p>
        </w:tc>
        <w:tc>
          <w:tcPr>
            <w:tcW w:w="106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自评100分。该项目严格按照年度目标绩效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执行，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保障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单位日常运转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达到了项目绩效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存在问题</w:t>
            </w:r>
          </w:p>
        </w:tc>
        <w:tc>
          <w:tcPr>
            <w:tcW w:w="106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eastAsia="zh-CN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</w:t>
            </w:r>
          </w:p>
        </w:tc>
        <w:tc>
          <w:tcPr>
            <w:tcW w:w="1064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1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623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tbl>
      <w:tblPr>
        <w:tblStyle w:val="19"/>
        <w:tblW w:w="11385" w:type="dxa"/>
        <w:tblInd w:w="-13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057"/>
        <w:gridCol w:w="984"/>
        <w:gridCol w:w="959"/>
        <w:gridCol w:w="917"/>
        <w:gridCol w:w="831"/>
        <w:gridCol w:w="969"/>
        <w:gridCol w:w="1020"/>
        <w:gridCol w:w="885"/>
        <w:gridCol w:w="795"/>
        <w:gridCol w:w="21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138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部门预算项目支出绩效自评表（2022年度）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53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51080022R000000267546-工资性支出（事业）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广元市发展和改革委员会部门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0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4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48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严格执行相关政策，保障工资及时发放、足额发放，预算编制科学合理，减少结余资金</w:t>
            </w:r>
          </w:p>
        </w:tc>
        <w:tc>
          <w:tcPr>
            <w:tcW w:w="48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严格执行相关政策，保障工资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了职工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及时发放、足额发放，预算编制科学合理，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年末无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结余资金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953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2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总额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121.14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186.47</w:t>
            </w:r>
          </w:p>
        </w:tc>
        <w:tc>
          <w:tcPr>
            <w:tcW w:w="2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186.47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21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/>
                <w:iCs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121.14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186.47</w:t>
            </w:r>
          </w:p>
        </w:tc>
        <w:tc>
          <w:tcPr>
            <w:tcW w:w="2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186.47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0.00%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2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黑体" w:hAnsi="黑体" w:eastAsia="黑体" w:cs="黑体"/>
                <w:i/>
                <w:iCs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足额保障率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科目调整次数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按时发放率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＝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结余率（计算方法为：结余数/预算数）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  <w:lang w:val="en-US" w:eastAsia="zh-CN"/>
              </w:rPr>
              <w:t>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22.5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22.5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5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评价结论</w:t>
            </w:r>
          </w:p>
        </w:tc>
        <w:tc>
          <w:tcPr>
            <w:tcW w:w="1059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自评100分。该项目严格按照年度目标绩效完成了对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单位职工工资及时、足额的发放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，达到了项目绩效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存在问题</w:t>
            </w:r>
          </w:p>
        </w:tc>
        <w:tc>
          <w:tcPr>
            <w:tcW w:w="1059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</w:t>
            </w:r>
          </w:p>
        </w:tc>
        <w:tc>
          <w:tcPr>
            <w:tcW w:w="1059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iCs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iCs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47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>
      <w:pPr>
        <w:pStyle w:val="2"/>
        <w:ind w:left="0" w:leftChars="0" w:firstLine="0" w:firstLineChars="0"/>
      </w:pPr>
    </w:p>
    <w:tbl>
      <w:tblPr>
        <w:tblStyle w:val="19"/>
        <w:tblpPr w:leftFromText="180" w:rightFromText="180" w:vertAnchor="text" w:horzAnchor="page" w:tblpX="595" w:tblpY="54"/>
        <w:tblOverlap w:val="never"/>
        <w:tblW w:w="1130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064"/>
        <w:gridCol w:w="1043"/>
        <w:gridCol w:w="902"/>
        <w:gridCol w:w="615"/>
        <w:gridCol w:w="705"/>
        <w:gridCol w:w="570"/>
        <w:gridCol w:w="1365"/>
        <w:gridCol w:w="600"/>
        <w:gridCol w:w="765"/>
        <w:gridCol w:w="1395"/>
        <w:gridCol w:w="1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3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148" w:name="_Toc15396614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部门预算、专项资金预算项目支出绩效目标自评表（2022年度）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64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救灾物资装卸、翻晒、保养、运输及救灾物资仓库守库人员和保安人员工作经费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主管部门（盖章）</w:t>
            </w:r>
          </w:p>
        </w:tc>
        <w:tc>
          <w:tcPr>
            <w:tcW w:w="38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广元市发展和改革委员会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44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38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58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8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全力做好救灾物资储备管理工作，确保储备物资绝对安全。</w:t>
            </w:r>
          </w:p>
        </w:tc>
        <w:tc>
          <w:tcPr>
            <w:tcW w:w="58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格实行了“日巡、月检、季清”管理机制，即：每日对储备物资巡查1次，每月对库房和物资进行全面检查1次、每季度对库存物资进行清点晾晒、倒垛保养和消毒灭菌，坚持24小时全天候应急值守，确保救灾物资储备绝对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964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加强库房救灾物资防火、防盗、防虫、防霉变，完成整理，倒剁，回收救灾物资翻晒清洗工作，以及库房防锈处理，喷漆等日常维护。2.安排人员常年24小时轮流值班、守库确保有突发重大灾情时物资及时发放到受灾群众手中。3.通道及大门安排专人值守 对通道、大门以及3525平米的库房巡逻，确保库房救灾物资物资的安全完整。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5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权重%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总额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19.13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1.预算执行率=预算执行数/调整后预算数，预算执行率未达到90%的需说明原因（100字以内）;2.年中发生预算调整的（追加或调减）,应单独说明理由；3.其他资金包括、社会投入资金、银行贷款.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19.13</w:t>
            </w: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19.13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8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指标值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项目完成指标</w:t>
            </w:r>
          </w:p>
        </w:tc>
        <w:tc>
          <w:tcPr>
            <w:tcW w:w="10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指标1：通道及大门安排专人值守3525平方米物资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3525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3525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通道及大门安排专人值守物资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指标2：常年24小时轮流值班、守库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小时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全年实行全天候应急值守。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指标1：救灾物资守库质量安全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100%合格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100%合格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指标1：完成时间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12月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指标1：装卸、运输、费用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4万元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指标2：翻晒、保养、清洗，避难场所板房除锈喷漆费用，发电机维护等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6万元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指标3：每天2人24小时守库，值班补助每人每天80元，计5.8万元。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5.8万元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指标4：安保人员工资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3.33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3.33万元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指标1：完成救灾物资储备、管理和运输、发放。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确保采购救灾物资质量安全，保障受灾困难群众基本生活。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确保了采购救灾物资质量安全，保障了受灾困难群众基本生活。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指标1：救灾物资储备管理工作的开展将持续发挥良好的社会效益。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及时有效提高应急处突能力，确保社会稳定。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及时有效的提高应急处突能力，确保了社会稳定。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5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指标1：受灾群众满意率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86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部门（单位）自评结论</w:t>
            </w:r>
          </w:p>
        </w:tc>
        <w:tc>
          <w:tcPr>
            <w:tcW w:w="1070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扎实开展救灾物资维护保养工作。对库存救灾物资进行了全面清查、归类整理，实现救灾物资清查率达100 %；对棉被、毛毯和衣服、帐篷、竹板床等救灾物资进行了码垛整理、通风翻晒和消毒灭菌；组织专业人员，对叉车、运输车辆和场地照明灯具、车载移动以及物资储备房、机电等设施设备进行了全面维护检修。严格实行了“日巡、月检、季清”管理机制，每日巡查1次储备物资，每月全面检查1次库房和物资，每季度对库存物资进行清点晾晒、倒垛保养和消毒灭菌，坚持24小时全天候应急值守，确保救灾物资储备绝对安全。本项目自评得分100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部门（单位）自评存在问题</w:t>
            </w:r>
          </w:p>
        </w:tc>
        <w:tc>
          <w:tcPr>
            <w:tcW w:w="1070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救灾物资储备库房屋顶漏雨浸水、墙面大面积脱落，主结构钢架生锈严重。加之库房无散热装置，消防系统、烟感报警器等消防设施设备严重老化损坏，现处于瘫痪状态，对救灾物资的储备造成严重安全隐患。守库费用没有按时发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部门（单位）自评改进措施</w:t>
            </w:r>
          </w:p>
        </w:tc>
        <w:tc>
          <w:tcPr>
            <w:tcW w:w="1070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积极争取资金，完成救灾物资储备库房墙体、屋顶的维修治漏工作；完成安防系统和消防设施设备的维护更换工作，采购部分消防设施设备。严格纪律，加大守库巡查力度，按时发放守库人员经费。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财政部门对口科室复评结论及整改要求</w:t>
            </w:r>
          </w:p>
        </w:tc>
        <w:tc>
          <w:tcPr>
            <w:tcW w:w="1070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2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单位项目负责人：</w:t>
            </w:r>
          </w:p>
        </w:tc>
        <w:tc>
          <w:tcPr>
            <w:tcW w:w="70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22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部门项目负责人：</w:t>
            </w:r>
          </w:p>
        </w:tc>
        <w:tc>
          <w:tcPr>
            <w:tcW w:w="70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30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财政部门科室负责人：</w:t>
            </w:r>
          </w:p>
        </w:tc>
      </w:tr>
      <w:bookmarkEnd w:id="148"/>
    </w:tbl>
    <w:tbl>
      <w:tblPr>
        <w:tblStyle w:val="19"/>
        <w:tblpPr w:leftFromText="180" w:rightFromText="180" w:vertAnchor="text" w:horzAnchor="page" w:tblpXSpec="center" w:tblpY="393"/>
        <w:tblOverlap w:val="never"/>
        <w:tblW w:w="112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130"/>
        <w:gridCol w:w="748"/>
        <w:gridCol w:w="790"/>
        <w:gridCol w:w="168"/>
        <w:gridCol w:w="416"/>
        <w:gridCol w:w="1096"/>
        <w:gridCol w:w="26"/>
        <w:gridCol w:w="483"/>
        <w:gridCol w:w="1575"/>
        <w:gridCol w:w="652"/>
        <w:gridCol w:w="690"/>
        <w:gridCol w:w="1155"/>
        <w:gridCol w:w="7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2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部门预算、专项资金预算项目支出绩效目标自评表（2022年度）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7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55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实验室基础设施及仪器设备运行维护费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7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主管部门（盖章）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广元市发展和改革委员会</w:t>
            </w:r>
          </w:p>
        </w:tc>
        <w:tc>
          <w:tcPr>
            <w:tcW w:w="20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2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1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53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2022年计划完成仪器设备的检定、校准、期间核查、维护维修，及时维修维护实验室基础设施和检验检测仪器设备，保证实验环境条件满足检验检测工作要求，保证仪器设备稳定保证检验检测数据准确可靠。</w:t>
            </w:r>
          </w:p>
        </w:tc>
        <w:tc>
          <w:tcPr>
            <w:tcW w:w="533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通过对实验室设备的维修、维护或保养等措施保障了设备的正常运行，确保了实验数据准确可靠，完成了年度目标任务。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855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委托具有计量检定资格的机构对实验室2022年需要进行校准的71台套设备进行了校准，并进行了确认，设备计量校准合格。按照大型设备维护保养计划，对气相色谱仪、气相色谱-质谱联用仪、液相色谱仪等大型设备进行定期维护保养，及时更换了相应配件。对原子吸收光谱仪、原子荧光光谱仪等设备进行了维修。通过对实验室设备的维修、维护或保养等措施保障了设备的正常运行，确保了实验数据准确可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权重%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总额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10.00</w:t>
            </w: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57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指标值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仪器设备检定/校准数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完成实验室核心设备71台套（根据规定为社会提供公证数据的产品质量检验机构，必须经计量行政部门计量认证）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台套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委托计量单位对实验室71台套设备进行了校准，并进行了确认，设备计量校准合格。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仪器设备维护数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对151台套专用设备的日常运行维护维修，确保检验检测工作顺利完成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台套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对实验室151台套专用设备的日常运行进行了维护维修，设备功能正常，能正常运用。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仪器设备检定/校准合格率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仪器设备维护正常使用率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2022年12月30日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仪器设备检定/校准费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实验室基础设施、仪器设备维护维修及改造升级费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检验检测能力提升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长期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巩固提升了样品质量、品质、安全等指标的检验检测能力，日常检验流程更加合理规范，人员技术水平得到进一步提升。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仪器设备检定/校准合格率满意度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满意度100%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仪器设备维护正常使用率满意度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满意度100%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0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部门（单位）自评结论</w:t>
            </w:r>
          </w:p>
        </w:tc>
        <w:tc>
          <w:tcPr>
            <w:tcW w:w="968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评100分。该项目严格按照年度目标绩效完成了对实验室设备校准、维修、维护等工作，保障了设备的正常运行，进一步提升检测人员技术水平，确保了实验数据准确可靠，提升了客户满意度，达到了项目绩效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部门（单位）自评存在问题</w:t>
            </w:r>
          </w:p>
        </w:tc>
        <w:tc>
          <w:tcPr>
            <w:tcW w:w="968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部门（单位）自评改进措施</w:t>
            </w:r>
          </w:p>
        </w:tc>
        <w:tc>
          <w:tcPr>
            <w:tcW w:w="968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财政部门对口科室复评结论及整改要求</w:t>
            </w:r>
          </w:p>
        </w:tc>
        <w:tc>
          <w:tcPr>
            <w:tcW w:w="968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2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单位项目负责人：</w:t>
            </w:r>
          </w:p>
        </w:tc>
        <w:tc>
          <w:tcPr>
            <w:tcW w:w="701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2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部门项目负责人：</w:t>
            </w:r>
          </w:p>
        </w:tc>
        <w:tc>
          <w:tcPr>
            <w:tcW w:w="701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25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财政部门科室负责人：</w:t>
            </w:r>
          </w:p>
        </w:tc>
      </w:tr>
    </w:tbl>
    <w:tbl>
      <w:tblPr>
        <w:tblStyle w:val="19"/>
        <w:tblpPr w:leftFromText="180" w:rightFromText="180" w:vertAnchor="text" w:horzAnchor="page" w:tblpXSpec="center" w:tblpY="412"/>
        <w:tblOverlap w:val="never"/>
        <w:tblW w:w="111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1035"/>
        <w:gridCol w:w="804"/>
        <w:gridCol w:w="779"/>
        <w:gridCol w:w="418"/>
        <w:gridCol w:w="1823"/>
        <w:gridCol w:w="616"/>
        <w:gridCol w:w="1395"/>
        <w:gridCol w:w="600"/>
        <w:gridCol w:w="540"/>
        <w:gridCol w:w="900"/>
        <w:gridCol w:w="1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1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部门预算、专项资金预算项目支出绩效目标自评表（2022年度）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8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粮食质量调查与品质测报工作经费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主管部门（盖章）</w:t>
            </w:r>
          </w:p>
        </w:tc>
        <w:tc>
          <w:tcPr>
            <w:tcW w:w="44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广元市发展和改革委员会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1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44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45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根据国家粮食局《关于开展全国粮食质量调查和品质测报工作有关事项的通知》（国粮发[2005]69号）和四川省粮食局关于印发《四川省粮食收获质量调查和品种测报工作实施方案》（川粮函[2007]66号）的通知，要求在全国范围内每年都要组织开展收获质量调查与品质测报工作。2022年继续在我市辖区范围内开展产新粮食的质量调查与品质测报工作，计划在全市7个县区扦取产新稻谷、小麦、油菜籽村级样品160份（质量调查样品60份、品种测报样品40份、安全监测60份），实现对2022年我市辖区内产新粮食质量、品质与安全指标等实际情况的监测，从而促进农民增收和产业经济高质量发展，防止污染粮食流通到口粮市场。</w:t>
            </w:r>
          </w:p>
        </w:tc>
        <w:tc>
          <w:tcPr>
            <w:tcW w:w="45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在全市开展产新粮食质量安全风险监测工作，共抽检样品230份，详细分析了2022年全市产新粮食质量安全情况，及时报送监测结果，引导高质高产粮食作物种植，有力促进农民增收，完成不合格样品溯源，加强粮食污染防治，保障了广大人员口粮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898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积极开展大小春产新粮食质量安全和风险监测工作，共采集样品采集样品230份，其中小麦49份、油菜籽60份、稻谷51份、玉米58份、大豆6份、花生6份，对样品质量指标、品质指标、安全指标、优品率等项目进行了专项检测，详细分析实验数据，编制2022年全市产新粮食质量安全报告，及时上报主管部门和各县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权重%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总额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6.00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6.00</w:t>
            </w:r>
          </w:p>
        </w:tc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6.00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6.00</w:t>
            </w:r>
          </w:p>
        </w:tc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100.00%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8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2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指标值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粮食质量调查与品质测报样品数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我市常年粮食产量约160万吨，按照不少于主要粮食产量每万吨抽检1个样品进行质量调查和质量安全监测、有针对性的选择优质品种开展品质测报的要求，预计抽检农户、专业合作社、家庭农场等产新粮食样品160份。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份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共采集样品采集样品230份，其中小麦49份、油菜籽60份、稻谷51份、玉米58份、大豆6份、花生6份。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抽检样品完成率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2022年12月前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日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2022年12月30日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检测药品试剂及抽检样品购买费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3.2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仪器配件、耗材购置费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产新粮食质量调查工作经费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提高优质粮食产出率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通过全面掌握产新粮食质量、品质与安全情况，归纳总结粮食种植方法，优化种植技术，提高优质粮食产出率。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帮助王家贡米、梨乡香米、东宝贡米等基地产品品质和优品率测定工作，提升产品品质，基地优质粮油的市场销售价格实现了明显提升。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粮食收获合格率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及时反馈质量不达标、安全指标不合格的样品，并追溯污染源头，按照相关办法处置污染粮食，避免流通入口粮市场，确保辖区内粮食安全，以提高农民粮食收获合格率。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将检验检测数据及时通报各县区，督促各县区开展了问题排查和污染治理工作，避免了不合格粮食流入口粮市场，确保广大人民舌尖上的安全。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引导科学施肥、施药，推广耕作新技术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加强对农民科学施肥和喷施农药的引导，加大农膜回收处理力度，大力推广农家肥和秸秆还田、水旱连作技术，减少化肥、农药用量，推广生物有机化肥和生物防治技术。减少重金属和农药对环境、土壤的污染，在源头避免粮食、蔬菜等农产品的污染。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积极推广绿色、有机农产品种植技术，通过发放明白卡、宣传单等手段增强广大人民生态农业理念，引导农民科学施肥和喷施农药，严把源头污染，保护自然环境。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指导农民调整生产结构，种植优良品种，科学储粮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通过每年产新粮食质量调查，积极指导农民调整生产结构，种植优良品种，为农民增收。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通过分析年度检验检测数据，筛选优质高产品种，并进行广泛宣传，引导种植户进行生产结构调整，最大限度助农增收，努力实现农业可持续发展。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9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部门（单位）自评结论</w:t>
            </w:r>
          </w:p>
        </w:tc>
        <w:tc>
          <w:tcPr>
            <w:tcW w:w="1001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评100分。该项目严格按照年度目标对全市产新粮食进行质量调查、品质测报、安全和优品率监测等工作，并详细分析了实验数据，及时报送监测结果，引导高质高产粮食作物种植，有力促进农民增收，完成不合格样品溯源，加强粮食污染防治，保障了广大人员口粮安全，提升了客户满意度，达到了项目绩效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部门（单位）自评存在问题</w:t>
            </w:r>
          </w:p>
        </w:tc>
        <w:tc>
          <w:tcPr>
            <w:tcW w:w="1001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部门（单位）自评改进措施</w:t>
            </w:r>
          </w:p>
        </w:tc>
        <w:tc>
          <w:tcPr>
            <w:tcW w:w="1001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财政部门对口科室复评结论及整改要求</w:t>
            </w:r>
          </w:p>
        </w:tc>
        <w:tc>
          <w:tcPr>
            <w:tcW w:w="1001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1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单位项目负责人：</w:t>
            </w:r>
          </w:p>
        </w:tc>
        <w:tc>
          <w:tcPr>
            <w:tcW w:w="69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1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部门项目负责人：</w:t>
            </w:r>
          </w:p>
        </w:tc>
        <w:tc>
          <w:tcPr>
            <w:tcW w:w="69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14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财政部门科室负责人：</w:t>
            </w:r>
          </w:p>
        </w:tc>
      </w:tr>
    </w:tbl>
    <w:tbl>
      <w:tblPr>
        <w:tblStyle w:val="19"/>
        <w:tblpPr w:leftFromText="180" w:rightFromText="180" w:vertAnchor="text" w:horzAnchor="page" w:tblpXSpec="center" w:tblpY="371"/>
        <w:tblOverlap w:val="never"/>
        <w:tblW w:w="110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046"/>
        <w:gridCol w:w="649"/>
        <w:gridCol w:w="786"/>
        <w:gridCol w:w="404"/>
        <w:gridCol w:w="1541"/>
        <w:gridCol w:w="404"/>
        <w:gridCol w:w="1530"/>
        <w:gridCol w:w="525"/>
        <w:gridCol w:w="825"/>
        <w:gridCol w:w="1065"/>
        <w:gridCol w:w="15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0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部门预算、专项资金预算项目支出绩效目标自评表（2022年度）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政策性库存粮油质量检测工作经费（含重金属专项监测）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主管部门（盖章）</w:t>
            </w:r>
          </w:p>
        </w:tc>
        <w:tc>
          <w:tcPr>
            <w:tcW w:w="37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广元市发展和改革委员会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40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0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37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55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 根据国家、省粮食和物资储备局和市委市政府等相关文件要求，并结合我站职能职责，承担全市政策性库存粮食质量安全监测、重金属专项监测和粮食风险监测等任务，计划共检样品1200份，其中政策性粮食样品100份、重金属污染监测样品1000份、社会流通粮食质量监测工作100份。我站将切实履行职能职责，一是做好全市政策粮食质量出入库和日常监测工作；二是根据市政府主要领导批示要求，持续对本辖区产新稻谷及小麦中重金属含量进行动态监测，摸清重金属污染粮食分布规律并进行风险等级评估，维护本地粮食安全。全面提升检验检测机构质量管理能力，完成质量管理体系文件改版工作（包括质量手册、程序文件、管理制度和相关记录等。</w:t>
            </w:r>
          </w:p>
        </w:tc>
        <w:tc>
          <w:tcPr>
            <w:tcW w:w="55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市质监站严格按照实验室资质认定评审准则要求，进一步加强检验机构内部管理，检验监测能力得到稳步提升。根据上级部门工作安全部署，承担全市政策性库存粮食质量安全监测、重金属专项监测和粮食风险监测等任务，进一步强化粮食质量安全技术支撑作用，共抽检政策性粮食样品106份、重金属污染监测样品1026份、社会流通粮食质量监测工作103份，详细分析监测数据，及时报送监测结果，督促问题整改，未发生粮食质量安全事故，我市广大人民口粮安全得到了有力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931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 一、严格执行政策性粮食监管政策，强化出入库检测和库存监测力度，共抽检政策性粮食106份，有力保障了全市政策性粮食质量安全。二、按《广元市产新粮食质量安全监测三年行动实施方案》年度计划，做好产新稻谷及小麦中重金属监测工作，共监测样品1026份，并进行了超标样品处置工作。三、为进一步掌握粮食流通领域粮食质量安全情况，监测流通粮食质量安全监测样品103份。四、按实验室资质认定评审准则要求，严格落实质量管理系统文件规定，进一步强化人员监督、仪器设备校准、实验室间比对、内审和管理评审等工作，一次性通过国家粮食和物资储备局、省粮食和物资储备局和市场监督管理局组织的能力考核工作，成功举办广元市第三届粮食行业职业技能竞赛，积极组织全市质检人员技能培训和大小春会检，提升了全市整体质检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6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23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权重%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总额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22.00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22.00</w:t>
            </w:r>
          </w:p>
        </w:tc>
        <w:tc>
          <w:tcPr>
            <w:tcW w:w="23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19.20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87.27%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由于新冠疫情的影响，人员无法外出参加培训工作，原计划用于检验人员技术能力提升的工作费用未支付，下一年度将按照培训计划及时组织人员参加学习、培训等工作。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22.00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22.00</w:t>
            </w:r>
          </w:p>
        </w:tc>
        <w:tc>
          <w:tcPr>
            <w:tcW w:w="23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19.20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87.27%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3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6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指标值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政策性库存粮食质量监测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完成全市库存粮食日常监测和市级储备粮入库、出库以及轮换监测，预计样品100份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份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严格执行政策性粮食监管政策，强化出入库检测和库存监测力度，共抽检政策性粮食106份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社会流通粮食质量监测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预计全年抽检社会流通粮食质量监测100份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份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为进一步掌握粮食流通领域粮食质量安全情况，监测流通粮食质量安全监测样品103份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重金属污染的动态监测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预计全年抽检重金属专项监测（镉）指标样品1000份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份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按《广元市产新粮食质量安全监测三年行动实施方案》年度计划，做好产新稻谷及小麦中重金属监测工作，共监测样品1026份，并进行了超标样品处置工作。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抽检样品完成率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2022年12月前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日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2022年12月30日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检测药品试剂及抽检样品购买费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仪器配件、耗材购置费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检测人员工作经费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由于新冠疫情的影响，人员无法外出参加培训工作，原计划用于检验人员技术能力提升的工作费用未支付，下一年度将按照培训计划及时组织人员参加学习、培训等工作。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实验室废液废物处理费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提高优质粮油收购价格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指导全市优质粮油基地和粮食合作社建设，通过优质优价，将优质粮油收购市场价提高到3.0元以上，努力将我市建设成为成渝地区优质粮油产品供给地。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帮助王家贡米、梨乡香米、东宝贡米等基地产品品质和优品率测定工作，提升产品品质，基地优质粮油的市场销售价格实现了明显提升。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提高企业粮食质量合格率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为企业轮换粮食质量把关，提高企业购进粮食质量合格率，并根据质量情况实时指导企业科学储粮，避免粮食不合格、霉变等造成经济损失。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开展粮食出入库和年度库存监测工作，为企业轮换粮食质量把关，提高企业购进粮食质量合格率，并通过监测数据实时指导企业科学储粮，避免了因收购不合格粮、存粮出现霉变等造成的重大经济损失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提升市县级粮食储备管理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加强地方粮食储备管理,提升地方粮食储备市场调控和应对突发事件能力,保障区域粮食安全。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紧盯市县级政策性储备粮质量安全工作，配合完成粮食储备轮换质量把关，区域类粮食质量安全得到有力保障。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强化源头污染防控，确保粮食质量安全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面贯彻党中央和省、市政府关于粮食安全工作的决策部署，严格落实粮食安全和食品安全党政同责，将粮食安全保障向前推进一公里，守住粮食质量安全的第一道屏障，切实加强全市范围内产新粮食质量安全监测，强化源头污染防控，确保粮食质量安全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严格落实粮食安全党政同责要求，摸排粮食污染情况，督促各县区严格落实粮食安全决策部署，强化粮食源头污染防控，加强污染防止，守住了粮食质量安全的第一道屏障。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为粮食生产绿色发展提供技术支持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助力增加本地优质粮油产量，提升本地绿色优势，保障粮食生产安全，增强农业可持续发展能力，加强生态建设和修复，打好污染防治攻坚战。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积极推广绿色、有机农产品种植技术，通过发放明白卡、宣传单等手段增强广大人民生态农业理念，努力实现农业可持续发展路径。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引导企业合理选择储粮方式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引导企业合理选择储粮方式、合理施药防虫，有效保障粮食质量安全，减少农药残留等的危害。严禁不符合食品安全标准粮食流入口粮市场或用于食品生产。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通过粮食质量安全监测，查找不合格产品，建立风险隐患台账，引导企业宣传绿色储粮方式，减少农药等有毒有害物质的使用。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调查研究粮食重金属污染分布规律并进行风险等级评估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通过对本地粮食重金属污染分布规律进行研究，建立粮食安全风险等级评估方案，根据研究结果将本地粮食产区分为轻度污染区、中度污染区和重度污染区，判断其是否适宜种植并及时修复。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全面摸清全市粮食质量安全情况，对粮食有问题区域进行动态监测，建立台账，联合农业农村、市场监管等部门开展了粮食重金属污染治理，合力推进粮食重金属污染防治。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降低企业储粮成本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通过日常监督监测，降低企业储粮成本，切实为企业办实事。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通过对市县级政策性粮食储备企业的日常监督监测，及时查找问题产品，提出解决措施，降低了企业储粮成本，为企业服好务。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维护本地粮食安全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通过动态监测，掌握本地重金属污染实际情况，为重金属防治工作提供指导，防止我市发生粮食安全事故，维护本地粮食安全。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通过动态监测，掌握了本地重金属污染实际情况，为重金属防治工作提供专业技术指导，未发生粮食安全事故，维护了本地粮食安全。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6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96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部门（单位）自评结论</w:t>
            </w:r>
          </w:p>
        </w:tc>
        <w:tc>
          <w:tcPr>
            <w:tcW w:w="1036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自评96分。该项目严格按照年度目标完成了政策性粮食库存监测、重金属专项监测和粮食质量安全风险监测等工作，并充分发挥检验检测技术支撑作用，在发展优质粮油、绿色科学储粮、粮食污染防治等方面发挥重要作用，切实维护了本地粮食质量安全，达到了项目绩效要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部门（单位）自评存在问题</w:t>
            </w:r>
          </w:p>
        </w:tc>
        <w:tc>
          <w:tcPr>
            <w:tcW w:w="1036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存在项目资金结余，资金支付不及时的问题。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部门（单位）自评改进措施</w:t>
            </w:r>
          </w:p>
        </w:tc>
        <w:tc>
          <w:tcPr>
            <w:tcW w:w="1036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严格资金使用监管，建立资金使用台账，按月查看资金支付进度，及时分析总结项目进展情况，切实保障资金的使用效率。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财政部门对口科室复评结论及整改要求</w:t>
            </w:r>
          </w:p>
        </w:tc>
        <w:tc>
          <w:tcPr>
            <w:tcW w:w="1036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5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单位项目负责人：</w:t>
            </w:r>
          </w:p>
        </w:tc>
        <w:tc>
          <w:tcPr>
            <w:tcW w:w="74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35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部门项目负责人：</w:t>
            </w:r>
          </w:p>
        </w:tc>
        <w:tc>
          <w:tcPr>
            <w:tcW w:w="747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02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财政部门科室负责人：</w:t>
            </w:r>
          </w:p>
        </w:tc>
      </w:tr>
    </w:tbl>
    <w:tbl>
      <w:tblPr>
        <w:tblStyle w:val="19"/>
        <w:tblpPr w:leftFromText="180" w:rightFromText="180" w:vertAnchor="text" w:horzAnchor="page" w:tblpXSpec="center" w:tblpY="519"/>
        <w:tblOverlap w:val="never"/>
        <w:tblW w:w="1088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110"/>
        <w:gridCol w:w="840"/>
        <w:gridCol w:w="1050"/>
        <w:gridCol w:w="377"/>
        <w:gridCol w:w="536"/>
        <w:gridCol w:w="536"/>
        <w:gridCol w:w="1341"/>
        <w:gridCol w:w="540"/>
        <w:gridCol w:w="840"/>
        <w:gridCol w:w="1140"/>
        <w:gridCol w:w="16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部门预算、专项资金预算项目支出绩效目标自评表（2022年度）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82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救灾物资采购（2023）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主管部门（盖章）</w:t>
            </w:r>
          </w:p>
        </w:tc>
        <w:tc>
          <w:tcPr>
            <w:tcW w:w="33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广元市发展和改革委员会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41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33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5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做好全年市级救灾物资采购、储备、发放管理工作，确保全市受灾困难群众基本生活保障。</w:t>
            </w:r>
          </w:p>
        </w:tc>
        <w:tc>
          <w:tcPr>
            <w:tcW w:w="54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严格执行救灾物资采购程序。采购棉被2000床、棉大衣1000件、8㎡单帐篷280顶、12㎡棉帐篷30顶、遮阳篷100顶等物资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882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根据市应急管理局2022年救灾物资储备需求，结合现救灾物资储备实际，确定采购计划，市场询价，申请资金，严格按照政府采购程序组织开展了救灾物资采购工作。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权重%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总额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96.68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96.68%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9.67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1.预算执行率=预算执行数/调整后预算数，预算执行率未达到90%的需说明原因（100字以内）;2.年中发生预算调整的（追加或调减）,应单独说明理由；3.其他资金包括、社会投入资金、银行贷款.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100.00</w:t>
            </w: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96.68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96.68%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9.67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指标值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指标1：采购棉被2000床、棉大衣1000件、12㎡棉帐篷30顶、8㎡单帐篷280顶、遮阳篷100顶等救灾物资。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棉被2000床、棉大衣1000件、12㎡棉帐篷30顶、8㎡单帐篷280顶、遮阳篷100顶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张/顶/床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完成救灾采购棉被2000床、棉大衣1000件、12㎡棉帐篷30顶、8㎡单帐篷280顶、遮阳篷100顶。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指标1：确保救灾物资采购质量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指标1：完成时间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6个月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指标1：紧急采购防疫救灾物资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96.68万元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指标1：完成救灾物资储备、管理和运输、发放。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确保紧急采购救灾物资质量安全，保障受灾困难群众基本生活。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确保了紧急采购救灾物资质量安全，保障了受灾困难群众基本生活。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指标1：救灾物资储备管理工作的开展将持续发挥良好的社会效益。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及时有效提高应急处突能力，确保社会稳定。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及时有效提高了应急处突能力，确保了社会稳定。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指标1：受灾群众满意率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≥                      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9.67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部门（单位）自评结论</w:t>
            </w:r>
          </w:p>
        </w:tc>
        <w:tc>
          <w:tcPr>
            <w:tcW w:w="993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全年累计采购棉被2000床、棉大衣1000件、12㎡棉帐篷30顶、8㎡单帐篷280顶、遮阳篷100顶等救灾物资。为工作提供了坚实的物资保障，确保了受灾后群众的基本生活。本项目自评得分99.67分。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部门（单位）自评存在问题</w:t>
            </w:r>
          </w:p>
        </w:tc>
        <w:tc>
          <w:tcPr>
            <w:tcW w:w="993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按照《“十四五”国家应急体系规划》中“地方层面满足启动本行政区域Ⅱ级应急响应的应急物资保障需求”的要求，目前我市救灾物资储存规模还远远达不到启动Ⅱ级应急响应。加之救灾物资采购资金未纳入年初财政预算，致使物资采购进度迟缓，及时保障物资需求困难。本项目自评得分99.67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部门（单位）自评改进措施</w:t>
            </w:r>
          </w:p>
        </w:tc>
        <w:tc>
          <w:tcPr>
            <w:tcW w:w="993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将救灾物资采购资金纳入年初预算。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财政部门对口科室复评结论及整改要求</w:t>
            </w:r>
          </w:p>
        </w:tc>
        <w:tc>
          <w:tcPr>
            <w:tcW w:w="993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43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单位项目负责人：</w:t>
            </w:r>
          </w:p>
        </w:tc>
        <w:tc>
          <w:tcPr>
            <w:tcW w:w="65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43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部门项目负责人：</w:t>
            </w:r>
          </w:p>
        </w:tc>
        <w:tc>
          <w:tcPr>
            <w:tcW w:w="65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088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财政部门科室负责人：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1280" w:right="0" w:hanging="64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pStyle w:val="2"/>
        <w:rPr>
          <w:rFonts w:hint="default"/>
          <w:lang w:val="en-US" w:eastAsia="zh-CN"/>
        </w:rPr>
      </w:pPr>
    </w:p>
    <w:tbl>
      <w:tblPr>
        <w:tblStyle w:val="19"/>
        <w:tblW w:w="10770" w:type="dxa"/>
        <w:tblInd w:w="-11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185"/>
        <w:gridCol w:w="1094"/>
        <w:gridCol w:w="813"/>
        <w:gridCol w:w="406"/>
        <w:gridCol w:w="2037"/>
        <w:gridCol w:w="510"/>
        <w:gridCol w:w="571"/>
        <w:gridCol w:w="629"/>
        <w:gridCol w:w="555"/>
        <w:gridCol w:w="825"/>
        <w:gridCol w:w="11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部门预算、专项资金预算项目支出绩效目标自评表（2022年度）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5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2023年粮食质量安全检验监测能力提升项目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主管部门（盖章）</w:t>
            </w:r>
          </w:p>
        </w:tc>
        <w:tc>
          <w:tcPr>
            <w:tcW w:w="4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广元市发展和改革委员会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4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36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1、根据审批后的采购方案执行， 按期完成采购任务；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2、严格执行政府采购程序相关规定，执行率达到100%；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3、粮油质量安全检验检测人才队伍进一步优化，能力进一步提升。</w:t>
            </w:r>
          </w:p>
        </w:tc>
        <w:tc>
          <w:tcPr>
            <w:tcW w:w="36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完成项目方案编制工作，开展公开招标程序。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85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根据实验室现有设备，制定设备采购实施方案，上报主管部门审批后，按程序进行公开招标，对采购设备进行安装、调试、培训和验收，最后将设备投入到日常检验检测工作中。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2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权重%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总额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2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0.00%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12月底才下达指标，项目刚开始启动。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150.00</w:t>
            </w:r>
          </w:p>
        </w:tc>
        <w:tc>
          <w:tcPr>
            <w:tcW w:w="2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0.00%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指标值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完成值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原子荧光自动进样器、全自动锤式旋风磨、粮食近红外检测仪、大米食味计、油菜籽近红外仪、重金属快速检测仪、超纯水机、全自动加酸仪等仪器设备约13台（套）。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台套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实验室能力提升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严格执行政府采购合格率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2023年12月前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日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仪器设备采购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推动粮食经济高质量发展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指导全市“十四五”期间300万亩优质粮油基地建设，调整种植结构，促进优质品种和特色品种向优势产区集中，实现优质、高产、高效、生态、安全相统一，为助农增收和乡村振兴贡献力量。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为粮食生产绿色发展提供技术支持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面贯彻党中央和省、市政府关于粮食安全工作的决策部署，严格落实粮食安全和食品安全党政同责，将粮食安全保障向前推进一公里，守住粮食质量安全的第一道屏障，切实加强全市范围内产新粮食质量安全监测，强化源头污染防控，确保粮食质量安全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粮油质量安全检验检测能力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明显提高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对全市粮食安全方面的影响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加强广元川北粮食检验监测中心和国家标准化粮油质检示范站建设，为加快建成全国有机产品认证示范市、中国西部重要的绿色农产品供给地和特色农业强市提供技术支撑，深刻把握粮油质量监测能力建设机遇，精准聚焦，牢守粮食质量安全底线，促进全市粮食产业经济高质量发展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粮食企业及农户服务对象满意度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≥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6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100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部门（单位）自评结论</w:t>
            </w:r>
          </w:p>
        </w:tc>
        <w:tc>
          <w:tcPr>
            <w:tcW w:w="973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12月30才下达指标。项目才开展方案编制等工作。自评得分0分。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部门（单位）自评存在问题</w:t>
            </w:r>
          </w:p>
        </w:tc>
        <w:tc>
          <w:tcPr>
            <w:tcW w:w="973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部门（单位）自评改进措施</w:t>
            </w:r>
          </w:p>
        </w:tc>
        <w:tc>
          <w:tcPr>
            <w:tcW w:w="973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财政部门对口科室复评结论及整改要求</w:t>
            </w:r>
          </w:p>
        </w:tc>
        <w:tc>
          <w:tcPr>
            <w:tcW w:w="973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单位项目负责人：</w:t>
            </w:r>
          </w:p>
        </w:tc>
        <w:tc>
          <w:tcPr>
            <w:tcW w:w="62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部门项目负责人：</w:t>
            </w:r>
          </w:p>
        </w:tc>
        <w:tc>
          <w:tcPr>
            <w:tcW w:w="62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7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财政部门科室负责人：</w:t>
            </w:r>
          </w:p>
        </w:tc>
      </w:tr>
    </w:tbl>
    <w:p>
      <w:pPr>
        <w:spacing w:line="600" w:lineRule="exact"/>
        <w:jc w:val="center"/>
        <w:outlineLvl w:val="9"/>
        <w:rPr>
          <w:rFonts w:ascii="宋体"/>
          <w:b/>
          <w:sz w:val="44"/>
          <w:szCs w:val="44"/>
        </w:rPr>
      </w:pPr>
    </w:p>
    <w:p>
      <w:pPr>
        <w:pStyle w:val="2"/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pStyle w:val="2"/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tbl>
      <w:tblPr>
        <w:tblStyle w:val="19"/>
        <w:tblW w:w="11055" w:type="dxa"/>
        <w:tblInd w:w="-116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75"/>
        <w:gridCol w:w="945"/>
        <w:gridCol w:w="1260"/>
        <w:gridCol w:w="420"/>
        <w:gridCol w:w="1140"/>
        <w:gridCol w:w="585"/>
        <w:gridCol w:w="1401"/>
        <w:gridCol w:w="458"/>
        <w:gridCol w:w="886"/>
        <w:gridCol w:w="825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0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部门预算、专项资金预算项目支出绩效目标自评表（2022年度）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27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紧急采购防疫救灾物资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主管部门（盖章）</w:t>
            </w:r>
          </w:p>
        </w:tc>
        <w:tc>
          <w:tcPr>
            <w:tcW w:w="43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广元市发展和改革委员会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实施单位 （盖章）</w:t>
            </w:r>
          </w:p>
        </w:tc>
        <w:tc>
          <w:tcPr>
            <w:tcW w:w="35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项目基本情况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1.项目年度目标完成情况</w:t>
            </w:r>
          </w:p>
        </w:tc>
        <w:tc>
          <w:tcPr>
            <w:tcW w:w="43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项目年度目标</w:t>
            </w:r>
          </w:p>
        </w:tc>
        <w:tc>
          <w:tcPr>
            <w:tcW w:w="4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3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做好全年市级救灾物资紧急采购工作，确保全市受灾困难群众基本生活保障。</w:t>
            </w:r>
          </w:p>
        </w:tc>
        <w:tc>
          <w:tcPr>
            <w:tcW w:w="4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力做好“防疫”应急物资保障工作。为应对新冠肺炎疫情，紧急采购8㎡单帐篷500顶，折叠床1500顶；调拨棉被4206床、毛毯1000床、棉大衣590件、迷彩服612件、折叠床1381张、床单402床、电筒10个、帐篷759顶(发放回收帐篷160顶)、彩条布15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2.项目实施内容及过程概述</w:t>
            </w:r>
          </w:p>
        </w:tc>
        <w:tc>
          <w:tcPr>
            <w:tcW w:w="927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市城区实行疫情临时管控期间，按照上级要求，我们紧急采购了一批救灾物资。物资采购后，我们携同市应急部门对照产品目录、执行标准、规格型号、数量等逐一进行了抽样检查验收，确保了采购物资质量。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预算执行情况（10分）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年度预算数（万元）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预算执行数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权重%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总额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85.00</w:t>
            </w: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83.25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97.94%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9.79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1.预算执行率=预算执行数/调整后预算数，预算执行率未达到90%的需说明原因（100字以内）;2.年中发生预算调整的（追加或调减）,应单独说明理由；3.其他资金包括、社会投入资金、银行贷款.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其中：财政资金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85.00</w:t>
            </w: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83.25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97.94%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9.79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绩效指标（90分）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指标值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完成值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权重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部门自评得分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财政部门科室复评得分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指标1：紧急采购折叠床1500张，等救灾物资。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折叠床1500张、8㎡单帐篷500顶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张/顶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完成紧急采购折叠床1500张，8㎡单帐篷500顶等救灾物资。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指标1：确保救灾物资紧急采购质量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指标1：完成时间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≤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6个月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指标1：紧急采购防疫救灾物资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=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万元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83.25万元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指标1：完成救灾物资储备、管理和运输、发放。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确保紧急采购救灾物资质量安全，保障受灾困难群众基本生活。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确保了紧急采购救灾物资质量安全，保障了受灾困难群众基本生活。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指标1：救灾物资储备管理工作的开展将持续发挥良好的社会效益。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定性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及时有效提高应急处突能力，确保社会稳定。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及时有效提高了应急处突能力，确保了社会稳定。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指标1：受灾群众满意率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≥                      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%</w:t>
            </w:r>
          </w:p>
        </w:tc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100%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3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99.79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部门（单位）自评结论</w:t>
            </w:r>
          </w:p>
        </w:tc>
        <w:tc>
          <w:tcPr>
            <w:tcW w:w="1024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全年累计调拨发放棉被7367床、毛毯1000床、棉大衣2221件、雨衣20套、床单552床、雨鞋30双、折叠床</w:t>
            </w:r>
            <w:r>
              <w:rPr>
                <w:rStyle w:val="47"/>
                <w:rFonts w:hint="eastAsia" w:ascii="宋体" w:hAnsi="宋体" w:eastAsia="宋体" w:cs="宋体"/>
                <w:sz w:val="16"/>
                <w:szCs w:val="16"/>
                <w:lang w:val="en-US" w:eastAsia="zh-CN" w:bidi="ar"/>
              </w:rPr>
              <w:t>1402床、电筒30个、迷彩服612套、单帐篷773顶（160顶回收帐篷）、12㎡棉帐篷2顶、彩条布15张。为疫情防控工作提供了坚实的物资保障，确保了受灾后群众的基本生活。本项目自评得分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99.79分。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部门（单位）自评存在问题</w:t>
            </w:r>
          </w:p>
        </w:tc>
        <w:tc>
          <w:tcPr>
            <w:tcW w:w="1024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我市救灾物资相关生产厂家较少，日常产能储备不足。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部门（单位）自评改进措施</w:t>
            </w:r>
          </w:p>
        </w:tc>
        <w:tc>
          <w:tcPr>
            <w:tcW w:w="1024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进一步加大产能储备力度。完善并签订产能储备协议，以备不时之需。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财政部门对口科室复评结论及整改要求</w:t>
            </w:r>
          </w:p>
        </w:tc>
        <w:tc>
          <w:tcPr>
            <w:tcW w:w="1024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单位项目负责人：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单位财务负责人：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部门项目负责人：</w:t>
            </w:r>
          </w:p>
        </w:tc>
        <w:tc>
          <w:tcPr>
            <w:tcW w:w="66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部门财务负责人：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0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财政部门科室负责人：</w:t>
            </w:r>
          </w:p>
        </w:tc>
      </w:tr>
    </w:tbl>
    <w:p>
      <w:pPr>
        <w:spacing w:line="600" w:lineRule="exact"/>
        <w:jc w:val="both"/>
        <w:outlineLvl w:val="0"/>
        <w:rPr>
          <w:rFonts w:hint="eastAsia" w:ascii="黑体" w:hAnsi="黑体" w:eastAsia="黑体"/>
          <w:sz w:val="44"/>
          <w:szCs w:val="44"/>
        </w:rPr>
      </w:pPr>
      <w:bookmarkStart w:id="149" w:name="_Toc15396618"/>
      <w:bookmarkStart w:id="150" w:name="_Toc22559"/>
      <w:bookmarkStart w:id="151" w:name="_Toc30229"/>
    </w:p>
    <w:p>
      <w:pPr>
        <w:spacing w:line="600" w:lineRule="exact"/>
        <w:jc w:val="center"/>
        <w:outlineLvl w:val="0"/>
        <w:rPr>
          <w:rFonts w:ascii="仿宋" w:hAnsi="仿宋" w:eastAsia="仿宋"/>
        </w:rPr>
      </w:pPr>
      <w:r>
        <w:rPr>
          <w:rFonts w:hint="eastAsia" w:ascii="黑体" w:hAnsi="黑体" w:eastAsia="黑体"/>
          <w:sz w:val="44"/>
          <w:szCs w:val="44"/>
        </w:rPr>
        <w:t>第</w:t>
      </w:r>
      <w:r>
        <w:rPr>
          <w:rStyle w:val="31"/>
          <w:rFonts w:hint="eastAsia" w:ascii="黑体" w:hAnsi="黑体" w:eastAsia="黑体"/>
          <w:b w:val="0"/>
        </w:rPr>
        <w:t>五部分 附表</w:t>
      </w:r>
      <w:bookmarkEnd w:id="142"/>
      <w:bookmarkEnd w:id="149"/>
      <w:bookmarkEnd w:id="150"/>
      <w:bookmarkEnd w:id="151"/>
      <w:bookmarkStart w:id="152" w:name="_Toc15396619"/>
    </w:p>
    <w:bookmarkEnd w:id="152"/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53" w:name="_Toc22831"/>
      <w:bookmarkStart w:id="154" w:name="_Toc32266"/>
      <w:r>
        <w:rPr>
          <w:rFonts w:hint="eastAsia" w:ascii="仿宋" w:hAnsi="仿宋" w:eastAsia="仿宋"/>
          <w:b w:val="0"/>
          <w:color w:val="auto"/>
          <w:highlight w:val="none"/>
        </w:rPr>
        <w:t>一、收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入支出决算总表</w:t>
      </w:r>
      <w:bookmarkEnd w:id="153"/>
      <w:bookmarkEnd w:id="154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55" w:name="_Toc32648"/>
      <w:bookmarkStart w:id="156" w:name="_Toc16371"/>
      <w:bookmarkStart w:id="157" w:name="_Toc15396620"/>
      <w:r>
        <w:rPr>
          <w:rFonts w:hint="eastAsia" w:ascii="仿宋" w:hAnsi="仿宋" w:eastAsia="仿宋"/>
          <w:b w:val="0"/>
          <w:color w:val="auto"/>
          <w:highlight w:val="none"/>
        </w:rPr>
        <w:t>二、收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入决算表</w:t>
      </w:r>
      <w:bookmarkEnd w:id="155"/>
      <w:bookmarkEnd w:id="156"/>
      <w:bookmarkEnd w:id="157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58" w:name="_Toc19104"/>
      <w:bookmarkStart w:id="159" w:name="_Toc15396621"/>
      <w:bookmarkStart w:id="160" w:name="_Toc5183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三、</w:t>
      </w:r>
      <w:r>
        <w:rPr>
          <w:rFonts w:hint="eastAsia" w:ascii="仿宋" w:hAnsi="仿宋" w:eastAsia="仿宋"/>
          <w:b w:val="0"/>
          <w:color w:val="auto"/>
          <w:highlight w:val="none"/>
        </w:rPr>
        <w:t>支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出决算表</w:t>
      </w:r>
      <w:bookmarkEnd w:id="158"/>
      <w:bookmarkEnd w:id="159"/>
      <w:bookmarkEnd w:id="160"/>
    </w:p>
    <w:p>
      <w:pPr>
        <w:pStyle w:val="4"/>
        <w:rPr>
          <w:rFonts w:ascii="仿宋" w:hAnsi="仿宋" w:eastAsia="仿宋"/>
          <w:b w:val="0"/>
          <w:color w:val="auto"/>
          <w:highlight w:val="none"/>
        </w:rPr>
      </w:pPr>
      <w:bookmarkStart w:id="161" w:name="_Toc24604"/>
      <w:bookmarkStart w:id="162" w:name="_Toc29113"/>
      <w:bookmarkStart w:id="163" w:name="_Toc15396622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四、</w:t>
      </w:r>
      <w:r>
        <w:rPr>
          <w:rFonts w:hint="eastAsia" w:ascii="仿宋" w:hAnsi="仿宋" w:eastAsia="仿宋"/>
          <w:b w:val="0"/>
          <w:color w:val="auto"/>
          <w:highlight w:val="none"/>
        </w:rPr>
        <w:t>财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政拨款收入支出决算总表</w:t>
      </w:r>
      <w:bookmarkEnd w:id="161"/>
      <w:bookmarkEnd w:id="162"/>
      <w:bookmarkEnd w:id="163"/>
    </w:p>
    <w:p>
      <w:pPr>
        <w:pStyle w:val="4"/>
        <w:rPr>
          <w:rStyle w:val="32"/>
          <w:rFonts w:ascii="仿宋" w:hAnsi="仿宋" w:eastAsia="仿宋"/>
          <w:b w:val="0"/>
          <w:bCs w:val="0"/>
          <w:color w:val="auto"/>
          <w:highlight w:val="none"/>
        </w:rPr>
      </w:pPr>
      <w:bookmarkStart w:id="164" w:name="_Toc15396623"/>
      <w:bookmarkStart w:id="165" w:name="_Toc4315"/>
      <w:bookmarkStart w:id="166" w:name="_Toc26576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五、</w:t>
      </w:r>
      <w:r>
        <w:rPr>
          <w:rFonts w:hint="eastAsia" w:ascii="仿宋" w:hAnsi="仿宋" w:eastAsia="仿宋"/>
          <w:b w:val="0"/>
          <w:color w:val="auto"/>
          <w:highlight w:val="none"/>
        </w:rPr>
        <w:t>财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政拨款支出决算明细表</w:t>
      </w:r>
      <w:bookmarkEnd w:id="164"/>
      <w:bookmarkEnd w:id="165"/>
      <w:bookmarkEnd w:id="166"/>
      <w:bookmarkStart w:id="167" w:name="_Toc15396624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68" w:name="_Toc32297"/>
      <w:bookmarkStart w:id="169" w:name="_Toc11634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六、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般公共预算财政拨款支出决算表</w:t>
      </w:r>
      <w:bookmarkEnd w:id="167"/>
      <w:bookmarkEnd w:id="168"/>
      <w:bookmarkEnd w:id="169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70" w:name="_Toc15396625"/>
      <w:bookmarkStart w:id="171" w:name="_Toc18337"/>
      <w:bookmarkStart w:id="172" w:name="_Toc24814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七、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般公共预算财政拨款支出决算明细表</w:t>
      </w:r>
      <w:bookmarkEnd w:id="170"/>
      <w:bookmarkEnd w:id="171"/>
      <w:bookmarkEnd w:id="172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73" w:name="_Toc31907"/>
      <w:bookmarkStart w:id="174" w:name="_Toc20329"/>
      <w:bookmarkStart w:id="175" w:name="_Toc15396626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八、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般公共预算财政拨款基本支出决算表</w:t>
      </w:r>
      <w:bookmarkEnd w:id="173"/>
      <w:bookmarkEnd w:id="174"/>
      <w:bookmarkEnd w:id="175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76" w:name="_Toc644"/>
      <w:bookmarkStart w:id="177" w:name="_Toc15396627"/>
      <w:bookmarkStart w:id="178" w:name="_Toc32039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九、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般公共预算财政拨款项目支出决算表</w:t>
      </w:r>
      <w:bookmarkEnd w:id="176"/>
      <w:bookmarkEnd w:id="177"/>
      <w:bookmarkEnd w:id="178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79" w:name="_Toc15396628"/>
      <w:bookmarkStart w:id="180" w:name="_Toc24973"/>
      <w:bookmarkStart w:id="181" w:name="_Toc24993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十、</w:t>
      </w:r>
      <w:bookmarkEnd w:id="179"/>
      <w:r>
        <w:rPr>
          <w:rFonts w:hint="eastAsia" w:ascii="仿宋" w:hAnsi="仿宋" w:eastAsia="仿宋"/>
          <w:b w:val="0"/>
          <w:color w:val="auto"/>
          <w:highlight w:val="none"/>
        </w:rPr>
        <w:t>政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府性基金预算财政拨款收入支出决算表</w:t>
      </w:r>
      <w:bookmarkEnd w:id="180"/>
      <w:bookmarkEnd w:id="181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82" w:name="_Toc15396629"/>
      <w:bookmarkStart w:id="183" w:name="_Toc8018"/>
      <w:bookmarkStart w:id="184" w:name="_Toc5206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十一、</w:t>
      </w:r>
      <w:bookmarkEnd w:id="182"/>
      <w:r>
        <w:rPr>
          <w:rFonts w:hint="eastAsia" w:ascii="仿宋" w:hAnsi="仿宋" w:eastAsia="仿宋"/>
          <w:b w:val="0"/>
          <w:color w:val="auto"/>
          <w:highlight w:val="none"/>
        </w:rPr>
        <w:t>国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有资本经营预算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财政拨款收入</w:t>
      </w:r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支出决算表</w:t>
      </w:r>
      <w:bookmarkEnd w:id="183"/>
      <w:bookmarkEnd w:id="184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85" w:name="_Toc15396630"/>
      <w:bookmarkStart w:id="186" w:name="_Toc3409"/>
      <w:bookmarkStart w:id="187" w:name="_Toc8575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十二、</w:t>
      </w:r>
      <w:bookmarkEnd w:id="185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国有资本经营预算财政拨款支出决算表</w:t>
      </w:r>
      <w:bookmarkEnd w:id="186"/>
      <w:bookmarkEnd w:id="187"/>
    </w:p>
    <w:p>
      <w:pPr>
        <w:pStyle w:val="4"/>
        <w:rPr>
          <w:rFonts w:hint="eastAsia" w:eastAsia="仿宋"/>
          <w:color w:val="auto"/>
          <w:highlight w:val="none"/>
          <w:lang w:eastAsia="zh-CN"/>
        </w:rPr>
      </w:pPr>
      <w:bookmarkStart w:id="188" w:name="_Toc15396631"/>
      <w:bookmarkStart w:id="189" w:name="_Toc2533"/>
      <w:bookmarkStart w:id="190" w:name="_Toc21710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</w:rPr>
        <w:t>十三、</w:t>
      </w:r>
      <w:bookmarkEnd w:id="188"/>
      <w:r>
        <w:rPr>
          <w:rStyle w:val="32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财政拨款“三公”经费支出决算表</w:t>
      </w:r>
      <w:bookmarkEnd w:id="189"/>
      <w:bookmarkEnd w:id="190"/>
    </w:p>
    <w:p>
      <w:pPr>
        <w:rPr>
          <w:rFonts w:eastAsia="仿宋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 PL UKai CN">
    <w:altName w:val="宋体"/>
    <w:panose1 w:val="02000503000000000000"/>
    <w:charset w:val="86"/>
    <w:family w:val="script"/>
    <w:pitch w:val="default"/>
    <w:sig w:usb0="00000000" w:usb1="00000000" w:usb2="00000036" w:usb3="00000000" w:csb0="2016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28</w:t>
        </w:r>
        <w:r>
          <w:rPr>
            <w:lang w:val="zh-CN"/>
          </w:rPr>
          <w:fldChar w:fldCharType="end"/>
        </w:r>
      </w:p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652CEC"/>
    <w:multiLevelType w:val="singleLevel"/>
    <w:tmpl w:val="CF652CE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2FA047D"/>
    <w:multiLevelType w:val="singleLevel"/>
    <w:tmpl w:val="E2FA047D"/>
    <w:lvl w:ilvl="0" w:tentative="0">
      <w:start w:val="3"/>
      <w:numFmt w:val="chineseCounting"/>
      <w:suff w:val="space"/>
      <w:lvlText w:val="第%1部分"/>
      <w:lvlJc w:val="left"/>
      <w:rPr>
        <w:rFonts w:hint="eastAsia" w:ascii="黑体" w:hAnsi="黑体" w:eastAsia="黑体" w:cs="黑体"/>
        <w:sz w:val="44"/>
        <w:szCs w:val="44"/>
      </w:rPr>
    </w:lvl>
  </w:abstractNum>
  <w:abstractNum w:abstractNumId="2">
    <w:nsid w:val="1272550B"/>
    <w:multiLevelType w:val="multilevel"/>
    <w:tmpl w:val="1272550B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EFE03C1"/>
    <w:multiLevelType w:val="singleLevel"/>
    <w:tmpl w:val="7EFE03C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gzMzBmOWIyYjc5MzNkYTMyZmUxYmZmNDJkY2EyY2MifQ=="/>
  </w:docVars>
  <w:rsids>
    <w:rsidRoot w:val="00F1361C"/>
    <w:rsid w:val="000222C6"/>
    <w:rsid w:val="0002549F"/>
    <w:rsid w:val="000468DB"/>
    <w:rsid w:val="0006487A"/>
    <w:rsid w:val="00065F8F"/>
    <w:rsid w:val="00070A43"/>
    <w:rsid w:val="000768F2"/>
    <w:rsid w:val="00080CD3"/>
    <w:rsid w:val="0009184B"/>
    <w:rsid w:val="00094236"/>
    <w:rsid w:val="0009593C"/>
    <w:rsid w:val="00097322"/>
    <w:rsid w:val="000A6A92"/>
    <w:rsid w:val="000B047F"/>
    <w:rsid w:val="000B5923"/>
    <w:rsid w:val="000B5A48"/>
    <w:rsid w:val="000B6FF3"/>
    <w:rsid w:val="000C3467"/>
    <w:rsid w:val="000C3CA6"/>
    <w:rsid w:val="000D1267"/>
    <w:rsid w:val="000D1D50"/>
    <w:rsid w:val="000D5782"/>
    <w:rsid w:val="000E6613"/>
    <w:rsid w:val="000E7119"/>
    <w:rsid w:val="00103C16"/>
    <w:rsid w:val="00114E9B"/>
    <w:rsid w:val="00142216"/>
    <w:rsid w:val="00144D6A"/>
    <w:rsid w:val="0014729F"/>
    <w:rsid w:val="00157BAB"/>
    <w:rsid w:val="001654D1"/>
    <w:rsid w:val="00174518"/>
    <w:rsid w:val="001757B8"/>
    <w:rsid w:val="0018106D"/>
    <w:rsid w:val="001877A7"/>
    <w:rsid w:val="00191536"/>
    <w:rsid w:val="00196687"/>
    <w:rsid w:val="001C0962"/>
    <w:rsid w:val="001D7531"/>
    <w:rsid w:val="001E737D"/>
    <w:rsid w:val="001F0592"/>
    <w:rsid w:val="001F7506"/>
    <w:rsid w:val="002006CD"/>
    <w:rsid w:val="00202B36"/>
    <w:rsid w:val="00204B7A"/>
    <w:rsid w:val="00204CDE"/>
    <w:rsid w:val="0021101A"/>
    <w:rsid w:val="00220536"/>
    <w:rsid w:val="00235629"/>
    <w:rsid w:val="00260C38"/>
    <w:rsid w:val="002616C0"/>
    <w:rsid w:val="00265372"/>
    <w:rsid w:val="002662AA"/>
    <w:rsid w:val="00274CA2"/>
    <w:rsid w:val="00280496"/>
    <w:rsid w:val="00294DC9"/>
    <w:rsid w:val="00295495"/>
    <w:rsid w:val="002A31DE"/>
    <w:rsid w:val="002B2613"/>
    <w:rsid w:val="002D6D05"/>
    <w:rsid w:val="002F1818"/>
    <w:rsid w:val="002F567B"/>
    <w:rsid w:val="00313ABE"/>
    <w:rsid w:val="003216A9"/>
    <w:rsid w:val="00335A74"/>
    <w:rsid w:val="0036561B"/>
    <w:rsid w:val="0037013F"/>
    <w:rsid w:val="00380C92"/>
    <w:rsid w:val="00390F17"/>
    <w:rsid w:val="003A484F"/>
    <w:rsid w:val="003A4883"/>
    <w:rsid w:val="003B0BE0"/>
    <w:rsid w:val="003B0C1B"/>
    <w:rsid w:val="003B688C"/>
    <w:rsid w:val="003C0291"/>
    <w:rsid w:val="003C39AE"/>
    <w:rsid w:val="003C7B60"/>
    <w:rsid w:val="003D0C0F"/>
    <w:rsid w:val="003D1FB2"/>
    <w:rsid w:val="003D66DA"/>
    <w:rsid w:val="003E1310"/>
    <w:rsid w:val="003E6F55"/>
    <w:rsid w:val="003F01EB"/>
    <w:rsid w:val="00406254"/>
    <w:rsid w:val="00412FC7"/>
    <w:rsid w:val="004223DE"/>
    <w:rsid w:val="00434489"/>
    <w:rsid w:val="00437085"/>
    <w:rsid w:val="00443880"/>
    <w:rsid w:val="004464F4"/>
    <w:rsid w:val="00471401"/>
    <w:rsid w:val="00473F31"/>
    <w:rsid w:val="0048263A"/>
    <w:rsid w:val="00487E5D"/>
    <w:rsid w:val="004A711F"/>
    <w:rsid w:val="004B199D"/>
    <w:rsid w:val="004B4690"/>
    <w:rsid w:val="004C7ECA"/>
    <w:rsid w:val="004E0A2D"/>
    <w:rsid w:val="004E206B"/>
    <w:rsid w:val="004E6DF7"/>
    <w:rsid w:val="004F0FBD"/>
    <w:rsid w:val="00505A47"/>
    <w:rsid w:val="00512FDA"/>
    <w:rsid w:val="00520DA0"/>
    <w:rsid w:val="00546091"/>
    <w:rsid w:val="005664BB"/>
    <w:rsid w:val="00566FFA"/>
    <w:rsid w:val="0057481D"/>
    <w:rsid w:val="0058486E"/>
    <w:rsid w:val="00585B33"/>
    <w:rsid w:val="0059014D"/>
    <w:rsid w:val="005B5C64"/>
    <w:rsid w:val="005C5337"/>
    <w:rsid w:val="005C6BD0"/>
    <w:rsid w:val="005D1C8B"/>
    <w:rsid w:val="005D468D"/>
    <w:rsid w:val="005D5CED"/>
    <w:rsid w:val="005F1A4C"/>
    <w:rsid w:val="00605688"/>
    <w:rsid w:val="006070AF"/>
    <w:rsid w:val="00607E6C"/>
    <w:rsid w:val="006101B1"/>
    <w:rsid w:val="00614E44"/>
    <w:rsid w:val="0062270A"/>
    <w:rsid w:val="00622830"/>
    <w:rsid w:val="00623DA0"/>
    <w:rsid w:val="00630AEF"/>
    <w:rsid w:val="006325F8"/>
    <w:rsid w:val="00633463"/>
    <w:rsid w:val="00634C9A"/>
    <w:rsid w:val="006440E4"/>
    <w:rsid w:val="0066343B"/>
    <w:rsid w:val="00664777"/>
    <w:rsid w:val="00674467"/>
    <w:rsid w:val="006748A4"/>
    <w:rsid w:val="00681A31"/>
    <w:rsid w:val="00683E73"/>
    <w:rsid w:val="006A3141"/>
    <w:rsid w:val="006A5E34"/>
    <w:rsid w:val="006B2422"/>
    <w:rsid w:val="006B2B9A"/>
    <w:rsid w:val="006C1937"/>
    <w:rsid w:val="006F020C"/>
    <w:rsid w:val="006F2665"/>
    <w:rsid w:val="007127B7"/>
    <w:rsid w:val="0071798E"/>
    <w:rsid w:val="007416B6"/>
    <w:rsid w:val="00746F48"/>
    <w:rsid w:val="0075404D"/>
    <w:rsid w:val="00757040"/>
    <w:rsid w:val="0076182A"/>
    <w:rsid w:val="00763FD0"/>
    <w:rsid w:val="00767B7E"/>
    <w:rsid w:val="007770C3"/>
    <w:rsid w:val="0078013A"/>
    <w:rsid w:val="00784D24"/>
    <w:rsid w:val="00785FBA"/>
    <w:rsid w:val="00786E4A"/>
    <w:rsid w:val="007875EB"/>
    <w:rsid w:val="0079426B"/>
    <w:rsid w:val="007949A3"/>
    <w:rsid w:val="007B1976"/>
    <w:rsid w:val="007D1682"/>
    <w:rsid w:val="007D312A"/>
    <w:rsid w:val="007D3F19"/>
    <w:rsid w:val="007D41C4"/>
    <w:rsid w:val="007E23B0"/>
    <w:rsid w:val="007E23E5"/>
    <w:rsid w:val="007F1991"/>
    <w:rsid w:val="007F2C2F"/>
    <w:rsid w:val="007F55FC"/>
    <w:rsid w:val="007F5665"/>
    <w:rsid w:val="00800112"/>
    <w:rsid w:val="00813348"/>
    <w:rsid w:val="008253BB"/>
    <w:rsid w:val="0083706E"/>
    <w:rsid w:val="008408F6"/>
    <w:rsid w:val="00841A05"/>
    <w:rsid w:val="008423A5"/>
    <w:rsid w:val="008437A9"/>
    <w:rsid w:val="00847117"/>
    <w:rsid w:val="00850625"/>
    <w:rsid w:val="00853718"/>
    <w:rsid w:val="00855221"/>
    <w:rsid w:val="00860645"/>
    <w:rsid w:val="00871F71"/>
    <w:rsid w:val="00872FD8"/>
    <w:rsid w:val="00885AF4"/>
    <w:rsid w:val="008939CD"/>
    <w:rsid w:val="008B09D9"/>
    <w:rsid w:val="008B768C"/>
    <w:rsid w:val="008C4DB1"/>
    <w:rsid w:val="008C4EAF"/>
    <w:rsid w:val="008C5176"/>
    <w:rsid w:val="008C7FD0"/>
    <w:rsid w:val="008E1DE7"/>
    <w:rsid w:val="008E707C"/>
    <w:rsid w:val="00900B08"/>
    <w:rsid w:val="00902155"/>
    <w:rsid w:val="00902FA3"/>
    <w:rsid w:val="00923564"/>
    <w:rsid w:val="0092392E"/>
    <w:rsid w:val="00925C50"/>
    <w:rsid w:val="009315F9"/>
    <w:rsid w:val="00933499"/>
    <w:rsid w:val="00935C98"/>
    <w:rsid w:val="009419AF"/>
    <w:rsid w:val="00946945"/>
    <w:rsid w:val="00951248"/>
    <w:rsid w:val="0095152F"/>
    <w:rsid w:val="00954C49"/>
    <w:rsid w:val="00955E37"/>
    <w:rsid w:val="0097099F"/>
    <w:rsid w:val="00971997"/>
    <w:rsid w:val="00971FFC"/>
    <w:rsid w:val="0098660A"/>
    <w:rsid w:val="009931C3"/>
    <w:rsid w:val="009B2C43"/>
    <w:rsid w:val="009B4EAE"/>
    <w:rsid w:val="009B7573"/>
    <w:rsid w:val="009C22F4"/>
    <w:rsid w:val="009C2A4B"/>
    <w:rsid w:val="009C2E98"/>
    <w:rsid w:val="009D2A4F"/>
    <w:rsid w:val="009D3447"/>
    <w:rsid w:val="009D4711"/>
    <w:rsid w:val="009F1185"/>
    <w:rsid w:val="009F18CD"/>
    <w:rsid w:val="009F2A13"/>
    <w:rsid w:val="009F7527"/>
    <w:rsid w:val="00A04EB0"/>
    <w:rsid w:val="00A13CC1"/>
    <w:rsid w:val="00A16847"/>
    <w:rsid w:val="00A237D8"/>
    <w:rsid w:val="00A268C4"/>
    <w:rsid w:val="00A307CD"/>
    <w:rsid w:val="00A331C8"/>
    <w:rsid w:val="00A40A00"/>
    <w:rsid w:val="00A4142F"/>
    <w:rsid w:val="00A422EB"/>
    <w:rsid w:val="00A42E82"/>
    <w:rsid w:val="00A45BB7"/>
    <w:rsid w:val="00A56DF2"/>
    <w:rsid w:val="00A56E6E"/>
    <w:rsid w:val="00A570DA"/>
    <w:rsid w:val="00A67AB5"/>
    <w:rsid w:val="00A733B2"/>
    <w:rsid w:val="00A741C2"/>
    <w:rsid w:val="00A91760"/>
    <w:rsid w:val="00A93B00"/>
    <w:rsid w:val="00A93C21"/>
    <w:rsid w:val="00AB64C9"/>
    <w:rsid w:val="00AC3C6A"/>
    <w:rsid w:val="00AD5620"/>
    <w:rsid w:val="00AD656B"/>
    <w:rsid w:val="00AD7C1B"/>
    <w:rsid w:val="00AE16BA"/>
    <w:rsid w:val="00AE183B"/>
    <w:rsid w:val="00AE1EBE"/>
    <w:rsid w:val="00B03C9D"/>
    <w:rsid w:val="00B060AE"/>
    <w:rsid w:val="00B10517"/>
    <w:rsid w:val="00B13BE0"/>
    <w:rsid w:val="00B14E76"/>
    <w:rsid w:val="00B161B8"/>
    <w:rsid w:val="00B2048C"/>
    <w:rsid w:val="00B310B9"/>
    <w:rsid w:val="00B35F3F"/>
    <w:rsid w:val="00B36CBB"/>
    <w:rsid w:val="00B425E0"/>
    <w:rsid w:val="00B440AA"/>
    <w:rsid w:val="00B44B70"/>
    <w:rsid w:val="00B53C56"/>
    <w:rsid w:val="00B5415E"/>
    <w:rsid w:val="00B57DAF"/>
    <w:rsid w:val="00B77EA6"/>
    <w:rsid w:val="00B81598"/>
    <w:rsid w:val="00B841F1"/>
    <w:rsid w:val="00B944D6"/>
    <w:rsid w:val="00BB4DF0"/>
    <w:rsid w:val="00BC13DA"/>
    <w:rsid w:val="00BC289F"/>
    <w:rsid w:val="00BC2D50"/>
    <w:rsid w:val="00BC5361"/>
    <w:rsid w:val="00BC5460"/>
    <w:rsid w:val="00BC6B50"/>
    <w:rsid w:val="00BD0E25"/>
    <w:rsid w:val="00BF5BD6"/>
    <w:rsid w:val="00C03E31"/>
    <w:rsid w:val="00C33E72"/>
    <w:rsid w:val="00C354B2"/>
    <w:rsid w:val="00C35554"/>
    <w:rsid w:val="00C42709"/>
    <w:rsid w:val="00C45283"/>
    <w:rsid w:val="00C533CC"/>
    <w:rsid w:val="00C5751C"/>
    <w:rsid w:val="00C61BFC"/>
    <w:rsid w:val="00C62B85"/>
    <w:rsid w:val="00C65438"/>
    <w:rsid w:val="00C87FD8"/>
    <w:rsid w:val="00C91381"/>
    <w:rsid w:val="00C91CBB"/>
    <w:rsid w:val="00CA01FF"/>
    <w:rsid w:val="00CB4E70"/>
    <w:rsid w:val="00CC09B6"/>
    <w:rsid w:val="00CC666F"/>
    <w:rsid w:val="00CD0B30"/>
    <w:rsid w:val="00CD1E3F"/>
    <w:rsid w:val="00CE44F6"/>
    <w:rsid w:val="00CE49DA"/>
    <w:rsid w:val="00CE7B61"/>
    <w:rsid w:val="00CF7156"/>
    <w:rsid w:val="00D00095"/>
    <w:rsid w:val="00D114F0"/>
    <w:rsid w:val="00D14F0E"/>
    <w:rsid w:val="00D20620"/>
    <w:rsid w:val="00D254F7"/>
    <w:rsid w:val="00D26091"/>
    <w:rsid w:val="00D2685C"/>
    <w:rsid w:val="00D34E7C"/>
    <w:rsid w:val="00D35489"/>
    <w:rsid w:val="00D36AFE"/>
    <w:rsid w:val="00D51276"/>
    <w:rsid w:val="00D7035F"/>
    <w:rsid w:val="00DA634F"/>
    <w:rsid w:val="00DA65AC"/>
    <w:rsid w:val="00DB1913"/>
    <w:rsid w:val="00DC096D"/>
    <w:rsid w:val="00DC31E8"/>
    <w:rsid w:val="00DC410D"/>
    <w:rsid w:val="00DC5A81"/>
    <w:rsid w:val="00DC68CA"/>
    <w:rsid w:val="00DC7CBA"/>
    <w:rsid w:val="00DD73B7"/>
    <w:rsid w:val="00DF28BC"/>
    <w:rsid w:val="00DF34B9"/>
    <w:rsid w:val="00E01053"/>
    <w:rsid w:val="00E07ACF"/>
    <w:rsid w:val="00E13486"/>
    <w:rsid w:val="00E331A1"/>
    <w:rsid w:val="00E33202"/>
    <w:rsid w:val="00E336A9"/>
    <w:rsid w:val="00E472B1"/>
    <w:rsid w:val="00E50624"/>
    <w:rsid w:val="00E568DF"/>
    <w:rsid w:val="00E64269"/>
    <w:rsid w:val="00E649D2"/>
    <w:rsid w:val="00E727DA"/>
    <w:rsid w:val="00E82267"/>
    <w:rsid w:val="00E841AC"/>
    <w:rsid w:val="00E853CE"/>
    <w:rsid w:val="00E867B6"/>
    <w:rsid w:val="00EA010F"/>
    <w:rsid w:val="00ED1B63"/>
    <w:rsid w:val="00ED3C1F"/>
    <w:rsid w:val="00ED4085"/>
    <w:rsid w:val="00ED420E"/>
    <w:rsid w:val="00ED6FBE"/>
    <w:rsid w:val="00EE2F57"/>
    <w:rsid w:val="00EF4C34"/>
    <w:rsid w:val="00EF77C6"/>
    <w:rsid w:val="00F05438"/>
    <w:rsid w:val="00F1361C"/>
    <w:rsid w:val="00F149C1"/>
    <w:rsid w:val="00F156F0"/>
    <w:rsid w:val="00F160C7"/>
    <w:rsid w:val="00F2408F"/>
    <w:rsid w:val="00F240E9"/>
    <w:rsid w:val="00F36D8F"/>
    <w:rsid w:val="00F417B1"/>
    <w:rsid w:val="00F45853"/>
    <w:rsid w:val="00F602DF"/>
    <w:rsid w:val="00F64D04"/>
    <w:rsid w:val="00F754A1"/>
    <w:rsid w:val="00F81FD9"/>
    <w:rsid w:val="00F841AA"/>
    <w:rsid w:val="00F84A94"/>
    <w:rsid w:val="00F87E96"/>
    <w:rsid w:val="00FA23E8"/>
    <w:rsid w:val="00FC20D8"/>
    <w:rsid w:val="00FD3CC1"/>
    <w:rsid w:val="00FF1E02"/>
    <w:rsid w:val="00FF30B4"/>
    <w:rsid w:val="015D63FC"/>
    <w:rsid w:val="016D4D19"/>
    <w:rsid w:val="01873E91"/>
    <w:rsid w:val="01935533"/>
    <w:rsid w:val="01B52B38"/>
    <w:rsid w:val="01E5254B"/>
    <w:rsid w:val="030177CC"/>
    <w:rsid w:val="034121F3"/>
    <w:rsid w:val="037C1244"/>
    <w:rsid w:val="03D86515"/>
    <w:rsid w:val="03FB340F"/>
    <w:rsid w:val="045753F3"/>
    <w:rsid w:val="04C33E81"/>
    <w:rsid w:val="04FC43EA"/>
    <w:rsid w:val="05090B6A"/>
    <w:rsid w:val="05F41C2F"/>
    <w:rsid w:val="06A92350"/>
    <w:rsid w:val="07B471FE"/>
    <w:rsid w:val="07DF13ED"/>
    <w:rsid w:val="07F83069"/>
    <w:rsid w:val="089B7F9C"/>
    <w:rsid w:val="08E12275"/>
    <w:rsid w:val="091D7F95"/>
    <w:rsid w:val="0A1C108A"/>
    <w:rsid w:val="0A2032A3"/>
    <w:rsid w:val="0AE630D8"/>
    <w:rsid w:val="0B057D70"/>
    <w:rsid w:val="0B8A37D8"/>
    <w:rsid w:val="0CE73BD2"/>
    <w:rsid w:val="0F2C75EB"/>
    <w:rsid w:val="0F874721"/>
    <w:rsid w:val="0FF33EE9"/>
    <w:rsid w:val="108F6797"/>
    <w:rsid w:val="10C055FF"/>
    <w:rsid w:val="112F5204"/>
    <w:rsid w:val="118107EC"/>
    <w:rsid w:val="11A42091"/>
    <w:rsid w:val="11DD6519"/>
    <w:rsid w:val="12372F05"/>
    <w:rsid w:val="125E3532"/>
    <w:rsid w:val="12C0114D"/>
    <w:rsid w:val="13BA1693"/>
    <w:rsid w:val="14101C48"/>
    <w:rsid w:val="147A6BB3"/>
    <w:rsid w:val="14D40EDF"/>
    <w:rsid w:val="152A7FDF"/>
    <w:rsid w:val="153C6FB3"/>
    <w:rsid w:val="16400127"/>
    <w:rsid w:val="16BB723D"/>
    <w:rsid w:val="17055077"/>
    <w:rsid w:val="173B2E25"/>
    <w:rsid w:val="18015F3F"/>
    <w:rsid w:val="18933149"/>
    <w:rsid w:val="19C05391"/>
    <w:rsid w:val="19C61E08"/>
    <w:rsid w:val="1A5F56EF"/>
    <w:rsid w:val="1ACF04EF"/>
    <w:rsid w:val="1B882A24"/>
    <w:rsid w:val="1BE8440E"/>
    <w:rsid w:val="1D155CEE"/>
    <w:rsid w:val="1E1962EB"/>
    <w:rsid w:val="1E421900"/>
    <w:rsid w:val="1E864F13"/>
    <w:rsid w:val="1EAE5386"/>
    <w:rsid w:val="1ECF707B"/>
    <w:rsid w:val="1FF933AB"/>
    <w:rsid w:val="209E49AA"/>
    <w:rsid w:val="20F57F95"/>
    <w:rsid w:val="235D2F55"/>
    <w:rsid w:val="240371BF"/>
    <w:rsid w:val="241702A3"/>
    <w:rsid w:val="24FB6014"/>
    <w:rsid w:val="250645A0"/>
    <w:rsid w:val="25C741E6"/>
    <w:rsid w:val="26A338B2"/>
    <w:rsid w:val="27807B81"/>
    <w:rsid w:val="27842671"/>
    <w:rsid w:val="27CE2F4F"/>
    <w:rsid w:val="27FA118F"/>
    <w:rsid w:val="280451E0"/>
    <w:rsid w:val="28DD386A"/>
    <w:rsid w:val="29BD5F8E"/>
    <w:rsid w:val="29CC63E6"/>
    <w:rsid w:val="29FD04D3"/>
    <w:rsid w:val="2A710990"/>
    <w:rsid w:val="2A922F77"/>
    <w:rsid w:val="2AAF35DE"/>
    <w:rsid w:val="2ABE7A3E"/>
    <w:rsid w:val="2B4D7AEF"/>
    <w:rsid w:val="2C012879"/>
    <w:rsid w:val="2DEA7E32"/>
    <w:rsid w:val="2E141EF5"/>
    <w:rsid w:val="2E6764C9"/>
    <w:rsid w:val="2E6C73E5"/>
    <w:rsid w:val="2EDC352E"/>
    <w:rsid w:val="2EFA178C"/>
    <w:rsid w:val="2F124686"/>
    <w:rsid w:val="2FA411F2"/>
    <w:rsid w:val="2FDF5BEB"/>
    <w:rsid w:val="30314FE0"/>
    <w:rsid w:val="3035391E"/>
    <w:rsid w:val="307873EA"/>
    <w:rsid w:val="308912DA"/>
    <w:rsid w:val="309F63EE"/>
    <w:rsid w:val="30B46D73"/>
    <w:rsid w:val="30D75275"/>
    <w:rsid w:val="312A67F9"/>
    <w:rsid w:val="319E6421"/>
    <w:rsid w:val="319F7F4E"/>
    <w:rsid w:val="31AD298A"/>
    <w:rsid w:val="32425CB4"/>
    <w:rsid w:val="32ED6BDD"/>
    <w:rsid w:val="33A538E2"/>
    <w:rsid w:val="33B533E4"/>
    <w:rsid w:val="33D04B10"/>
    <w:rsid w:val="34B543D6"/>
    <w:rsid w:val="357F38AE"/>
    <w:rsid w:val="365612FD"/>
    <w:rsid w:val="36DF7544"/>
    <w:rsid w:val="3768578B"/>
    <w:rsid w:val="37774BB9"/>
    <w:rsid w:val="379E73FF"/>
    <w:rsid w:val="38606463"/>
    <w:rsid w:val="39AE70AB"/>
    <w:rsid w:val="39DF0585"/>
    <w:rsid w:val="39E76C3E"/>
    <w:rsid w:val="3A5FC74E"/>
    <w:rsid w:val="3ACC55F3"/>
    <w:rsid w:val="3C0C0783"/>
    <w:rsid w:val="3C144C4F"/>
    <w:rsid w:val="3C37572C"/>
    <w:rsid w:val="3CF719D1"/>
    <w:rsid w:val="3DA02DDB"/>
    <w:rsid w:val="3E5B1307"/>
    <w:rsid w:val="3EEF22EE"/>
    <w:rsid w:val="3EF314ED"/>
    <w:rsid w:val="3F0B507C"/>
    <w:rsid w:val="3F3F12CA"/>
    <w:rsid w:val="3F795B0E"/>
    <w:rsid w:val="3F9F3A96"/>
    <w:rsid w:val="3FBF5C03"/>
    <w:rsid w:val="401726DE"/>
    <w:rsid w:val="40194ED9"/>
    <w:rsid w:val="401F586B"/>
    <w:rsid w:val="40350D30"/>
    <w:rsid w:val="413F5DD0"/>
    <w:rsid w:val="418E0940"/>
    <w:rsid w:val="418F02B6"/>
    <w:rsid w:val="425B4D8B"/>
    <w:rsid w:val="42D87A6C"/>
    <w:rsid w:val="43C353A5"/>
    <w:rsid w:val="4412002D"/>
    <w:rsid w:val="44713000"/>
    <w:rsid w:val="44FC39BB"/>
    <w:rsid w:val="459B41E6"/>
    <w:rsid w:val="45E06E35"/>
    <w:rsid w:val="46F5430B"/>
    <w:rsid w:val="471825FE"/>
    <w:rsid w:val="47434B02"/>
    <w:rsid w:val="47E04ECA"/>
    <w:rsid w:val="48FC723A"/>
    <w:rsid w:val="491E2A22"/>
    <w:rsid w:val="493C27E9"/>
    <w:rsid w:val="494D6749"/>
    <w:rsid w:val="49531B59"/>
    <w:rsid w:val="496F39ED"/>
    <w:rsid w:val="49DB4D4B"/>
    <w:rsid w:val="49FF41D3"/>
    <w:rsid w:val="4A185DC8"/>
    <w:rsid w:val="4A346512"/>
    <w:rsid w:val="4AFA468E"/>
    <w:rsid w:val="4B102CAE"/>
    <w:rsid w:val="4BE068DB"/>
    <w:rsid w:val="4BF6002B"/>
    <w:rsid w:val="4C2F3B2D"/>
    <w:rsid w:val="4D8649B9"/>
    <w:rsid w:val="4DDF79D2"/>
    <w:rsid w:val="4E05221B"/>
    <w:rsid w:val="4ECE2238"/>
    <w:rsid w:val="508A2527"/>
    <w:rsid w:val="50A827C8"/>
    <w:rsid w:val="510B381C"/>
    <w:rsid w:val="51B446F3"/>
    <w:rsid w:val="51DB4B86"/>
    <w:rsid w:val="51F85506"/>
    <w:rsid w:val="526C728C"/>
    <w:rsid w:val="528D72DA"/>
    <w:rsid w:val="52B94C95"/>
    <w:rsid w:val="52D54317"/>
    <w:rsid w:val="53326345"/>
    <w:rsid w:val="53C02053"/>
    <w:rsid w:val="541E2C15"/>
    <w:rsid w:val="542E520F"/>
    <w:rsid w:val="5467116A"/>
    <w:rsid w:val="54754BEC"/>
    <w:rsid w:val="552A52AE"/>
    <w:rsid w:val="55333C3E"/>
    <w:rsid w:val="55A20CA7"/>
    <w:rsid w:val="567C03AE"/>
    <w:rsid w:val="57F35983"/>
    <w:rsid w:val="587656E2"/>
    <w:rsid w:val="59835B2E"/>
    <w:rsid w:val="5B555777"/>
    <w:rsid w:val="5BC5D3B2"/>
    <w:rsid w:val="5C0158F6"/>
    <w:rsid w:val="5C11169E"/>
    <w:rsid w:val="5C3749D1"/>
    <w:rsid w:val="5D015FFE"/>
    <w:rsid w:val="5D6A2C17"/>
    <w:rsid w:val="5D8D3BC6"/>
    <w:rsid w:val="5ECB5DB2"/>
    <w:rsid w:val="5F49114F"/>
    <w:rsid w:val="60502867"/>
    <w:rsid w:val="61C86514"/>
    <w:rsid w:val="61CB5C4E"/>
    <w:rsid w:val="623B7B94"/>
    <w:rsid w:val="62E521E8"/>
    <w:rsid w:val="6343411C"/>
    <w:rsid w:val="64CA39A1"/>
    <w:rsid w:val="64EF5B20"/>
    <w:rsid w:val="659C46CE"/>
    <w:rsid w:val="66653FA2"/>
    <w:rsid w:val="668C60C1"/>
    <w:rsid w:val="668F1B3D"/>
    <w:rsid w:val="66B37D2B"/>
    <w:rsid w:val="66F1064C"/>
    <w:rsid w:val="674072DB"/>
    <w:rsid w:val="67475D77"/>
    <w:rsid w:val="680F3EC9"/>
    <w:rsid w:val="68346CC2"/>
    <w:rsid w:val="6A7C6FAE"/>
    <w:rsid w:val="6A941A4E"/>
    <w:rsid w:val="6AAA0AF6"/>
    <w:rsid w:val="6B24496B"/>
    <w:rsid w:val="6C4A05C8"/>
    <w:rsid w:val="6C8773BF"/>
    <w:rsid w:val="6E490C25"/>
    <w:rsid w:val="6E5D40D2"/>
    <w:rsid w:val="6E712470"/>
    <w:rsid w:val="6EB14A65"/>
    <w:rsid w:val="6F715543"/>
    <w:rsid w:val="707F181E"/>
    <w:rsid w:val="70A935FE"/>
    <w:rsid w:val="70D788F5"/>
    <w:rsid w:val="70EA7653"/>
    <w:rsid w:val="71332DB0"/>
    <w:rsid w:val="72734D90"/>
    <w:rsid w:val="72C312B2"/>
    <w:rsid w:val="72F21DBC"/>
    <w:rsid w:val="73674370"/>
    <w:rsid w:val="74CD350C"/>
    <w:rsid w:val="7597611B"/>
    <w:rsid w:val="76381B3A"/>
    <w:rsid w:val="76A33BA3"/>
    <w:rsid w:val="76D025F8"/>
    <w:rsid w:val="77023A68"/>
    <w:rsid w:val="771542E1"/>
    <w:rsid w:val="77860D3A"/>
    <w:rsid w:val="78482494"/>
    <w:rsid w:val="78E33874"/>
    <w:rsid w:val="799563CE"/>
    <w:rsid w:val="79D55FA9"/>
    <w:rsid w:val="79E7B28D"/>
    <w:rsid w:val="7A037876"/>
    <w:rsid w:val="7A7845A4"/>
    <w:rsid w:val="7AB0765C"/>
    <w:rsid w:val="7B6D653C"/>
    <w:rsid w:val="7BC613EA"/>
    <w:rsid w:val="7BFF2F11"/>
    <w:rsid w:val="7C5C5ADB"/>
    <w:rsid w:val="7C775BAB"/>
    <w:rsid w:val="7DA61581"/>
    <w:rsid w:val="7EDC02F9"/>
    <w:rsid w:val="7F9F20EE"/>
    <w:rsid w:val="9E3A10E2"/>
    <w:rsid w:val="9EBD182C"/>
    <w:rsid w:val="CFEF14F3"/>
    <w:rsid w:val="D9F3411F"/>
    <w:rsid w:val="F2BF1C1C"/>
    <w:rsid w:val="F2E1F9D4"/>
    <w:rsid w:val="F788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3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6">
    <w:name w:val="index 5"/>
    <w:next w:val="1"/>
    <w:qFormat/>
    <w:uiPriority w:val="0"/>
    <w:pPr>
      <w:widowControl w:val="0"/>
      <w:spacing w:line="576" w:lineRule="exact"/>
      <w:ind w:firstLine="200" w:firstLineChars="200"/>
      <w:jc w:val="both"/>
    </w:pPr>
    <w:rPr>
      <w:rFonts w:ascii="仿宋_GB2312" w:hAnsi="AR PL UKai CN" w:eastAsia="仿宋_GB2312" w:cs="Times New Roman"/>
      <w:bCs/>
      <w:kern w:val="2"/>
      <w:sz w:val="32"/>
      <w:szCs w:val="32"/>
      <w:lang w:val="en-US" w:eastAsia="zh-CN" w:bidi="ar-SA"/>
    </w:rPr>
  </w:style>
  <w:style w:type="paragraph" w:styleId="7">
    <w:name w:val="Salutation"/>
    <w:basedOn w:val="1"/>
    <w:next w:val="1"/>
    <w:qFormat/>
    <w:uiPriority w:val="0"/>
    <w:rPr>
      <w:rFonts w:ascii="Times New Roman" w:hAnsi="Times New Roman" w:cs="Times New Roman"/>
    </w:rPr>
  </w:style>
  <w:style w:type="paragraph" w:styleId="8">
    <w:name w:val="Body Text"/>
    <w:basedOn w:val="1"/>
    <w:link w:val="28"/>
    <w:qFormat/>
    <w:uiPriority w:val="99"/>
    <w:pPr>
      <w:spacing w:beforeLines="30"/>
    </w:pPr>
    <w:rPr>
      <w:rFonts w:ascii="仿宋_GB2312" w:eastAsia="仿宋_GB2312"/>
      <w:kern w:val="0"/>
      <w:sz w:val="30"/>
    </w:rPr>
  </w:style>
  <w:style w:type="paragraph" w:styleId="9">
    <w:name w:val="Body Text Indent"/>
    <w:basedOn w:val="1"/>
    <w:next w:val="10"/>
    <w:qFormat/>
    <w:uiPriority w:val="0"/>
    <w:pPr>
      <w:ind w:left="200" w:leftChars="200"/>
    </w:pPr>
  </w:style>
  <w:style w:type="paragraph" w:styleId="10">
    <w:name w:val="Body Text First Indent 2"/>
    <w:basedOn w:val="9"/>
    <w:next w:val="1"/>
    <w:qFormat/>
    <w:uiPriority w:val="0"/>
    <w:pPr>
      <w:ind w:firstLine="420"/>
    </w:pPr>
  </w:style>
  <w:style w:type="paragraph" w:styleId="11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2">
    <w:name w:val="toc 3"/>
    <w:basedOn w:val="1"/>
    <w:next w:val="1"/>
    <w:unhideWhenUsed/>
    <w:qFormat/>
    <w:uiPriority w:val="39"/>
    <w:pPr>
      <w:tabs>
        <w:tab w:val="right" w:leader="dot" w:pos="8296"/>
      </w:tabs>
      <w:ind w:left="840" w:leftChars="400"/>
    </w:pPr>
  </w:style>
  <w:style w:type="paragraph" w:styleId="13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15">
    <w:name w:val="header"/>
    <w:basedOn w:val="1"/>
    <w:link w:val="2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pPr>
      <w:tabs>
        <w:tab w:val="right" w:leader="dot" w:pos="8296"/>
      </w:tabs>
      <w:spacing w:before="93"/>
      <w:jc w:val="center"/>
    </w:pPr>
    <w:rPr>
      <w:rFonts w:ascii="仿宋" w:hAnsi="仿宋" w:eastAsia="仿宋"/>
      <w:sz w:val="28"/>
      <w:szCs w:val="28"/>
    </w:rPr>
  </w:style>
  <w:style w:type="paragraph" w:styleId="17">
    <w:name w:val="toc 2"/>
    <w:basedOn w:val="1"/>
    <w:next w:val="1"/>
    <w:unhideWhenUsed/>
    <w:qFormat/>
    <w:uiPriority w:val="39"/>
    <w:pPr>
      <w:tabs>
        <w:tab w:val="right" w:leader="dot" w:pos="8296"/>
      </w:tabs>
      <w:ind w:left="420" w:leftChars="200"/>
    </w:pPr>
  </w:style>
  <w:style w:type="paragraph" w:styleId="1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21">
    <w:name w:val="Strong"/>
    <w:basedOn w:val="20"/>
    <w:qFormat/>
    <w:uiPriority w:val="99"/>
    <w:rPr>
      <w:b/>
    </w:rPr>
  </w:style>
  <w:style w:type="character" w:styleId="22">
    <w:name w:val="Hyperlink"/>
    <w:basedOn w:val="20"/>
    <w:unhideWhenUsed/>
    <w:qFormat/>
    <w:uiPriority w:val="99"/>
    <w:rPr>
      <w:color w:val="0000FF" w:themeColor="hyperlink"/>
      <w:u w:val="single"/>
    </w:rPr>
  </w:style>
  <w:style w:type="character" w:customStyle="1" w:styleId="23">
    <w:name w:val="Header Char"/>
    <w:basedOn w:val="20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4">
    <w:name w:val="页眉 Char"/>
    <w:link w:val="15"/>
    <w:semiHidden/>
    <w:qFormat/>
    <w:locked/>
    <w:uiPriority w:val="99"/>
    <w:rPr>
      <w:sz w:val="18"/>
    </w:rPr>
  </w:style>
  <w:style w:type="character" w:customStyle="1" w:styleId="25">
    <w:name w:val="Footer Char"/>
    <w:basedOn w:val="20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6">
    <w:name w:val="页脚 Char"/>
    <w:link w:val="14"/>
    <w:qFormat/>
    <w:locked/>
    <w:uiPriority w:val="99"/>
    <w:rPr>
      <w:sz w:val="18"/>
    </w:rPr>
  </w:style>
  <w:style w:type="character" w:customStyle="1" w:styleId="27">
    <w:name w:val="Body Text Char"/>
    <w:basedOn w:val="20"/>
    <w:semiHidden/>
    <w:qFormat/>
    <w:uiPriority w:val="99"/>
    <w:rPr>
      <w:rFonts w:ascii="Times New Roman" w:hAnsi="Times New Roman"/>
      <w:szCs w:val="24"/>
    </w:rPr>
  </w:style>
  <w:style w:type="character" w:customStyle="1" w:styleId="28">
    <w:name w:val="正文文本 Char"/>
    <w:link w:val="8"/>
    <w:qFormat/>
    <w:locked/>
    <w:uiPriority w:val="99"/>
    <w:rPr>
      <w:rFonts w:ascii="仿宋_GB2312" w:hAnsi="Times New Roman" w:eastAsia="仿宋_GB2312"/>
      <w:sz w:val="24"/>
    </w:rPr>
  </w:style>
  <w:style w:type="paragraph" w:customStyle="1" w:styleId="2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34"/>
    <w:pPr>
      <w:ind w:firstLine="420" w:firstLineChars="200"/>
    </w:pPr>
  </w:style>
  <w:style w:type="character" w:customStyle="1" w:styleId="31">
    <w:name w:val="标题 1 Char"/>
    <w:basedOn w:val="20"/>
    <w:link w:val="3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32">
    <w:name w:val="标题 2 Char"/>
    <w:basedOn w:val="20"/>
    <w:link w:val="4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3">
    <w:name w:val="TOC 标题1"/>
    <w:basedOn w:val="3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character" w:customStyle="1" w:styleId="34">
    <w:name w:val="批注框文本 Char"/>
    <w:basedOn w:val="20"/>
    <w:link w:val="1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35">
    <w:name w:val="标题 3 Char"/>
    <w:basedOn w:val="20"/>
    <w:link w:val="5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paragraph" w:customStyle="1" w:styleId="36">
    <w:name w:val="TOC 标题2"/>
    <w:basedOn w:val="3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paragraph" w:customStyle="1" w:styleId="37">
    <w:name w:val="List Paragraph1"/>
    <w:basedOn w:val="1"/>
    <w:qFormat/>
    <w:uiPriority w:val="34"/>
    <w:pPr>
      <w:ind w:firstLine="420" w:firstLineChars="200"/>
    </w:pPr>
  </w:style>
  <w:style w:type="paragraph" w:customStyle="1" w:styleId="3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  <w:style w:type="paragraph" w:customStyle="1" w:styleId="3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40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41">
    <w:name w:val="font01"/>
    <w:basedOn w:val="2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2">
    <w:name w:val="font51"/>
    <w:basedOn w:val="2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3">
    <w:name w:val="font41"/>
    <w:basedOn w:val="2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44">
    <w:name w:val="font31"/>
    <w:basedOn w:val="2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45">
    <w:name w:val="NormalCharacter"/>
    <w:semiHidden/>
    <w:qFormat/>
    <w:uiPriority w:val="0"/>
  </w:style>
  <w:style w:type="paragraph" w:customStyle="1" w:styleId="46">
    <w:name w:val="No Spacing1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customStyle="1" w:styleId="47">
    <w:name w:val="font10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48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7.emf"/><Relationship Id="rId17" Type="http://schemas.openxmlformats.org/officeDocument/2006/relationships/oleObject" Target="embeddings/oleObject6.bin"/><Relationship Id="rId16" Type="http://schemas.openxmlformats.org/officeDocument/2006/relationships/image" Target="media/image6.png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5"/>
    <customShpInfo spid="_x0000_s2052"/>
    <customShpInfo spid="_x0000_s2053"/>
    <customShpInfo spid="_x0000_s2054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四川省财政厅</Company>
  <Pages>1</Pages>
  <Words>12268</Words>
  <Characters>13185</Characters>
  <Lines>1</Lines>
  <Paragraphs>1</Paragraphs>
  <TotalTime>1</TotalTime>
  <ScaleCrop>false</ScaleCrop>
  <LinksUpToDate>false</LinksUpToDate>
  <CharactersWithSpaces>14748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2020-08-05T17:49:00Z</dcterms:created>
  <dc:creator>曹颖</dc:creator>
  <cp:lastModifiedBy>财务室:魏小丹</cp:lastModifiedBy>
  <cp:lastPrinted>2022-08-06T18:23:00Z</cp:lastPrinted>
  <dcterms:modified xsi:type="dcterms:W3CDTF">2023-10-12T07:57:56Z</dcterms:modified>
  <dc:title>四川省***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18C4299B72334D3095585539B3212D20</vt:lpwstr>
  </property>
</Properties>
</file>