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31B" w:rsidRDefault="00A9031B" w:rsidP="00A9031B">
      <w:pPr>
        <w:spacing w:line="600" w:lineRule="exact"/>
        <w:jc w:val="left"/>
        <w:rPr>
          <w:rFonts w:ascii="方正小标宋简体" w:eastAsia="方正小标宋简体" w:hAnsi="宋体"/>
          <w:szCs w:val="21"/>
        </w:rPr>
      </w:pPr>
      <w:bookmarkStart w:id="0" w:name="_Toc15306267"/>
    </w:p>
    <w:p w:rsidR="00A9031B" w:rsidRDefault="00A9031B" w:rsidP="00A9031B">
      <w:pPr>
        <w:spacing w:line="600" w:lineRule="exact"/>
        <w:jc w:val="center"/>
        <w:rPr>
          <w:rFonts w:ascii="方正小标宋简体" w:eastAsia="方正小标宋简体" w:hAnsi="宋体"/>
          <w:sz w:val="72"/>
          <w:szCs w:val="72"/>
        </w:rPr>
      </w:pPr>
    </w:p>
    <w:p w:rsidR="00A9031B" w:rsidRDefault="00A9031B" w:rsidP="00A9031B">
      <w:pPr>
        <w:spacing w:line="600" w:lineRule="exact"/>
        <w:jc w:val="center"/>
        <w:rPr>
          <w:rFonts w:ascii="方正小标宋简体" w:eastAsia="方正小标宋简体" w:hAnsi="宋体"/>
          <w:sz w:val="72"/>
          <w:szCs w:val="72"/>
        </w:rPr>
      </w:pPr>
    </w:p>
    <w:p w:rsidR="00A9031B" w:rsidRDefault="00A9031B" w:rsidP="00A9031B">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77193"/>
      <w:bookmarkStart w:id="2" w:name="_Toc15377425"/>
      <w:bookmarkStart w:id="3" w:name="_Toc15396597"/>
      <w:bookmarkStart w:id="4" w:name="_Toc15378441"/>
      <w:bookmarkStart w:id="5" w:name="_Toc15396475"/>
      <w:bookmarkStart w:id="6" w:name="_Toc28174"/>
      <w:r>
        <w:rPr>
          <w:rFonts w:ascii="方正小标宋简体" w:eastAsia="方正小标宋简体" w:hAnsi="方正小标宋简体" w:cs="方正小标宋简体" w:hint="eastAsia"/>
          <w:sz w:val="72"/>
          <w:szCs w:val="72"/>
        </w:rPr>
        <w:t>2022年度</w:t>
      </w:r>
      <w:bookmarkEnd w:id="1"/>
      <w:bookmarkEnd w:id="2"/>
      <w:bookmarkEnd w:id="3"/>
      <w:bookmarkEnd w:id="4"/>
      <w:bookmarkEnd w:id="5"/>
      <w:bookmarkEnd w:id="6"/>
    </w:p>
    <w:p w:rsidR="00A9031B" w:rsidRDefault="00EF580C" w:rsidP="00A9031B">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7" w:name="_Toc15377426"/>
      <w:bookmarkStart w:id="8" w:name="_Toc15396598"/>
      <w:bookmarkStart w:id="9" w:name="_Toc15396476"/>
      <w:bookmarkStart w:id="10" w:name="_Toc2799"/>
      <w:bookmarkStart w:id="11" w:name="_Toc15378442"/>
      <w:bookmarkStart w:id="12" w:name="_Toc15377194"/>
      <w:r w:rsidRPr="00EF580C">
        <w:rPr>
          <w:rFonts w:ascii="Times New Roman" w:eastAsia="宋体" w:hAnsi="Times New Roman" w:cs="Times New Roman"/>
          <w:noProof/>
          <w:sz w:val="72"/>
          <w:szCs w:val="24"/>
        </w:rPr>
        <w:pict>
          <v:rect id="矩形 9" o:spid="_x0000_s1026" style="position:absolute;left:0;text-align:left;margin-left:188.15pt;margin-top:523.65pt;width:48.7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" fillcolor="white [3212]" strokecolor="white [3212]" strokeweight="2pt"/>
        </w:pict>
      </w:r>
      <w:r w:rsidR="00A9031B">
        <w:rPr>
          <w:rFonts w:ascii="方正小标宋简体" w:eastAsia="方正小标宋简体" w:hAnsi="方正小标宋简体" w:cs="方正小标宋简体" w:hint="eastAsia"/>
          <w:sz w:val="72"/>
          <w:szCs w:val="72"/>
        </w:rPr>
        <w:t>广元市</w:t>
      </w:r>
      <w:bookmarkStart w:id="13" w:name="_Toc15306268"/>
      <w:bookmarkEnd w:id="0"/>
      <w:r w:rsidR="00A9031B">
        <w:rPr>
          <w:rFonts w:ascii="方正小标宋简体" w:eastAsia="方正小标宋简体" w:hAnsi="方正小标宋简体" w:cs="方正小标宋简体" w:hint="eastAsia"/>
          <w:sz w:val="72"/>
          <w:szCs w:val="72"/>
        </w:rPr>
        <w:t>公安局利州区分局单位决算</w:t>
      </w:r>
      <w:bookmarkEnd w:id="7"/>
      <w:bookmarkEnd w:id="8"/>
      <w:bookmarkEnd w:id="9"/>
      <w:bookmarkEnd w:id="10"/>
      <w:bookmarkEnd w:id="11"/>
      <w:bookmarkEnd w:id="12"/>
      <w:bookmarkEnd w:id="13"/>
    </w:p>
    <w:p w:rsidR="00A9031B" w:rsidRDefault="00A9031B" w:rsidP="00A9031B">
      <w:pPr>
        <w:widowControl/>
        <w:jc w:val="center"/>
        <w:rPr>
          <w:rFonts w:ascii="方正小标宋简体" w:eastAsia="方正小标宋简体" w:hAnsi="黑体"/>
          <w:sz w:val="36"/>
          <w:szCs w:val="36"/>
        </w:rPr>
        <w:sectPr w:rsidR="00A9031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425"/>
          <w:titlePg/>
          <w:docGrid w:type="lines" w:linePitch="312"/>
        </w:sectPr>
      </w:pPr>
    </w:p>
    <w:p w:rsidR="00A9031B" w:rsidRDefault="00A9031B" w:rsidP="00A9031B">
      <w:pPr>
        <w:widowControl/>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目   录</w:t>
      </w:r>
    </w:p>
    <w:p w:rsidR="00A9031B" w:rsidRDefault="00A9031B" w:rsidP="00A9031B">
      <w:pPr>
        <w:widowControl/>
        <w:jc w:val="center"/>
        <w:rPr>
          <w:rFonts w:ascii="方正小标宋简体" w:eastAsia="方正小标宋简体" w:hAnsi="黑体"/>
          <w:sz w:val="36"/>
          <w:szCs w:val="36"/>
        </w:rPr>
      </w:pPr>
      <w:r>
        <w:rPr>
          <w:rFonts w:ascii="方正小标宋简体" w:eastAsia="方正小标宋简体" w:hAnsi="黑体" w:hint="eastAsia"/>
          <w:sz w:val="36"/>
          <w:szCs w:val="36"/>
        </w:rPr>
        <w:t>公开时间：2023年10月</w:t>
      </w:r>
      <w:r w:rsidR="000D0735">
        <w:rPr>
          <w:rFonts w:ascii="方正小标宋简体" w:eastAsia="方正小标宋简体" w:hAnsi="黑体" w:hint="eastAsia"/>
          <w:sz w:val="36"/>
          <w:szCs w:val="36"/>
        </w:rPr>
        <w:t>12</w:t>
      </w:r>
      <w:r>
        <w:rPr>
          <w:rFonts w:ascii="方正小标宋简体" w:eastAsia="方正小标宋简体" w:hAnsi="黑体" w:hint="eastAsia"/>
          <w:sz w:val="36"/>
          <w:szCs w:val="36"/>
        </w:rPr>
        <w:t>日</w:t>
      </w:r>
    </w:p>
    <w:sdt>
      <w:sdtPr>
        <w:rPr>
          <w:rFonts w:ascii="宋体" w:hAnsi="宋体"/>
        </w:rPr>
        <w:id w:val="147479738"/>
        <w:docPartObj>
          <w:docPartGallery w:val="Table of Contents"/>
          <w:docPartUnique/>
        </w:docPartObj>
      </w:sdtPr>
      <w:sdtEndPr>
        <w:rPr>
          <w:rFonts w:asciiTheme="minorHAnsi" w:hAnsiTheme="minorHAnsi"/>
          <w:b/>
        </w:rPr>
      </w:sdtEndPr>
      <w:sdtContent>
        <w:p w:rsidR="00A9031B" w:rsidRDefault="00EF580C" w:rsidP="00A9031B">
          <w:pPr>
            <w:jc w:val="center"/>
            <w:rPr>
              <w:b/>
              <w:noProof/>
            </w:rPr>
          </w:pPr>
          <w:r w:rsidRPr="00EF580C">
            <w:fldChar w:fldCharType="begin"/>
          </w:r>
          <w:r w:rsidR="00A9031B">
            <w:instrText xml:space="preserve">TOC \o "1-2" \h \u </w:instrText>
          </w:r>
          <w:r w:rsidRPr="00EF580C">
            <w:fldChar w:fldCharType="separate"/>
          </w:r>
        </w:p>
        <w:p w:rsidR="00A9031B" w:rsidRDefault="00EF580C" w:rsidP="00A9031B">
          <w:pPr>
            <w:pStyle w:val="WPSOffice1"/>
            <w:tabs>
              <w:tab w:val="right" w:leader="dot" w:pos="8306"/>
            </w:tabs>
            <w:rPr>
              <w:b/>
              <w:noProof/>
            </w:rPr>
          </w:pPr>
          <w:hyperlink w:anchor="_Toc15377" w:history="1">
            <w:r w:rsidR="00A9031B">
              <w:rPr>
                <w:rFonts w:ascii="黑体" w:eastAsia="黑体" w:hAnsi="黑体" w:hint="eastAsia"/>
                <w:b/>
                <w:noProof/>
              </w:rPr>
              <w:t>第一部分 单位概况</w:t>
            </w:r>
            <w:r w:rsidR="00A9031B">
              <w:rPr>
                <w:b/>
                <w:noProof/>
              </w:rPr>
              <w:tab/>
            </w:r>
            <w:r>
              <w:rPr>
                <w:b/>
                <w:noProof/>
              </w:rPr>
              <w:fldChar w:fldCharType="begin"/>
            </w:r>
            <w:r w:rsidR="00A9031B">
              <w:rPr>
                <w:b/>
                <w:noProof/>
              </w:rPr>
              <w:instrText xml:space="preserve"> PAGEREF _Toc15377 \h </w:instrText>
            </w:r>
            <w:r>
              <w:rPr>
                <w:b/>
                <w:noProof/>
              </w:rPr>
            </w:r>
            <w:r>
              <w:rPr>
                <w:b/>
                <w:noProof/>
              </w:rPr>
              <w:fldChar w:fldCharType="separate"/>
            </w:r>
            <w:r w:rsidR="00990AFC">
              <w:rPr>
                <w:b/>
                <w:noProof/>
              </w:rPr>
              <w:t>2</w:t>
            </w:r>
            <w:r>
              <w:rPr>
                <w:b/>
                <w:noProof/>
              </w:rPr>
              <w:fldChar w:fldCharType="end"/>
            </w:r>
          </w:hyperlink>
        </w:p>
        <w:p w:rsidR="00A9031B" w:rsidRDefault="00EF580C" w:rsidP="00A9031B">
          <w:pPr>
            <w:pStyle w:val="WPSOffice1"/>
            <w:tabs>
              <w:tab w:val="right" w:leader="dot" w:pos="8306"/>
            </w:tabs>
            <w:rPr>
              <w:b/>
              <w:noProof/>
            </w:rPr>
          </w:pPr>
          <w:hyperlink w:anchor="_Toc32384" w:history="1">
            <w:r w:rsidR="00A9031B">
              <w:rPr>
                <w:rFonts w:ascii="黑体" w:eastAsia="黑体" w:hAnsi="黑体" w:hint="eastAsia"/>
                <w:b/>
                <w:noProof/>
              </w:rPr>
              <w:t>一、主要职责</w:t>
            </w:r>
            <w:r w:rsidR="00A9031B">
              <w:rPr>
                <w:b/>
                <w:noProof/>
              </w:rPr>
              <w:tab/>
            </w:r>
            <w:r>
              <w:rPr>
                <w:b/>
                <w:noProof/>
              </w:rPr>
              <w:fldChar w:fldCharType="begin"/>
            </w:r>
            <w:r w:rsidR="00A9031B">
              <w:rPr>
                <w:b/>
                <w:noProof/>
              </w:rPr>
              <w:instrText xml:space="preserve"> PAGEREF _Toc32384 \h </w:instrText>
            </w:r>
            <w:r>
              <w:rPr>
                <w:b/>
                <w:noProof/>
              </w:rPr>
            </w:r>
            <w:r>
              <w:rPr>
                <w:b/>
                <w:noProof/>
              </w:rPr>
              <w:fldChar w:fldCharType="separate"/>
            </w:r>
            <w:r w:rsidR="00990AFC">
              <w:rPr>
                <w:b/>
                <w:noProof/>
              </w:rPr>
              <w:t>2</w:t>
            </w:r>
            <w:r>
              <w:rPr>
                <w:b/>
                <w:noProof/>
              </w:rPr>
              <w:fldChar w:fldCharType="end"/>
            </w:r>
          </w:hyperlink>
        </w:p>
        <w:p w:rsidR="00A9031B" w:rsidRDefault="00EF580C" w:rsidP="00A9031B">
          <w:pPr>
            <w:pStyle w:val="WPSOffice1"/>
            <w:tabs>
              <w:tab w:val="right" w:leader="dot" w:pos="8306"/>
            </w:tabs>
            <w:rPr>
              <w:b/>
              <w:noProof/>
            </w:rPr>
          </w:pPr>
          <w:hyperlink w:anchor="_Toc4559" w:history="1">
            <w:r w:rsidR="00A9031B">
              <w:rPr>
                <w:rFonts w:ascii="黑体" w:eastAsia="黑体" w:hAnsi="黑体" w:hint="eastAsia"/>
                <w:b/>
                <w:noProof/>
              </w:rPr>
              <w:t>二、</w:t>
            </w:r>
            <w:r w:rsidR="00A9031B">
              <w:rPr>
                <w:rFonts w:ascii="黑体" w:hAnsi="黑体" w:hint="eastAsia"/>
                <w:b/>
                <w:noProof/>
              </w:rPr>
              <w:t>机构设置</w:t>
            </w:r>
            <w:r w:rsidR="00A9031B">
              <w:rPr>
                <w:b/>
                <w:noProof/>
              </w:rPr>
              <w:tab/>
            </w:r>
            <w:r>
              <w:rPr>
                <w:b/>
                <w:noProof/>
              </w:rPr>
              <w:fldChar w:fldCharType="begin"/>
            </w:r>
            <w:r w:rsidR="00A9031B">
              <w:rPr>
                <w:b/>
                <w:noProof/>
              </w:rPr>
              <w:instrText xml:space="preserve"> PAGEREF _Toc4559 \h </w:instrText>
            </w:r>
            <w:r>
              <w:rPr>
                <w:b/>
                <w:noProof/>
              </w:rPr>
            </w:r>
            <w:r>
              <w:rPr>
                <w:b/>
                <w:noProof/>
              </w:rPr>
              <w:fldChar w:fldCharType="separate"/>
            </w:r>
            <w:r w:rsidR="00990AFC">
              <w:rPr>
                <w:b/>
                <w:noProof/>
              </w:rPr>
              <w:t>4</w:t>
            </w:r>
            <w:r>
              <w:rPr>
                <w:b/>
                <w:noProof/>
              </w:rPr>
              <w:fldChar w:fldCharType="end"/>
            </w:r>
          </w:hyperlink>
        </w:p>
        <w:p w:rsidR="00A9031B" w:rsidRDefault="00EF580C" w:rsidP="00A9031B">
          <w:pPr>
            <w:pStyle w:val="WPSOffice1"/>
            <w:tabs>
              <w:tab w:val="right" w:leader="dot" w:pos="8306"/>
            </w:tabs>
            <w:rPr>
              <w:b/>
              <w:noProof/>
            </w:rPr>
          </w:pPr>
          <w:hyperlink w:anchor="_Toc6334" w:history="1">
            <w:r w:rsidR="00A9031B">
              <w:rPr>
                <w:rFonts w:ascii="黑体" w:eastAsia="黑体" w:hAnsi="黑体" w:hint="eastAsia"/>
                <w:b/>
                <w:noProof/>
              </w:rPr>
              <w:t>第二部分 2022年度</w:t>
            </w:r>
            <w:r w:rsidR="00A9031B">
              <w:rPr>
                <w:rFonts w:ascii="黑体" w:eastAsia="黑体" w:hAnsi="黑体" w:hint="eastAsia"/>
                <w:b/>
                <w:bCs/>
                <w:noProof/>
              </w:rPr>
              <w:t>单位决算情况说明</w:t>
            </w:r>
            <w:r w:rsidR="00A9031B">
              <w:rPr>
                <w:b/>
                <w:noProof/>
              </w:rPr>
              <w:tab/>
            </w:r>
            <w:r>
              <w:rPr>
                <w:b/>
                <w:noProof/>
              </w:rPr>
              <w:fldChar w:fldCharType="begin"/>
            </w:r>
            <w:r w:rsidR="00A9031B">
              <w:rPr>
                <w:b/>
                <w:noProof/>
              </w:rPr>
              <w:instrText xml:space="preserve"> PAGEREF _Toc6334 \h </w:instrText>
            </w:r>
            <w:r>
              <w:rPr>
                <w:b/>
                <w:noProof/>
              </w:rPr>
            </w:r>
            <w:r>
              <w:rPr>
                <w:b/>
                <w:noProof/>
              </w:rPr>
              <w:fldChar w:fldCharType="separate"/>
            </w:r>
            <w:r w:rsidR="00990AFC">
              <w:rPr>
                <w:b/>
                <w:noProof/>
              </w:rPr>
              <w:t>4</w:t>
            </w:r>
            <w:r>
              <w:rPr>
                <w:b/>
                <w:noProof/>
              </w:rPr>
              <w:fldChar w:fldCharType="end"/>
            </w:r>
          </w:hyperlink>
        </w:p>
        <w:p w:rsidR="00A9031B" w:rsidRDefault="00EF580C" w:rsidP="00A9031B">
          <w:pPr>
            <w:pStyle w:val="WPSOffice2"/>
            <w:tabs>
              <w:tab w:val="right" w:leader="dot" w:pos="8306"/>
            </w:tabs>
            <w:ind w:left="420"/>
            <w:rPr>
              <w:noProof/>
            </w:rPr>
          </w:pPr>
          <w:hyperlink w:anchor="_Toc3921" w:history="1">
            <w:r w:rsidR="00A9031B">
              <w:rPr>
                <w:rFonts w:ascii="黑体" w:eastAsia="黑体" w:hAnsi="黑体"/>
                <w:noProof/>
              </w:rPr>
              <w:t xml:space="preserve">一、 </w:t>
            </w:r>
            <w:r w:rsidR="00A9031B">
              <w:rPr>
                <w:rFonts w:ascii="黑体" w:eastAsia="黑体" w:hAnsi="黑体" w:hint="eastAsia"/>
                <w:noProof/>
                <w:szCs w:val="32"/>
              </w:rPr>
              <w:t>收</w:t>
            </w:r>
            <w:r w:rsidR="00A9031B">
              <w:rPr>
                <w:rFonts w:ascii="黑体" w:eastAsia="黑体" w:hAnsi="黑体" w:hint="eastAsia"/>
                <w:noProof/>
              </w:rPr>
              <w:t>入支出决算总体情况说明</w:t>
            </w:r>
            <w:r w:rsidR="00A9031B">
              <w:rPr>
                <w:noProof/>
              </w:rPr>
              <w:tab/>
            </w:r>
            <w:r>
              <w:rPr>
                <w:noProof/>
              </w:rPr>
              <w:fldChar w:fldCharType="begin"/>
            </w:r>
            <w:r w:rsidR="00A9031B">
              <w:rPr>
                <w:noProof/>
              </w:rPr>
              <w:instrText xml:space="preserve"> PAGEREF _Toc3921 \h </w:instrText>
            </w:r>
            <w:r>
              <w:rPr>
                <w:noProof/>
              </w:rPr>
            </w:r>
            <w:r>
              <w:rPr>
                <w:noProof/>
              </w:rPr>
              <w:fldChar w:fldCharType="separate"/>
            </w:r>
            <w:r w:rsidR="00990AFC">
              <w:rPr>
                <w:noProof/>
              </w:rPr>
              <w:t>4</w:t>
            </w:r>
            <w:r>
              <w:rPr>
                <w:noProof/>
              </w:rPr>
              <w:fldChar w:fldCharType="end"/>
            </w:r>
          </w:hyperlink>
        </w:p>
        <w:p w:rsidR="00A9031B" w:rsidRDefault="00EF580C" w:rsidP="00A9031B">
          <w:pPr>
            <w:pStyle w:val="WPSOffice2"/>
            <w:tabs>
              <w:tab w:val="right" w:leader="dot" w:pos="8306"/>
            </w:tabs>
            <w:ind w:left="420"/>
            <w:rPr>
              <w:noProof/>
            </w:rPr>
          </w:pPr>
          <w:hyperlink w:anchor="_Toc24488" w:history="1">
            <w:r w:rsidR="00A9031B">
              <w:rPr>
                <w:rFonts w:ascii="黑体" w:eastAsia="黑体" w:hAnsi="黑体"/>
                <w:noProof/>
              </w:rPr>
              <w:t xml:space="preserve">二、 </w:t>
            </w:r>
            <w:r w:rsidR="00A9031B">
              <w:rPr>
                <w:rFonts w:ascii="黑体" w:eastAsia="黑体" w:hAnsi="黑体" w:hint="eastAsia"/>
                <w:noProof/>
                <w:szCs w:val="32"/>
              </w:rPr>
              <w:t>收</w:t>
            </w:r>
            <w:r w:rsidR="00A9031B">
              <w:rPr>
                <w:rFonts w:ascii="黑体" w:eastAsia="黑体" w:hAnsi="黑体" w:hint="eastAsia"/>
                <w:noProof/>
              </w:rPr>
              <w:t>入决算情况说明</w:t>
            </w:r>
            <w:r w:rsidR="00A9031B">
              <w:rPr>
                <w:noProof/>
              </w:rPr>
              <w:tab/>
            </w:r>
            <w:r>
              <w:rPr>
                <w:noProof/>
              </w:rPr>
              <w:fldChar w:fldCharType="begin"/>
            </w:r>
            <w:r w:rsidR="00A9031B">
              <w:rPr>
                <w:noProof/>
              </w:rPr>
              <w:instrText xml:space="preserve"> PAGEREF _Toc24488 \h </w:instrText>
            </w:r>
            <w:r>
              <w:rPr>
                <w:noProof/>
              </w:rPr>
            </w:r>
            <w:r>
              <w:rPr>
                <w:noProof/>
              </w:rPr>
              <w:fldChar w:fldCharType="separate"/>
            </w:r>
            <w:r w:rsidR="00990AFC">
              <w:rPr>
                <w:noProof/>
              </w:rPr>
              <w:t>4</w:t>
            </w:r>
            <w:r>
              <w:rPr>
                <w:noProof/>
              </w:rPr>
              <w:fldChar w:fldCharType="end"/>
            </w:r>
          </w:hyperlink>
        </w:p>
        <w:p w:rsidR="00A9031B" w:rsidRDefault="00EF580C" w:rsidP="00A9031B">
          <w:pPr>
            <w:pStyle w:val="WPSOffice2"/>
            <w:tabs>
              <w:tab w:val="right" w:leader="dot" w:pos="8306"/>
            </w:tabs>
            <w:ind w:left="420"/>
            <w:rPr>
              <w:noProof/>
            </w:rPr>
          </w:pPr>
          <w:hyperlink w:anchor="_Toc9003" w:history="1">
            <w:r w:rsidR="00A9031B">
              <w:rPr>
                <w:rFonts w:ascii="黑体" w:eastAsia="黑体" w:hAnsi="黑体"/>
                <w:noProof/>
              </w:rPr>
              <w:t xml:space="preserve">三、 </w:t>
            </w:r>
            <w:r w:rsidR="00A9031B">
              <w:rPr>
                <w:rFonts w:ascii="黑体" w:eastAsia="黑体" w:hAnsi="黑体" w:hint="eastAsia"/>
                <w:noProof/>
                <w:szCs w:val="32"/>
              </w:rPr>
              <w:t>支</w:t>
            </w:r>
            <w:r w:rsidR="00A9031B">
              <w:rPr>
                <w:rFonts w:ascii="黑体" w:eastAsia="黑体" w:hAnsi="黑体" w:hint="eastAsia"/>
                <w:noProof/>
              </w:rPr>
              <w:t>出决算情况说明</w:t>
            </w:r>
            <w:r w:rsidR="00A9031B">
              <w:rPr>
                <w:noProof/>
              </w:rPr>
              <w:tab/>
            </w:r>
            <w:r>
              <w:rPr>
                <w:noProof/>
              </w:rPr>
              <w:fldChar w:fldCharType="begin"/>
            </w:r>
            <w:r w:rsidR="00A9031B">
              <w:rPr>
                <w:noProof/>
              </w:rPr>
              <w:instrText xml:space="preserve"> PAGEREF _Toc9003 \h </w:instrText>
            </w:r>
            <w:r>
              <w:rPr>
                <w:noProof/>
              </w:rPr>
            </w:r>
            <w:r>
              <w:rPr>
                <w:noProof/>
              </w:rPr>
              <w:fldChar w:fldCharType="separate"/>
            </w:r>
            <w:r w:rsidR="00990AFC">
              <w:rPr>
                <w:noProof/>
              </w:rPr>
              <w:t>5</w:t>
            </w:r>
            <w:r>
              <w:rPr>
                <w:noProof/>
              </w:rPr>
              <w:fldChar w:fldCharType="end"/>
            </w:r>
          </w:hyperlink>
        </w:p>
        <w:p w:rsidR="00A9031B" w:rsidRDefault="00EF580C" w:rsidP="00A9031B">
          <w:pPr>
            <w:pStyle w:val="WPSOffice2"/>
            <w:tabs>
              <w:tab w:val="right" w:leader="dot" w:pos="8306"/>
            </w:tabs>
            <w:ind w:left="420"/>
            <w:rPr>
              <w:noProof/>
            </w:rPr>
          </w:pPr>
          <w:hyperlink w:anchor="_Toc10953" w:history="1">
            <w:r w:rsidR="00A9031B">
              <w:rPr>
                <w:rFonts w:ascii="黑体" w:eastAsia="黑体" w:hAnsi="黑体" w:hint="eastAsia"/>
                <w:noProof/>
                <w:szCs w:val="32"/>
              </w:rPr>
              <w:t>四、财</w:t>
            </w:r>
            <w:r w:rsidR="00A9031B">
              <w:rPr>
                <w:rFonts w:ascii="黑体" w:eastAsia="黑体" w:hAnsi="黑体" w:hint="eastAsia"/>
                <w:noProof/>
              </w:rPr>
              <w:t>政拨款收入支出决算总体情况说明</w:t>
            </w:r>
            <w:r w:rsidR="00A9031B">
              <w:rPr>
                <w:noProof/>
              </w:rPr>
              <w:tab/>
            </w:r>
            <w:r>
              <w:rPr>
                <w:noProof/>
              </w:rPr>
              <w:fldChar w:fldCharType="begin"/>
            </w:r>
            <w:r w:rsidR="00A9031B">
              <w:rPr>
                <w:noProof/>
              </w:rPr>
              <w:instrText xml:space="preserve"> PAGEREF _Toc10953 \h </w:instrText>
            </w:r>
            <w:r>
              <w:rPr>
                <w:noProof/>
              </w:rPr>
            </w:r>
            <w:r>
              <w:rPr>
                <w:noProof/>
              </w:rPr>
              <w:fldChar w:fldCharType="separate"/>
            </w:r>
            <w:r w:rsidR="00990AFC">
              <w:rPr>
                <w:noProof/>
              </w:rPr>
              <w:t>5</w:t>
            </w:r>
            <w:r>
              <w:rPr>
                <w:noProof/>
              </w:rPr>
              <w:fldChar w:fldCharType="end"/>
            </w:r>
          </w:hyperlink>
        </w:p>
        <w:p w:rsidR="00A9031B" w:rsidRDefault="00EF580C" w:rsidP="00A9031B">
          <w:pPr>
            <w:pStyle w:val="WPSOffice2"/>
            <w:tabs>
              <w:tab w:val="right" w:leader="dot" w:pos="8306"/>
            </w:tabs>
            <w:ind w:left="420"/>
            <w:rPr>
              <w:noProof/>
            </w:rPr>
          </w:pPr>
          <w:hyperlink w:anchor="_Toc25583" w:history="1">
            <w:r w:rsidR="00A9031B">
              <w:rPr>
                <w:rFonts w:ascii="黑体" w:eastAsia="黑体" w:hAnsi="黑体" w:hint="eastAsia"/>
                <w:noProof/>
                <w:szCs w:val="32"/>
              </w:rPr>
              <w:t>五、一</w:t>
            </w:r>
            <w:r w:rsidR="00A9031B">
              <w:rPr>
                <w:rFonts w:ascii="黑体" w:eastAsia="黑体" w:hAnsi="黑体" w:hint="eastAsia"/>
                <w:noProof/>
              </w:rPr>
              <w:t>般公共预算财政拨款支出决算情况说明</w:t>
            </w:r>
            <w:r w:rsidR="00A9031B">
              <w:rPr>
                <w:noProof/>
              </w:rPr>
              <w:tab/>
            </w:r>
            <w:r>
              <w:rPr>
                <w:noProof/>
              </w:rPr>
              <w:fldChar w:fldCharType="begin"/>
            </w:r>
            <w:r w:rsidR="00A9031B">
              <w:rPr>
                <w:noProof/>
              </w:rPr>
              <w:instrText xml:space="preserve"> PAGEREF _Toc25583 \h </w:instrText>
            </w:r>
            <w:r>
              <w:rPr>
                <w:noProof/>
              </w:rPr>
            </w:r>
            <w:r>
              <w:rPr>
                <w:noProof/>
              </w:rPr>
              <w:fldChar w:fldCharType="separate"/>
            </w:r>
            <w:r w:rsidR="00990AFC">
              <w:rPr>
                <w:noProof/>
              </w:rPr>
              <w:t>6</w:t>
            </w:r>
            <w:r>
              <w:rPr>
                <w:noProof/>
              </w:rPr>
              <w:fldChar w:fldCharType="end"/>
            </w:r>
          </w:hyperlink>
        </w:p>
        <w:p w:rsidR="00A9031B" w:rsidRDefault="00EF580C" w:rsidP="00A9031B">
          <w:pPr>
            <w:pStyle w:val="WPSOffice2"/>
            <w:tabs>
              <w:tab w:val="right" w:leader="dot" w:pos="8306"/>
            </w:tabs>
            <w:ind w:left="420"/>
            <w:rPr>
              <w:noProof/>
            </w:rPr>
          </w:pPr>
          <w:hyperlink w:anchor="_Toc9632" w:history="1">
            <w:r w:rsidR="00A9031B">
              <w:rPr>
                <w:rFonts w:ascii="黑体" w:eastAsia="黑体" w:hint="eastAsia"/>
                <w:noProof/>
                <w:szCs w:val="32"/>
              </w:rPr>
              <w:t>六、</w:t>
            </w:r>
            <w:r w:rsidR="00A9031B">
              <w:rPr>
                <w:rFonts w:ascii="黑体" w:eastAsia="黑体" w:hAnsi="黑体" w:hint="eastAsia"/>
                <w:noProof/>
                <w:szCs w:val="32"/>
              </w:rPr>
              <w:t>一</w:t>
            </w:r>
            <w:r w:rsidR="00A9031B">
              <w:rPr>
                <w:rFonts w:ascii="黑体" w:eastAsia="黑体" w:hAnsi="黑体" w:hint="eastAsia"/>
                <w:noProof/>
              </w:rPr>
              <w:t>般公共预算财政拨款基本支出决算情况说明</w:t>
            </w:r>
            <w:r w:rsidR="00A9031B">
              <w:rPr>
                <w:noProof/>
              </w:rPr>
              <w:tab/>
            </w:r>
            <w:r>
              <w:rPr>
                <w:noProof/>
              </w:rPr>
              <w:fldChar w:fldCharType="begin"/>
            </w:r>
            <w:r w:rsidR="00A9031B">
              <w:rPr>
                <w:noProof/>
              </w:rPr>
              <w:instrText xml:space="preserve"> PAGEREF _Toc9632 \h </w:instrText>
            </w:r>
            <w:r>
              <w:rPr>
                <w:noProof/>
              </w:rPr>
            </w:r>
            <w:r>
              <w:rPr>
                <w:noProof/>
              </w:rPr>
              <w:fldChar w:fldCharType="separate"/>
            </w:r>
            <w:r w:rsidR="00990AFC">
              <w:rPr>
                <w:noProof/>
              </w:rPr>
              <w:t>8</w:t>
            </w:r>
            <w:r>
              <w:rPr>
                <w:noProof/>
              </w:rPr>
              <w:fldChar w:fldCharType="end"/>
            </w:r>
          </w:hyperlink>
        </w:p>
        <w:p w:rsidR="00A9031B" w:rsidRDefault="00EF580C" w:rsidP="00A9031B">
          <w:pPr>
            <w:pStyle w:val="WPSOffice2"/>
            <w:tabs>
              <w:tab w:val="right" w:leader="dot" w:pos="8306"/>
            </w:tabs>
            <w:ind w:left="420"/>
            <w:rPr>
              <w:noProof/>
            </w:rPr>
          </w:pPr>
          <w:hyperlink w:anchor="_Toc12209" w:history="1">
            <w:r w:rsidR="00A9031B">
              <w:rPr>
                <w:rFonts w:ascii="黑体" w:eastAsia="黑体" w:hint="eastAsia"/>
                <w:noProof/>
                <w:szCs w:val="32"/>
              </w:rPr>
              <w:t>七、</w:t>
            </w:r>
            <w:r w:rsidR="00A9031B">
              <w:rPr>
                <w:rFonts w:ascii="黑体" w:eastAsia="黑体" w:hAnsi="黑体" w:hint="eastAsia"/>
                <w:noProof/>
              </w:rPr>
              <w:t>财政拨款“三公”经费支出决算情况说明</w:t>
            </w:r>
            <w:r w:rsidR="00A9031B">
              <w:rPr>
                <w:noProof/>
              </w:rPr>
              <w:tab/>
            </w:r>
            <w:r>
              <w:rPr>
                <w:noProof/>
              </w:rPr>
              <w:fldChar w:fldCharType="begin"/>
            </w:r>
            <w:r w:rsidR="00A9031B">
              <w:rPr>
                <w:noProof/>
              </w:rPr>
              <w:instrText xml:space="preserve"> PAGEREF _Toc12209 \h </w:instrText>
            </w:r>
            <w:r>
              <w:rPr>
                <w:noProof/>
              </w:rPr>
            </w:r>
            <w:r>
              <w:rPr>
                <w:noProof/>
              </w:rPr>
              <w:fldChar w:fldCharType="separate"/>
            </w:r>
            <w:r w:rsidR="00990AFC">
              <w:rPr>
                <w:noProof/>
              </w:rPr>
              <w:t>8</w:t>
            </w:r>
            <w:r>
              <w:rPr>
                <w:noProof/>
              </w:rPr>
              <w:fldChar w:fldCharType="end"/>
            </w:r>
          </w:hyperlink>
        </w:p>
        <w:p w:rsidR="00A9031B" w:rsidRDefault="00EF580C" w:rsidP="00A9031B">
          <w:pPr>
            <w:pStyle w:val="WPSOffice2"/>
            <w:tabs>
              <w:tab w:val="right" w:leader="dot" w:pos="8306"/>
            </w:tabs>
            <w:ind w:left="420"/>
            <w:rPr>
              <w:noProof/>
            </w:rPr>
          </w:pPr>
          <w:hyperlink w:anchor="_Toc10083" w:history="1">
            <w:r w:rsidR="00A9031B">
              <w:rPr>
                <w:rFonts w:ascii="黑体" w:eastAsia="黑体" w:hint="eastAsia"/>
                <w:noProof/>
                <w:szCs w:val="32"/>
              </w:rPr>
              <w:t>八、</w:t>
            </w:r>
            <w:r w:rsidR="00A9031B">
              <w:rPr>
                <w:rFonts w:ascii="黑体" w:eastAsia="黑体" w:hAnsi="黑体" w:hint="eastAsia"/>
                <w:noProof/>
              </w:rPr>
              <w:t>政府性基金预算支出决算情况说明</w:t>
            </w:r>
            <w:r w:rsidR="00A9031B">
              <w:rPr>
                <w:noProof/>
              </w:rPr>
              <w:tab/>
            </w:r>
            <w:r>
              <w:rPr>
                <w:noProof/>
              </w:rPr>
              <w:fldChar w:fldCharType="begin"/>
            </w:r>
            <w:r w:rsidR="00A9031B">
              <w:rPr>
                <w:noProof/>
              </w:rPr>
              <w:instrText xml:space="preserve"> PAGEREF _Toc10083 \h </w:instrText>
            </w:r>
            <w:r>
              <w:rPr>
                <w:noProof/>
              </w:rPr>
            </w:r>
            <w:r>
              <w:rPr>
                <w:noProof/>
              </w:rPr>
              <w:fldChar w:fldCharType="separate"/>
            </w:r>
            <w:r w:rsidR="00990AFC">
              <w:rPr>
                <w:noProof/>
              </w:rPr>
              <w:t>10</w:t>
            </w:r>
            <w:r>
              <w:rPr>
                <w:noProof/>
              </w:rPr>
              <w:fldChar w:fldCharType="end"/>
            </w:r>
          </w:hyperlink>
        </w:p>
        <w:p w:rsidR="00A9031B" w:rsidRDefault="00EF580C" w:rsidP="00A9031B">
          <w:pPr>
            <w:pStyle w:val="WPSOffice2"/>
            <w:tabs>
              <w:tab w:val="right" w:leader="dot" w:pos="8306"/>
            </w:tabs>
            <w:ind w:left="420"/>
            <w:rPr>
              <w:noProof/>
            </w:rPr>
          </w:pPr>
          <w:hyperlink w:anchor="_Toc1099" w:history="1">
            <w:r w:rsidR="00A9031B">
              <w:rPr>
                <w:rFonts w:ascii="黑体" w:eastAsia="黑体" w:hAnsi="黑体" w:hint="eastAsia"/>
                <w:noProof/>
              </w:rPr>
              <w:t>九、 国有资本经营预算支出决算情况说明</w:t>
            </w:r>
            <w:r w:rsidR="00A9031B">
              <w:rPr>
                <w:noProof/>
              </w:rPr>
              <w:tab/>
            </w:r>
            <w:r>
              <w:rPr>
                <w:noProof/>
              </w:rPr>
              <w:fldChar w:fldCharType="begin"/>
            </w:r>
            <w:r w:rsidR="00A9031B">
              <w:rPr>
                <w:noProof/>
              </w:rPr>
              <w:instrText xml:space="preserve"> PAGEREF _Toc1099 \h </w:instrText>
            </w:r>
            <w:r>
              <w:rPr>
                <w:noProof/>
              </w:rPr>
            </w:r>
            <w:r>
              <w:rPr>
                <w:noProof/>
              </w:rPr>
              <w:fldChar w:fldCharType="separate"/>
            </w:r>
            <w:r w:rsidR="00990AFC">
              <w:rPr>
                <w:noProof/>
              </w:rPr>
              <w:t>10</w:t>
            </w:r>
            <w:r>
              <w:rPr>
                <w:noProof/>
              </w:rPr>
              <w:fldChar w:fldCharType="end"/>
            </w:r>
          </w:hyperlink>
        </w:p>
        <w:p w:rsidR="00A9031B" w:rsidRDefault="00EF580C" w:rsidP="00A9031B">
          <w:pPr>
            <w:pStyle w:val="WPSOffice2"/>
            <w:tabs>
              <w:tab w:val="right" w:leader="dot" w:pos="8306"/>
            </w:tabs>
            <w:ind w:left="420"/>
            <w:rPr>
              <w:noProof/>
            </w:rPr>
          </w:pPr>
          <w:hyperlink w:anchor="_Toc20616" w:history="1">
            <w:r w:rsidR="00A9031B">
              <w:rPr>
                <w:rFonts w:ascii="黑体" w:eastAsia="黑体" w:hAnsi="黑体" w:hint="eastAsia"/>
                <w:noProof/>
              </w:rPr>
              <w:t>十、 其他重要事项的情况说明</w:t>
            </w:r>
            <w:r w:rsidR="00A9031B">
              <w:rPr>
                <w:noProof/>
              </w:rPr>
              <w:tab/>
            </w:r>
            <w:r>
              <w:rPr>
                <w:noProof/>
              </w:rPr>
              <w:fldChar w:fldCharType="begin"/>
            </w:r>
            <w:r w:rsidR="00A9031B">
              <w:rPr>
                <w:noProof/>
              </w:rPr>
              <w:instrText xml:space="preserve"> PAGEREF _Toc20616 \h </w:instrText>
            </w:r>
            <w:r>
              <w:rPr>
                <w:noProof/>
              </w:rPr>
            </w:r>
            <w:r>
              <w:rPr>
                <w:noProof/>
              </w:rPr>
              <w:fldChar w:fldCharType="separate"/>
            </w:r>
            <w:r w:rsidR="00990AFC">
              <w:rPr>
                <w:noProof/>
              </w:rPr>
              <w:t>10</w:t>
            </w:r>
            <w:r>
              <w:rPr>
                <w:noProof/>
              </w:rPr>
              <w:fldChar w:fldCharType="end"/>
            </w:r>
          </w:hyperlink>
        </w:p>
        <w:p w:rsidR="00A9031B" w:rsidRDefault="00EF580C" w:rsidP="00A9031B">
          <w:pPr>
            <w:pStyle w:val="WPSOffice1"/>
            <w:tabs>
              <w:tab w:val="right" w:leader="dot" w:pos="8306"/>
            </w:tabs>
            <w:rPr>
              <w:b/>
              <w:noProof/>
            </w:rPr>
          </w:pPr>
          <w:hyperlink w:anchor="_Toc30246" w:history="1">
            <w:r w:rsidR="00A9031B">
              <w:rPr>
                <w:rFonts w:ascii="黑体" w:eastAsia="黑体" w:hAnsi="黑体" w:cs="黑体" w:hint="eastAsia"/>
                <w:b/>
                <w:noProof/>
                <w:szCs w:val="44"/>
              </w:rPr>
              <w:t xml:space="preserve">第三部分 </w:t>
            </w:r>
            <w:r w:rsidR="00A9031B">
              <w:rPr>
                <w:rFonts w:ascii="黑体" w:eastAsia="黑体" w:hAnsi="黑体" w:hint="eastAsia"/>
                <w:b/>
                <w:noProof/>
                <w:szCs w:val="44"/>
              </w:rPr>
              <w:t>名</w:t>
            </w:r>
            <w:r w:rsidR="00A9031B">
              <w:rPr>
                <w:rFonts w:ascii="黑体" w:eastAsia="黑体" w:hAnsi="黑体" w:hint="eastAsia"/>
                <w:b/>
                <w:noProof/>
              </w:rPr>
              <w:t>词解释</w:t>
            </w:r>
            <w:r w:rsidR="00A9031B">
              <w:rPr>
                <w:b/>
                <w:noProof/>
              </w:rPr>
              <w:tab/>
            </w:r>
            <w:r>
              <w:rPr>
                <w:b/>
                <w:noProof/>
              </w:rPr>
              <w:fldChar w:fldCharType="begin"/>
            </w:r>
            <w:r w:rsidR="00A9031B">
              <w:rPr>
                <w:b/>
                <w:noProof/>
              </w:rPr>
              <w:instrText xml:space="preserve"> PAGEREF _Toc30246 \h </w:instrText>
            </w:r>
            <w:r>
              <w:rPr>
                <w:b/>
                <w:noProof/>
              </w:rPr>
            </w:r>
            <w:r>
              <w:rPr>
                <w:b/>
                <w:noProof/>
              </w:rPr>
              <w:fldChar w:fldCharType="separate"/>
            </w:r>
            <w:r w:rsidR="00990AFC">
              <w:rPr>
                <w:b/>
                <w:noProof/>
              </w:rPr>
              <w:t>12</w:t>
            </w:r>
            <w:r>
              <w:rPr>
                <w:b/>
                <w:noProof/>
              </w:rPr>
              <w:fldChar w:fldCharType="end"/>
            </w:r>
          </w:hyperlink>
        </w:p>
        <w:p w:rsidR="00A9031B" w:rsidRDefault="00EF580C" w:rsidP="00A9031B">
          <w:pPr>
            <w:pStyle w:val="WPSOffice1"/>
            <w:tabs>
              <w:tab w:val="right" w:leader="dot" w:pos="8306"/>
            </w:tabs>
            <w:rPr>
              <w:b/>
              <w:noProof/>
            </w:rPr>
          </w:pPr>
          <w:hyperlink w:anchor="_Toc3255" w:history="1">
            <w:r w:rsidR="00A9031B">
              <w:rPr>
                <w:rFonts w:ascii="黑体" w:eastAsia="黑体" w:hAnsi="黑体" w:hint="eastAsia"/>
                <w:b/>
                <w:noProof/>
                <w:szCs w:val="44"/>
              </w:rPr>
              <w:t>第</w:t>
            </w:r>
            <w:r w:rsidR="00A9031B">
              <w:rPr>
                <w:rFonts w:ascii="黑体" w:eastAsia="黑体" w:hAnsi="黑体" w:hint="eastAsia"/>
                <w:b/>
                <w:noProof/>
              </w:rPr>
              <w:t>四部分 附件</w:t>
            </w:r>
            <w:r w:rsidR="00A9031B">
              <w:rPr>
                <w:b/>
                <w:noProof/>
              </w:rPr>
              <w:tab/>
            </w:r>
            <w:r w:rsidR="006B3599">
              <w:rPr>
                <w:rFonts w:hint="eastAsia"/>
                <w:b/>
                <w:noProof/>
              </w:rPr>
              <w:t>14</w:t>
            </w:r>
          </w:hyperlink>
        </w:p>
        <w:p w:rsidR="00A9031B" w:rsidRDefault="00EF580C" w:rsidP="00A9031B">
          <w:pPr>
            <w:pStyle w:val="WPSOffice1"/>
            <w:tabs>
              <w:tab w:val="right" w:leader="dot" w:pos="8306"/>
            </w:tabs>
            <w:rPr>
              <w:b/>
              <w:noProof/>
            </w:rPr>
          </w:pPr>
          <w:hyperlink w:anchor="_Toc32626" w:history="1">
            <w:r w:rsidR="00A9031B">
              <w:rPr>
                <w:rFonts w:ascii="黑体" w:eastAsia="黑体" w:hAnsi="黑体" w:hint="eastAsia"/>
                <w:b/>
                <w:noProof/>
                <w:szCs w:val="44"/>
              </w:rPr>
              <w:t>第</w:t>
            </w:r>
            <w:r w:rsidR="00A9031B">
              <w:rPr>
                <w:rFonts w:ascii="黑体" w:eastAsia="黑体" w:hAnsi="黑体" w:hint="eastAsia"/>
                <w:b/>
                <w:noProof/>
              </w:rPr>
              <w:t>五部分 附表</w:t>
            </w:r>
            <w:r w:rsidR="00A9031B">
              <w:rPr>
                <w:b/>
                <w:noProof/>
              </w:rPr>
              <w:tab/>
            </w:r>
            <w:r w:rsidR="006B3599">
              <w:rPr>
                <w:rFonts w:hint="eastAsia"/>
                <w:b/>
                <w:noProof/>
              </w:rPr>
              <w:t>3</w:t>
            </w:r>
            <w:r w:rsidR="00990AFC">
              <w:rPr>
                <w:rFonts w:hint="eastAsia"/>
                <w:b/>
                <w:noProof/>
              </w:rPr>
              <w:t>6</w:t>
            </w:r>
          </w:hyperlink>
        </w:p>
        <w:p w:rsidR="00A9031B" w:rsidRDefault="00EF580C" w:rsidP="00A9031B">
          <w:pPr>
            <w:pStyle w:val="WPSOffice2"/>
            <w:tabs>
              <w:tab w:val="right" w:leader="dot" w:pos="8306"/>
            </w:tabs>
            <w:ind w:left="420"/>
            <w:rPr>
              <w:noProof/>
            </w:rPr>
          </w:pPr>
          <w:hyperlink w:anchor="_Toc24040" w:history="1">
            <w:r w:rsidR="00A9031B">
              <w:rPr>
                <w:rFonts w:ascii="仿宋" w:eastAsia="仿宋" w:hAnsi="仿宋" w:hint="eastAsia"/>
                <w:noProof/>
              </w:rPr>
              <w:t>一、收入支出决算总表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20674" w:history="1">
            <w:r w:rsidR="00A9031B">
              <w:rPr>
                <w:rFonts w:ascii="仿宋" w:eastAsia="仿宋" w:hAnsi="仿宋" w:hint="eastAsia"/>
                <w:noProof/>
              </w:rPr>
              <w:t>二、收入决算表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30449" w:history="1">
            <w:r w:rsidR="00A9031B">
              <w:rPr>
                <w:rFonts w:ascii="仿宋" w:eastAsia="仿宋" w:hAnsi="仿宋" w:hint="eastAsia"/>
                <w:noProof/>
              </w:rPr>
              <w:t>三、支出决算表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19423" w:history="1">
            <w:r w:rsidR="00A9031B">
              <w:rPr>
                <w:rFonts w:ascii="仿宋" w:eastAsia="仿宋" w:hAnsi="仿宋" w:hint="eastAsia"/>
                <w:noProof/>
              </w:rPr>
              <w:t>四、财政拨款收入支出决算总表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27547" w:history="1">
            <w:r w:rsidR="00A9031B">
              <w:rPr>
                <w:rFonts w:ascii="仿宋" w:eastAsia="仿宋" w:hAnsi="仿宋" w:hint="eastAsia"/>
                <w:noProof/>
              </w:rPr>
              <w:t>五、财政拨款支出决算明细表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4610" w:history="1">
            <w:r w:rsidR="00A9031B">
              <w:rPr>
                <w:rFonts w:ascii="仿宋" w:eastAsia="仿宋" w:hAnsi="仿宋" w:hint="eastAsia"/>
                <w:noProof/>
              </w:rPr>
              <w:t>六、一般公共预算财政拨款支出决算表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10857" w:history="1">
            <w:r w:rsidR="00A9031B">
              <w:rPr>
                <w:rFonts w:ascii="仿宋" w:eastAsia="仿宋" w:hAnsi="仿宋" w:hint="eastAsia"/>
                <w:noProof/>
              </w:rPr>
              <w:t>七、一般公共预算财政拨款支出决算明细表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10514" w:history="1">
            <w:r w:rsidR="00A9031B">
              <w:rPr>
                <w:rFonts w:ascii="仿宋" w:eastAsia="仿宋" w:hAnsi="仿宋" w:hint="eastAsia"/>
                <w:noProof/>
              </w:rPr>
              <w:t>八、一般公共预算财政拨款基本支出决算表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21867" w:history="1">
            <w:r w:rsidR="00A9031B">
              <w:rPr>
                <w:rFonts w:ascii="仿宋" w:eastAsia="仿宋" w:hAnsi="仿宋" w:hint="eastAsia"/>
                <w:noProof/>
              </w:rPr>
              <w:t>九、一般公共预算财政拨款项目支出决算表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6041" w:history="1">
            <w:r w:rsidR="00A9031B">
              <w:rPr>
                <w:rFonts w:ascii="仿宋" w:eastAsia="仿宋" w:hAnsi="仿宋" w:hint="eastAsia"/>
                <w:noProof/>
              </w:rPr>
              <w:t>十、政府性基金预算财政拨款收入支出决算表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31442" w:history="1">
            <w:r w:rsidR="00A9031B">
              <w:rPr>
                <w:rFonts w:ascii="仿宋" w:eastAsia="仿宋" w:hAnsi="仿宋" w:hint="eastAsia"/>
                <w:noProof/>
              </w:rPr>
              <w:t>十一、国有资本经营预算财政拨款收入支出决算表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5512" w:history="1">
            <w:r w:rsidR="00A9031B">
              <w:rPr>
                <w:rFonts w:ascii="仿宋" w:eastAsia="仿宋" w:hAnsi="仿宋" w:hint="eastAsia"/>
                <w:noProof/>
              </w:rPr>
              <w:t>十二、国有资本经营预算财政拨款支出决算表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WPSOffice2"/>
            <w:tabs>
              <w:tab w:val="right" w:leader="dot" w:pos="8306"/>
            </w:tabs>
            <w:ind w:left="420"/>
            <w:rPr>
              <w:noProof/>
            </w:rPr>
          </w:pPr>
          <w:hyperlink w:anchor="_Toc29488" w:history="1">
            <w:r w:rsidR="00A9031B">
              <w:rPr>
                <w:rFonts w:ascii="仿宋" w:eastAsia="仿宋" w:hAnsi="仿宋" w:hint="eastAsia"/>
                <w:noProof/>
              </w:rPr>
              <w:t>十三、财政拨款“三公”经费支出决算表</w:t>
            </w:r>
            <w:r w:rsidR="00A9031B">
              <w:rPr>
                <w:noProof/>
              </w:rPr>
              <w:tab/>
            </w:r>
            <w:r w:rsidR="006B3599">
              <w:rPr>
                <w:rFonts w:hint="eastAsia"/>
                <w:noProof/>
              </w:rPr>
              <w:t>3</w:t>
            </w:r>
            <w:r w:rsidR="00990AFC">
              <w:rPr>
                <w:rFonts w:hint="eastAsia"/>
                <w:noProof/>
              </w:rPr>
              <w:t>6</w:t>
            </w:r>
          </w:hyperlink>
        </w:p>
        <w:p w:rsidR="00A9031B" w:rsidRDefault="00EF580C" w:rsidP="00A9031B">
          <w:pPr>
            <w:pStyle w:val="24"/>
            <w:adjustRightInd w:val="0"/>
            <w:snapToGrid w:val="0"/>
            <w:spacing w:line="440" w:lineRule="exact"/>
            <w:jc w:val="left"/>
            <w:rPr>
              <w:rFonts w:ascii="方正小标宋简体" w:eastAsia="方正小标宋简体" w:hAnsi="仿宋"/>
              <w:sz w:val="24"/>
              <w:szCs w:val="28"/>
            </w:rPr>
          </w:pPr>
          <w:r>
            <w:rPr>
              <w:b/>
            </w:rPr>
            <w:fldChar w:fldCharType="end"/>
          </w:r>
        </w:p>
      </w:sdtContent>
    </w:sdt>
    <w:p w:rsidR="00A9031B" w:rsidRDefault="00A9031B" w:rsidP="00A9031B">
      <w:pPr>
        <w:pStyle w:val="1"/>
        <w:jc w:val="center"/>
        <w:rPr>
          <w:rFonts w:ascii="黑体" w:eastAsia="黑体" w:hAnsi="黑体"/>
          <w:b w:val="0"/>
        </w:rPr>
        <w:sectPr w:rsidR="00A9031B">
          <w:footerReference w:type="default" r:id="rId14"/>
          <w:footerReference w:type="first" r:id="rId15"/>
          <w:pgSz w:w="11906" w:h="16838"/>
          <w:pgMar w:top="1440" w:right="1800" w:bottom="1440" w:left="1800" w:header="851" w:footer="992" w:gutter="0"/>
          <w:pgNumType w:start="1"/>
          <w:cols w:space="425"/>
          <w:titlePg/>
          <w:docGrid w:type="lines" w:linePitch="312"/>
        </w:sectPr>
      </w:pPr>
      <w:bookmarkStart w:id="14" w:name="_Toc15377"/>
      <w:bookmarkStart w:id="15" w:name="_Toc15396599"/>
      <w:bookmarkStart w:id="16" w:name="_Toc15377196"/>
    </w:p>
    <w:p w:rsidR="00A9031B" w:rsidRDefault="00A9031B" w:rsidP="00A9031B">
      <w:pPr>
        <w:pStyle w:val="1"/>
        <w:spacing w:line="560" w:lineRule="exact"/>
        <w:jc w:val="center"/>
        <w:rPr>
          <w:rStyle w:val="1Char"/>
          <w:rFonts w:ascii="黑体" w:eastAsia="黑体" w:hAnsi="黑体"/>
        </w:rPr>
      </w:pPr>
      <w:r>
        <w:rPr>
          <w:rFonts w:ascii="黑体" w:eastAsia="黑体" w:hAnsi="黑体" w:hint="eastAsia"/>
          <w:b w:val="0"/>
        </w:rPr>
        <w:lastRenderedPageBreak/>
        <w:t>第一部分 单位</w:t>
      </w:r>
      <w:r>
        <w:rPr>
          <w:rStyle w:val="1Char"/>
          <w:rFonts w:ascii="黑体" w:eastAsia="黑体" w:hAnsi="黑体" w:hint="eastAsia"/>
        </w:rPr>
        <w:t>概况</w:t>
      </w:r>
      <w:bookmarkStart w:id="17" w:name="_Toc15377197"/>
      <w:bookmarkStart w:id="18" w:name="_Toc15396600"/>
      <w:bookmarkEnd w:id="14"/>
      <w:bookmarkEnd w:id="15"/>
      <w:bookmarkEnd w:id="16"/>
    </w:p>
    <w:p w:rsidR="00A9031B" w:rsidRDefault="00A9031B" w:rsidP="00A9031B">
      <w:pPr>
        <w:pStyle w:val="1"/>
        <w:spacing w:line="560" w:lineRule="exact"/>
        <w:rPr>
          <w:rStyle w:val="2Char"/>
          <w:rFonts w:ascii="黑体" w:hAnsi="黑体"/>
        </w:rPr>
      </w:pPr>
      <w:bookmarkStart w:id="19" w:name="_Toc32384"/>
      <w:r>
        <w:rPr>
          <w:rStyle w:val="1Char"/>
          <w:rFonts w:ascii="黑体" w:eastAsia="黑体" w:hAnsi="黑体" w:hint="eastAsia"/>
        </w:rPr>
        <w:t>一、</w:t>
      </w:r>
      <w:r>
        <w:rPr>
          <w:rStyle w:val="2Char"/>
          <w:rFonts w:ascii="黑体" w:hAnsi="黑体" w:hint="eastAsia"/>
        </w:rPr>
        <w:t>主要职责</w:t>
      </w:r>
      <w:bookmarkEnd w:id="19"/>
    </w:p>
    <w:p w:rsidR="00A9031B" w:rsidRDefault="00A9031B" w:rsidP="00A9031B">
      <w:pPr>
        <w:widowControl/>
        <w:spacing w:line="560" w:lineRule="exact"/>
        <w:ind w:firstLineChars="230" w:firstLine="736"/>
        <w:jc w:val="left"/>
        <w:rPr>
          <w:rFonts w:ascii="仿宋_GB2312" w:eastAsia="仿宋_GB2312" w:hAnsi="仿宋"/>
          <w:sz w:val="32"/>
          <w:szCs w:val="32"/>
        </w:rPr>
      </w:pPr>
      <w:r>
        <w:rPr>
          <w:rFonts w:ascii="仿宋_GB2312" w:eastAsia="仿宋_GB2312" w:hAnsi="仿宋" w:hint="eastAsia"/>
          <w:sz w:val="32"/>
          <w:szCs w:val="32"/>
        </w:rPr>
        <w:t>广元市公安局利州区分局是广元市利州区一级预算单位，广元市公安局的二级预算单位。其主要职责是：</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1.贯彻执行党和国家公安工作的方针、政策和法律、法规、规章；部署、指导、监督、检查全区公安工作；负责本系统、本部门依法行政工作，落实行政执法责任制。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2.组织、指导、协调全区公安机关应急管理、抢险救援工作和社会公共突发事件的处置工作。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3.收集掌握影响稳定、危害国内安全和社会治安的情况，分析研判形势，制定对策。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4.组织指导全区公安机关侦查工作，协调或直接侦办全区重大刑事案件、国内危害国家安全的犯罪案件及重大经济犯罪案件。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5.负责全区治安管理工作并承担相应责任。协调处置全区重大治安案件和群体性事件，指导、监督全区公安机关依法查处破坏社会治安秩序行为，依法开展治安行政管理工作，指导、监督全区公安机关治安保卫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6.负责全区出入境管理有关工作。依法管理国籍，组织、指导全区出境、入境和持普通护照的外国人在广居留、旅行的有关管理工作。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7.指导、协调全区消防监督、火灾预防、火灾扑救工作。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8.负责全区乡村道路交通安全管理工作并承担相应责任。指导、监督全区公安机关维护乡村道路交通安全、交通秩序以及开展机</w:t>
      </w:r>
      <w:r>
        <w:rPr>
          <w:rFonts w:ascii="仿宋_GB2312" w:eastAsia="仿宋_GB2312" w:hAnsi="仿宋" w:hint="eastAsia"/>
          <w:sz w:val="32"/>
          <w:szCs w:val="32"/>
        </w:rPr>
        <w:lastRenderedPageBreak/>
        <w:t xml:space="preserve">动车辆（不含拖拉机）、驾驶人管理工作。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9.指导、监督全区公安机关对公共信息网络的安全保护工作，负责信息安全等级保护工作的监督、检查、指导。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10.防范、处置邪教及有害气功组织的违法犯罪活动。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11.组织、指导、协调对恐怖活动的情报、防范、侦察和应急处置工作。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12.指导、监督全区公安机关依法承担的执行刑罚和监督、考察工作；指导、监督全区看守所、拘留所、强制隔离戒毒所的管理工作。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13.指导全区安全警卫业务工作，组织实施对有关的党和国家领导人以及重要外宾在广的安全警卫工作并承担相应责任。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14.组织实施全区公安科学技术工作，组织、指导、规划全区公安机关的指挥系统、信息技术、刑事技术建设。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15.拟订全区公安机关装备、被装和经费等警务保障计划及管理制度，组织协调全区公安机关重大任务的警务保障工作。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16.组织开展同区外公安机关、港澳台警方及外国内政警察机构的交往与业务合作。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17.指导区内森林警察等专门公安业务工作。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 xml:space="preserve">18.指导全区公安队伍建设和公安机关党风廉政建设，组织、指导全市公安机关人事管理、民警教育训练和宣传工作，按规定权限管理干部，拟订全区公安队伍监督管理工作规章制度，组织、指导全区公安机关督察、审计、信访工作，指导、监督全区公安机关及人民警察的执法活动，按规定权限实施对干部的监督、查处或督办公安队伍重大违纪案件。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lastRenderedPageBreak/>
        <w:t xml:space="preserve">19.承担市、区两级政府公布的有关行政审批事项。 </w:t>
      </w:r>
    </w:p>
    <w:p w:rsidR="00A9031B" w:rsidRDefault="00A9031B" w:rsidP="00A9031B">
      <w:pPr>
        <w:spacing w:line="560" w:lineRule="exact"/>
        <w:rPr>
          <w:rFonts w:ascii="仿宋_GB2312" w:eastAsia="仿宋_GB2312" w:hAnsi="仿宋"/>
          <w:sz w:val="32"/>
          <w:szCs w:val="32"/>
        </w:rPr>
      </w:pPr>
      <w:r>
        <w:rPr>
          <w:rFonts w:ascii="仿宋_GB2312" w:eastAsia="仿宋_GB2312" w:hAnsi="仿宋" w:hint="eastAsia"/>
          <w:sz w:val="32"/>
          <w:szCs w:val="32"/>
        </w:rPr>
        <w:t>20.承办区政府和省、市两级公安机关交办的其他事项。</w:t>
      </w:r>
    </w:p>
    <w:p w:rsidR="00A9031B" w:rsidRDefault="00A9031B" w:rsidP="00A9031B">
      <w:pPr>
        <w:pStyle w:val="1"/>
        <w:spacing w:line="560" w:lineRule="exact"/>
        <w:rPr>
          <w:rStyle w:val="1Char"/>
          <w:rFonts w:ascii="黑体" w:eastAsia="黑体" w:hAnsi="黑体"/>
          <w:b/>
        </w:rPr>
      </w:pPr>
      <w:bookmarkStart w:id="20" w:name="_Toc4559"/>
      <w:r>
        <w:rPr>
          <w:rStyle w:val="1Char"/>
          <w:rFonts w:ascii="黑体" w:eastAsia="黑体" w:hAnsi="黑体" w:hint="eastAsia"/>
        </w:rPr>
        <w:t>二、</w:t>
      </w:r>
      <w:r>
        <w:rPr>
          <w:rStyle w:val="1Char"/>
          <w:rFonts w:ascii="黑体" w:hAnsi="黑体" w:hint="eastAsia"/>
        </w:rPr>
        <w:t>机构设置</w:t>
      </w:r>
      <w:bookmarkEnd w:id="20"/>
    </w:p>
    <w:p w:rsidR="00A9031B" w:rsidRDefault="00A9031B" w:rsidP="00A9031B">
      <w:pPr>
        <w:widowControl/>
        <w:spacing w:line="560" w:lineRule="exact"/>
        <w:ind w:firstLineChars="200" w:firstLine="640"/>
        <w:jc w:val="left"/>
        <w:rPr>
          <w:rFonts w:ascii="仿宋" w:eastAsia="仿宋" w:hAnsi="仿宋"/>
          <w:sz w:val="32"/>
          <w:szCs w:val="32"/>
        </w:rPr>
      </w:pPr>
      <w:r>
        <w:rPr>
          <w:rFonts w:ascii="仿宋" w:eastAsia="仿宋" w:hAnsi="仿宋" w:hint="eastAsia"/>
          <w:sz w:val="32"/>
          <w:szCs w:val="32"/>
        </w:rPr>
        <w:t>广元市公安局利州区分局为广元市公安局二级预算单位，无下属二级单位。</w:t>
      </w:r>
    </w:p>
    <w:p w:rsidR="00A9031B" w:rsidRDefault="00A9031B" w:rsidP="00A9031B">
      <w:pPr>
        <w:pStyle w:val="1"/>
        <w:spacing w:line="560" w:lineRule="exact"/>
        <w:ind w:right="440"/>
        <w:jc w:val="center"/>
        <w:rPr>
          <w:rFonts w:ascii="黑体" w:eastAsia="黑体" w:hAnsi="黑体"/>
          <w:b w:val="0"/>
        </w:rPr>
      </w:pPr>
      <w:bookmarkStart w:id="21" w:name="_Toc15377204"/>
      <w:bookmarkStart w:id="22" w:name="_Toc6334"/>
      <w:bookmarkStart w:id="23" w:name="_Toc15396602"/>
      <w:bookmarkEnd w:id="17"/>
      <w:bookmarkEnd w:id="18"/>
      <w:r>
        <w:rPr>
          <w:rFonts w:ascii="黑体" w:eastAsia="黑体" w:hAnsi="黑体" w:hint="eastAsia"/>
          <w:b w:val="0"/>
        </w:rPr>
        <w:t>第二部分 2022年度</w:t>
      </w:r>
      <w:r>
        <w:rPr>
          <w:rStyle w:val="1Char"/>
          <w:rFonts w:ascii="黑体" w:eastAsia="黑体" w:hAnsi="黑体" w:hint="eastAsia"/>
        </w:rPr>
        <w:t>单位决算情况说明</w:t>
      </w:r>
      <w:bookmarkEnd w:id="21"/>
      <w:bookmarkEnd w:id="22"/>
      <w:bookmarkEnd w:id="23"/>
    </w:p>
    <w:p w:rsidR="00A9031B" w:rsidRDefault="00A9031B" w:rsidP="00A9031B">
      <w:pPr>
        <w:pStyle w:val="ae"/>
        <w:numPr>
          <w:ilvl w:val="0"/>
          <w:numId w:val="1"/>
        </w:numPr>
        <w:spacing w:line="560" w:lineRule="exact"/>
        <w:ind w:firstLineChars="0"/>
        <w:outlineLvl w:val="1"/>
        <w:rPr>
          <w:rStyle w:val="2Char"/>
          <w:rFonts w:ascii="黑体" w:hAnsi="黑体"/>
          <w:b w:val="0"/>
        </w:rPr>
      </w:pPr>
      <w:bookmarkStart w:id="24" w:name="_Toc15377205"/>
      <w:bookmarkStart w:id="25" w:name="_Toc15396603"/>
      <w:bookmarkStart w:id="26" w:name="_Toc3921"/>
      <w:r>
        <w:rPr>
          <w:rFonts w:ascii="黑体" w:eastAsia="黑体" w:hAnsi="黑体" w:hint="eastAsia"/>
          <w:sz w:val="32"/>
          <w:szCs w:val="32"/>
        </w:rPr>
        <w:t>收</w:t>
      </w:r>
      <w:r>
        <w:rPr>
          <w:rStyle w:val="2Char"/>
          <w:rFonts w:ascii="黑体" w:hAnsi="黑体" w:hint="eastAsia"/>
        </w:rPr>
        <w:t>入支出决算总体情况说明</w:t>
      </w:r>
      <w:bookmarkEnd w:id="24"/>
      <w:bookmarkEnd w:id="25"/>
      <w:bookmarkEnd w:id="26"/>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hint="eastAsia"/>
          <w:sz w:val="32"/>
          <w:szCs w:val="32"/>
        </w:rPr>
        <w:t>2022年度收、支总计10118.01万元。与2021年</w:t>
      </w:r>
      <w:r>
        <w:rPr>
          <w:rFonts w:ascii="仿宋_GB2312" w:eastAsia="仿宋_GB2312" w:hAnsi="仿宋" w:hint="eastAsia"/>
          <w:sz w:val="32"/>
          <w:szCs w:val="32"/>
        </w:rPr>
        <w:t>10788.81万元</w:t>
      </w:r>
      <w:r>
        <w:rPr>
          <w:rFonts w:ascii="仿宋" w:eastAsia="仿宋" w:hAnsi="仿宋" w:hint="eastAsia"/>
          <w:sz w:val="32"/>
          <w:szCs w:val="32"/>
        </w:rPr>
        <w:t>相比，收、支总计各减少670.8万元，下降6.22</w:t>
      </w:r>
      <w:r>
        <w:rPr>
          <w:rFonts w:ascii="仿宋" w:eastAsia="仿宋" w:hAnsi="仿宋"/>
          <w:sz w:val="32"/>
          <w:szCs w:val="32"/>
        </w:rPr>
        <w:t>%</w:t>
      </w:r>
      <w:r>
        <w:rPr>
          <w:rFonts w:ascii="仿宋" w:eastAsia="仿宋" w:hAnsi="仿宋" w:hint="eastAsia"/>
          <w:sz w:val="32"/>
          <w:szCs w:val="32"/>
        </w:rPr>
        <w:t>。主要变动原因是本单位为市、区两级财政供养及报表，2022年其他收入计入区本级决算报表</w:t>
      </w:r>
      <w:r>
        <w:rPr>
          <w:rFonts w:ascii="仿宋_GB2312" w:eastAsia="仿宋_GB2312" w:hAnsi="仿宋" w:hint="eastAsia"/>
          <w:sz w:val="32"/>
          <w:szCs w:val="32"/>
        </w:rPr>
        <w:t>。</w:t>
      </w:r>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w:t>
      </w:r>
    </w:p>
    <w:p w:rsidR="00A9031B" w:rsidRDefault="00A9031B" w:rsidP="00A9031B">
      <w:pPr>
        <w:pStyle w:val="a3"/>
        <w:spacing w:before="93" w:line="560" w:lineRule="exact"/>
      </w:pPr>
      <w:r>
        <w:rPr>
          <w:rFonts w:hint="eastAsia"/>
          <w:noProof/>
          <w:sz w:val="32"/>
          <w:szCs w:val="32"/>
        </w:rPr>
        <w:drawing>
          <wp:anchor distT="0" distB="0" distL="114300" distR="114300" simplePos="0" relativeHeight="251659264" behindDoc="0" locked="0" layoutInCell="1" allowOverlap="1">
            <wp:simplePos x="0" y="0"/>
            <wp:positionH relativeFrom="column">
              <wp:posOffset>128905</wp:posOffset>
            </wp:positionH>
            <wp:positionV relativeFrom="paragraph">
              <wp:posOffset>86995</wp:posOffset>
            </wp:positionV>
            <wp:extent cx="5120640" cy="2433320"/>
            <wp:effectExtent l="0" t="0" r="22860" b="2476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Default="00A9031B" w:rsidP="00A9031B">
      <w:pPr>
        <w:spacing w:line="560" w:lineRule="exact"/>
        <w:ind w:firstLineChars="200" w:firstLine="640"/>
        <w:jc w:val="left"/>
        <w:rPr>
          <w:rFonts w:ascii="仿宋_GB2312" w:eastAsia="仿宋_GB2312"/>
          <w:sz w:val="32"/>
          <w:szCs w:val="32"/>
        </w:rPr>
      </w:pPr>
    </w:p>
    <w:p w:rsidR="00A9031B" w:rsidRDefault="00A9031B" w:rsidP="00A9031B">
      <w:pPr>
        <w:pStyle w:val="a3"/>
        <w:spacing w:before="93" w:line="560" w:lineRule="exact"/>
      </w:pPr>
    </w:p>
    <w:p w:rsidR="00A9031B" w:rsidRDefault="00A9031B" w:rsidP="00A9031B">
      <w:pPr>
        <w:pStyle w:val="ae"/>
        <w:numPr>
          <w:ilvl w:val="0"/>
          <w:numId w:val="1"/>
        </w:numPr>
        <w:spacing w:line="560" w:lineRule="exact"/>
        <w:ind w:firstLineChars="0"/>
        <w:outlineLvl w:val="1"/>
        <w:rPr>
          <w:rStyle w:val="2Char"/>
          <w:rFonts w:ascii="黑体" w:hAnsi="黑体"/>
          <w:b w:val="0"/>
        </w:rPr>
      </w:pPr>
      <w:bookmarkStart w:id="27" w:name="_Toc15377206"/>
      <w:bookmarkStart w:id="28" w:name="_Toc15396604"/>
      <w:bookmarkStart w:id="29" w:name="_Toc24488"/>
      <w:r>
        <w:rPr>
          <w:rFonts w:ascii="黑体" w:eastAsia="黑体" w:hAnsi="黑体" w:hint="eastAsia"/>
          <w:sz w:val="32"/>
          <w:szCs w:val="32"/>
        </w:rPr>
        <w:t>收</w:t>
      </w:r>
      <w:r>
        <w:rPr>
          <w:rStyle w:val="2Char"/>
          <w:rFonts w:ascii="黑体" w:hAnsi="黑体" w:hint="eastAsia"/>
        </w:rPr>
        <w:t>入决算情况说明</w:t>
      </w:r>
      <w:bookmarkEnd w:id="27"/>
      <w:bookmarkEnd w:id="28"/>
      <w:bookmarkEnd w:id="29"/>
    </w:p>
    <w:p w:rsidR="00A9031B" w:rsidRDefault="00A9031B" w:rsidP="00A9031B">
      <w:pPr>
        <w:spacing w:line="560" w:lineRule="exact"/>
        <w:ind w:firstLineChars="200" w:firstLine="640"/>
        <w:outlineLvl w:val="1"/>
        <w:rPr>
          <w:rFonts w:ascii="仿宋" w:eastAsia="仿宋" w:hAnsi="仿宋"/>
          <w:sz w:val="32"/>
          <w:szCs w:val="32"/>
        </w:rPr>
      </w:pPr>
      <w:bookmarkStart w:id="30" w:name="_Toc4065"/>
      <w:r>
        <w:rPr>
          <w:rFonts w:ascii="仿宋" w:eastAsia="仿宋" w:hAnsi="仿宋"/>
          <w:sz w:val="32"/>
          <w:szCs w:val="32"/>
        </w:rPr>
        <w:t>20</w:t>
      </w:r>
      <w:r>
        <w:rPr>
          <w:rFonts w:ascii="仿宋" w:eastAsia="仿宋" w:hAnsi="仿宋" w:hint="eastAsia"/>
          <w:sz w:val="32"/>
          <w:szCs w:val="32"/>
        </w:rPr>
        <w:t>22年本年收入合计10118.01万元，其中：一般公共预算</w:t>
      </w:r>
      <w:r>
        <w:rPr>
          <w:rFonts w:ascii="仿宋" w:eastAsia="仿宋" w:hAnsi="仿宋" w:hint="eastAsia"/>
          <w:sz w:val="32"/>
          <w:szCs w:val="32"/>
        </w:rPr>
        <w:lastRenderedPageBreak/>
        <w:t>财政拨款收入10118.01万元，占100</w:t>
      </w:r>
      <w:r>
        <w:rPr>
          <w:rFonts w:ascii="仿宋" w:eastAsia="仿宋" w:hAnsi="仿宋"/>
          <w:sz w:val="32"/>
          <w:szCs w:val="32"/>
        </w:rPr>
        <w:t>%</w:t>
      </w:r>
      <w:r>
        <w:rPr>
          <w:rFonts w:ascii="仿宋" w:eastAsia="仿宋" w:hAnsi="仿宋" w:hint="eastAsia"/>
          <w:sz w:val="32"/>
          <w:szCs w:val="32"/>
        </w:rPr>
        <w:t>.</w:t>
      </w:r>
      <w:bookmarkEnd w:id="30"/>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hint="eastAsia"/>
          <w:sz w:val="32"/>
          <w:szCs w:val="32"/>
        </w:rPr>
        <w:t>（图2：收入决算结构图）</w:t>
      </w:r>
    </w:p>
    <w:p w:rsid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Pr="00A9031B" w:rsidRDefault="00A9031B" w:rsidP="00A9031B">
      <w:pPr>
        <w:pStyle w:val="a3"/>
        <w:spacing w:before="93"/>
      </w:pPr>
    </w:p>
    <w:p w:rsidR="00A9031B" w:rsidRDefault="00A9031B" w:rsidP="00A9031B">
      <w:pPr>
        <w:pStyle w:val="a3"/>
        <w:spacing w:before="93" w:line="560" w:lineRule="exact"/>
      </w:pPr>
    </w:p>
    <w:p w:rsidR="00A9031B" w:rsidRDefault="00A9031B" w:rsidP="00A9031B">
      <w:pPr>
        <w:pStyle w:val="a3"/>
        <w:spacing w:before="93" w:line="560" w:lineRule="exact"/>
      </w:pPr>
      <w:r>
        <w:rPr>
          <w:rFonts w:hint="eastAsia"/>
          <w:noProof/>
        </w:rPr>
        <w:drawing>
          <wp:anchor distT="0" distB="0" distL="114300" distR="114300" simplePos="0" relativeHeight="251662336" behindDoc="0" locked="0" layoutInCell="1" allowOverlap="1">
            <wp:simplePos x="0" y="0"/>
            <wp:positionH relativeFrom="column">
              <wp:posOffset>-325</wp:posOffset>
            </wp:positionH>
            <wp:positionV relativeFrom="paragraph">
              <wp:posOffset>-1921923</wp:posOffset>
            </wp:positionV>
            <wp:extent cx="4705350" cy="2247900"/>
            <wp:effectExtent l="0" t="0" r="19050" b="1905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rsidR="00A9031B" w:rsidRDefault="00A9031B" w:rsidP="00A9031B">
      <w:pPr>
        <w:pStyle w:val="ae"/>
        <w:numPr>
          <w:ilvl w:val="0"/>
          <w:numId w:val="1"/>
        </w:numPr>
        <w:spacing w:line="560" w:lineRule="exact"/>
        <w:ind w:firstLineChars="0"/>
        <w:outlineLvl w:val="1"/>
        <w:rPr>
          <w:rStyle w:val="2Char"/>
          <w:rFonts w:ascii="黑体" w:hAnsi="黑体"/>
          <w:b w:val="0"/>
        </w:rPr>
      </w:pPr>
      <w:bookmarkStart w:id="31" w:name="_Toc15396605"/>
      <w:bookmarkStart w:id="32" w:name="_Toc9003"/>
      <w:bookmarkStart w:id="33" w:name="_Toc15377207"/>
      <w:r>
        <w:rPr>
          <w:rFonts w:ascii="黑体" w:eastAsia="黑体" w:hAnsi="黑体" w:hint="eastAsia"/>
          <w:sz w:val="32"/>
          <w:szCs w:val="32"/>
        </w:rPr>
        <w:t>支</w:t>
      </w:r>
      <w:r>
        <w:rPr>
          <w:rStyle w:val="2Char"/>
          <w:rFonts w:ascii="黑体" w:hAnsi="黑体" w:hint="eastAsia"/>
        </w:rPr>
        <w:t>出决算情况说明</w:t>
      </w:r>
      <w:bookmarkEnd w:id="31"/>
      <w:bookmarkEnd w:id="32"/>
      <w:bookmarkEnd w:id="33"/>
    </w:p>
    <w:p w:rsidR="00A9031B" w:rsidRDefault="00A9031B" w:rsidP="00A9031B">
      <w:pPr>
        <w:spacing w:line="560" w:lineRule="exact"/>
        <w:ind w:firstLineChars="200" w:firstLine="640"/>
        <w:outlineLvl w:val="1"/>
        <w:rPr>
          <w:rFonts w:ascii="仿宋" w:eastAsia="仿宋" w:hAnsi="仿宋"/>
          <w:sz w:val="32"/>
          <w:szCs w:val="32"/>
        </w:rPr>
      </w:pPr>
      <w:bookmarkStart w:id="34" w:name="_Toc9820"/>
      <w:r>
        <w:rPr>
          <w:rFonts w:ascii="仿宋" w:eastAsia="仿宋" w:hAnsi="仿宋"/>
          <w:sz w:val="32"/>
          <w:szCs w:val="32"/>
        </w:rPr>
        <w:t>20</w:t>
      </w:r>
      <w:r>
        <w:rPr>
          <w:rFonts w:ascii="仿宋" w:eastAsia="仿宋" w:hAnsi="仿宋" w:hint="eastAsia"/>
          <w:sz w:val="32"/>
          <w:szCs w:val="32"/>
        </w:rPr>
        <w:t>22年本年支出合计10118.01万元，其中：基本支出9368.89万元，占92.6</w:t>
      </w:r>
      <w:r>
        <w:rPr>
          <w:rFonts w:ascii="仿宋" w:eastAsia="仿宋" w:hAnsi="仿宋"/>
          <w:sz w:val="32"/>
          <w:szCs w:val="32"/>
        </w:rPr>
        <w:t>%</w:t>
      </w:r>
      <w:r>
        <w:rPr>
          <w:rFonts w:ascii="仿宋" w:eastAsia="仿宋" w:hAnsi="仿宋" w:hint="eastAsia"/>
          <w:sz w:val="32"/>
          <w:szCs w:val="32"/>
        </w:rPr>
        <w:t>；项目支出749.12万元，占7.4</w:t>
      </w:r>
      <w:r>
        <w:rPr>
          <w:rFonts w:ascii="仿宋" w:eastAsia="仿宋" w:hAnsi="仿宋"/>
          <w:sz w:val="32"/>
          <w:szCs w:val="32"/>
        </w:rPr>
        <w:t>%</w:t>
      </w:r>
      <w:r>
        <w:rPr>
          <w:rFonts w:ascii="仿宋" w:eastAsia="仿宋" w:hAnsi="仿宋" w:hint="eastAsia"/>
          <w:sz w:val="32"/>
          <w:szCs w:val="32"/>
        </w:rPr>
        <w:t>。</w:t>
      </w:r>
      <w:bookmarkEnd w:id="34"/>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hint="eastAsia"/>
          <w:sz w:val="32"/>
          <w:szCs w:val="32"/>
        </w:rPr>
        <w:t>（图3：支出决算结构图）</w:t>
      </w:r>
    </w:p>
    <w:p w:rsid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Pr="00A9031B" w:rsidRDefault="00A9031B" w:rsidP="00A9031B">
      <w:pPr>
        <w:pStyle w:val="a3"/>
        <w:spacing w:before="93"/>
      </w:pPr>
    </w:p>
    <w:p w:rsidR="00A9031B" w:rsidRDefault="00A9031B" w:rsidP="00A9031B">
      <w:pPr>
        <w:pStyle w:val="a3"/>
        <w:spacing w:before="93" w:line="560" w:lineRule="exact"/>
      </w:pPr>
      <w:r>
        <w:rPr>
          <w:rFonts w:hint="eastAsia"/>
          <w:noProof/>
        </w:rPr>
        <w:drawing>
          <wp:anchor distT="0" distB="0" distL="114300" distR="114300" simplePos="0" relativeHeight="251663360" behindDoc="0" locked="0" layoutInCell="1" allowOverlap="1">
            <wp:simplePos x="0" y="0"/>
            <wp:positionH relativeFrom="column">
              <wp:posOffset>-325</wp:posOffset>
            </wp:positionH>
            <wp:positionV relativeFrom="paragraph">
              <wp:posOffset>-1888756</wp:posOffset>
            </wp:positionV>
            <wp:extent cx="4705350" cy="2209800"/>
            <wp:effectExtent l="0" t="0" r="19050" b="19050"/>
            <wp:wrapNone/>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A9031B" w:rsidRDefault="00A9031B" w:rsidP="00A9031B">
      <w:pPr>
        <w:spacing w:line="560" w:lineRule="exact"/>
        <w:ind w:firstLineChars="200" w:firstLine="640"/>
        <w:outlineLvl w:val="1"/>
        <w:rPr>
          <w:rStyle w:val="2Char"/>
          <w:rFonts w:ascii="黑体" w:hAnsi="黑体"/>
          <w:b w:val="0"/>
          <w:color w:val="FF0000"/>
        </w:rPr>
      </w:pPr>
      <w:bookmarkStart w:id="35" w:name="_Toc15396606"/>
      <w:bookmarkStart w:id="36" w:name="_Toc15377208"/>
      <w:bookmarkStart w:id="37" w:name="_Toc10953"/>
      <w:r>
        <w:rPr>
          <w:rFonts w:ascii="黑体" w:eastAsia="黑体" w:hAnsi="黑体" w:hint="eastAsia"/>
          <w:sz w:val="32"/>
          <w:szCs w:val="32"/>
        </w:rPr>
        <w:t>四、财</w:t>
      </w:r>
      <w:r>
        <w:rPr>
          <w:rStyle w:val="2Char"/>
          <w:rFonts w:ascii="黑体" w:hAnsi="黑体" w:hint="eastAsia"/>
        </w:rPr>
        <w:t>政拨款收入支出决算总体情况说明</w:t>
      </w:r>
      <w:bookmarkEnd w:id="35"/>
      <w:bookmarkEnd w:id="36"/>
      <w:bookmarkEnd w:id="37"/>
    </w:p>
    <w:p w:rsidR="00A9031B" w:rsidRDefault="00A9031B" w:rsidP="00A9031B">
      <w:pPr>
        <w:spacing w:line="560" w:lineRule="exact"/>
        <w:ind w:firstLine="640"/>
        <w:rPr>
          <w:rFonts w:ascii="仿宋_GB2312" w:eastAsia="仿宋_GB2312" w:hAnsi="仿宋"/>
          <w:sz w:val="32"/>
          <w:szCs w:val="32"/>
        </w:rPr>
      </w:pPr>
      <w:r>
        <w:rPr>
          <w:rFonts w:ascii="仿宋" w:eastAsia="仿宋" w:hAnsi="仿宋"/>
          <w:sz w:val="32"/>
          <w:szCs w:val="32"/>
        </w:rPr>
        <w:t>20</w:t>
      </w:r>
      <w:r>
        <w:rPr>
          <w:rFonts w:ascii="仿宋" w:eastAsia="仿宋" w:hAnsi="仿宋" w:hint="eastAsia"/>
          <w:sz w:val="32"/>
          <w:szCs w:val="32"/>
        </w:rPr>
        <w:t>22年财政拨款收、支总计10118.01万元。与</w:t>
      </w:r>
      <w:r>
        <w:rPr>
          <w:rFonts w:ascii="仿宋" w:eastAsia="仿宋" w:hAnsi="仿宋"/>
          <w:sz w:val="32"/>
          <w:szCs w:val="32"/>
        </w:rPr>
        <w:t>20</w:t>
      </w:r>
      <w:r>
        <w:rPr>
          <w:rFonts w:ascii="仿宋" w:eastAsia="仿宋" w:hAnsi="仿宋" w:hint="eastAsia"/>
          <w:sz w:val="32"/>
          <w:szCs w:val="32"/>
        </w:rPr>
        <w:t>21年8794.66万元相比，财政拨款收、支总计各增加1323.35万元，</w:t>
      </w:r>
      <w:r>
        <w:rPr>
          <w:rFonts w:ascii="仿宋" w:eastAsia="仿宋" w:hAnsi="仿宋" w:hint="eastAsia"/>
          <w:sz w:val="32"/>
          <w:szCs w:val="32"/>
        </w:rPr>
        <w:lastRenderedPageBreak/>
        <w:t>增长15.05</w:t>
      </w:r>
      <w:r>
        <w:rPr>
          <w:rFonts w:ascii="仿宋" w:eastAsia="仿宋" w:hAnsi="仿宋"/>
          <w:sz w:val="32"/>
          <w:szCs w:val="32"/>
        </w:rPr>
        <w:t>%</w:t>
      </w:r>
      <w:r>
        <w:rPr>
          <w:rFonts w:ascii="仿宋" w:eastAsia="仿宋" w:hAnsi="仿宋" w:hint="eastAsia"/>
          <w:sz w:val="32"/>
          <w:szCs w:val="32"/>
        </w:rPr>
        <w:t>。主要变动原因：一是</w:t>
      </w:r>
      <w:r>
        <w:rPr>
          <w:rFonts w:ascii="仿宋_GB2312" w:eastAsia="仿宋_GB2312" w:hAnsi="仿宋" w:hint="eastAsia"/>
          <w:sz w:val="32"/>
          <w:szCs w:val="32"/>
        </w:rPr>
        <w:t>单位新进民警等人员类支出增加；二是新增民警死亡抚恤金等支出。</w:t>
      </w:r>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hint="eastAsia"/>
          <w:sz w:val="32"/>
          <w:szCs w:val="32"/>
        </w:rPr>
        <w:t>（图4：财政拨款收、支决算总计变动情况）</w:t>
      </w:r>
    </w:p>
    <w:p w:rsidR="00A9031B" w:rsidRP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Pr="00A9031B" w:rsidRDefault="00A9031B" w:rsidP="00A9031B">
      <w:pPr>
        <w:pStyle w:val="a3"/>
        <w:spacing w:before="93"/>
      </w:pPr>
    </w:p>
    <w:p w:rsidR="00A9031B" w:rsidRDefault="00A9031B" w:rsidP="00A9031B">
      <w:pPr>
        <w:pStyle w:val="a3"/>
        <w:spacing w:before="93" w:line="560" w:lineRule="exact"/>
      </w:pPr>
      <w:r>
        <w:rPr>
          <w:rFonts w:hint="eastAsia"/>
          <w:noProof/>
        </w:rPr>
        <w:drawing>
          <wp:anchor distT="0" distB="0" distL="114300" distR="114300" simplePos="0" relativeHeight="251664384" behindDoc="0" locked="0" layoutInCell="1" allowOverlap="1">
            <wp:simplePos x="0" y="0"/>
            <wp:positionH relativeFrom="column">
              <wp:posOffset>-325</wp:posOffset>
            </wp:positionH>
            <wp:positionV relativeFrom="paragraph">
              <wp:posOffset>-1979827</wp:posOffset>
            </wp:positionV>
            <wp:extent cx="5033010" cy="2313305"/>
            <wp:effectExtent l="0" t="0" r="15240" b="10795"/>
            <wp:wrapNone/>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A9031B" w:rsidRDefault="00A9031B" w:rsidP="00A9031B">
      <w:pPr>
        <w:spacing w:line="560" w:lineRule="exact"/>
        <w:ind w:firstLineChars="200" w:firstLine="640"/>
        <w:outlineLvl w:val="1"/>
        <w:rPr>
          <w:rStyle w:val="2Char"/>
          <w:rFonts w:ascii="黑体" w:hAnsi="黑体"/>
          <w:b w:val="0"/>
        </w:rPr>
      </w:pPr>
      <w:bookmarkStart w:id="38" w:name="_Toc15396607"/>
      <w:bookmarkStart w:id="39" w:name="_Toc15377209"/>
      <w:bookmarkStart w:id="40" w:name="_Toc25583"/>
      <w:r>
        <w:rPr>
          <w:rFonts w:ascii="黑体" w:eastAsia="黑体" w:hAnsi="黑体" w:hint="eastAsia"/>
          <w:sz w:val="32"/>
          <w:szCs w:val="32"/>
        </w:rPr>
        <w:t>五、</w:t>
      </w:r>
      <w:r>
        <w:rPr>
          <w:rFonts w:ascii="黑体" w:eastAsia="黑体" w:hAnsi="黑体" w:hint="eastAsia"/>
          <w:b/>
          <w:sz w:val="32"/>
          <w:szCs w:val="32"/>
        </w:rPr>
        <w:t>一</w:t>
      </w:r>
      <w:r>
        <w:rPr>
          <w:rStyle w:val="2Char"/>
          <w:rFonts w:ascii="黑体" w:hAnsi="黑体" w:hint="eastAsia"/>
        </w:rPr>
        <w:t>般公共预算财政拨款支出决算情况说明</w:t>
      </w:r>
      <w:bookmarkEnd w:id="38"/>
      <w:bookmarkEnd w:id="39"/>
      <w:bookmarkEnd w:id="40"/>
    </w:p>
    <w:p w:rsidR="00A9031B" w:rsidRDefault="00A9031B" w:rsidP="00A9031B">
      <w:pPr>
        <w:spacing w:line="560" w:lineRule="exact"/>
        <w:ind w:firstLineChars="200" w:firstLine="643"/>
        <w:outlineLvl w:val="2"/>
        <w:rPr>
          <w:rFonts w:ascii="仿宋" w:eastAsia="仿宋" w:hAnsi="仿宋"/>
          <w:b/>
          <w:sz w:val="32"/>
          <w:szCs w:val="32"/>
        </w:rPr>
      </w:pPr>
      <w:bookmarkStart w:id="41" w:name="_Toc15377210"/>
      <w:r>
        <w:rPr>
          <w:rFonts w:ascii="仿宋" w:eastAsia="仿宋" w:hAnsi="仿宋" w:hint="eastAsia"/>
          <w:b/>
          <w:sz w:val="32"/>
          <w:szCs w:val="32"/>
        </w:rPr>
        <w:t>（一）一般公共预算财政拨款支出决算总体情况</w:t>
      </w:r>
      <w:bookmarkEnd w:id="41"/>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22年一般公共预算财政拨款支出10118.01万元，占本年支出合计的100</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21年8794.66万元相比，一般公共预算财政拨款支出增加1323.35万元，增长15.05</w:t>
      </w:r>
      <w:r>
        <w:rPr>
          <w:rFonts w:ascii="仿宋" w:eastAsia="仿宋" w:hAnsi="仿宋"/>
          <w:sz w:val="32"/>
          <w:szCs w:val="32"/>
        </w:rPr>
        <w:t>%</w:t>
      </w:r>
      <w:r>
        <w:rPr>
          <w:rFonts w:ascii="仿宋" w:eastAsia="仿宋" w:hAnsi="仿宋" w:hint="eastAsia"/>
          <w:sz w:val="32"/>
          <w:szCs w:val="32"/>
        </w:rPr>
        <w:t>。主要变动原因：一是</w:t>
      </w:r>
      <w:r>
        <w:rPr>
          <w:rFonts w:ascii="仿宋_GB2312" w:eastAsia="仿宋_GB2312" w:hAnsi="仿宋" w:hint="eastAsia"/>
          <w:sz w:val="32"/>
          <w:szCs w:val="32"/>
        </w:rPr>
        <w:t>单位新进民警等人员类支出增加；二是新增民警死亡抚恤金等支出。</w:t>
      </w:r>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hint="eastAsia"/>
          <w:sz w:val="32"/>
          <w:szCs w:val="32"/>
        </w:rPr>
        <w:t>（图5：一般公共预算财政拨款支出决算变动情况）</w:t>
      </w:r>
      <w:r>
        <w:rPr>
          <w:rFonts w:hint="eastAsia"/>
          <w:noProof/>
        </w:rPr>
        <w:drawing>
          <wp:anchor distT="0" distB="0" distL="114300" distR="114300" simplePos="0" relativeHeight="251660288" behindDoc="0" locked="0" layoutInCell="1" allowOverlap="1">
            <wp:simplePos x="0" y="0"/>
            <wp:positionH relativeFrom="column">
              <wp:posOffset>526415</wp:posOffset>
            </wp:positionH>
            <wp:positionV relativeFrom="paragraph">
              <wp:posOffset>368935</wp:posOffset>
            </wp:positionV>
            <wp:extent cx="4762500" cy="2154555"/>
            <wp:effectExtent l="0" t="0" r="19050" b="1714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Default="00A9031B" w:rsidP="00A9031B">
      <w:pPr>
        <w:spacing w:line="560" w:lineRule="exact"/>
        <w:ind w:firstLineChars="200" w:firstLine="643"/>
        <w:outlineLvl w:val="2"/>
        <w:rPr>
          <w:rFonts w:ascii="仿宋" w:eastAsia="仿宋" w:hAnsi="仿宋"/>
          <w:b/>
          <w:sz w:val="32"/>
          <w:szCs w:val="32"/>
        </w:rPr>
      </w:pPr>
      <w:bookmarkStart w:id="42" w:name="_Toc15377211"/>
      <w:r>
        <w:rPr>
          <w:rFonts w:ascii="仿宋" w:eastAsia="仿宋" w:hAnsi="仿宋" w:hint="eastAsia"/>
          <w:b/>
          <w:sz w:val="32"/>
          <w:szCs w:val="32"/>
        </w:rPr>
        <w:t>（二）一般公共预算财政拨款支出决算结构情况</w:t>
      </w:r>
      <w:bookmarkEnd w:id="42"/>
    </w:p>
    <w:p w:rsidR="00A9031B" w:rsidRDefault="00A9031B" w:rsidP="00A9031B">
      <w:pPr>
        <w:spacing w:line="560" w:lineRule="exact"/>
        <w:ind w:firstLine="640"/>
        <w:rPr>
          <w:rFonts w:ascii="仿宋" w:eastAsia="仿宋" w:hAnsi="仿宋"/>
          <w:sz w:val="32"/>
          <w:szCs w:val="32"/>
        </w:rPr>
      </w:pPr>
    </w:p>
    <w:p w:rsidR="00A9031B" w:rsidRDefault="00A9031B" w:rsidP="00A9031B">
      <w:pPr>
        <w:spacing w:line="560" w:lineRule="exact"/>
        <w:ind w:firstLine="640"/>
        <w:rPr>
          <w:rFonts w:ascii="仿宋" w:eastAsia="仿宋" w:hAnsi="仿宋"/>
          <w:sz w:val="32"/>
          <w:szCs w:val="32"/>
        </w:rPr>
      </w:pPr>
      <w:r>
        <w:rPr>
          <w:rFonts w:ascii="仿宋" w:eastAsia="仿宋" w:hAnsi="仿宋"/>
          <w:sz w:val="32"/>
          <w:szCs w:val="32"/>
        </w:rPr>
        <w:lastRenderedPageBreak/>
        <w:t>20</w:t>
      </w:r>
      <w:r>
        <w:rPr>
          <w:rFonts w:ascii="仿宋" w:eastAsia="仿宋" w:hAnsi="仿宋" w:hint="eastAsia"/>
          <w:sz w:val="32"/>
          <w:szCs w:val="32"/>
        </w:rPr>
        <w:t>22年一般公共预算财政拨款支出10118.01万元，主要用于以下方面</w:t>
      </w:r>
      <w:r>
        <w:rPr>
          <w:rFonts w:ascii="仿宋" w:eastAsia="仿宋" w:hAnsi="仿宋"/>
          <w:sz w:val="32"/>
          <w:szCs w:val="32"/>
        </w:rPr>
        <w:t>:</w:t>
      </w:r>
      <w:r>
        <w:rPr>
          <w:rFonts w:hAnsi="仿宋" w:hint="eastAsia"/>
          <w:sz w:val="32"/>
          <w:szCs w:val="32"/>
        </w:rPr>
        <w:t>公共安全类支出</w:t>
      </w:r>
      <w:r>
        <w:rPr>
          <w:rFonts w:hAnsi="仿宋" w:hint="eastAsia"/>
          <w:sz w:val="32"/>
          <w:szCs w:val="32"/>
        </w:rPr>
        <w:t>8531.28</w:t>
      </w:r>
      <w:r>
        <w:rPr>
          <w:rFonts w:hAnsi="仿宋" w:hint="eastAsia"/>
          <w:sz w:val="32"/>
          <w:szCs w:val="32"/>
        </w:rPr>
        <w:t>万元，占</w:t>
      </w:r>
      <w:r>
        <w:rPr>
          <w:rFonts w:hAnsi="仿宋" w:hint="eastAsia"/>
          <w:sz w:val="32"/>
          <w:szCs w:val="32"/>
        </w:rPr>
        <w:t>84.32</w:t>
      </w:r>
      <w:r>
        <w:rPr>
          <w:rFonts w:hAnsi="仿宋"/>
          <w:sz w:val="32"/>
          <w:szCs w:val="32"/>
        </w:rPr>
        <w:t>%</w:t>
      </w:r>
      <w:r>
        <w:rPr>
          <w:rFonts w:hAnsi="仿宋" w:hint="eastAsia"/>
          <w:sz w:val="32"/>
          <w:szCs w:val="32"/>
        </w:rPr>
        <w:t>；社会保障和就业类支出</w:t>
      </w:r>
      <w:r>
        <w:rPr>
          <w:rFonts w:hAnsi="仿宋" w:hint="eastAsia"/>
          <w:sz w:val="32"/>
          <w:szCs w:val="32"/>
        </w:rPr>
        <w:t>654.5</w:t>
      </w:r>
      <w:r>
        <w:rPr>
          <w:rFonts w:hAnsi="仿宋" w:hint="eastAsia"/>
          <w:sz w:val="32"/>
          <w:szCs w:val="32"/>
        </w:rPr>
        <w:t>万元，占</w:t>
      </w:r>
      <w:r>
        <w:rPr>
          <w:rFonts w:hAnsi="仿宋" w:hint="eastAsia"/>
          <w:sz w:val="32"/>
          <w:szCs w:val="32"/>
        </w:rPr>
        <w:t>6.47</w:t>
      </w:r>
      <w:r>
        <w:rPr>
          <w:rFonts w:hAnsi="仿宋"/>
          <w:sz w:val="32"/>
          <w:szCs w:val="32"/>
        </w:rPr>
        <w:t>%</w:t>
      </w:r>
      <w:r>
        <w:rPr>
          <w:rFonts w:hAnsi="仿宋" w:hint="eastAsia"/>
          <w:sz w:val="32"/>
          <w:szCs w:val="32"/>
        </w:rPr>
        <w:t>；卫生健康支出</w:t>
      </w:r>
      <w:r>
        <w:rPr>
          <w:rFonts w:hAnsi="仿宋" w:hint="eastAsia"/>
          <w:sz w:val="32"/>
          <w:szCs w:val="32"/>
        </w:rPr>
        <w:t>319.33</w:t>
      </w:r>
      <w:r>
        <w:rPr>
          <w:rFonts w:hAnsi="仿宋" w:hint="eastAsia"/>
          <w:sz w:val="32"/>
          <w:szCs w:val="32"/>
        </w:rPr>
        <w:t>万元，占</w:t>
      </w:r>
      <w:r>
        <w:rPr>
          <w:rFonts w:hAnsi="仿宋" w:hint="eastAsia"/>
          <w:sz w:val="32"/>
          <w:szCs w:val="32"/>
        </w:rPr>
        <w:t>3.16</w:t>
      </w:r>
      <w:r>
        <w:rPr>
          <w:rFonts w:hAnsi="仿宋"/>
          <w:sz w:val="32"/>
          <w:szCs w:val="32"/>
        </w:rPr>
        <w:t>%</w:t>
      </w:r>
      <w:r>
        <w:rPr>
          <w:rFonts w:hAnsi="仿宋" w:hint="eastAsia"/>
          <w:sz w:val="32"/>
          <w:szCs w:val="32"/>
        </w:rPr>
        <w:t>；住房保障支出</w:t>
      </w:r>
      <w:r>
        <w:rPr>
          <w:rFonts w:hAnsi="仿宋" w:hint="eastAsia"/>
          <w:sz w:val="32"/>
          <w:szCs w:val="32"/>
        </w:rPr>
        <w:t>612.91</w:t>
      </w:r>
      <w:r>
        <w:rPr>
          <w:rFonts w:hAnsi="仿宋" w:hint="eastAsia"/>
          <w:sz w:val="32"/>
          <w:szCs w:val="32"/>
        </w:rPr>
        <w:t>万元，占</w:t>
      </w:r>
      <w:r>
        <w:rPr>
          <w:rFonts w:hAnsi="仿宋" w:hint="eastAsia"/>
          <w:sz w:val="32"/>
          <w:szCs w:val="32"/>
        </w:rPr>
        <w:t>6.05</w:t>
      </w:r>
      <w:r>
        <w:rPr>
          <w:rFonts w:hAnsi="仿宋"/>
          <w:sz w:val="32"/>
          <w:szCs w:val="32"/>
        </w:rPr>
        <w:t>%</w:t>
      </w:r>
      <w:r>
        <w:rPr>
          <w:rFonts w:hAnsi="仿宋" w:hint="eastAsia"/>
          <w:sz w:val="32"/>
          <w:szCs w:val="32"/>
        </w:rPr>
        <w:t>。</w:t>
      </w:r>
    </w:p>
    <w:p w:rsidR="00A9031B" w:rsidRDefault="00A9031B" w:rsidP="00A9031B">
      <w:pPr>
        <w:spacing w:line="560" w:lineRule="exact"/>
        <w:ind w:firstLineChars="200" w:firstLine="640"/>
        <w:rPr>
          <w:rFonts w:ascii="仿宋" w:eastAsia="仿宋" w:hAnsi="仿宋"/>
          <w:sz w:val="32"/>
          <w:szCs w:val="32"/>
        </w:rPr>
      </w:pPr>
      <w:r>
        <w:rPr>
          <w:rFonts w:ascii="仿宋" w:eastAsia="仿宋" w:hAnsi="仿宋" w:hint="eastAsia"/>
          <w:sz w:val="32"/>
          <w:szCs w:val="32"/>
        </w:rPr>
        <w:t>（图6：一般公共预算财政拨款支出决算结构）</w:t>
      </w:r>
    </w:p>
    <w:p w:rsid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Pr="00A9031B" w:rsidRDefault="00A9031B" w:rsidP="00A9031B">
      <w:pPr>
        <w:pStyle w:val="a3"/>
        <w:spacing w:before="93"/>
      </w:pPr>
    </w:p>
    <w:p w:rsidR="00A9031B" w:rsidRDefault="00A9031B" w:rsidP="00A9031B">
      <w:pPr>
        <w:pStyle w:val="a3"/>
        <w:spacing w:before="93" w:line="560" w:lineRule="exact"/>
      </w:pPr>
      <w:r>
        <w:rPr>
          <w:rFonts w:ascii="仿宋" w:eastAsia="仿宋" w:hAnsi="仿宋" w:hint="eastAsia"/>
          <w:noProof/>
          <w:sz w:val="32"/>
          <w:szCs w:val="32"/>
        </w:rPr>
        <w:drawing>
          <wp:anchor distT="0" distB="0" distL="114300" distR="114300" simplePos="0" relativeHeight="251665408" behindDoc="0" locked="0" layoutInCell="1" allowOverlap="1">
            <wp:simplePos x="0" y="0"/>
            <wp:positionH relativeFrom="column">
              <wp:posOffset>-325</wp:posOffset>
            </wp:positionH>
            <wp:positionV relativeFrom="paragraph">
              <wp:posOffset>-2168126</wp:posOffset>
            </wp:positionV>
            <wp:extent cx="4841875" cy="2488565"/>
            <wp:effectExtent l="0" t="0" r="15875" b="26035"/>
            <wp:wrapNone/>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A9031B" w:rsidRDefault="00A9031B" w:rsidP="00A9031B">
      <w:pPr>
        <w:spacing w:line="560" w:lineRule="exact"/>
        <w:ind w:firstLineChars="200" w:firstLine="643"/>
        <w:outlineLvl w:val="2"/>
        <w:rPr>
          <w:rFonts w:ascii="仿宋" w:eastAsia="仿宋" w:hAnsi="仿宋"/>
          <w:b/>
          <w:sz w:val="32"/>
          <w:szCs w:val="32"/>
        </w:rPr>
      </w:pPr>
      <w:bookmarkStart w:id="43" w:name="_Toc15377212"/>
      <w:r>
        <w:rPr>
          <w:rFonts w:ascii="仿宋" w:eastAsia="仿宋" w:hAnsi="仿宋" w:hint="eastAsia"/>
          <w:b/>
          <w:sz w:val="32"/>
          <w:szCs w:val="32"/>
        </w:rPr>
        <w:t>（三）一般公共预算财政拨款支出决算具体情况</w:t>
      </w:r>
      <w:bookmarkEnd w:id="43"/>
    </w:p>
    <w:p w:rsidR="00A9031B" w:rsidRDefault="00A9031B" w:rsidP="00A9031B">
      <w:pPr>
        <w:spacing w:line="560" w:lineRule="exact"/>
        <w:ind w:firstLineChars="200" w:firstLine="643"/>
        <w:outlineLvl w:val="1"/>
        <w:rPr>
          <w:rFonts w:ascii="仿宋" w:eastAsia="仿宋" w:hAnsi="仿宋"/>
          <w:sz w:val="32"/>
          <w:szCs w:val="32"/>
        </w:rPr>
      </w:pPr>
      <w:bookmarkStart w:id="44" w:name="_Toc15378460"/>
      <w:bookmarkStart w:id="45" w:name="_Toc15377213"/>
      <w:bookmarkStart w:id="46" w:name="_Toc15377444"/>
      <w:bookmarkStart w:id="47" w:name="_Toc21483"/>
      <w:r>
        <w:rPr>
          <w:rFonts w:ascii="仿宋" w:eastAsia="仿宋" w:hAnsi="仿宋" w:hint="eastAsia"/>
          <w:b/>
          <w:sz w:val="32"/>
          <w:szCs w:val="32"/>
        </w:rPr>
        <w:t>2022年一般公共预算支出决算数为10118.01万元</w:t>
      </w:r>
      <w:r>
        <w:rPr>
          <w:rFonts w:ascii="仿宋" w:eastAsia="仿宋" w:hAnsi="仿宋" w:hint="eastAsia"/>
          <w:sz w:val="32"/>
          <w:szCs w:val="32"/>
        </w:rPr>
        <w:t>，</w:t>
      </w:r>
      <w:r>
        <w:rPr>
          <w:rStyle w:val="ad"/>
          <w:rFonts w:ascii="仿宋" w:eastAsia="仿宋" w:hAnsi="仿宋" w:hint="eastAsia"/>
          <w:bCs/>
          <w:sz w:val="32"/>
          <w:szCs w:val="32"/>
        </w:rPr>
        <w:t>完成预算100</w:t>
      </w:r>
      <w:r>
        <w:rPr>
          <w:rStyle w:val="ad"/>
          <w:rFonts w:ascii="仿宋" w:eastAsia="仿宋" w:hAnsi="仿宋"/>
          <w:bCs/>
          <w:sz w:val="32"/>
          <w:szCs w:val="32"/>
        </w:rPr>
        <w:t>%</w:t>
      </w:r>
      <w:r>
        <w:rPr>
          <w:rStyle w:val="ad"/>
          <w:rFonts w:ascii="仿宋" w:eastAsia="仿宋" w:hAnsi="仿宋" w:hint="eastAsia"/>
          <w:bCs/>
          <w:sz w:val="32"/>
          <w:szCs w:val="32"/>
        </w:rPr>
        <w:t>。其中：</w:t>
      </w:r>
      <w:bookmarkEnd w:id="44"/>
      <w:bookmarkEnd w:id="45"/>
      <w:bookmarkEnd w:id="46"/>
      <w:bookmarkEnd w:id="47"/>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sz w:val="32"/>
          <w:szCs w:val="32"/>
        </w:rPr>
        <w:t>.</w:t>
      </w:r>
      <w:r>
        <w:rPr>
          <w:rFonts w:ascii="仿宋_GB2312" w:eastAsia="仿宋_GB2312" w:hAnsi="仿宋" w:hint="eastAsia"/>
          <w:sz w:val="32"/>
          <w:szCs w:val="32"/>
        </w:rPr>
        <w:t>公共安全（类）公安（款）行政运行（项）</w:t>
      </w:r>
      <w:r>
        <w:rPr>
          <w:rFonts w:ascii="仿宋_GB2312" w:eastAsia="仿宋_GB2312" w:hAnsi="仿宋"/>
          <w:sz w:val="32"/>
          <w:szCs w:val="32"/>
        </w:rPr>
        <w:t>:</w:t>
      </w:r>
      <w:r>
        <w:rPr>
          <w:rFonts w:ascii="仿宋_GB2312" w:eastAsia="仿宋_GB2312" w:hAnsi="仿宋" w:hint="eastAsia"/>
          <w:sz w:val="32"/>
          <w:szCs w:val="32"/>
        </w:rPr>
        <w:t>支出决算为7782.16万元，完成预算100%。</w:t>
      </w:r>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w:t>
      </w:r>
      <w:r>
        <w:rPr>
          <w:rFonts w:ascii="仿宋_GB2312" w:eastAsia="仿宋_GB2312" w:hAnsi="仿宋" w:hint="eastAsia"/>
          <w:sz w:val="32"/>
          <w:szCs w:val="32"/>
        </w:rPr>
        <w:t>公共安全（类）公安（款）一般行政管理事务（项）</w:t>
      </w:r>
      <w:r>
        <w:rPr>
          <w:rFonts w:ascii="仿宋_GB2312" w:eastAsia="仿宋_GB2312" w:hAnsi="仿宋"/>
          <w:sz w:val="32"/>
          <w:szCs w:val="32"/>
        </w:rPr>
        <w:t>:</w:t>
      </w:r>
      <w:r>
        <w:rPr>
          <w:rFonts w:ascii="仿宋_GB2312" w:eastAsia="仿宋_GB2312" w:hAnsi="仿宋" w:hint="eastAsia"/>
          <w:sz w:val="32"/>
          <w:szCs w:val="32"/>
        </w:rPr>
        <w:t xml:space="preserve">支出决算为470.36元，完成预算100%。       </w:t>
      </w:r>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sz w:val="32"/>
          <w:szCs w:val="32"/>
        </w:rPr>
        <w:t>.</w:t>
      </w:r>
      <w:r>
        <w:rPr>
          <w:rFonts w:ascii="仿宋_GB2312" w:eastAsia="仿宋_GB2312" w:hAnsi="仿宋" w:hint="eastAsia"/>
          <w:sz w:val="32"/>
          <w:szCs w:val="32"/>
        </w:rPr>
        <w:t>公共安全（类）公安（款）执法办案（项）</w:t>
      </w:r>
      <w:r>
        <w:rPr>
          <w:rFonts w:ascii="仿宋_GB2312" w:eastAsia="仿宋_GB2312" w:hAnsi="仿宋"/>
          <w:sz w:val="32"/>
          <w:szCs w:val="32"/>
        </w:rPr>
        <w:t>:</w:t>
      </w:r>
      <w:r>
        <w:rPr>
          <w:rFonts w:ascii="仿宋_GB2312" w:eastAsia="仿宋_GB2312" w:hAnsi="仿宋" w:hint="eastAsia"/>
          <w:sz w:val="32"/>
          <w:szCs w:val="32"/>
        </w:rPr>
        <w:t>支出决算为278.76万元，完成预算100%。</w:t>
      </w:r>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4.社会保障和就业（类）行政事业单位养老支出（款）机关事</w:t>
      </w:r>
      <w:r>
        <w:rPr>
          <w:rFonts w:ascii="仿宋_GB2312" w:eastAsia="仿宋_GB2312" w:hAnsi="仿宋" w:hint="eastAsia"/>
          <w:sz w:val="32"/>
          <w:szCs w:val="32"/>
        </w:rPr>
        <w:lastRenderedPageBreak/>
        <w:t>业单位基本养老保险缴费支出（项）</w:t>
      </w:r>
      <w:r>
        <w:rPr>
          <w:rFonts w:ascii="仿宋_GB2312" w:eastAsia="仿宋_GB2312" w:hAnsi="仿宋"/>
          <w:sz w:val="32"/>
          <w:szCs w:val="32"/>
        </w:rPr>
        <w:t>:</w:t>
      </w:r>
      <w:r>
        <w:rPr>
          <w:rFonts w:ascii="仿宋_GB2312" w:eastAsia="仿宋_GB2312" w:hAnsi="仿宋" w:hint="eastAsia"/>
          <w:sz w:val="32"/>
          <w:szCs w:val="32"/>
        </w:rPr>
        <w:t>支出决算为534.71万元，完成预算100</w:t>
      </w:r>
      <w:r>
        <w:rPr>
          <w:rFonts w:ascii="仿宋_GB2312" w:eastAsia="仿宋_GB2312" w:hAnsi="仿宋"/>
          <w:sz w:val="32"/>
          <w:szCs w:val="32"/>
        </w:rPr>
        <w:t>%</w:t>
      </w:r>
      <w:r>
        <w:rPr>
          <w:rFonts w:ascii="仿宋_GB2312" w:eastAsia="仿宋_GB2312" w:hAnsi="仿宋" w:hint="eastAsia"/>
          <w:sz w:val="32"/>
          <w:szCs w:val="32"/>
        </w:rPr>
        <w:t>。</w:t>
      </w:r>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5.社会保障和就业（类）行政事业单位养老支出（款）机关事业单位职业年金缴费支出（项）</w:t>
      </w:r>
      <w:r>
        <w:rPr>
          <w:rFonts w:ascii="仿宋_GB2312" w:eastAsia="仿宋_GB2312" w:hAnsi="仿宋"/>
          <w:sz w:val="32"/>
          <w:szCs w:val="32"/>
        </w:rPr>
        <w:t>:</w:t>
      </w:r>
      <w:r>
        <w:rPr>
          <w:rFonts w:ascii="仿宋_GB2312" w:eastAsia="仿宋_GB2312" w:hAnsi="仿宋" w:hint="eastAsia"/>
          <w:sz w:val="32"/>
          <w:szCs w:val="32"/>
        </w:rPr>
        <w:t>支出决算为39.23万元，完成预算100</w:t>
      </w:r>
      <w:r>
        <w:rPr>
          <w:rFonts w:ascii="仿宋_GB2312" w:eastAsia="仿宋_GB2312" w:hAnsi="仿宋"/>
          <w:sz w:val="32"/>
          <w:szCs w:val="32"/>
        </w:rPr>
        <w:t>%</w:t>
      </w:r>
      <w:r>
        <w:rPr>
          <w:rFonts w:ascii="仿宋_GB2312" w:eastAsia="仿宋_GB2312" w:hAnsi="仿宋" w:hint="eastAsia"/>
          <w:sz w:val="32"/>
          <w:szCs w:val="32"/>
        </w:rPr>
        <w:t>。</w:t>
      </w:r>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6</w:t>
      </w:r>
      <w:r>
        <w:rPr>
          <w:rFonts w:ascii="仿宋_GB2312" w:eastAsia="仿宋_GB2312" w:hAnsi="仿宋"/>
          <w:sz w:val="32"/>
          <w:szCs w:val="32"/>
        </w:rPr>
        <w:t>.</w:t>
      </w:r>
      <w:r>
        <w:rPr>
          <w:rFonts w:ascii="仿宋_GB2312" w:eastAsia="仿宋_GB2312" w:hAnsi="仿宋" w:hint="eastAsia"/>
          <w:sz w:val="32"/>
          <w:szCs w:val="32"/>
        </w:rPr>
        <w:t>社会保障和就业（类）抚恤（款）死亡抚恤支出（项）</w:t>
      </w:r>
      <w:r>
        <w:rPr>
          <w:rFonts w:ascii="仿宋_GB2312" w:eastAsia="仿宋_GB2312" w:hAnsi="仿宋"/>
          <w:sz w:val="32"/>
          <w:szCs w:val="32"/>
        </w:rPr>
        <w:t>:</w:t>
      </w:r>
      <w:r>
        <w:rPr>
          <w:rFonts w:ascii="仿宋_GB2312" w:eastAsia="仿宋_GB2312" w:hAnsi="仿宋" w:hint="eastAsia"/>
          <w:sz w:val="32"/>
          <w:szCs w:val="32"/>
        </w:rPr>
        <w:t>支出决算为80.56万元，完成预算100</w:t>
      </w:r>
      <w:r>
        <w:rPr>
          <w:rFonts w:ascii="仿宋_GB2312" w:eastAsia="仿宋_GB2312" w:hAnsi="仿宋"/>
          <w:sz w:val="32"/>
          <w:szCs w:val="32"/>
        </w:rPr>
        <w:t>%</w:t>
      </w:r>
      <w:r>
        <w:rPr>
          <w:rFonts w:ascii="仿宋_GB2312" w:eastAsia="仿宋_GB2312" w:hAnsi="仿宋" w:hint="eastAsia"/>
          <w:sz w:val="32"/>
          <w:szCs w:val="32"/>
        </w:rPr>
        <w:t>。</w:t>
      </w:r>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7</w:t>
      </w:r>
      <w:r>
        <w:rPr>
          <w:rFonts w:ascii="仿宋_GB2312" w:eastAsia="仿宋_GB2312" w:hAnsi="仿宋"/>
          <w:sz w:val="32"/>
          <w:szCs w:val="32"/>
        </w:rPr>
        <w:t>.</w:t>
      </w:r>
      <w:r>
        <w:rPr>
          <w:rFonts w:ascii="仿宋_GB2312" w:eastAsia="仿宋_GB2312" w:hAnsi="仿宋" w:hint="eastAsia"/>
          <w:sz w:val="32"/>
          <w:szCs w:val="32"/>
        </w:rPr>
        <w:t>卫生健康（类）行政事业单位医疗（款）行政单位医疗（项）</w:t>
      </w:r>
      <w:r>
        <w:rPr>
          <w:rFonts w:ascii="仿宋_GB2312" w:eastAsia="仿宋_GB2312" w:hAnsi="仿宋"/>
          <w:sz w:val="32"/>
          <w:szCs w:val="32"/>
        </w:rPr>
        <w:t>:</w:t>
      </w:r>
      <w:r>
        <w:rPr>
          <w:rFonts w:ascii="仿宋_GB2312" w:eastAsia="仿宋_GB2312" w:hAnsi="仿宋" w:hint="eastAsia"/>
          <w:sz w:val="32"/>
          <w:szCs w:val="32"/>
        </w:rPr>
        <w:t>支出决算为319.33万元，完成预算100%。</w:t>
      </w:r>
    </w:p>
    <w:p w:rsidR="00A9031B" w:rsidRDefault="00A9031B" w:rsidP="00EF580C">
      <w:pPr>
        <w:spacing w:beforeLines="30" w:line="560" w:lineRule="exact"/>
        <w:ind w:firstLineChars="100" w:firstLine="320"/>
        <w:rPr>
          <w:rFonts w:ascii="仿宋_GB2312" w:eastAsia="仿宋_GB2312" w:hAnsi="仿宋"/>
          <w:sz w:val="32"/>
          <w:szCs w:val="32"/>
        </w:rPr>
      </w:pPr>
      <w:r>
        <w:rPr>
          <w:rFonts w:ascii="仿宋_GB2312" w:eastAsia="仿宋_GB2312" w:hAnsi="仿宋" w:hint="eastAsia"/>
          <w:sz w:val="32"/>
          <w:szCs w:val="32"/>
        </w:rPr>
        <w:t>8</w:t>
      </w:r>
      <w:r>
        <w:rPr>
          <w:rFonts w:ascii="仿宋_GB2312" w:eastAsia="仿宋_GB2312" w:hAnsi="仿宋"/>
          <w:sz w:val="32"/>
          <w:szCs w:val="32"/>
        </w:rPr>
        <w:t>.</w:t>
      </w:r>
      <w:r>
        <w:rPr>
          <w:rFonts w:ascii="仿宋_GB2312" w:eastAsia="仿宋_GB2312" w:hAnsi="仿宋" w:hint="eastAsia"/>
          <w:sz w:val="32"/>
          <w:szCs w:val="32"/>
        </w:rPr>
        <w:t>住房保障支出（类）住房改革支出（款） 住房公积金（项）</w:t>
      </w:r>
      <w:r>
        <w:rPr>
          <w:rFonts w:ascii="仿宋_GB2312" w:eastAsia="仿宋_GB2312" w:hAnsi="仿宋"/>
          <w:sz w:val="32"/>
          <w:szCs w:val="32"/>
        </w:rPr>
        <w:t>:</w:t>
      </w:r>
      <w:r>
        <w:rPr>
          <w:rFonts w:ascii="仿宋_GB2312" w:eastAsia="仿宋_GB2312" w:hAnsi="仿宋" w:hint="eastAsia"/>
          <w:sz w:val="32"/>
          <w:szCs w:val="32"/>
        </w:rPr>
        <w:t>支出决算为612.91万元，完成预算100</w:t>
      </w:r>
      <w:r>
        <w:rPr>
          <w:rFonts w:ascii="仿宋_GB2312" w:eastAsia="仿宋_GB2312" w:hAnsi="仿宋"/>
          <w:sz w:val="32"/>
          <w:szCs w:val="32"/>
        </w:rPr>
        <w:t>%</w:t>
      </w:r>
      <w:r>
        <w:rPr>
          <w:rFonts w:ascii="仿宋_GB2312" w:eastAsia="仿宋_GB2312" w:hAnsi="仿宋" w:hint="eastAsia"/>
          <w:sz w:val="32"/>
          <w:szCs w:val="32"/>
        </w:rPr>
        <w:t>。</w:t>
      </w:r>
    </w:p>
    <w:p w:rsidR="00A9031B" w:rsidRDefault="00A9031B" w:rsidP="00A9031B">
      <w:pPr>
        <w:tabs>
          <w:tab w:val="right" w:pos="8306"/>
        </w:tabs>
        <w:spacing w:line="560" w:lineRule="exact"/>
        <w:ind w:firstLine="640"/>
        <w:outlineLvl w:val="1"/>
        <w:rPr>
          <w:rStyle w:val="2Char"/>
        </w:rPr>
      </w:pPr>
      <w:bookmarkStart w:id="48" w:name="_Toc15377214"/>
      <w:bookmarkStart w:id="49" w:name="_Toc15396608"/>
      <w:bookmarkStart w:id="50" w:name="_Toc9632"/>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Char"/>
          <w:rFonts w:ascii="黑体" w:hAnsi="黑体" w:hint="eastAsia"/>
        </w:rPr>
        <w:t>般公共预算财政拨款基本支出决算情况说明</w:t>
      </w:r>
      <w:bookmarkEnd w:id="48"/>
      <w:bookmarkEnd w:id="49"/>
      <w:bookmarkEnd w:id="50"/>
      <w:r>
        <w:rPr>
          <w:rStyle w:val="2Char"/>
          <w:rFonts w:ascii="黑体" w:hAnsi="黑体"/>
        </w:rPr>
        <w:tab/>
      </w:r>
    </w:p>
    <w:p w:rsidR="00A9031B" w:rsidRDefault="00A9031B" w:rsidP="00A9031B">
      <w:pPr>
        <w:spacing w:line="56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22年一般公共预算财政拨款基本支出9368.89万元，其中：</w:t>
      </w:r>
    </w:p>
    <w:p w:rsidR="00A9031B" w:rsidRDefault="00A9031B" w:rsidP="00A9031B">
      <w:pPr>
        <w:spacing w:line="560" w:lineRule="exact"/>
        <w:ind w:firstLine="645"/>
        <w:rPr>
          <w:rFonts w:ascii="仿宋" w:eastAsia="仿宋" w:hAnsi="仿宋"/>
          <w:sz w:val="32"/>
          <w:szCs w:val="32"/>
        </w:rPr>
      </w:pPr>
      <w:r>
        <w:rPr>
          <w:rFonts w:ascii="仿宋" w:eastAsia="仿宋" w:hAnsi="仿宋" w:hint="eastAsia"/>
          <w:sz w:val="32"/>
          <w:szCs w:val="32"/>
        </w:rPr>
        <w:t>人员经费8277.11万元，主要包括：基本工资、津贴补贴、奖金、机关事业单位基本养老保险缴费、职业年金缴费、职工基本医疗保险缴费、住房公积金、其他工资福利支出、抚恤金、生活补助、医疗费补助、其他对个人和家庭的补助支出。</w:t>
      </w:r>
    </w:p>
    <w:p w:rsidR="00A9031B" w:rsidRDefault="00A9031B" w:rsidP="00A9031B">
      <w:pPr>
        <w:spacing w:line="560" w:lineRule="exact"/>
        <w:ind w:firstLine="645"/>
        <w:rPr>
          <w:rFonts w:ascii="仿宋" w:eastAsia="仿宋" w:hAnsi="仿宋"/>
          <w:sz w:val="32"/>
          <w:szCs w:val="32"/>
        </w:rPr>
      </w:pPr>
      <w:r>
        <w:rPr>
          <w:rFonts w:ascii="仿宋" w:eastAsia="仿宋" w:hAnsi="仿宋" w:hint="eastAsia"/>
          <w:sz w:val="32"/>
          <w:szCs w:val="32"/>
        </w:rPr>
        <w:t>公用经费1091.78万元，主要包括：办公费、印刷费、手续费、水费、电费、邮电费、物业管理费、差旅费、维修（护）费、会议费、培训费、公务接待费、专用材料费、被装购置费、劳务费、工会经费、福利费、公务用车运行维护费、其他交通费用、其他商品和服务支出。</w:t>
      </w:r>
    </w:p>
    <w:p w:rsidR="00A9031B" w:rsidRDefault="00A9031B" w:rsidP="00A9031B">
      <w:pPr>
        <w:spacing w:line="560" w:lineRule="exact"/>
        <w:ind w:firstLine="640"/>
        <w:outlineLvl w:val="1"/>
        <w:rPr>
          <w:rStyle w:val="2Char"/>
          <w:rFonts w:ascii="黑体" w:hAnsi="黑体"/>
          <w:b w:val="0"/>
        </w:rPr>
      </w:pPr>
      <w:bookmarkStart w:id="51" w:name="_Toc15377215"/>
      <w:bookmarkStart w:id="52" w:name="_Toc15396609"/>
      <w:bookmarkStart w:id="53" w:name="_Toc12209"/>
      <w:r>
        <w:rPr>
          <w:rFonts w:ascii="黑体" w:eastAsia="黑体" w:hint="eastAsia"/>
          <w:sz w:val="32"/>
          <w:szCs w:val="32"/>
        </w:rPr>
        <w:t>七、</w:t>
      </w:r>
      <w:r>
        <w:rPr>
          <w:rStyle w:val="2Char"/>
          <w:rFonts w:ascii="黑体" w:hAnsi="黑体" w:hint="eastAsia"/>
        </w:rPr>
        <w:t>财政拨款“三公”经费支出决算情况说明</w:t>
      </w:r>
      <w:bookmarkEnd w:id="51"/>
      <w:bookmarkEnd w:id="52"/>
      <w:bookmarkEnd w:id="53"/>
    </w:p>
    <w:p w:rsidR="00A9031B" w:rsidRDefault="00A9031B" w:rsidP="00A9031B">
      <w:pPr>
        <w:spacing w:line="560" w:lineRule="exact"/>
        <w:ind w:firstLine="640"/>
        <w:outlineLvl w:val="2"/>
        <w:rPr>
          <w:rFonts w:ascii="仿宋" w:eastAsia="仿宋" w:hAnsi="仿宋"/>
          <w:b/>
          <w:sz w:val="32"/>
          <w:szCs w:val="32"/>
        </w:rPr>
      </w:pPr>
      <w:bookmarkStart w:id="54" w:name="_Toc15377216"/>
      <w:r>
        <w:rPr>
          <w:rFonts w:ascii="仿宋" w:eastAsia="仿宋" w:hAnsi="仿宋" w:hint="eastAsia"/>
          <w:b/>
          <w:sz w:val="32"/>
          <w:szCs w:val="32"/>
        </w:rPr>
        <w:lastRenderedPageBreak/>
        <w:t>（一）“三公”经费财政拨款支出决算总体情况说明</w:t>
      </w:r>
      <w:bookmarkEnd w:id="54"/>
    </w:p>
    <w:p w:rsidR="00A9031B" w:rsidRDefault="00A9031B" w:rsidP="00A9031B">
      <w:pPr>
        <w:spacing w:line="56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22年“三公”经费财政拨款支出决算为120.5万元，完成预算98.45</w:t>
      </w:r>
      <w:r>
        <w:rPr>
          <w:rFonts w:ascii="仿宋" w:eastAsia="仿宋" w:hAnsi="仿宋"/>
          <w:sz w:val="32"/>
          <w:szCs w:val="32"/>
        </w:rPr>
        <w:t>%</w:t>
      </w:r>
      <w:r>
        <w:rPr>
          <w:rFonts w:ascii="仿宋" w:eastAsia="仿宋" w:hAnsi="仿宋" w:hint="eastAsia"/>
          <w:sz w:val="32"/>
          <w:szCs w:val="32"/>
        </w:rPr>
        <w:t>，较上年71.64万元增加48.86万元，增长68.2%。决算数小于预算数的主要原因是进一步压缩了三公经费。</w:t>
      </w:r>
    </w:p>
    <w:p w:rsidR="00A9031B" w:rsidRDefault="00A9031B" w:rsidP="00A9031B">
      <w:pPr>
        <w:spacing w:line="560" w:lineRule="exact"/>
        <w:ind w:firstLine="640"/>
        <w:outlineLvl w:val="2"/>
        <w:rPr>
          <w:rFonts w:ascii="仿宋" w:eastAsia="仿宋" w:hAnsi="仿宋"/>
          <w:b/>
          <w:sz w:val="32"/>
          <w:szCs w:val="32"/>
        </w:rPr>
      </w:pPr>
      <w:bookmarkStart w:id="55" w:name="_Toc15377217"/>
      <w:r>
        <w:rPr>
          <w:rFonts w:ascii="仿宋" w:eastAsia="仿宋" w:hAnsi="仿宋" w:hint="eastAsia"/>
          <w:b/>
          <w:sz w:val="32"/>
          <w:szCs w:val="32"/>
        </w:rPr>
        <w:t>（二）“三公”经费财政拨款支出决算具体情况说明</w:t>
      </w:r>
      <w:bookmarkEnd w:id="55"/>
    </w:p>
    <w:p w:rsidR="00A9031B" w:rsidRDefault="00A9031B" w:rsidP="00A9031B">
      <w:pPr>
        <w:spacing w:line="56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22年“三公”经费财政拨款支出决算中，因公出国（境）费支出决算0万元，占0</w:t>
      </w:r>
      <w:r>
        <w:rPr>
          <w:rFonts w:ascii="仿宋" w:eastAsia="仿宋" w:hAnsi="仿宋"/>
          <w:sz w:val="32"/>
          <w:szCs w:val="32"/>
        </w:rPr>
        <w:t>%</w:t>
      </w:r>
      <w:r>
        <w:rPr>
          <w:rFonts w:ascii="仿宋" w:eastAsia="仿宋" w:hAnsi="仿宋" w:hint="eastAsia"/>
          <w:sz w:val="32"/>
          <w:szCs w:val="32"/>
        </w:rPr>
        <w:t>；公务用车购置及运行维护费支出决算120万元，占99.59</w:t>
      </w:r>
      <w:r>
        <w:rPr>
          <w:rFonts w:ascii="仿宋" w:eastAsia="仿宋" w:hAnsi="仿宋"/>
          <w:sz w:val="32"/>
          <w:szCs w:val="32"/>
        </w:rPr>
        <w:t>%</w:t>
      </w:r>
      <w:r>
        <w:rPr>
          <w:rFonts w:ascii="仿宋" w:eastAsia="仿宋" w:hAnsi="仿宋" w:hint="eastAsia"/>
          <w:sz w:val="32"/>
          <w:szCs w:val="32"/>
        </w:rPr>
        <w:t>；公务接待费支出决算0.5万元，占0.41</w:t>
      </w:r>
      <w:r>
        <w:rPr>
          <w:rFonts w:ascii="仿宋" w:eastAsia="仿宋" w:hAnsi="仿宋"/>
          <w:sz w:val="32"/>
          <w:szCs w:val="32"/>
        </w:rPr>
        <w:t>%</w:t>
      </w:r>
      <w:r>
        <w:rPr>
          <w:rFonts w:ascii="仿宋" w:eastAsia="仿宋" w:hAnsi="仿宋" w:hint="eastAsia"/>
          <w:sz w:val="32"/>
          <w:szCs w:val="32"/>
        </w:rPr>
        <w:t>。具体情况如下：</w:t>
      </w:r>
    </w:p>
    <w:p w:rsidR="00A9031B" w:rsidRPr="00A9031B" w:rsidRDefault="00A9031B" w:rsidP="00A9031B">
      <w:pPr>
        <w:spacing w:line="560" w:lineRule="exact"/>
        <w:ind w:firstLine="640"/>
        <w:rPr>
          <w:rFonts w:ascii="仿宋" w:eastAsia="仿宋" w:hAnsi="仿宋"/>
          <w:sz w:val="32"/>
          <w:szCs w:val="32"/>
        </w:rPr>
      </w:pPr>
      <w:r>
        <w:rPr>
          <w:rFonts w:ascii="仿宋" w:eastAsia="仿宋" w:hAnsi="仿宋" w:hint="eastAsia"/>
          <w:sz w:val="32"/>
          <w:szCs w:val="32"/>
        </w:rPr>
        <w:t>（图7：“三公”经费财政拨款支出结构）</w:t>
      </w:r>
    </w:p>
    <w:p w:rsid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Pr="00A9031B" w:rsidRDefault="00A9031B" w:rsidP="00A9031B">
      <w:pPr>
        <w:pStyle w:val="a3"/>
        <w:spacing w:before="93"/>
      </w:pPr>
    </w:p>
    <w:p w:rsidR="00A9031B" w:rsidRDefault="00A9031B" w:rsidP="00A9031B">
      <w:pPr>
        <w:pStyle w:val="a3"/>
        <w:spacing w:before="93"/>
      </w:pPr>
    </w:p>
    <w:p w:rsidR="00A9031B" w:rsidRDefault="00A9031B" w:rsidP="00A9031B">
      <w:pPr>
        <w:pStyle w:val="a3"/>
        <w:spacing w:before="93"/>
      </w:pPr>
    </w:p>
    <w:p w:rsidR="00A9031B" w:rsidRPr="00A9031B" w:rsidRDefault="00A9031B" w:rsidP="00A9031B">
      <w:pPr>
        <w:pStyle w:val="a3"/>
        <w:spacing w:before="93"/>
      </w:pPr>
    </w:p>
    <w:p w:rsidR="00A9031B" w:rsidRDefault="00A9031B" w:rsidP="00A9031B">
      <w:pPr>
        <w:pStyle w:val="a3"/>
        <w:spacing w:before="93" w:line="560" w:lineRule="exact"/>
      </w:pPr>
      <w:r>
        <w:rPr>
          <w:rFonts w:hint="eastAsia"/>
          <w:noProof/>
        </w:rPr>
        <w:drawing>
          <wp:anchor distT="0" distB="0" distL="114300" distR="114300" simplePos="0" relativeHeight="251666432" behindDoc="0" locked="0" layoutInCell="1" allowOverlap="1">
            <wp:simplePos x="0" y="0"/>
            <wp:positionH relativeFrom="column">
              <wp:posOffset>-325</wp:posOffset>
            </wp:positionH>
            <wp:positionV relativeFrom="paragraph">
              <wp:posOffset>-2911770</wp:posOffset>
            </wp:positionV>
            <wp:extent cx="5118100" cy="3241675"/>
            <wp:effectExtent l="0" t="0" r="25400" b="15875"/>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rsidR="00A9031B" w:rsidRDefault="00A9031B" w:rsidP="00A9031B">
      <w:pPr>
        <w:spacing w:line="560" w:lineRule="exact"/>
        <w:ind w:firstLine="640"/>
      </w:pPr>
      <w:r>
        <w:rPr>
          <w:rFonts w:ascii="仿宋_GB2312" w:eastAsia="仿宋_GB2312"/>
          <w:b/>
          <w:sz w:val="32"/>
          <w:szCs w:val="32"/>
        </w:rPr>
        <w:t>1.</w:t>
      </w:r>
      <w:r>
        <w:rPr>
          <w:rFonts w:ascii="仿宋_GB2312" w:eastAsia="仿宋_GB2312" w:hint="eastAsia"/>
          <w:b/>
          <w:sz w:val="32"/>
          <w:szCs w:val="32"/>
        </w:rPr>
        <w:t>因公出国（境）经费支出</w:t>
      </w:r>
      <w:r>
        <w:rPr>
          <w:rFonts w:ascii="仿宋_GB2312" w:eastAsia="仿宋_GB2312" w:hint="eastAsia"/>
          <w:sz w:val="32"/>
          <w:szCs w:val="32"/>
        </w:rPr>
        <w:t>0万元，</w:t>
      </w:r>
      <w:r>
        <w:rPr>
          <w:rFonts w:ascii="仿宋" w:eastAsia="仿宋" w:hAnsi="仿宋" w:hint="eastAsia"/>
          <w:sz w:val="32"/>
          <w:szCs w:val="32"/>
        </w:rPr>
        <w:t>年初未安排预算。因公出国（境）支出决算较2021年无变化。</w:t>
      </w:r>
    </w:p>
    <w:p w:rsidR="00A9031B" w:rsidRPr="00A66457" w:rsidRDefault="00A9031B" w:rsidP="00A9031B">
      <w:pPr>
        <w:spacing w:line="560" w:lineRule="exact"/>
        <w:ind w:firstLine="640"/>
        <w:rPr>
          <w:rFonts w:ascii="仿宋_GB2312" w:eastAsia="仿宋_GB2312"/>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hint="eastAsia"/>
          <w:sz w:val="32"/>
          <w:szCs w:val="32"/>
        </w:rPr>
        <w:t>120万元,</w:t>
      </w:r>
      <w:r>
        <w:rPr>
          <w:rStyle w:val="ad"/>
          <w:rFonts w:ascii="仿宋" w:eastAsia="仿宋" w:hAnsi="仿宋" w:hint="eastAsia"/>
          <w:bCs/>
          <w:sz w:val="32"/>
          <w:szCs w:val="32"/>
        </w:rPr>
        <w:t>完成预算100</w:t>
      </w:r>
      <w:r>
        <w:rPr>
          <w:rStyle w:val="ad"/>
          <w:rFonts w:ascii="仿宋" w:eastAsia="仿宋" w:hAnsi="仿宋"/>
          <w:bCs/>
          <w:sz w:val="32"/>
          <w:szCs w:val="32"/>
        </w:rPr>
        <w:t>%</w:t>
      </w:r>
      <w:r>
        <w:rPr>
          <w:rStyle w:val="ad"/>
          <w:rFonts w:ascii="仿宋" w:eastAsia="仿宋" w:hAnsi="仿宋" w:hint="eastAsia"/>
          <w:bCs/>
          <w:sz w:val="32"/>
          <w:szCs w:val="32"/>
        </w:rPr>
        <w:t>。</w:t>
      </w:r>
      <w:r>
        <w:rPr>
          <w:rFonts w:ascii="仿宋_GB2312" w:eastAsia="仿宋_GB2312" w:hint="eastAsia"/>
          <w:sz w:val="32"/>
          <w:szCs w:val="32"/>
        </w:rPr>
        <w:t>公务用车购置及运行维护费支出决算71.14万元比</w:t>
      </w:r>
      <w:r>
        <w:rPr>
          <w:rFonts w:ascii="仿宋_GB2312" w:eastAsia="仿宋_GB2312"/>
          <w:sz w:val="32"/>
          <w:szCs w:val="32"/>
        </w:rPr>
        <w:t>20</w:t>
      </w:r>
      <w:r>
        <w:rPr>
          <w:rFonts w:ascii="仿宋_GB2312" w:eastAsia="仿宋_GB2312" w:hint="eastAsia"/>
          <w:sz w:val="32"/>
          <w:szCs w:val="32"/>
        </w:rPr>
        <w:t>21年增加</w:t>
      </w:r>
      <w:r>
        <w:rPr>
          <w:rFonts w:ascii="仿宋_GB2312" w:eastAsia="仿宋_GB2312" w:hint="eastAsia"/>
          <w:sz w:val="32"/>
          <w:szCs w:val="32"/>
        </w:rPr>
        <w:lastRenderedPageBreak/>
        <w:t>48.86万元，增长68.68</w:t>
      </w:r>
      <w:r>
        <w:rPr>
          <w:rFonts w:ascii="仿宋_GB2312" w:eastAsia="仿宋_GB2312"/>
          <w:sz w:val="32"/>
          <w:szCs w:val="32"/>
        </w:rPr>
        <w:t>%</w:t>
      </w:r>
      <w:r>
        <w:rPr>
          <w:rFonts w:ascii="仿宋_GB2312" w:eastAsia="仿宋_GB2312" w:hint="eastAsia"/>
          <w:sz w:val="32"/>
          <w:szCs w:val="32"/>
        </w:rPr>
        <w:t>。主要原因是办案部门外出办案用车成本增加，</w:t>
      </w:r>
      <w:r w:rsidRPr="00A66457">
        <w:rPr>
          <w:rFonts w:ascii="仿宋_GB2312" w:eastAsia="仿宋_GB2312" w:hint="eastAsia"/>
          <w:sz w:val="32"/>
          <w:szCs w:val="32"/>
        </w:rPr>
        <w:t>本单位车辆运行维护费增加。</w:t>
      </w:r>
    </w:p>
    <w:p w:rsidR="00A9031B" w:rsidRPr="00A66457" w:rsidRDefault="00A9031B" w:rsidP="00A9031B">
      <w:pPr>
        <w:widowControl/>
        <w:spacing w:line="560" w:lineRule="exact"/>
        <w:ind w:firstLineChars="230" w:firstLine="736"/>
        <w:jc w:val="left"/>
        <w:rPr>
          <w:rFonts w:ascii="仿宋_GB2312" w:eastAsia="仿宋_GB2312"/>
          <w:sz w:val="32"/>
          <w:szCs w:val="32"/>
        </w:rPr>
      </w:pPr>
      <w:r>
        <w:rPr>
          <w:rFonts w:ascii="仿宋_GB2312" w:eastAsia="仿宋_GB2312" w:hint="eastAsia"/>
          <w:sz w:val="32"/>
          <w:szCs w:val="32"/>
        </w:rPr>
        <w:t>其中：</w:t>
      </w:r>
      <w:r w:rsidRPr="00A66457">
        <w:rPr>
          <w:rFonts w:ascii="仿宋_GB2312" w:eastAsia="仿宋_GB2312" w:hint="eastAsia"/>
          <w:sz w:val="32"/>
          <w:szCs w:val="32"/>
        </w:rPr>
        <w:t>公务用车购置支出</w:t>
      </w:r>
      <w:r>
        <w:rPr>
          <w:rFonts w:ascii="仿宋_GB2312" w:eastAsia="仿宋_GB2312" w:hint="eastAsia"/>
          <w:sz w:val="32"/>
          <w:szCs w:val="32"/>
        </w:rPr>
        <w:t>0万元。截至</w:t>
      </w:r>
      <w:r>
        <w:rPr>
          <w:rFonts w:ascii="仿宋_GB2312" w:eastAsia="仿宋_GB2312"/>
          <w:sz w:val="32"/>
          <w:szCs w:val="32"/>
        </w:rPr>
        <w:t>20</w:t>
      </w:r>
      <w:r>
        <w:rPr>
          <w:rFonts w:ascii="仿宋_GB2312" w:eastAsia="仿宋_GB2312" w:hint="eastAsia"/>
          <w:sz w:val="32"/>
          <w:szCs w:val="32"/>
        </w:rPr>
        <w:t>22年</w:t>
      </w:r>
      <w:r>
        <w:rPr>
          <w:rFonts w:ascii="仿宋_GB2312" w:eastAsia="仿宋_GB2312"/>
          <w:sz w:val="32"/>
          <w:szCs w:val="32"/>
        </w:rPr>
        <w:t>12</w:t>
      </w:r>
      <w:r>
        <w:rPr>
          <w:rFonts w:ascii="仿宋_GB2312" w:eastAsia="仿宋_GB2312" w:hint="eastAsia"/>
          <w:sz w:val="32"/>
          <w:szCs w:val="32"/>
        </w:rPr>
        <w:t>月底，单位共有公务用车35辆，其中：</w:t>
      </w:r>
      <w:r w:rsidRPr="00A66457">
        <w:rPr>
          <w:rFonts w:ascii="仿宋_GB2312" w:eastAsia="仿宋_GB2312" w:hint="eastAsia"/>
          <w:sz w:val="32"/>
          <w:szCs w:val="32"/>
        </w:rPr>
        <w:t>其他车型</w:t>
      </w:r>
      <w:r>
        <w:rPr>
          <w:rFonts w:ascii="仿宋_GB2312" w:eastAsia="仿宋_GB2312" w:hint="eastAsia"/>
          <w:sz w:val="32"/>
          <w:szCs w:val="32"/>
        </w:rPr>
        <w:t>35</w:t>
      </w:r>
      <w:r w:rsidRPr="00A66457">
        <w:rPr>
          <w:rFonts w:ascii="仿宋_GB2312" w:eastAsia="仿宋_GB2312" w:hint="eastAsia"/>
          <w:sz w:val="32"/>
          <w:szCs w:val="32"/>
        </w:rPr>
        <w:t>辆。</w:t>
      </w:r>
    </w:p>
    <w:p w:rsidR="00A9031B" w:rsidRDefault="00A9031B" w:rsidP="00A9031B">
      <w:pPr>
        <w:widowControl/>
        <w:spacing w:line="560" w:lineRule="exact"/>
        <w:ind w:firstLineChars="230" w:firstLine="739"/>
        <w:jc w:val="left"/>
        <w:rPr>
          <w:rFonts w:ascii="仿宋" w:eastAsia="仿宋" w:hAnsi="仿宋"/>
          <w:sz w:val="32"/>
          <w:szCs w:val="32"/>
        </w:rPr>
      </w:pPr>
      <w:r>
        <w:rPr>
          <w:rFonts w:ascii="仿宋_GB2312" w:eastAsia="仿宋_GB2312" w:hint="eastAsia"/>
          <w:b/>
          <w:sz w:val="32"/>
          <w:szCs w:val="32"/>
        </w:rPr>
        <w:t>公务用车运行维护费支出</w:t>
      </w:r>
      <w:r>
        <w:rPr>
          <w:rFonts w:ascii="仿宋_GB2312" w:eastAsia="仿宋_GB2312" w:hint="eastAsia"/>
          <w:sz w:val="32"/>
          <w:szCs w:val="32"/>
        </w:rPr>
        <w:t>120万元。主要用于</w:t>
      </w:r>
      <w:r>
        <w:rPr>
          <w:rFonts w:ascii="仿宋" w:eastAsia="仿宋" w:hAnsi="仿宋" w:hint="eastAsia"/>
          <w:sz w:val="32"/>
          <w:szCs w:val="32"/>
        </w:rPr>
        <w:t>公安刑侦、治安、禁毒等业务部门出差办案及派出所等所需的公务用车燃料费、维修费、过路过桥费、保险费等支出以及其他部分交通支出。</w:t>
      </w:r>
    </w:p>
    <w:p w:rsidR="00A9031B" w:rsidRDefault="00A9031B" w:rsidP="00A9031B">
      <w:pPr>
        <w:spacing w:line="56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hint="eastAsia"/>
          <w:sz w:val="32"/>
          <w:szCs w:val="32"/>
        </w:rPr>
        <w:t>0.5万元，</w:t>
      </w:r>
      <w:r>
        <w:rPr>
          <w:rStyle w:val="ad"/>
          <w:rFonts w:ascii="仿宋" w:eastAsia="仿宋" w:hAnsi="仿宋" w:hint="eastAsia"/>
          <w:bCs/>
          <w:sz w:val="32"/>
          <w:szCs w:val="32"/>
        </w:rPr>
        <w:t>完成预算20.83</w:t>
      </w:r>
      <w:r>
        <w:rPr>
          <w:rStyle w:val="ad"/>
          <w:rFonts w:ascii="仿宋" w:eastAsia="仿宋" w:hAnsi="仿宋"/>
          <w:bCs/>
          <w:sz w:val="32"/>
          <w:szCs w:val="32"/>
        </w:rPr>
        <w:t>%</w:t>
      </w:r>
      <w:r>
        <w:rPr>
          <w:rStyle w:val="ad"/>
          <w:rFonts w:ascii="仿宋" w:eastAsia="仿宋" w:hAnsi="仿宋" w:hint="eastAsia"/>
          <w:bCs/>
          <w:sz w:val="32"/>
          <w:szCs w:val="32"/>
        </w:rPr>
        <w:t>。</w:t>
      </w:r>
      <w:r>
        <w:rPr>
          <w:rFonts w:ascii="仿宋_GB2312" w:eastAsia="仿宋_GB2312" w:hint="eastAsia"/>
          <w:sz w:val="32"/>
          <w:szCs w:val="32"/>
        </w:rPr>
        <w:t>公务接待费支出决算与</w:t>
      </w:r>
      <w:r>
        <w:rPr>
          <w:rFonts w:ascii="仿宋_GB2312" w:eastAsia="仿宋_GB2312"/>
          <w:sz w:val="32"/>
          <w:szCs w:val="32"/>
        </w:rPr>
        <w:t>20</w:t>
      </w:r>
      <w:r>
        <w:rPr>
          <w:rFonts w:ascii="仿宋_GB2312" w:eastAsia="仿宋_GB2312" w:hint="eastAsia"/>
          <w:sz w:val="32"/>
          <w:szCs w:val="32"/>
        </w:rPr>
        <w:t>21年一致。</w:t>
      </w:r>
    </w:p>
    <w:p w:rsidR="00A9031B" w:rsidRDefault="00A9031B" w:rsidP="00A9031B">
      <w:pPr>
        <w:spacing w:line="560" w:lineRule="exact"/>
        <w:ind w:firstLine="640"/>
        <w:rPr>
          <w:rFonts w:ascii="仿宋_GB2312" w:eastAsia="仿宋_GB2312" w:hAnsi="仿宋"/>
          <w:sz w:val="32"/>
          <w:szCs w:val="32"/>
        </w:rPr>
      </w:pPr>
      <w:r>
        <w:rPr>
          <w:rFonts w:ascii="仿宋_GB2312" w:eastAsia="仿宋_GB2312" w:hint="eastAsia"/>
          <w:sz w:val="32"/>
          <w:szCs w:val="32"/>
        </w:rPr>
        <w:t>其中</w:t>
      </w:r>
      <w:r>
        <w:rPr>
          <w:rFonts w:ascii="仿宋" w:eastAsia="仿宋" w:hAnsi="仿宋" w:hint="eastAsia"/>
          <w:b/>
          <w:sz w:val="32"/>
          <w:szCs w:val="32"/>
        </w:rPr>
        <w:t>国内公务接待支出</w:t>
      </w:r>
      <w:r>
        <w:rPr>
          <w:rFonts w:ascii="仿宋" w:eastAsia="仿宋" w:hAnsi="仿宋" w:hint="eastAsia"/>
          <w:sz w:val="32"/>
          <w:szCs w:val="32"/>
        </w:rPr>
        <w:t>0.5</w:t>
      </w:r>
      <w:r>
        <w:rPr>
          <w:rFonts w:ascii="仿宋_GB2312" w:eastAsia="仿宋_GB2312" w:hint="eastAsia"/>
          <w:sz w:val="32"/>
          <w:szCs w:val="32"/>
        </w:rPr>
        <w:t>万元，</w:t>
      </w:r>
      <w:r>
        <w:rPr>
          <w:rFonts w:ascii="仿宋_GB2312" w:eastAsia="仿宋_GB2312" w:hAnsi="仿宋" w:hint="eastAsia"/>
          <w:sz w:val="32"/>
          <w:szCs w:val="32"/>
        </w:rPr>
        <w:t>主要用于异地公安机关执行公务、开展学习交流等。使用市级资金国内公务接待5批次，45人次，共计支出0.5万元，具体内容包括：上级调研视察0.5万元。</w:t>
      </w:r>
    </w:p>
    <w:p w:rsidR="00A9031B" w:rsidRDefault="00A9031B" w:rsidP="00A9031B">
      <w:pPr>
        <w:spacing w:line="560" w:lineRule="exact"/>
        <w:ind w:firstLine="640"/>
        <w:rPr>
          <w:rFonts w:ascii="黑体" w:eastAsia="黑体"/>
          <w:sz w:val="32"/>
          <w:szCs w:val="32"/>
        </w:rPr>
      </w:pPr>
      <w:r>
        <w:rPr>
          <w:rFonts w:ascii="仿宋" w:eastAsia="仿宋" w:hAnsi="仿宋" w:hint="eastAsia"/>
          <w:b/>
          <w:sz w:val="32"/>
          <w:szCs w:val="32"/>
        </w:rPr>
        <w:t>外事接待支出</w:t>
      </w:r>
      <w:r>
        <w:rPr>
          <w:rFonts w:ascii="仿宋" w:eastAsia="仿宋" w:hAnsi="仿宋" w:hint="eastAsia"/>
          <w:sz w:val="32"/>
          <w:szCs w:val="32"/>
        </w:rPr>
        <w:t>0</w:t>
      </w:r>
      <w:r>
        <w:rPr>
          <w:rFonts w:ascii="仿宋_GB2312" w:eastAsia="仿宋_GB2312" w:hint="eastAsia"/>
          <w:sz w:val="32"/>
          <w:szCs w:val="32"/>
        </w:rPr>
        <w:t>万元</w:t>
      </w:r>
      <w:bookmarkStart w:id="56" w:name="_Toc15396610"/>
      <w:bookmarkStart w:id="57" w:name="_Toc15377218"/>
      <w:r>
        <w:rPr>
          <w:rFonts w:ascii="仿宋_GB2312" w:eastAsia="仿宋_GB2312" w:hint="eastAsia"/>
          <w:sz w:val="32"/>
          <w:szCs w:val="32"/>
        </w:rPr>
        <w:t>.</w:t>
      </w:r>
    </w:p>
    <w:p w:rsidR="00A9031B" w:rsidRDefault="00A9031B" w:rsidP="00A9031B">
      <w:pPr>
        <w:spacing w:line="560" w:lineRule="exact"/>
        <w:ind w:firstLine="640"/>
        <w:outlineLvl w:val="1"/>
        <w:rPr>
          <w:rStyle w:val="2Char"/>
          <w:rFonts w:ascii="黑体" w:hAnsi="黑体"/>
        </w:rPr>
      </w:pPr>
      <w:bookmarkStart w:id="58" w:name="_Toc10083"/>
      <w:r>
        <w:rPr>
          <w:rFonts w:ascii="黑体" w:eastAsia="黑体" w:hint="eastAsia"/>
          <w:sz w:val="32"/>
          <w:szCs w:val="32"/>
        </w:rPr>
        <w:t>八、</w:t>
      </w:r>
      <w:r>
        <w:rPr>
          <w:rStyle w:val="2Char"/>
          <w:rFonts w:ascii="黑体" w:hAnsi="黑体" w:hint="eastAsia"/>
        </w:rPr>
        <w:t>政府性基金预算支出决算情况说明</w:t>
      </w:r>
      <w:bookmarkEnd w:id="56"/>
      <w:bookmarkEnd w:id="57"/>
      <w:bookmarkEnd w:id="58"/>
    </w:p>
    <w:p w:rsidR="00A9031B" w:rsidRDefault="00A9031B" w:rsidP="00A9031B">
      <w:pPr>
        <w:spacing w:line="56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22年政府性基金预算财政拨款支出0万元。</w:t>
      </w:r>
    </w:p>
    <w:p w:rsidR="00A9031B" w:rsidRDefault="00A9031B" w:rsidP="00A9031B">
      <w:pPr>
        <w:numPr>
          <w:ilvl w:val="0"/>
          <w:numId w:val="2"/>
        </w:numPr>
        <w:spacing w:line="560" w:lineRule="exact"/>
        <w:ind w:firstLine="640"/>
        <w:outlineLvl w:val="1"/>
        <w:rPr>
          <w:rStyle w:val="2Char"/>
          <w:rFonts w:ascii="黑体" w:hAnsi="黑体"/>
          <w:b w:val="0"/>
        </w:rPr>
      </w:pPr>
      <w:bookmarkStart w:id="59" w:name="_Toc15377219"/>
      <w:bookmarkStart w:id="60" w:name="_Toc15396611"/>
      <w:bookmarkStart w:id="61" w:name="_Toc1099"/>
      <w:r>
        <w:rPr>
          <w:rStyle w:val="2Char"/>
          <w:rFonts w:ascii="黑体" w:hAnsi="黑体" w:hint="eastAsia"/>
        </w:rPr>
        <w:t>国有资本经营预算支出决算情况说明</w:t>
      </w:r>
      <w:bookmarkEnd w:id="59"/>
      <w:bookmarkEnd w:id="60"/>
      <w:bookmarkEnd w:id="61"/>
    </w:p>
    <w:p w:rsidR="00A9031B" w:rsidRDefault="00A9031B" w:rsidP="00A9031B">
      <w:pPr>
        <w:spacing w:line="56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22年国有资本经营预算财政拨款支出0万元。</w:t>
      </w:r>
    </w:p>
    <w:p w:rsidR="00A9031B" w:rsidRDefault="00A9031B" w:rsidP="00A9031B">
      <w:pPr>
        <w:numPr>
          <w:ilvl w:val="0"/>
          <w:numId w:val="2"/>
        </w:numPr>
        <w:spacing w:line="560" w:lineRule="exact"/>
        <w:ind w:firstLine="640"/>
        <w:outlineLvl w:val="1"/>
        <w:rPr>
          <w:rStyle w:val="2Char"/>
          <w:rFonts w:ascii="黑体" w:hAnsi="黑体"/>
          <w:b w:val="0"/>
        </w:rPr>
      </w:pPr>
      <w:bookmarkStart w:id="62" w:name="_Toc20616"/>
      <w:bookmarkStart w:id="63" w:name="_Toc15396612"/>
      <w:bookmarkStart w:id="64" w:name="_Toc15377221"/>
      <w:r>
        <w:rPr>
          <w:rStyle w:val="2Char"/>
          <w:rFonts w:ascii="黑体" w:hAnsi="黑体" w:hint="eastAsia"/>
        </w:rPr>
        <w:t>其他重要事项的情况说明</w:t>
      </w:r>
      <w:bookmarkEnd w:id="62"/>
      <w:bookmarkEnd w:id="63"/>
      <w:bookmarkEnd w:id="64"/>
    </w:p>
    <w:p w:rsidR="00A9031B" w:rsidRDefault="00A9031B" w:rsidP="00A9031B">
      <w:pPr>
        <w:spacing w:line="560" w:lineRule="exact"/>
        <w:ind w:firstLineChars="200" w:firstLine="643"/>
        <w:outlineLvl w:val="2"/>
        <w:rPr>
          <w:rFonts w:ascii="仿宋" w:eastAsia="仿宋" w:hAnsi="仿宋"/>
          <w:sz w:val="32"/>
          <w:szCs w:val="32"/>
        </w:rPr>
      </w:pPr>
      <w:bookmarkStart w:id="65" w:name="_Toc15377222"/>
      <w:r>
        <w:rPr>
          <w:rFonts w:ascii="仿宋" w:eastAsia="仿宋" w:hAnsi="仿宋" w:hint="eastAsia"/>
          <w:b/>
          <w:sz w:val="32"/>
          <w:szCs w:val="32"/>
        </w:rPr>
        <w:t>（一）机关运行经费支出情况</w:t>
      </w:r>
      <w:bookmarkEnd w:id="65"/>
    </w:p>
    <w:p w:rsidR="00A9031B" w:rsidRDefault="00A9031B" w:rsidP="00A9031B">
      <w:pPr>
        <w:spacing w:line="56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22年，广元市公安局利州区分局机关运行经费支出1091.78万元，比</w:t>
      </w:r>
      <w:r>
        <w:rPr>
          <w:rFonts w:ascii="仿宋_GB2312" w:eastAsia="仿宋_GB2312"/>
          <w:sz w:val="32"/>
          <w:szCs w:val="32"/>
        </w:rPr>
        <w:t>20</w:t>
      </w:r>
      <w:r>
        <w:rPr>
          <w:rFonts w:ascii="仿宋_GB2312" w:eastAsia="仿宋_GB2312" w:hint="eastAsia"/>
          <w:sz w:val="32"/>
          <w:szCs w:val="32"/>
        </w:rPr>
        <w:t>21年927.55万元相比增加164.23万元，增长17.7</w:t>
      </w:r>
      <w:r>
        <w:rPr>
          <w:rFonts w:ascii="仿宋_GB2312" w:eastAsia="仿宋_GB2312"/>
          <w:sz w:val="32"/>
          <w:szCs w:val="32"/>
        </w:rPr>
        <w:t>%</w:t>
      </w:r>
      <w:r>
        <w:rPr>
          <w:rFonts w:ascii="仿宋_GB2312" w:eastAsia="仿宋_GB2312" w:hint="eastAsia"/>
          <w:sz w:val="32"/>
          <w:szCs w:val="32"/>
        </w:rPr>
        <w:t>。主要原因是出差办案产生的差旅费等支出增加。</w:t>
      </w:r>
    </w:p>
    <w:p w:rsidR="00A9031B" w:rsidRDefault="00A9031B" w:rsidP="00A9031B">
      <w:pPr>
        <w:autoSpaceDE w:val="0"/>
        <w:autoSpaceDN w:val="0"/>
        <w:adjustRightInd w:val="0"/>
        <w:spacing w:line="560" w:lineRule="exact"/>
        <w:ind w:firstLineChars="200" w:firstLine="643"/>
        <w:jc w:val="left"/>
        <w:outlineLvl w:val="2"/>
        <w:rPr>
          <w:rFonts w:ascii="仿宋" w:eastAsia="仿宋" w:hAnsi="仿宋"/>
          <w:b/>
          <w:sz w:val="32"/>
          <w:szCs w:val="32"/>
        </w:rPr>
      </w:pPr>
      <w:bookmarkStart w:id="66" w:name="_Toc15377223"/>
      <w:r>
        <w:rPr>
          <w:rFonts w:ascii="仿宋" w:eastAsia="仿宋" w:hAnsi="仿宋" w:hint="eastAsia"/>
          <w:b/>
          <w:sz w:val="32"/>
          <w:szCs w:val="32"/>
        </w:rPr>
        <w:t>（二）政府采购支出情况</w:t>
      </w:r>
      <w:bookmarkEnd w:id="66"/>
    </w:p>
    <w:p w:rsidR="00A9031B" w:rsidRDefault="00A9031B" w:rsidP="00A9031B">
      <w:pPr>
        <w:spacing w:line="560" w:lineRule="exact"/>
        <w:ind w:firstLineChars="200" w:firstLine="640"/>
        <w:rPr>
          <w:rFonts w:ascii="仿宋_GB2312" w:eastAsia="仿宋_GB2312"/>
          <w:sz w:val="32"/>
          <w:szCs w:val="32"/>
        </w:rPr>
      </w:pPr>
      <w:r>
        <w:rPr>
          <w:rFonts w:ascii="仿宋_GB2312" w:eastAsia="仿宋_GB2312"/>
          <w:sz w:val="32"/>
          <w:szCs w:val="32"/>
        </w:rPr>
        <w:lastRenderedPageBreak/>
        <w:t>20</w:t>
      </w:r>
      <w:r>
        <w:rPr>
          <w:rFonts w:ascii="仿宋_GB2312" w:eastAsia="仿宋_GB2312" w:hint="eastAsia"/>
          <w:sz w:val="32"/>
          <w:szCs w:val="32"/>
        </w:rPr>
        <w:t>22年，广元市公安局利州区分局政府采购支出总额0万元。</w:t>
      </w:r>
    </w:p>
    <w:p w:rsidR="00A9031B" w:rsidRDefault="00A9031B" w:rsidP="00A9031B">
      <w:pPr>
        <w:autoSpaceDE w:val="0"/>
        <w:autoSpaceDN w:val="0"/>
        <w:adjustRightInd w:val="0"/>
        <w:spacing w:line="560" w:lineRule="exact"/>
        <w:ind w:firstLineChars="200" w:firstLine="643"/>
        <w:jc w:val="left"/>
        <w:outlineLvl w:val="2"/>
        <w:rPr>
          <w:rFonts w:ascii="仿宋" w:eastAsia="仿宋" w:hAnsi="仿宋"/>
          <w:b/>
          <w:sz w:val="32"/>
          <w:szCs w:val="32"/>
        </w:rPr>
      </w:pPr>
      <w:bookmarkStart w:id="67" w:name="_Toc15377224"/>
      <w:r>
        <w:rPr>
          <w:rFonts w:ascii="仿宋" w:eastAsia="仿宋" w:hAnsi="仿宋" w:hint="eastAsia"/>
          <w:b/>
          <w:sz w:val="32"/>
          <w:szCs w:val="32"/>
        </w:rPr>
        <w:t>（三）国有资产占有使用情况</w:t>
      </w:r>
      <w:bookmarkEnd w:id="67"/>
    </w:p>
    <w:p w:rsidR="00A9031B" w:rsidRDefault="00A9031B" w:rsidP="00A9031B">
      <w:pPr>
        <w:autoSpaceDE w:val="0"/>
        <w:autoSpaceDN w:val="0"/>
        <w:adjustRightIn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22年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日，广元市公安局利州区分局共有车辆35辆，其中其他执法执勤用车35辆，均用于单位执法执勤、办公办案业务等开展。单价</w:t>
      </w:r>
      <w:r>
        <w:rPr>
          <w:rFonts w:ascii="仿宋_GB2312" w:eastAsia="仿宋_GB2312"/>
          <w:sz w:val="32"/>
          <w:szCs w:val="32"/>
        </w:rPr>
        <w:t>100</w:t>
      </w:r>
      <w:r>
        <w:rPr>
          <w:rFonts w:ascii="仿宋_GB2312" w:eastAsia="仿宋_GB2312" w:hint="eastAsia"/>
          <w:sz w:val="32"/>
          <w:szCs w:val="32"/>
        </w:rPr>
        <w:t>万元以上专用设备0台。</w:t>
      </w:r>
    </w:p>
    <w:p w:rsidR="00A9031B" w:rsidRDefault="00A9031B" w:rsidP="00A9031B">
      <w:pPr>
        <w:autoSpaceDE w:val="0"/>
        <w:autoSpaceDN w:val="0"/>
        <w:adjustRightInd w:val="0"/>
        <w:spacing w:line="56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A9031B" w:rsidRDefault="00A9031B" w:rsidP="00A9031B">
      <w:pPr>
        <w:spacing w:line="56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根据预算绩效管理要求，本部门在2022年度预算编制阶段，组织对执法办案经费项目等13个项目开展了预算事前绩效评估，对13个项目编制了绩效目标，预算执行过程中，选取13个项目开展绩效监控，年终执行完毕后，对13个项目开展了绩效自评。同时，对2022年部门整体支出绩效进行了评价。总体上，我单位预算测算依据充分，内部控制制度健全、预</w:t>
      </w:r>
      <w:r>
        <w:rPr>
          <w:rFonts w:ascii="仿宋_GB2312" w:eastAsia="仿宋_GB2312" w:hint="eastAsia"/>
          <w:sz w:val="32"/>
          <w:szCs w:val="32"/>
        </w:rPr>
        <w:t>算管理规范。绩效自评表详见第四部分附件。</w:t>
      </w:r>
    </w:p>
    <w:p w:rsidR="00A9031B" w:rsidRDefault="00A9031B" w:rsidP="00A9031B">
      <w:pPr>
        <w:pStyle w:val="a3"/>
        <w:spacing w:before="93" w:line="560" w:lineRule="exact"/>
      </w:pPr>
    </w:p>
    <w:p w:rsidR="00A9031B" w:rsidRPr="000C3E18" w:rsidRDefault="00A9031B" w:rsidP="00A9031B">
      <w:pPr>
        <w:pStyle w:val="a3"/>
        <w:spacing w:before="93" w:line="560" w:lineRule="exact"/>
      </w:pPr>
    </w:p>
    <w:p w:rsidR="00A9031B" w:rsidRDefault="00A9031B" w:rsidP="00A9031B">
      <w:pPr>
        <w:widowControl/>
        <w:spacing w:line="560" w:lineRule="exact"/>
        <w:jc w:val="left"/>
        <w:rPr>
          <w:rFonts w:ascii="仿宋_GB2312" w:eastAsia="仿宋_GB2312"/>
          <w:b/>
          <w:sz w:val="32"/>
          <w:szCs w:val="32"/>
        </w:rPr>
      </w:pP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Default="00A9031B" w:rsidP="00A9031B">
      <w:pPr>
        <w:pStyle w:val="a3"/>
        <w:spacing w:before="93" w:line="560" w:lineRule="exact"/>
      </w:pPr>
    </w:p>
    <w:p w:rsidR="00A9031B" w:rsidRPr="000C3E18" w:rsidRDefault="00A9031B" w:rsidP="00A9031B">
      <w:pPr>
        <w:pStyle w:val="a3"/>
        <w:spacing w:before="93" w:line="560" w:lineRule="exact"/>
      </w:pPr>
    </w:p>
    <w:p w:rsidR="00A9031B" w:rsidRDefault="00A9031B" w:rsidP="00A9031B">
      <w:pPr>
        <w:numPr>
          <w:ilvl w:val="0"/>
          <w:numId w:val="3"/>
        </w:numPr>
        <w:spacing w:line="560" w:lineRule="exact"/>
        <w:ind w:firstLineChars="150" w:firstLine="660"/>
        <w:jc w:val="center"/>
        <w:outlineLvl w:val="0"/>
        <w:rPr>
          <w:rStyle w:val="1Char"/>
          <w:rFonts w:ascii="黑体" w:eastAsia="黑体" w:hAnsi="黑体"/>
          <w:b w:val="0"/>
        </w:rPr>
      </w:pPr>
      <w:bookmarkStart w:id="68" w:name="_Toc15396613"/>
      <w:bookmarkStart w:id="69" w:name="_Toc30246"/>
      <w:bookmarkStart w:id="70" w:name="_Toc15377225"/>
      <w:r>
        <w:rPr>
          <w:rFonts w:ascii="黑体" w:eastAsia="黑体" w:hAnsi="黑体" w:hint="eastAsia"/>
          <w:sz w:val="44"/>
          <w:szCs w:val="44"/>
        </w:rPr>
        <w:lastRenderedPageBreak/>
        <w:t>名</w:t>
      </w:r>
      <w:r>
        <w:rPr>
          <w:rStyle w:val="1Char"/>
          <w:rFonts w:ascii="黑体" w:eastAsia="黑体" w:hAnsi="黑体" w:hint="eastAsia"/>
        </w:rPr>
        <w:t>词解释</w:t>
      </w:r>
      <w:bookmarkEnd w:id="68"/>
      <w:bookmarkEnd w:id="69"/>
      <w:bookmarkEnd w:id="70"/>
    </w:p>
    <w:p w:rsidR="00A9031B" w:rsidRDefault="00A9031B" w:rsidP="00A9031B">
      <w:pPr>
        <w:pStyle w:val="Default"/>
        <w:spacing w:line="560" w:lineRule="exact"/>
        <w:ind w:firstLineChars="150" w:firstLine="480"/>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rsidR="00A9031B" w:rsidRDefault="00A9031B" w:rsidP="00A9031B">
      <w:pPr>
        <w:pStyle w:val="a3"/>
        <w:spacing w:before="93" w:line="560" w:lineRule="exact"/>
        <w:ind w:firstLineChars="150" w:firstLine="480"/>
        <w:rPr>
          <w:kern w:val="2"/>
          <w:sz w:val="32"/>
          <w:szCs w:val="32"/>
        </w:rPr>
      </w:pPr>
      <w:r>
        <w:rPr>
          <w:rFonts w:hint="eastAsia"/>
          <w:sz w:val="32"/>
          <w:szCs w:val="32"/>
        </w:rPr>
        <w:t>2</w:t>
      </w:r>
      <w:r>
        <w:rPr>
          <w:sz w:val="32"/>
          <w:szCs w:val="32"/>
        </w:rPr>
        <w:t>.</w:t>
      </w:r>
      <w:r>
        <w:rPr>
          <w:rFonts w:hint="eastAsia"/>
          <w:kern w:val="2"/>
          <w:sz w:val="32"/>
          <w:szCs w:val="32"/>
        </w:rPr>
        <w:t>公共安全支出（类）公安（款）行政运行（项）:反映行政单位（含实行公务员管理的事业单位）的基本支出。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3.公共安全支出（类）公安（款）一般行政管理事务（项）：反映行政单位（含实行公务员管理的事业单位）未单独设置项级科目的其他项目支出。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4.公共安全支出（类）公安（款）执法办案（项）：反映公安机关从事行政执法、刑事司法及侦查办案等相关活动的支出。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5.社会保障和就业（类）行政事业单位养老支出（款）  机关事业单位基本养老保险缴费支出（项）：指反映机关事业单位实施养老保险制度由单位缴纳的基本养老保险费支出。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6.社会保障和就业（类）行政事业单位养老支出（款）  机关事业单位职业年金缴费支出（项）：指反映机关事业单位实施养老保险制度由单位缴纳的职业年金支出。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7.社会保障和就业（类）抚恤（款）死亡抚恤（项）: 反映按规定用于烈士和牺牲、病故人员家属的一次性和定期抚恤金以及丧葬费补助。</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8.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w:t>
      </w:r>
      <w:r>
        <w:rPr>
          <w:rFonts w:hint="eastAsia"/>
          <w:kern w:val="2"/>
          <w:sz w:val="32"/>
          <w:szCs w:val="32"/>
        </w:rPr>
        <w:lastRenderedPageBreak/>
        <w:t>人员的医疗经费。</w:t>
      </w:r>
    </w:p>
    <w:p w:rsidR="00A9031B" w:rsidRDefault="00A9031B" w:rsidP="00A9031B">
      <w:pPr>
        <w:pStyle w:val="a3"/>
        <w:spacing w:before="93" w:line="560" w:lineRule="exact"/>
        <w:ind w:firstLineChars="200" w:firstLine="640"/>
        <w:rPr>
          <w:kern w:val="2"/>
          <w:sz w:val="32"/>
          <w:szCs w:val="32"/>
        </w:rPr>
      </w:pPr>
      <w:r>
        <w:rPr>
          <w:rFonts w:hint="eastAsia"/>
          <w:kern w:val="2"/>
          <w:sz w:val="32"/>
          <w:szCs w:val="32"/>
        </w:rPr>
        <w:t>9.住房保障支出（类）住房改革支出（款）住房公积金（项）:反映行政事业单位按人力资源和社会保障部、财政部规定的基本工资和津贴补贴以及规定比例为职工缴纳的住房公积金。</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10.基本支出：指为保障机构正常运转、完成日常工作任务而发生的人员支出和公用支出。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11.项目支出：指在基本支出之外为完成特定行政任务和事业发展目标所发生的支出。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12.“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A9031B" w:rsidRDefault="00A9031B" w:rsidP="00A9031B">
      <w:pPr>
        <w:pStyle w:val="a3"/>
        <w:spacing w:before="93" w:line="560" w:lineRule="exact"/>
        <w:ind w:firstLineChars="150" w:firstLine="480"/>
        <w:rPr>
          <w:kern w:val="2"/>
          <w:sz w:val="32"/>
          <w:szCs w:val="32"/>
        </w:rPr>
      </w:pPr>
      <w:r>
        <w:rPr>
          <w:rFonts w:hint="eastAsia"/>
          <w:kern w:val="2"/>
          <w:sz w:val="32"/>
          <w:szCs w:val="32"/>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rsidR="003F2A0A" w:rsidRDefault="003F2A0A" w:rsidP="00A9031B">
      <w:pPr>
        <w:pStyle w:val="a7"/>
        <w:spacing w:line="560" w:lineRule="exact"/>
        <w:ind w:firstLine="640"/>
      </w:pPr>
    </w:p>
    <w:p w:rsidR="00A9031B" w:rsidRDefault="00A9031B" w:rsidP="00A9031B">
      <w:pPr>
        <w:pStyle w:val="a7"/>
        <w:spacing w:line="560" w:lineRule="exact"/>
        <w:ind w:firstLine="640"/>
      </w:pPr>
    </w:p>
    <w:p w:rsidR="00A9031B" w:rsidRDefault="00A9031B" w:rsidP="00990AFC">
      <w:pPr>
        <w:pStyle w:val="a7"/>
        <w:spacing w:line="560" w:lineRule="exact"/>
        <w:ind w:firstLineChars="62" w:firstLine="198"/>
        <w:sectPr w:rsidR="00A9031B" w:rsidSect="00F14723">
          <w:footerReference w:type="even" r:id="rId23"/>
          <w:footerReference w:type="default" r:id="rId24"/>
          <w:pgSz w:w="11906" w:h="16838"/>
          <w:pgMar w:top="1701" w:right="1474" w:bottom="1576" w:left="1474" w:header="851" w:footer="992" w:gutter="0"/>
          <w:cols w:space="425"/>
          <w:docGrid w:type="lines" w:linePitch="312"/>
        </w:sectPr>
      </w:pPr>
    </w:p>
    <w:p w:rsidR="00990AFC" w:rsidRPr="00990AFC" w:rsidRDefault="00990AFC" w:rsidP="00990AFC">
      <w:pPr>
        <w:spacing w:line="600" w:lineRule="exact"/>
        <w:outlineLvl w:val="0"/>
        <w:rPr>
          <w:rFonts w:ascii="黑体" w:eastAsia="黑体" w:hAnsi="黑体"/>
          <w:sz w:val="44"/>
          <w:szCs w:val="44"/>
        </w:rPr>
      </w:pPr>
    </w:p>
    <w:p w:rsidR="00990AFC" w:rsidRPr="00990AFC" w:rsidRDefault="00990AFC" w:rsidP="00990AFC">
      <w:pPr>
        <w:spacing w:line="600" w:lineRule="exact"/>
        <w:jc w:val="center"/>
        <w:outlineLvl w:val="0"/>
        <w:rPr>
          <w:rFonts w:ascii="黑体" w:eastAsia="黑体" w:hAnsi="黑体"/>
          <w:sz w:val="44"/>
          <w:szCs w:val="44"/>
        </w:rPr>
      </w:pPr>
      <w:r w:rsidRPr="00990AFC">
        <w:rPr>
          <w:rFonts w:ascii="黑体" w:eastAsia="黑体" w:hAnsi="黑体" w:hint="eastAsia"/>
          <w:sz w:val="44"/>
          <w:szCs w:val="44"/>
        </w:rPr>
        <w:t>第四部分  附件</w:t>
      </w:r>
    </w:p>
    <w:tbl>
      <w:tblPr>
        <w:tblW w:w="13940" w:type="dxa"/>
        <w:tblInd w:w="93" w:type="dxa"/>
        <w:tblLook w:val="04A0"/>
      </w:tblPr>
      <w:tblGrid>
        <w:gridCol w:w="774"/>
        <w:gridCol w:w="1611"/>
        <w:gridCol w:w="1758"/>
        <w:gridCol w:w="2225"/>
        <w:gridCol w:w="634"/>
        <w:gridCol w:w="1660"/>
        <w:gridCol w:w="517"/>
        <w:gridCol w:w="1093"/>
        <w:gridCol w:w="576"/>
        <w:gridCol w:w="576"/>
        <w:gridCol w:w="2516"/>
      </w:tblGrid>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51000021R000000019951-工资性支出</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严格执行相关政策，保障工资及时发放、足额发放，预算编制科学合理，减少结余资金</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工资及时足额发放，预算编制科学合理</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对工资性支出严格考核并及时发放</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6,115.76</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7,685.74</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7,679.20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99.91%</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C52138" w:rsidP="00C52138">
            <w:pPr>
              <w:widowControl/>
              <w:jc w:val="center"/>
              <w:rPr>
                <w:rFonts w:ascii="Courier New" w:hAnsi="Courier New" w:cs="Courier New"/>
                <w:i/>
                <w:iCs/>
                <w:kern w:val="0"/>
                <w:sz w:val="18"/>
                <w:szCs w:val="18"/>
              </w:rPr>
            </w:pPr>
            <w:r w:rsidRPr="00C52138">
              <w:rPr>
                <w:rFonts w:ascii="宋体" w:hAnsi="宋体" w:cs="宋体" w:hint="eastAsia"/>
                <w:kern w:val="0"/>
                <w:sz w:val="18"/>
                <w:szCs w:val="18"/>
              </w:rPr>
              <w:t>部分指标下达时间晚，未实现支出</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6,115.76</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7,685.74</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7,679.20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99.91%</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w:t>
            </w:r>
            <w:r w:rsidRPr="00990AFC">
              <w:rPr>
                <w:rFonts w:ascii="宋体" w:hAnsi="宋体" w:cs="宋体" w:hint="eastAsia"/>
                <w:kern w:val="0"/>
                <w:sz w:val="18"/>
                <w:szCs w:val="18"/>
              </w:rPr>
              <w:lastRenderedPageBreak/>
              <w:t>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lastRenderedPageBreak/>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w:t>
            </w:r>
            <w:r w:rsidRPr="00990AFC">
              <w:rPr>
                <w:rFonts w:ascii="宋体" w:hAnsi="宋体" w:cs="宋体" w:hint="eastAsia"/>
                <w:kern w:val="0"/>
                <w:sz w:val="18"/>
                <w:szCs w:val="18"/>
              </w:rPr>
              <w:lastRenderedPageBreak/>
              <w:t>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lastRenderedPageBreak/>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w:t>
            </w:r>
            <w:r w:rsidRPr="00990AFC">
              <w:rPr>
                <w:rFonts w:ascii="宋体" w:hAnsi="宋体" w:cs="宋体" w:hint="eastAsia"/>
                <w:kern w:val="0"/>
                <w:sz w:val="18"/>
                <w:szCs w:val="18"/>
              </w:rPr>
              <w:lastRenderedPageBreak/>
              <w:t>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lastRenderedPageBreak/>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足额保障率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时效指标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按时发放率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结余率（计算方法为：结余数/预算数）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673A78" w:rsidP="00990AFC">
            <w:pPr>
              <w:widowControl/>
              <w:jc w:val="center"/>
              <w:rPr>
                <w:rFonts w:ascii="宋体" w:hAnsi="宋体" w:cs="宋体"/>
                <w:kern w:val="0"/>
                <w:sz w:val="18"/>
                <w:szCs w:val="18"/>
              </w:rPr>
            </w:pPr>
            <w:r>
              <w:rPr>
                <w:rFonts w:ascii="宋体" w:hAnsi="宋体" w:cs="宋体" w:hint="eastAsia"/>
                <w:kern w:val="0"/>
                <w:sz w:val="18"/>
                <w:szCs w:val="18"/>
              </w:rPr>
              <w:t>0.09%</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21.5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98</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自评得分98分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预算执行进度有待加强</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加快支付进度</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项目负责人：杜鹃</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51000021R000000019952-其他人员支出</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w:t>
            </w:r>
            <w:r w:rsidRPr="00990AFC">
              <w:rPr>
                <w:rFonts w:ascii="宋体" w:hAnsi="宋体" w:cs="宋体" w:hint="eastAsia"/>
                <w:kern w:val="0"/>
                <w:sz w:val="18"/>
                <w:szCs w:val="18"/>
              </w:rPr>
              <w:lastRenderedPageBreak/>
              <w:t>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lastRenderedPageBreak/>
              <w:t>1.项目年度目标</w:t>
            </w:r>
            <w:r w:rsidRPr="00990AFC">
              <w:rPr>
                <w:rFonts w:ascii="宋体" w:hAnsi="宋体" w:cs="宋体" w:hint="eastAsia"/>
                <w:kern w:val="0"/>
                <w:sz w:val="18"/>
                <w:szCs w:val="18"/>
              </w:rPr>
              <w:lastRenderedPageBreak/>
              <w:t>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lastRenderedPageBreak/>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完成抚恤金发放</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完成部分抚恤金发放</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根据财务管理规定，依规发放抚恤金</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27.90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20.56</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73.69%</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8</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C52138" w:rsidRDefault="00C52138" w:rsidP="00990AFC">
            <w:pPr>
              <w:widowControl/>
              <w:jc w:val="left"/>
              <w:rPr>
                <w:rFonts w:ascii="宋体" w:hAnsi="宋体" w:cs="宋体"/>
                <w:kern w:val="0"/>
                <w:sz w:val="18"/>
                <w:szCs w:val="18"/>
              </w:rPr>
            </w:pPr>
            <w:r w:rsidRPr="00C52138">
              <w:rPr>
                <w:rFonts w:ascii="宋体" w:hAnsi="宋体" w:cs="宋体" w:hint="eastAsia"/>
                <w:kern w:val="0"/>
                <w:sz w:val="18"/>
                <w:szCs w:val="18"/>
              </w:rPr>
              <w:t>指标下达时间晚，未实现支出</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27.90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20.56</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73.69%</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C52138" w:rsidRDefault="00990AFC" w:rsidP="00990AFC">
            <w:pPr>
              <w:widowControl/>
              <w:jc w:val="left"/>
              <w:rPr>
                <w:rFonts w:ascii="宋体" w:hAnsi="宋体" w:cs="宋体"/>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C52138" w:rsidRDefault="00990AFC" w:rsidP="00990AFC">
            <w:pPr>
              <w:widowControl/>
              <w:jc w:val="left"/>
              <w:rPr>
                <w:rFonts w:ascii="宋体" w:hAnsi="宋体" w:cs="宋体"/>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发放人数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single" w:sz="4" w:space="0" w:color="000000"/>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足额保障率</w:t>
            </w:r>
          </w:p>
        </w:tc>
        <w:tc>
          <w:tcPr>
            <w:tcW w:w="64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满意度指标</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服务对象满意度指标</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95</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98</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保障了相关人员的抚恤金发放，自评得分98分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lastRenderedPageBreak/>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预算执行进度有待加强</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加快预算执行进度</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51000021R000000019956-离退休费支出</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严格执行相关政策，保障工资及时发放、足额发放，预算编制科学合理，减少结余资金</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完成离退休经费支出</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根据预算进行资金支付，严格执行财经法规</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133.00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133.00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133.00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w:t>
            </w:r>
            <w:r w:rsidRPr="00990AFC">
              <w:rPr>
                <w:rFonts w:ascii="Courier New" w:hAnsi="Courier New" w:cs="Courier New"/>
                <w:i/>
                <w:iCs/>
                <w:kern w:val="0"/>
                <w:sz w:val="18"/>
                <w:szCs w:val="18"/>
              </w:rPr>
              <w:lastRenderedPageBreak/>
              <w:t>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133.00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133.00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133.00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lastRenderedPageBreak/>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足额保障率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时效指标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按时发放率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结余率（计算方法为：结余数/预算数）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自评得分100分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51000021R000000019957-其他补助支出</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根据公安部、财政部文件，给予因公牺牲民警一次性抚恤金补助</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完成民警因公牺牲一次性抚恤金补助</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及时支付抚恤金</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60.00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60.00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60.00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60.00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52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保障人数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足额保障率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时效指标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按时发放率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73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结余率（计算方法为：结余数/预算数）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100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6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自评得分100分</w:t>
            </w:r>
          </w:p>
        </w:tc>
      </w:tr>
      <w:tr w:rsidR="00990AFC" w:rsidRPr="00990AFC" w:rsidTr="00990AFC">
        <w:trPr>
          <w:trHeight w:val="480"/>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480"/>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51000021R000000019958-其他支出</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严格执行相关政策，保障遗属生活补助工资及时发放、足额发放，预算编制科学合理，减少结余资金</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全部完成遗属生活补助发放</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按月发放遗属生活补助</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9.15</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9.15</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9.15</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9.15</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9.15</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9.15</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足额保障率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23.5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时效指标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按时发放率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24.5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结余率（计算方法为：结余数/预算数）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25.5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100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遗属生活补助及时发放，自评得分100分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项目负责人：杜鹃</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51000021Y000000011490-定额公用经费</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82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保障单位日常运转，提高预算编制质量，严格执行预算</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保障单位日常运转</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严格财经制度，按照预算进度支付</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582.00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581.40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581.40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582.00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581.40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581.40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6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质量指标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预算编制准确率（计算方法为：∣（执行数-预算数）/预算数∣）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运转保障率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132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“三公经费”控制率[计算方法为：（三公经费实际支出数/预算安排数]×100%）</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9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通过日常公用经费的保障，从而保障了单位日常运转，自评得分100分。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51080021T000000057934-民警法定节假日加班补贴</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96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提升派出所民警士气，　全力保障派出所民警工作的高速运转。人力资源社会保障部 财政部关于《执行人民警察法定工作日之外加班补贴有关问题》的通知，对在编民警家假日加班发放加班补助。个人每月最高加班不超过6天；加班日统一按140元/天计发。</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全面体现从优待警，通过保障民警加班补助，进一步保障派出所运转</w:t>
            </w:r>
          </w:p>
        </w:tc>
      </w:tr>
      <w:tr w:rsidR="00990AFC" w:rsidRPr="00990AFC" w:rsidTr="00990AFC">
        <w:trPr>
          <w:trHeight w:val="58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按照规定发放节假日加班补助，并对该项目实施全程绩效监控</w:t>
            </w:r>
          </w:p>
        </w:tc>
      </w:tr>
      <w:tr w:rsidR="00990AFC" w:rsidRPr="00990AFC" w:rsidTr="00990AFC">
        <w:trPr>
          <w:trHeight w:val="46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330.58</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330.58</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330.58</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330.58</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330.58</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330.58</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财政保障时效</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330.576</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万元</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330.576</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6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质量指标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发放到位率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时效指标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发放时间</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6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成本指标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人均保障标准</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元/人*月</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社会效益指标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社会治安满意度</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18</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可持续影响指标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补贴到位情况</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服务对象满意度指标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民警满意度</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100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202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根据人力资源社会保障部、财政部文件（人社部规【2019】9号）《人力资源社会保障部 财政部关于执行人民警察法定工作日之外加班补贴有关问题的通知》，根据国务院有关规定，人民警察法定工作日之外加班的应当补习；不能补休的，应当给予补助。经研究决定，从2017年1月1日起调整人民警察法定工作日之外加班补贴政策。人民警察法定工作日之外加班补贴由国家统一规定标准调整为实行总量管理。各级人力资源社会保障、财政部门按照月人均710元和本级各相关单位的国家政法专项编制内人民警察实有人数，分别核定下达本级公安机关、国家安全机关、鉴于、强制隔离戒毒机关和法院、检察院的年度法定工作日之外加班补贴总量。该项目实施前本单位进行了充分调研并呈报利州市财政局审批，后财政根据整体资金安排对按项目实际安排预算内资金330.58万元，符合预算法及资金管理办法。该项目申报内容与具体实施内容相符、申报目标合理可行。分局严格执行财务管理制度、财务处理及时、会计核算规范。支付依据合规合法，资金支付与预算相符。分局严格执行人民警察法定工作日之外加班补贴政策规定，严格考勤，加强管理，考勤情况在本单位公示，分局警务保障室根据考勤公示情况发放补贴。通过加班费的发放，进一步将国家从优待警的政策落到实处，从而保障分局的基本运转。分局民警满意度较高。自评得分100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51080021T000000057963-基层派出所民警午餐补助</w:t>
            </w:r>
          </w:p>
        </w:tc>
      </w:tr>
      <w:tr w:rsidR="00990AFC" w:rsidRPr="00990AFC" w:rsidTr="00990AFC">
        <w:trPr>
          <w:trHeight w:val="510"/>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97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保障派出所日常工作运转，提升民警战斗力，提升派出所24小时勤务工作。　根据2014年省公安厅与省财政厅联合发文要求：为保障公安机关基层派出所民警值班执勤等无法回家生活问题，财政要按照每月人均不少于22天，每天15元标准保障基层派出所民警工作日午餐费用。</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保障基层派出所民警午餐费用，从而减轻基层派出所保障压力，维持派出所日常运转。基层民警满意度较高，确保从优待警工作落实到位。</w:t>
            </w:r>
          </w:p>
        </w:tc>
      </w:tr>
      <w:tr w:rsidR="00990AFC" w:rsidRPr="00990AFC" w:rsidTr="00990AFC">
        <w:trPr>
          <w:trHeight w:val="48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按照规定发放派出所民警午餐补助，并对该项目实施全程绩效监控</w:t>
            </w:r>
          </w:p>
        </w:tc>
      </w:tr>
      <w:tr w:rsidR="00990AFC" w:rsidRPr="00990AFC" w:rsidTr="00990AFC">
        <w:trPr>
          <w:trHeight w:val="49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139.78</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139.78</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139.78</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139.78</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139.78</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139.78</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值班备勤人员必须在岗在位</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2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值班备勤</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365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天</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365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97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质量指标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通过保障民警伙食费，在接处警、执法办案、接待群众等各个工作方面保障派出所日常工作开展</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时效指标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保障时效</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12</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月</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12</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6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成本指标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保障标准</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元/人*月</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330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社会效益指标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保障社会稳定</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服务对象满意度指标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97</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1470"/>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根据四川省公安厅川公传发【2013】2020号《关于对基层公安机关落实免费工作用餐情况进行督察的通知》及广府办函[2014]4号文件，公安派出所民警免费工作午餐经费。全省公安机关按照15元/人/天，每月22天保障基层派出所民警午餐费用。该项目实施前本单位进行了充分调研并呈报市财政局审批，后财政根据整体资金安排对按项目实际安排预算内资139.78万元，保障市属353名基层派出所民警午餐费用。符合预算法及资金管理办法。项目申报内容与具体实施内容相符、申报目标合理可行。分局严格执行财务管理制度、财务处理及时、会计核算规范。支付依据合规合法，资金支付与预算相符。分局按季度将伙食费发放至基层派出所，由基层派出所灵活方式发放给民警并建立台账。保障基层派出所民警午餐费用，从而减轻基层派出所保障压力，维持派出所日常运转。基层民警满意度较高，确保从优待警工作落实到位。</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保障标准较低，已不能平衡日益增长的物价水平，基层派出所民警加班伙食不能保障。</w:t>
            </w:r>
          </w:p>
        </w:tc>
      </w:tr>
      <w:tr w:rsidR="00990AFC" w:rsidRPr="00990AFC" w:rsidTr="00990AFC">
        <w:trPr>
          <w:trHeight w:val="810"/>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要求派出所节约开支</w:t>
            </w:r>
          </w:p>
        </w:tc>
      </w:tr>
      <w:tr w:rsidR="00990AFC" w:rsidRPr="00990AFC" w:rsidTr="00990AFC">
        <w:trPr>
          <w:trHeight w:val="480"/>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项目负责人：杜鹃</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555"/>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51080021Y000000176770-其他公用经费（福利、工会、公车补贴、党建、退休活动）</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保障单位日常运转，提高预算编制质量，严格执行预算</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保障民警福利、工会、公车补贴、党建、退休活动等方面的支出</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严格按照预算执行单位活动支出，严控成本，要求厉行节约</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478.88</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478.88</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478.88</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478.88</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478.88</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478.88</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84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质量指标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预算编制准确率（计算方法为：∣（执行数-预算数）/预算数∣）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90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“三公经费”控制率[计算方法为：（三公经费实际支出数/预算安排数]×100%）</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3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运转保障率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40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100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经自评，该项目全部完成，自评得分100分。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00"/>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61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45"/>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51080022R000006844873-退休“中人”一次性退休补贴</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54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保障退休“中人”待遇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全部及时完成发放</w:t>
            </w:r>
          </w:p>
        </w:tc>
      </w:tr>
      <w:tr w:rsidR="00990AFC" w:rsidRPr="00990AFC" w:rsidTr="00990AFC">
        <w:trPr>
          <w:trHeight w:val="51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及时发放</w:t>
            </w:r>
          </w:p>
        </w:tc>
      </w:tr>
      <w:tr w:rsidR="00990AFC" w:rsidRPr="00990AFC" w:rsidTr="00990AFC">
        <w:trPr>
          <w:trHeight w:val="45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16.56</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16.56</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16.56</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16.56</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67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64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保障退休“中人”人数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55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87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single" w:sz="4" w:space="0" w:color="000000"/>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质量指标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预算编制准确率（计算方法为：∣（执行数-预算数）/预算数∣）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55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运转保障率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555"/>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nil"/>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服务对象满意度指标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95</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100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保障了退休中人的待遇，退休人员满意度高。自评得分100分。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37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40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90"/>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51080022T000004932200-执法办案经费</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1500"/>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确保社会政治大局稳定，打击各类违法犯罪行为。防范化解重大公共安全风险、网络安全风险，提升整体工作能力，深化公安改革工作。同时构建大联动格局，推进大执法建设，服务保障重大战略、从而推动整体跨越发展。服务促进经济发展，服务回应群众需求，促使人民群众满意度提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通过项目实施，办理了一大批涉黑涉黄涉赌案件。防范化解重大公共安全风险、网络安全风险，提升整体工作能力，深化公安改革工作。全面确保了市主城区治安大局平稳以及第三方社会综合评价全年指数大幅上升。</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分局严格执行财务管理制度、财务处理及时、会计核算规范。支付依据合规合法，资金支付与预算相符。并对该项目实施全程绩效监控</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278.76</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278.76</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278.76</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278.76</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278.76</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278.76</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72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服务对象满意度指标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人民群众满意度</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673A78" w:rsidP="00990AFC">
            <w:pPr>
              <w:widowControl/>
              <w:jc w:val="center"/>
              <w:rPr>
                <w:rFonts w:ascii="宋体" w:hAnsi="宋体" w:cs="宋体"/>
                <w:kern w:val="0"/>
                <w:sz w:val="18"/>
                <w:szCs w:val="18"/>
              </w:rPr>
            </w:pPr>
            <w:r>
              <w:rPr>
                <w:rFonts w:ascii="宋体" w:hAnsi="宋体" w:cs="宋体" w:hint="eastAsia"/>
                <w:kern w:val="0"/>
                <w:sz w:val="18"/>
                <w:szCs w:val="18"/>
              </w:rPr>
              <w:t>95%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安全指标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化解社会矛盾</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定性</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优良中低差</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优</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8</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时效指标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各项指标完成时间</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20221231</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已按时完成</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社会效益指标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社会稳定、安全、和谐</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定性</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优良中低差</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优</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电信诈骗案件抓捕人数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183人</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反诈APP全区下载率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673A78" w:rsidP="00990AFC">
            <w:pPr>
              <w:widowControl/>
              <w:jc w:val="center"/>
              <w:rPr>
                <w:rFonts w:ascii="宋体" w:hAnsi="宋体" w:cs="宋体"/>
                <w:kern w:val="0"/>
                <w:sz w:val="18"/>
                <w:szCs w:val="18"/>
              </w:rPr>
            </w:pPr>
            <w:r>
              <w:rPr>
                <w:rFonts w:ascii="宋体" w:hAnsi="宋体" w:cs="宋体" w:hint="eastAsia"/>
                <w:kern w:val="0"/>
                <w:sz w:val="18"/>
                <w:szCs w:val="18"/>
              </w:rPr>
              <w:t>45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673A78" w:rsidP="00990AFC">
            <w:pPr>
              <w:widowControl/>
              <w:jc w:val="center"/>
              <w:rPr>
                <w:rFonts w:ascii="宋体" w:hAnsi="宋体" w:cs="宋体"/>
                <w:kern w:val="0"/>
                <w:sz w:val="18"/>
                <w:szCs w:val="18"/>
              </w:rPr>
            </w:pPr>
            <w:r>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673A78" w:rsidP="00990AFC">
            <w:pPr>
              <w:widowControl/>
              <w:jc w:val="center"/>
              <w:rPr>
                <w:rFonts w:ascii="宋体" w:hAnsi="宋体" w:cs="宋体"/>
                <w:kern w:val="0"/>
                <w:sz w:val="18"/>
                <w:szCs w:val="18"/>
              </w:rPr>
            </w:pPr>
            <w:r>
              <w:rPr>
                <w:rFonts w:ascii="宋体" w:hAnsi="宋体" w:cs="宋体" w:hint="eastAsia"/>
                <w:kern w:val="0"/>
                <w:sz w:val="18"/>
                <w:szCs w:val="18"/>
              </w:rPr>
              <w:t>47%</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采取刑事强制措施人员数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673A78" w:rsidP="00990AFC">
            <w:pPr>
              <w:widowControl/>
              <w:jc w:val="center"/>
              <w:rPr>
                <w:rFonts w:ascii="宋体" w:hAnsi="宋体" w:cs="宋体"/>
                <w:kern w:val="0"/>
                <w:sz w:val="18"/>
                <w:szCs w:val="18"/>
              </w:rPr>
            </w:pPr>
            <w:r>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790</w:t>
            </w:r>
            <w:r w:rsidR="00673A78">
              <w:rPr>
                <w:rFonts w:ascii="宋体" w:hAnsi="宋体" w:cs="宋体" w:hint="eastAsia"/>
                <w:kern w:val="0"/>
                <w:sz w:val="18"/>
                <w:szCs w:val="18"/>
              </w:rPr>
              <w:t>人</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破获刑事案件数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935</w:t>
            </w:r>
            <w:r w:rsidR="00673A78">
              <w:rPr>
                <w:rFonts w:ascii="宋体" w:hAnsi="宋体" w:cs="宋体" w:hint="eastAsia"/>
                <w:kern w:val="0"/>
                <w:sz w:val="18"/>
                <w:szCs w:val="18"/>
              </w:rPr>
              <w:t>人</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45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质量指标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案件查处率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95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673A78" w:rsidP="00990AFC">
            <w:pPr>
              <w:widowControl/>
              <w:jc w:val="center"/>
              <w:rPr>
                <w:rFonts w:ascii="宋体" w:hAnsi="宋体" w:cs="宋体"/>
                <w:kern w:val="0"/>
                <w:sz w:val="18"/>
                <w:szCs w:val="18"/>
              </w:rPr>
            </w:pPr>
            <w:r>
              <w:rPr>
                <w:rFonts w:ascii="宋体" w:hAnsi="宋体" w:cs="宋体" w:hint="eastAsia"/>
                <w:kern w:val="0"/>
                <w:sz w:val="18"/>
                <w:szCs w:val="18"/>
              </w:rPr>
              <w:t>95%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96</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220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始终保持严打高压态势，扎实开展“磐石”系列等专项行动，坚持“命案必破、大案多破、小案速破”，确保了社会治安大局良好。亮剑出击惩治违法犯罪。全局共采取刑事强制措施790人，抓获各类上网逃犯277人，破获各类刑事案件935件，移送起诉361案748人，审结284案613人；办理行政案件2966件，重点案件1286件，查处违法人员2729人（行政拘留 719人）。常态化开展扫黑除恶斗争。共核查涉黑恶线索11条，侦办九类黑恶类案件114件，尤其是成功破获公安部“百日行动”涉黑涉恶重点攻坚目标督办、省人民检察院和省公安厅双挂牌督办的“10.19”绵阳魏某涉黑专案，共移送起诉人员51人，违法犯罪案件35起涉及11类罪名，彻底铲除了盘踞在绵阳城区多年的社会毒瘤，捍卫了法律的尊严，维护了社会公平正义，受到公安部贺电表扬。严打暴力犯罪。共侦破八类暴力案件65件，先后侦破“6.07”“11.09”命案现案2起，连续破获命案积案2起。严打突出违法犯罪。深入推进公安部部署的21个全国性专项行动，依法严厉打击盗抢骗、黄赌毒、食药环森等突出违法犯罪，先后侦破省督“1.18”破坏军事通讯案、“5.02”特大系列电信诈骗案和一起单笔1300万元的虚拟币投资巨额诈骗案，先后被省厅、市局贺电表扬，获各级领导高度肯定。</w:t>
            </w:r>
          </w:p>
        </w:tc>
      </w:tr>
      <w:tr w:rsidR="00990AFC" w:rsidRPr="00990AFC" w:rsidTr="00990AFC">
        <w:trPr>
          <w:trHeight w:val="94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一是经费预算严重不足。分局维稳工作为单位主要业务工作之一，维稳工作支出占分局公业务经费支出费用比例较大；特别全国、省等大型活动稳控重点人员，单位外派工作人员维稳，开支大量差旅费。</w:t>
            </w:r>
            <w:r w:rsidRPr="00990AFC">
              <w:rPr>
                <w:rFonts w:ascii="宋体" w:hAnsi="宋体" w:cs="宋体" w:hint="eastAsia"/>
                <w:kern w:val="0"/>
                <w:sz w:val="18"/>
                <w:szCs w:val="18"/>
              </w:rPr>
              <w:br/>
              <w:t>二是存在差旅费报销中未严格按照规定刷公务卡情况。</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一是财政加大专案经费预算，同时积极向上争取专案经费资金。</w:t>
            </w:r>
            <w:r w:rsidRPr="00990AFC">
              <w:rPr>
                <w:rFonts w:ascii="宋体" w:hAnsi="宋体" w:cs="宋体" w:hint="eastAsia"/>
                <w:kern w:val="0"/>
                <w:sz w:val="18"/>
                <w:szCs w:val="18"/>
              </w:rPr>
              <w:br/>
              <w:t>二是严格财经手续，要求单位民警按照规定刷公务卡消费结算。</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51080022Y000000267568-定额公用经费（事业）</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保障单位日常运转，提高预算编制质量，严格执行预算</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保障单位日常运转</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严格执行预算</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31.50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31.50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31.50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31.50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31.50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31.50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科目调整次数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次</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6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质量指标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预算编制准确率（计算方法为：∣（执行数-预算数）/预算数∣）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效益指标</w:t>
            </w:r>
          </w:p>
        </w:tc>
        <w:tc>
          <w:tcPr>
            <w:tcW w:w="1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经济效益指标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运转保障率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90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“三公经费”控制率[计算方法为：（三公经费实际支出数/预算安排数]×100%）</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22.5</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right"/>
              <w:rPr>
                <w:rFonts w:ascii="宋体" w:hAnsi="宋体" w:cs="宋体"/>
                <w:kern w:val="0"/>
                <w:sz w:val="18"/>
                <w:szCs w:val="18"/>
              </w:rPr>
            </w:pPr>
            <w:r w:rsidRPr="00990AFC">
              <w:rPr>
                <w:rFonts w:ascii="宋体" w:hAnsi="宋体" w:cs="宋体" w:hint="eastAsia"/>
                <w:kern w:val="0"/>
                <w:sz w:val="18"/>
                <w:szCs w:val="18"/>
              </w:rPr>
              <w:t>100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60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自评得分100分</w:t>
            </w:r>
          </w:p>
        </w:tc>
      </w:tr>
      <w:tr w:rsidR="00990AFC" w:rsidRPr="00990AFC" w:rsidTr="00990AFC">
        <w:trPr>
          <w:trHeight w:val="57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634"/>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r w:rsidR="00990AFC" w:rsidRPr="00990AFC" w:rsidTr="00990AFC">
        <w:trPr>
          <w:trHeight w:val="285"/>
        </w:trPr>
        <w:tc>
          <w:tcPr>
            <w:tcW w:w="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7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2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64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68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52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4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904"/>
        </w:trPr>
        <w:tc>
          <w:tcPr>
            <w:tcW w:w="1394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黑体" w:eastAsia="黑体" w:hAnsi="黑体" w:cs="宋体"/>
                <w:b/>
                <w:bCs/>
                <w:kern w:val="0"/>
                <w:sz w:val="30"/>
                <w:szCs w:val="30"/>
              </w:rPr>
            </w:pPr>
            <w:r w:rsidRPr="00990AFC">
              <w:rPr>
                <w:rFonts w:ascii="黑体" w:eastAsia="黑体" w:hAnsi="黑体" w:cs="宋体" w:hint="eastAsia"/>
                <w:b/>
                <w:bCs/>
                <w:kern w:val="0"/>
                <w:sz w:val="30"/>
                <w:szCs w:val="30"/>
              </w:rPr>
              <w:t>部门预算项目支出绩效自评表（2022年度）</w:t>
            </w:r>
          </w:p>
        </w:tc>
      </w:tr>
      <w:tr w:rsidR="00990AFC" w:rsidRPr="00990AFC" w:rsidTr="00990AFC">
        <w:trPr>
          <w:trHeight w:val="285"/>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项目名称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51080023R000007612345-规范后市级基础绩效奖及生活补助</w:t>
            </w:r>
          </w:p>
        </w:tc>
      </w:tr>
      <w:tr w:rsidR="00990AFC" w:rsidRPr="00990AFC" w:rsidTr="00990AFC">
        <w:trPr>
          <w:trHeight w:val="514"/>
        </w:trPr>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主管部门</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广元市公安局部门</w:t>
            </w:r>
          </w:p>
        </w:tc>
        <w:tc>
          <w:tcPr>
            <w:tcW w:w="1100" w:type="dxa"/>
            <w:tcBorders>
              <w:top w:val="nil"/>
              <w:left w:val="nil"/>
              <w:bottom w:val="nil"/>
              <w:right w:val="nil"/>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实施单位（盖章）</w:t>
            </w:r>
          </w:p>
        </w:tc>
        <w:tc>
          <w:tcPr>
            <w:tcW w:w="3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广元市公安局利州区分局</w:t>
            </w:r>
          </w:p>
        </w:tc>
      </w:tr>
      <w:tr w:rsidR="00990AFC" w:rsidRPr="00990AFC" w:rsidTr="00990AFC">
        <w:trPr>
          <w:trHeight w:val="285"/>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项目基本情况</w:t>
            </w:r>
          </w:p>
        </w:tc>
        <w:tc>
          <w:tcPr>
            <w:tcW w:w="1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1.项目年度目标完成情况</w:t>
            </w: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项目年度目标</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Courier New" w:hAnsi="Courier New" w:cs="Courier New"/>
                <w:kern w:val="0"/>
                <w:sz w:val="18"/>
                <w:szCs w:val="18"/>
              </w:rPr>
            </w:pPr>
            <w:r w:rsidRPr="00990AFC">
              <w:rPr>
                <w:rFonts w:ascii="Courier New" w:hAnsi="Courier New" w:cs="Courier New"/>
                <w:kern w:val="0"/>
                <w:sz w:val="18"/>
                <w:szCs w:val="18"/>
              </w:rPr>
              <w:t>年度目标完成情况</w:t>
            </w:r>
          </w:p>
        </w:tc>
      </w:tr>
      <w:tr w:rsidR="00990AFC" w:rsidRPr="00990AFC" w:rsidTr="00990AFC">
        <w:trPr>
          <w:trHeight w:val="70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6880" w:type="dxa"/>
            <w:gridSpan w:val="5"/>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拨付规范后市级基础绩效奖及退休人员生活补助，保障单位职工支出</w:t>
            </w:r>
          </w:p>
        </w:tc>
        <w:tc>
          <w:tcPr>
            <w:tcW w:w="4640" w:type="dxa"/>
            <w:gridSpan w:val="4"/>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及时拨付规范后市级基础绩效奖及生活补助，保障单位职工支出</w:t>
            </w:r>
          </w:p>
        </w:tc>
      </w:tr>
      <w:tr w:rsidR="00990AFC" w:rsidRPr="00990AFC" w:rsidTr="00990AFC">
        <w:trPr>
          <w:trHeight w:val="694"/>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2.项目实施内容及过程概述</w:t>
            </w:r>
          </w:p>
        </w:tc>
        <w:tc>
          <w:tcPr>
            <w:tcW w:w="11520" w:type="dxa"/>
            <w:gridSpan w:val="9"/>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按月及时发放规范后市级基础绩效奖及退休人员生活补助</w:t>
            </w:r>
          </w:p>
        </w:tc>
      </w:tr>
      <w:tr w:rsidR="00990AFC" w:rsidRPr="00990AFC" w:rsidTr="00990AFC">
        <w:trPr>
          <w:trHeight w:val="360"/>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预算执行情况（10分）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年度预算数（万元）</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年初预算</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调整后预算数</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预算执行数</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原因</w:t>
            </w:r>
          </w:p>
        </w:tc>
      </w:tr>
      <w:tr w:rsidR="00990AFC" w:rsidRPr="00990AFC" w:rsidTr="00990AFC">
        <w:trPr>
          <w:trHeight w:val="38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总额</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358.63</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358.63</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w:t>
            </w:r>
          </w:p>
        </w:tc>
        <w:tc>
          <w:tcPr>
            <w:tcW w:w="2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i/>
                <w:iCs/>
                <w:kern w:val="0"/>
                <w:sz w:val="18"/>
                <w:szCs w:val="18"/>
              </w:rPr>
            </w:pPr>
            <w:r w:rsidRPr="00990AFC">
              <w:rPr>
                <w:rFonts w:ascii="Courier New" w:hAnsi="Courier New" w:cs="Courier New"/>
                <w:i/>
                <w:iCs/>
                <w:kern w:val="0"/>
                <w:sz w:val="18"/>
                <w:szCs w:val="18"/>
              </w:rPr>
              <w:t>1.</w:t>
            </w:r>
            <w:r w:rsidRPr="00990AFC">
              <w:rPr>
                <w:rFonts w:ascii="Courier New" w:hAnsi="Courier New" w:cs="Courier New"/>
                <w:i/>
                <w:iCs/>
                <w:kern w:val="0"/>
                <w:sz w:val="18"/>
                <w:szCs w:val="18"/>
              </w:rPr>
              <w:t>预算执行率</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预算执行数</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调整后预算数，预算执行率未达到</w:t>
            </w:r>
            <w:r w:rsidRPr="00990AFC">
              <w:rPr>
                <w:rFonts w:ascii="Courier New" w:hAnsi="Courier New" w:cs="Courier New"/>
                <w:i/>
                <w:iCs/>
                <w:kern w:val="0"/>
                <w:sz w:val="18"/>
                <w:szCs w:val="18"/>
              </w:rPr>
              <w:t>90%</w:t>
            </w:r>
            <w:r w:rsidRPr="00990AFC">
              <w:rPr>
                <w:rFonts w:ascii="Courier New" w:hAnsi="Courier New" w:cs="Courier New"/>
                <w:i/>
                <w:iCs/>
                <w:kern w:val="0"/>
                <w:sz w:val="18"/>
                <w:szCs w:val="18"/>
              </w:rPr>
              <w:t>的需说明原因（</w:t>
            </w:r>
            <w:r w:rsidRPr="00990AFC">
              <w:rPr>
                <w:rFonts w:ascii="Courier New" w:hAnsi="Courier New" w:cs="Courier New"/>
                <w:i/>
                <w:iCs/>
                <w:kern w:val="0"/>
                <w:sz w:val="18"/>
                <w:szCs w:val="18"/>
              </w:rPr>
              <w:t>100</w:t>
            </w:r>
            <w:r w:rsidRPr="00990AFC">
              <w:rPr>
                <w:rFonts w:ascii="Courier New" w:hAnsi="Courier New" w:cs="Courier New"/>
                <w:i/>
                <w:iCs/>
                <w:kern w:val="0"/>
                <w:sz w:val="18"/>
                <w:szCs w:val="18"/>
              </w:rPr>
              <w:t>字以内）</w:t>
            </w:r>
            <w:r w:rsidRPr="00990AFC">
              <w:rPr>
                <w:rFonts w:ascii="Courier New" w:hAnsi="Courier New" w:cs="Courier New"/>
                <w:i/>
                <w:iCs/>
                <w:kern w:val="0"/>
                <w:sz w:val="18"/>
                <w:szCs w:val="18"/>
              </w:rPr>
              <w:t>;2.</w:t>
            </w:r>
            <w:r w:rsidRPr="00990AFC">
              <w:rPr>
                <w:rFonts w:ascii="Courier New" w:hAnsi="Courier New" w:cs="Courier New"/>
                <w:i/>
                <w:iCs/>
                <w:kern w:val="0"/>
                <w:sz w:val="18"/>
                <w:szCs w:val="18"/>
              </w:rPr>
              <w:t>年中发生预算调整的（追加或调减）</w:t>
            </w:r>
            <w:r w:rsidRPr="00990AFC">
              <w:rPr>
                <w:rFonts w:ascii="Courier New" w:hAnsi="Courier New" w:cs="Courier New"/>
                <w:i/>
                <w:iCs/>
                <w:kern w:val="0"/>
                <w:sz w:val="18"/>
                <w:szCs w:val="18"/>
              </w:rPr>
              <w:t>,</w:t>
            </w:r>
            <w:r w:rsidRPr="00990AFC">
              <w:rPr>
                <w:rFonts w:ascii="Courier New" w:hAnsi="Courier New" w:cs="Courier New"/>
                <w:i/>
                <w:iCs/>
                <w:kern w:val="0"/>
                <w:sz w:val="18"/>
                <w:szCs w:val="18"/>
              </w:rPr>
              <w:t>应单独说明理由；</w:t>
            </w:r>
            <w:r w:rsidRPr="00990AFC">
              <w:rPr>
                <w:rFonts w:ascii="Courier New" w:hAnsi="Courier New" w:cs="Courier New"/>
                <w:i/>
                <w:iCs/>
                <w:kern w:val="0"/>
                <w:sz w:val="18"/>
                <w:szCs w:val="18"/>
              </w:rPr>
              <w:t>3.</w:t>
            </w:r>
            <w:r w:rsidRPr="00990AFC">
              <w:rPr>
                <w:rFonts w:ascii="Courier New" w:hAnsi="Courier New" w:cs="Courier New"/>
                <w:i/>
                <w:iCs/>
                <w:kern w:val="0"/>
                <w:sz w:val="18"/>
                <w:szCs w:val="18"/>
              </w:rPr>
              <w:t>其他资金包括：社会投入资金、银行贷款</w:t>
            </w:r>
            <w:r w:rsidRPr="00990AFC">
              <w:rPr>
                <w:rFonts w:ascii="Courier New" w:hAnsi="Courier New" w:cs="Courier New"/>
                <w:i/>
                <w:iCs/>
                <w:kern w:val="0"/>
                <w:sz w:val="18"/>
                <w:szCs w:val="18"/>
              </w:rPr>
              <w:t>.</w:t>
            </w:r>
          </w:p>
        </w:tc>
      </w:tr>
      <w:tr w:rsidR="00990AFC" w:rsidRPr="00990AFC" w:rsidTr="00990AFC">
        <w:trPr>
          <w:trHeight w:val="43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其中：财政资金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358.63</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358.63</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47"/>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财政专户管理资金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02"/>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单位资金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379"/>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其他资金</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256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Courier New" w:hAnsi="Courier New" w:cs="Courier New"/>
                <w:i/>
                <w:iCs/>
                <w:kern w:val="0"/>
                <w:sz w:val="18"/>
                <w:szCs w:val="18"/>
              </w:rPr>
            </w:pPr>
          </w:p>
        </w:tc>
      </w:tr>
      <w:tr w:rsidR="00990AFC" w:rsidRPr="00990AFC" w:rsidTr="00990AFC">
        <w:trPr>
          <w:trHeight w:val="454"/>
        </w:trPr>
        <w:tc>
          <w:tcPr>
            <w:tcW w:w="7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绩效指标（90分）</w:t>
            </w: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一级指标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二级指标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三级指标</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指标性质</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指标值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度量单位</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得分</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未完成原因分析</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保障民警人数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390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397</w:t>
            </w:r>
            <w:r w:rsidR="00673A78">
              <w:rPr>
                <w:rFonts w:ascii="宋体" w:hAnsi="宋体" w:cs="宋体" w:hint="eastAsia"/>
                <w:kern w:val="0"/>
                <w:sz w:val="18"/>
                <w:szCs w:val="18"/>
              </w:rPr>
              <w:t>人</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产出指标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数量指标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保障退休人员数</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人</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119</w:t>
            </w:r>
            <w:r w:rsidR="00673A78">
              <w:rPr>
                <w:rFonts w:ascii="宋体" w:hAnsi="宋体" w:cs="宋体" w:hint="eastAsia"/>
                <w:kern w:val="0"/>
                <w:sz w:val="18"/>
                <w:szCs w:val="18"/>
              </w:rPr>
              <w:t>人</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20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338"/>
        </w:trPr>
        <w:tc>
          <w:tcPr>
            <w:tcW w:w="780" w:type="dxa"/>
            <w:vMerge/>
            <w:tcBorders>
              <w:top w:val="nil"/>
              <w:left w:val="single" w:sz="4" w:space="0" w:color="000000"/>
              <w:bottom w:val="single" w:sz="4" w:space="0" w:color="000000"/>
              <w:right w:val="single" w:sz="4" w:space="0" w:color="000000"/>
            </w:tcBorders>
            <w:vAlign w:val="center"/>
            <w:hideMark/>
          </w:tcPr>
          <w:p w:rsidR="00990AFC" w:rsidRPr="00990AFC" w:rsidRDefault="00990AFC" w:rsidP="00990AFC">
            <w:pPr>
              <w:widowControl/>
              <w:jc w:val="left"/>
              <w:rPr>
                <w:rFonts w:ascii="宋体" w:hAnsi="宋体" w:cs="宋体"/>
                <w:kern w:val="0"/>
                <w:sz w:val="18"/>
                <w:szCs w:val="18"/>
              </w:rPr>
            </w:pPr>
          </w:p>
        </w:tc>
        <w:tc>
          <w:tcPr>
            <w:tcW w:w="1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满意度指标</w:t>
            </w:r>
          </w:p>
        </w:tc>
        <w:tc>
          <w:tcPr>
            <w:tcW w:w="17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服务对象满意度指标</w:t>
            </w:r>
          </w:p>
        </w:tc>
        <w:tc>
          <w:tcPr>
            <w:tcW w:w="22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满意度</w:t>
            </w:r>
          </w:p>
        </w:tc>
        <w:tc>
          <w:tcPr>
            <w:tcW w:w="64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68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w:t>
            </w:r>
          </w:p>
        </w:tc>
        <w:tc>
          <w:tcPr>
            <w:tcW w:w="110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r w:rsidR="00673A78">
              <w:rPr>
                <w:rFonts w:ascii="宋体" w:hAnsi="宋体" w:cs="宋体" w:hint="eastAsia"/>
                <w:kern w:val="0"/>
                <w:sz w:val="18"/>
                <w:szCs w:val="18"/>
              </w:rPr>
              <w:t>%</w:t>
            </w:r>
            <w:bookmarkStart w:id="71" w:name="_GoBack"/>
            <w:bookmarkEnd w:id="71"/>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50</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微软雅黑" w:eastAsia="微软雅黑" w:hAnsi="微软雅黑" w:cs="宋体"/>
                <w:i/>
                <w:iCs/>
                <w:kern w:val="0"/>
                <w:sz w:val="16"/>
                <w:szCs w:val="16"/>
              </w:rPr>
            </w:pPr>
            <w:r w:rsidRPr="00990AFC">
              <w:rPr>
                <w:rFonts w:ascii="微软雅黑" w:eastAsia="微软雅黑" w:hAnsi="微软雅黑" w:cs="宋体" w:hint="eastAsia"/>
                <w:i/>
                <w:iCs/>
                <w:kern w:val="0"/>
                <w:sz w:val="16"/>
                <w:szCs w:val="16"/>
              </w:rPr>
              <w:t xml:space="preserve">　</w:t>
            </w:r>
          </w:p>
        </w:tc>
      </w:tr>
      <w:tr w:rsidR="00990AFC" w:rsidRPr="00990AFC" w:rsidTr="00990AFC">
        <w:trPr>
          <w:trHeight w:val="285"/>
        </w:trPr>
        <w:tc>
          <w:tcPr>
            <w:tcW w:w="104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c>
          <w:tcPr>
            <w:tcW w:w="2560" w:type="dxa"/>
            <w:tcBorders>
              <w:top w:val="nil"/>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 xml:space="preserve">　</w:t>
            </w:r>
          </w:p>
        </w:tc>
      </w:tr>
      <w:tr w:rsidR="00990AFC" w:rsidRPr="00990AFC" w:rsidTr="00990AFC">
        <w:trPr>
          <w:trHeight w:val="540"/>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评价结论</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自评得分100分</w:t>
            </w:r>
          </w:p>
        </w:tc>
      </w:tr>
      <w:tr w:rsidR="00990AFC" w:rsidRPr="00990AFC" w:rsidTr="00990AFC">
        <w:trPr>
          <w:trHeight w:val="46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存在问题</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525"/>
        </w:trPr>
        <w:tc>
          <w:tcPr>
            <w:tcW w:w="780" w:type="dxa"/>
            <w:tcBorders>
              <w:top w:val="nil"/>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center"/>
              <w:rPr>
                <w:rFonts w:ascii="宋体" w:hAnsi="宋体" w:cs="宋体"/>
                <w:kern w:val="0"/>
                <w:sz w:val="18"/>
                <w:szCs w:val="18"/>
              </w:rPr>
            </w:pPr>
            <w:r w:rsidRPr="00990AFC">
              <w:rPr>
                <w:rFonts w:ascii="宋体" w:hAnsi="宋体" w:cs="宋体" w:hint="eastAsia"/>
                <w:kern w:val="0"/>
                <w:sz w:val="18"/>
                <w:szCs w:val="18"/>
              </w:rPr>
              <w:t>改进措施</w:t>
            </w:r>
          </w:p>
        </w:tc>
        <w:tc>
          <w:tcPr>
            <w:tcW w:w="13160" w:type="dxa"/>
            <w:gridSpan w:val="10"/>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宋体" w:hAnsi="宋体" w:cs="宋体"/>
                <w:kern w:val="0"/>
                <w:sz w:val="18"/>
                <w:szCs w:val="18"/>
              </w:rPr>
            </w:pPr>
            <w:r w:rsidRPr="00990AFC">
              <w:rPr>
                <w:rFonts w:ascii="宋体" w:hAnsi="宋体" w:cs="宋体" w:hint="eastAsia"/>
                <w:kern w:val="0"/>
                <w:sz w:val="18"/>
                <w:szCs w:val="18"/>
              </w:rPr>
              <w:t>无</w:t>
            </w:r>
          </w:p>
        </w:tc>
      </w:tr>
      <w:tr w:rsidR="00990AFC" w:rsidRPr="00990AFC" w:rsidTr="00990AFC">
        <w:trPr>
          <w:trHeight w:val="285"/>
        </w:trPr>
        <w:tc>
          <w:tcPr>
            <w:tcW w:w="71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项目负责人：陈珊</w:t>
            </w:r>
          </w:p>
        </w:tc>
        <w:tc>
          <w:tcPr>
            <w:tcW w:w="6840" w:type="dxa"/>
            <w:gridSpan w:val="6"/>
            <w:tcBorders>
              <w:top w:val="single" w:sz="4" w:space="0" w:color="000000"/>
              <w:left w:val="nil"/>
              <w:bottom w:val="single" w:sz="4" w:space="0" w:color="000000"/>
              <w:right w:val="single" w:sz="4" w:space="0" w:color="000000"/>
            </w:tcBorders>
            <w:shd w:val="clear" w:color="auto" w:fill="auto"/>
            <w:vAlign w:val="center"/>
            <w:hideMark/>
          </w:tcPr>
          <w:p w:rsidR="00990AFC" w:rsidRPr="00990AFC" w:rsidRDefault="00990AFC" w:rsidP="00990AFC">
            <w:pPr>
              <w:widowControl/>
              <w:jc w:val="left"/>
              <w:rPr>
                <w:rFonts w:ascii="Courier New" w:hAnsi="Courier New" w:cs="Courier New"/>
                <w:kern w:val="0"/>
                <w:sz w:val="18"/>
                <w:szCs w:val="18"/>
              </w:rPr>
            </w:pPr>
            <w:r w:rsidRPr="00990AFC">
              <w:rPr>
                <w:rFonts w:ascii="Courier New" w:hAnsi="Courier New" w:cs="Courier New"/>
                <w:kern w:val="0"/>
                <w:sz w:val="18"/>
                <w:szCs w:val="18"/>
              </w:rPr>
              <w:t>财务负责人：李彬</w:t>
            </w:r>
          </w:p>
        </w:tc>
      </w:tr>
    </w:tbl>
    <w:p w:rsidR="00990AFC" w:rsidRDefault="00990AFC" w:rsidP="000A0EF6">
      <w:pPr>
        <w:pStyle w:val="a7"/>
        <w:spacing w:line="560" w:lineRule="exact"/>
        <w:ind w:firstLineChars="0" w:firstLine="0"/>
      </w:pPr>
    </w:p>
    <w:p w:rsidR="00990AFC" w:rsidRDefault="00990AFC" w:rsidP="000A0EF6">
      <w:pPr>
        <w:pStyle w:val="a7"/>
        <w:spacing w:line="560" w:lineRule="exact"/>
        <w:ind w:firstLineChars="0" w:firstLine="0"/>
        <w:sectPr w:rsidR="00990AFC" w:rsidSect="00990AFC">
          <w:pgSz w:w="16838" w:h="11906" w:orient="landscape"/>
          <w:pgMar w:top="1797" w:right="1440" w:bottom="1797" w:left="1440" w:header="851" w:footer="992" w:gutter="0"/>
          <w:cols w:space="425"/>
          <w:titlePg/>
          <w:docGrid w:type="linesAndChars" w:linePitch="312"/>
        </w:sectPr>
      </w:pPr>
    </w:p>
    <w:p w:rsidR="00990AFC" w:rsidRDefault="00990AFC" w:rsidP="00990AFC">
      <w:pPr>
        <w:spacing w:line="600" w:lineRule="exact"/>
        <w:jc w:val="center"/>
        <w:outlineLvl w:val="0"/>
        <w:rPr>
          <w:rFonts w:ascii="仿宋" w:eastAsia="仿宋" w:hAnsi="仿宋"/>
        </w:rPr>
      </w:pPr>
      <w:bookmarkStart w:id="72" w:name="_Toc32626"/>
      <w:r>
        <w:rPr>
          <w:rFonts w:ascii="黑体" w:eastAsia="黑体" w:hAnsi="黑体" w:hint="eastAsia"/>
          <w:sz w:val="44"/>
          <w:szCs w:val="44"/>
        </w:rPr>
        <w:t>第</w:t>
      </w:r>
      <w:r>
        <w:rPr>
          <w:rStyle w:val="1Char"/>
          <w:rFonts w:ascii="黑体" w:eastAsia="黑体" w:hAnsi="黑体" w:hint="eastAsia"/>
        </w:rPr>
        <w:t>五部分 附表</w:t>
      </w:r>
      <w:bookmarkStart w:id="73" w:name="_Toc15396619"/>
      <w:bookmarkEnd w:id="72"/>
    </w:p>
    <w:p w:rsidR="00990AFC" w:rsidRDefault="00990AFC" w:rsidP="00990AFC">
      <w:pPr>
        <w:pStyle w:val="2"/>
        <w:rPr>
          <w:rFonts w:ascii="仿宋" w:eastAsia="仿宋" w:hAnsi="仿宋"/>
        </w:rPr>
      </w:pPr>
      <w:bookmarkStart w:id="74" w:name="_Toc24040"/>
      <w:r>
        <w:rPr>
          <w:rFonts w:ascii="仿宋" w:eastAsia="仿宋" w:hAnsi="仿宋" w:hint="eastAsia"/>
          <w:b w:val="0"/>
        </w:rPr>
        <w:t>一、收</w:t>
      </w:r>
      <w:r>
        <w:rPr>
          <w:rStyle w:val="2Char"/>
          <w:rFonts w:ascii="仿宋" w:eastAsia="仿宋" w:hAnsi="仿宋" w:hint="eastAsia"/>
        </w:rPr>
        <w:t>入支出决算总表</w:t>
      </w:r>
      <w:bookmarkEnd w:id="73"/>
      <w:bookmarkEnd w:id="74"/>
    </w:p>
    <w:p w:rsidR="00990AFC" w:rsidRDefault="00990AFC" w:rsidP="00990AFC">
      <w:pPr>
        <w:pStyle w:val="2"/>
        <w:rPr>
          <w:rFonts w:ascii="仿宋" w:eastAsia="仿宋" w:hAnsi="仿宋"/>
        </w:rPr>
      </w:pPr>
      <w:bookmarkStart w:id="75" w:name="_Toc20674"/>
      <w:bookmarkStart w:id="76" w:name="_Toc15396620"/>
      <w:r>
        <w:rPr>
          <w:rFonts w:ascii="仿宋" w:eastAsia="仿宋" w:hAnsi="仿宋" w:hint="eastAsia"/>
          <w:b w:val="0"/>
        </w:rPr>
        <w:t>二、收</w:t>
      </w:r>
      <w:r>
        <w:rPr>
          <w:rStyle w:val="2Char"/>
          <w:rFonts w:ascii="仿宋" w:eastAsia="仿宋" w:hAnsi="仿宋" w:hint="eastAsia"/>
        </w:rPr>
        <w:t>入决算表</w:t>
      </w:r>
      <w:bookmarkEnd w:id="75"/>
      <w:bookmarkEnd w:id="76"/>
    </w:p>
    <w:p w:rsidR="00990AFC" w:rsidRDefault="00990AFC" w:rsidP="00990AFC">
      <w:pPr>
        <w:pStyle w:val="2"/>
        <w:rPr>
          <w:rFonts w:ascii="仿宋" w:eastAsia="仿宋" w:hAnsi="仿宋"/>
        </w:rPr>
      </w:pPr>
      <w:bookmarkStart w:id="77" w:name="_Toc30449"/>
      <w:bookmarkStart w:id="78"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77"/>
      <w:bookmarkEnd w:id="78"/>
    </w:p>
    <w:p w:rsidR="00990AFC" w:rsidRDefault="00990AFC" w:rsidP="00990AFC">
      <w:pPr>
        <w:pStyle w:val="2"/>
        <w:rPr>
          <w:rFonts w:ascii="仿宋" w:eastAsia="仿宋" w:hAnsi="仿宋"/>
          <w:b w:val="0"/>
        </w:rPr>
      </w:pPr>
      <w:bookmarkStart w:id="79" w:name="_Toc19423"/>
      <w:bookmarkStart w:id="80" w:name="_Toc1539662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79"/>
      <w:bookmarkEnd w:id="80"/>
    </w:p>
    <w:p w:rsidR="00990AFC" w:rsidRDefault="00990AFC" w:rsidP="00990AFC">
      <w:pPr>
        <w:pStyle w:val="2"/>
        <w:rPr>
          <w:rStyle w:val="2Char"/>
          <w:rFonts w:ascii="仿宋" w:eastAsia="仿宋" w:hAnsi="仿宋"/>
        </w:rPr>
      </w:pPr>
      <w:bookmarkStart w:id="81" w:name="_Toc27547"/>
      <w:bookmarkStart w:id="82"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83" w:name="_Toc15396624"/>
      <w:bookmarkEnd w:id="81"/>
      <w:bookmarkEnd w:id="82"/>
    </w:p>
    <w:p w:rsidR="00990AFC" w:rsidRDefault="00990AFC" w:rsidP="00990AFC">
      <w:pPr>
        <w:pStyle w:val="2"/>
        <w:rPr>
          <w:rFonts w:ascii="仿宋" w:eastAsia="仿宋" w:hAnsi="仿宋"/>
        </w:rPr>
      </w:pPr>
      <w:bookmarkStart w:id="84" w:name="_Toc4610"/>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83"/>
      <w:bookmarkEnd w:id="84"/>
    </w:p>
    <w:p w:rsidR="00990AFC" w:rsidRDefault="00990AFC" w:rsidP="00990AFC">
      <w:pPr>
        <w:pStyle w:val="2"/>
        <w:rPr>
          <w:rFonts w:ascii="仿宋" w:eastAsia="仿宋" w:hAnsi="仿宋"/>
        </w:rPr>
      </w:pPr>
      <w:bookmarkStart w:id="85" w:name="_Toc10857"/>
      <w:bookmarkStart w:id="86"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85"/>
      <w:bookmarkEnd w:id="86"/>
    </w:p>
    <w:p w:rsidR="00990AFC" w:rsidRDefault="00990AFC" w:rsidP="00990AFC">
      <w:pPr>
        <w:pStyle w:val="2"/>
        <w:rPr>
          <w:rFonts w:ascii="仿宋" w:eastAsia="仿宋" w:hAnsi="仿宋"/>
        </w:rPr>
      </w:pPr>
      <w:bookmarkStart w:id="87" w:name="_Toc10514"/>
      <w:bookmarkStart w:id="88" w:name="_Toc1539662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87"/>
      <w:bookmarkEnd w:id="88"/>
    </w:p>
    <w:p w:rsidR="00990AFC" w:rsidRDefault="00990AFC" w:rsidP="00990AFC">
      <w:pPr>
        <w:pStyle w:val="2"/>
        <w:rPr>
          <w:rFonts w:ascii="仿宋" w:eastAsia="仿宋" w:hAnsi="仿宋"/>
        </w:rPr>
      </w:pPr>
      <w:bookmarkStart w:id="89" w:name="_Toc21867"/>
      <w:bookmarkStart w:id="90"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89"/>
      <w:bookmarkEnd w:id="90"/>
    </w:p>
    <w:p w:rsidR="00990AFC" w:rsidRDefault="00990AFC" w:rsidP="00990AFC">
      <w:pPr>
        <w:pStyle w:val="2"/>
        <w:rPr>
          <w:rFonts w:ascii="仿宋" w:eastAsia="仿宋" w:hAnsi="仿宋"/>
        </w:rPr>
      </w:pPr>
      <w:bookmarkStart w:id="91" w:name="_Toc15396628"/>
      <w:bookmarkStart w:id="92" w:name="_Toc6041"/>
      <w:r>
        <w:rPr>
          <w:rStyle w:val="2Char"/>
          <w:rFonts w:ascii="仿宋" w:eastAsia="仿宋" w:hAnsi="仿宋" w:hint="eastAsia"/>
        </w:rPr>
        <w:t>十、</w:t>
      </w:r>
      <w:bookmarkEnd w:id="91"/>
      <w:r>
        <w:rPr>
          <w:rFonts w:ascii="仿宋" w:eastAsia="仿宋" w:hAnsi="仿宋" w:hint="eastAsia"/>
          <w:b w:val="0"/>
        </w:rPr>
        <w:t>政</w:t>
      </w:r>
      <w:r>
        <w:rPr>
          <w:rStyle w:val="2Char"/>
          <w:rFonts w:ascii="仿宋" w:eastAsia="仿宋" w:hAnsi="仿宋" w:hint="eastAsia"/>
        </w:rPr>
        <w:t>府性基金预算财政拨款收入支出决算表</w:t>
      </w:r>
      <w:bookmarkEnd w:id="92"/>
    </w:p>
    <w:p w:rsidR="00990AFC" w:rsidRDefault="00990AFC" w:rsidP="00990AFC">
      <w:pPr>
        <w:pStyle w:val="2"/>
        <w:rPr>
          <w:rFonts w:ascii="仿宋" w:eastAsia="仿宋" w:hAnsi="仿宋"/>
        </w:rPr>
      </w:pPr>
      <w:bookmarkStart w:id="93" w:name="_Toc15396629"/>
      <w:bookmarkStart w:id="94" w:name="_Toc31442"/>
      <w:r>
        <w:rPr>
          <w:rStyle w:val="2Char"/>
          <w:rFonts w:ascii="仿宋" w:eastAsia="仿宋" w:hAnsi="仿宋" w:hint="eastAsia"/>
        </w:rPr>
        <w:t>十一、</w:t>
      </w:r>
      <w:bookmarkEnd w:id="93"/>
      <w:r>
        <w:rPr>
          <w:rFonts w:ascii="仿宋" w:eastAsia="仿宋" w:hAnsi="仿宋" w:hint="eastAsia"/>
          <w:b w:val="0"/>
        </w:rPr>
        <w:t>国</w:t>
      </w:r>
      <w:r>
        <w:rPr>
          <w:rStyle w:val="2Char"/>
          <w:rFonts w:ascii="仿宋" w:eastAsia="仿宋" w:hAnsi="仿宋" w:hint="eastAsia"/>
        </w:rPr>
        <w:t>有资本经营预算财政拨款收入支出决算表</w:t>
      </w:r>
      <w:bookmarkEnd w:id="94"/>
    </w:p>
    <w:p w:rsidR="00990AFC" w:rsidRDefault="00990AFC" w:rsidP="00990AFC">
      <w:pPr>
        <w:pStyle w:val="2"/>
        <w:rPr>
          <w:rFonts w:ascii="仿宋" w:eastAsia="仿宋" w:hAnsi="仿宋"/>
        </w:rPr>
      </w:pPr>
      <w:bookmarkStart w:id="95" w:name="_Toc15396630"/>
      <w:bookmarkStart w:id="96" w:name="_Toc5512"/>
      <w:r>
        <w:rPr>
          <w:rStyle w:val="2Char"/>
          <w:rFonts w:ascii="仿宋" w:eastAsia="仿宋" w:hAnsi="仿宋" w:hint="eastAsia"/>
        </w:rPr>
        <w:t>十二、</w:t>
      </w:r>
      <w:bookmarkEnd w:id="95"/>
      <w:r>
        <w:rPr>
          <w:rStyle w:val="2Char"/>
          <w:rFonts w:ascii="仿宋" w:eastAsia="仿宋" w:hAnsi="仿宋" w:hint="eastAsia"/>
        </w:rPr>
        <w:t>国有资本经营预算财政拨款支出决算表</w:t>
      </w:r>
      <w:bookmarkEnd w:id="96"/>
    </w:p>
    <w:p w:rsidR="00990AFC" w:rsidRDefault="00990AFC" w:rsidP="00990AFC">
      <w:pPr>
        <w:pStyle w:val="2"/>
        <w:rPr>
          <w:rFonts w:eastAsia="仿宋"/>
        </w:rPr>
      </w:pPr>
      <w:bookmarkStart w:id="97" w:name="_Toc15396631"/>
      <w:bookmarkStart w:id="98" w:name="_Toc29488"/>
      <w:r>
        <w:rPr>
          <w:rStyle w:val="2Char"/>
          <w:rFonts w:ascii="仿宋" w:eastAsia="仿宋" w:hAnsi="仿宋" w:hint="eastAsia"/>
        </w:rPr>
        <w:t>十三、</w:t>
      </w:r>
      <w:bookmarkEnd w:id="97"/>
      <w:r>
        <w:rPr>
          <w:rStyle w:val="2Char"/>
          <w:rFonts w:ascii="仿宋" w:eastAsia="仿宋" w:hAnsi="仿宋" w:hint="eastAsia"/>
        </w:rPr>
        <w:t>财政拨款“三公”经费支出决算表</w:t>
      </w:r>
      <w:bookmarkEnd w:id="98"/>
    </w:p>
    <w:p w:rsidR="00990AFC" w:rsidRPr="00990AFC" w:rsidRDefault="00990AFC" w:rsidP="000A0EF6">
      <w:pPr>
        <w:pStyle w:val="a7"/>
        <w:spacing w:line="560" w:lineRule="exact"/>
        <w:ind w:firstLineChars="0" w:firstLine="0"/>
      </w:pPr>
    </w:p>
    <w:sectPr w:rsidR="00990AFC" w:rsidRPr="00990AFC" w:rsidSect="00EF580C">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7C2" w:rsidRDefault="007307C2">
      <w:r>
        <w:separator/>
      </w:r>
    </w:p>
  </w:endnote>
  <w:endnote w:type="continuationSeparator" w:id="1">
    <w:p w:rsidR="007307C2" w:rsidRDefault="007307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黑体">
    <w:charset w:val="86"/>
    <w:family w:val="script"/>
    <w:pitch w:val="fixed"/>
    <w:sig w:usb0="00000001" w:usb1="080E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 w:name="方正楷体">
    <w:charset w:val="86"/>
    <w:family w:val="script"/>
    <w:pitch w:val="fixed"/>
    <w:sig w:usb0="00000001" w:usb1="080E0000" w:usb2="00000010" w:usb3="00000000" w:csb0="00040000" w:csb1="00000000"/>
  </w:font>
  <w:font w:name="方正仿宋">
    <w:altName w:val="Arial Unicode MS"/>
    <w:charset w:val="86"/>
    <w:family w:val="script"/>
    <w:pitch w:val="fixed"/>
    <w:sig w:usb0="00000000" w:usb1="080E0000" w:usb2="00000010" w:usb3="00000000" w:csb0="00040000" w:csb1="00000000"/>
  </w:font>
  <w:font w:name="方正书宋">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35" w:rsidRDefault="000D073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599" w:rsidRDefault="006B3599">
    <w:pPr>
      <w:pStyle w:val="aa"/>
      <w:jc w:val="center"/>
    </w:pPr>
  </w:p>
  <w:p w:rsidR="006B3599" w:rsidRDefault="006B3599">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599" w:rsidRDefault="006B3599">
    <w:pPr>
      <w:pStyle w:val="a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599" w:rsidRDefault="006B3599" w:rsidP="00A9031B">
    <w:pPr>
      <w:pStyle w:val="aa"/>
      <w:ind w:firstLine="64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599" w:rsidRDefault="00EF580C">
    <w:pPr>
      <w:pStyle w:val="aa"/>
    </w:pPr>
    <w:sdt>
      <w:sdtPr>
        <w:id w:val="-947008475"/>
        <w:docPartObj>
          <w:docPartGallery w:val="Page Numbers (Bottom of Page)"/>
          <w:docPartUnique/>
        </w:docPartObj>
      </w:sdtPr>
      <w:sdtContent>
        <w:r>
          <w:fldChar w:fldCharType="begin"/>
        </w:r>
        <w:r w:rsidR="006B3599">
          <w:instrText>PAGE   \* MERGEFORMAT</w:instrText>
        </w:r>
        <w:r>
          <w:fldChar w:fldCharType="separate"/>
        </w:r>
        <w:r w:rsidR="000D0735" w:rsidRPr="000D0735">
          <w:rPr>
            <w:noProof/>
            <w:lang w:val="zh-CN"/>
          </w:rPr>
          <w:t>14</w:t>
        </w:r>
        <w:r>
          <w:fldChar w:fldCharType="end"/>
        </w:r>
      </w:sdtContent>
    </w:sdt>
  </w:p>
  <w:p w:rsidR="006B3599" w:rsidRDefault="006B3599" w:rsidP="00A9031B">
    <w:pPr>
      <w:pStyle w:val="aa"/>
      <w:ind w:firstLine="640"/>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599" w:rsidRDefault="00EF580C" w:rsidP="00571AFB">
    <w:pPr>
      <w:pStyle w:val="aa"/>
      <w:framePr w:wrap="around" w:vAnchor="text" w:hAnchor="margin" w:xAlign="center" w:y="1"/>
      <w:rPr>
        <w:rStyle w:val="ab"/>
      </w:rPr>
    </w:pPr>
    <w:r>
      <w:rPr>
        <w:rStyle w:val="ab"/>
      </w:rPr>
      <w:fldChar w:fldCharType="begin"/>
    </w:r>
    <w:r w:rsidR="006B3599">
      <w:rPr>
        <w:rStyle w:val="ab"/>
      </w:rPr>
      <w:instrText xml:space="preserve">PAGE  </w:instrText>
    </w:r>
    <w:r>
      <w:rPr>
        <w:rStyle w:val="ab"/>
      </w:rPr>
      <w:fldChar w:fldCharType="end"/>
    </w:r>
  </w:p>
  <w:p w:rsidR="006B3599" w:rsidRDefault="006B3599">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599" w:rsidRPr="00FC4B22" w:rsidRDefault="006B3599" w:rsidP="00571AFB">
    <w:pPr>
      <w:pStyle w:val="aa"/>
      <w:framePr w:wrap="around" w:vAnchor="text" w:hAnchor="margin" w:xAlign="center" w:y="1"/>
      <w:rPr>
        <w:rStyle w:val="ab"/>
        <w:sz w:val="24"/>
        <w:szCs w:val="24"/>
      </w:rPr>
    </w:pPr>
    <w:r>
      <w:rPr>
        <w:rStyle w:val="ab"/>
        <w:rFonts w:hint="eastAsia"/>
        <w:sz w:val="24"/>
        <w:szCs w:val="24"/>
      </w:rPr>
      <w:t xml:space="preserve">—　</w:t>
    </w:r>
    <w:r w:rsidR="00EF580C" w:rsidRPr="00FC4B22">
      <w:rPr>
        <w:rStyle w:val="ab"/>
        <w:sz w:val="24"/>
        <w:szCs w:val="24"/>
      </w:rPr>
      <w:fldChar w:fldCharType="begin"/>
    </w:r>
    <w:r w:rsidRPr="00FC4B22">
      <w:rPr>
        <w:rStyle w:val="ab"/>
        <w:sz w:val="24"/>
        <w:szCs w:val="24"/>
      </w:rPr>
      <w:instrText xml:space="preserve">PAGE  </w:instrText>
    </w:r>
    <w:r w:rsidR="00EF580C" w:rsidRPr="00FC4B22">
      <w:rPr>
        <w:rStyle w:val="ab"/>
        <w:sz w:val="24"/>
        <w:szCs w:val="24"/>
      </w:rPr>
      <w:fldChar w:fldCharType="separate"/>
    </w:r>
    <w:r w:rsidR="000D0735">
      <w:rPr>
        <w:rStyle w:val="ab"/>
        <w:noProof/>
        <w:sz w:val="24"/>
        <w:szCs w:val="24"/>
      </w:rPr>
      <w:t>17</w:t>
    </w:r>
    <w:r w:rsidR="00EF580C" w:rsidRPr="00FC4B22">
      <w:rPr>
        <w:rStyle w:val="ab"/>
        <w:sz w:val="24"/>
        <w:szCs w:val="24"/>
      </w:rPr>
      <w:fldChar w:fldCharType="end"/>
    </w:r>
    <w:r>
      <w:rPr>
        <w:rStyle w:val="ab"/>
        <w:rFonts w:hint="eastAsia"/>
        <w:sz w:val="24"/>
        <w:szCs w:val="24"/>
      </w:rPr>
      <w:t xml:space="preserve">　—</w:t>
    </w:r>
  </w:p>
  <w:p w:rsidR="006B3599" w:rsidRDefault="006B359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7C2" w:rsidRDefault="007307C2">
      <w:r>
        <w:separator/>
      </w:r>
    </w:p>
  </w:footnote>
  <w:footnote w:type="continuationSeparator" w:id="1">
    <w:p w:rsidR="007307C2" w:rsidRDefault="007307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35" w:rsidRDefault="000D0735">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599" w:rsidRDefault="006B3599">
    <w:pPr>
      <w:pStyle w:val="ac"/>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35" w:rsidRDefault="000D073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2316828C"/>
    <w:lvl w:ilvl="0">
      <w:start w:val="3"/>
      <w:numFmt w:val="chineseCounting"/>
      <w:suff w:val="space"/>
      <w:lvlText w:val="第%1部分"/>
      <w:lvlJc w:val="left"/>
      <w:rPr>
        <w:rFonts w:ascii="黑体" w:eastAsia="黑体" w:hAnsi="黑体" w:cs="黑体" w:hint="eastAsia"/>
        <w:sz w:val="44"/>
        <w:szCs w:val="44"/>
        <w:lang w:val="en-US"/>
      </w:rPr>
    </w:lvl>
  </w:abstractNum>
  <w:abstractNum w:abstractNumId="2">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linkStyles/>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52D5"/>
    <w:rsid w:val="00051861"/>
    <w:rsid w:val="000A0EF6"/>
    <w:rsid w:val="000D0735"/>
    <w:rsid w:val="001218F9"/>
    <w:rsid w:val="00325A7E"/>
    <w:rsid w:val="003B6512"/>
    <w:rsid w:val="003F2A0A"/>
    <w:rsid w:val="00430EB1"/>
    <w:rsid w:val="00435895"/>
    <w:rsid w:val="00521C2B"/>
    <w:rsid w:val="00571AFB"/>
    <w:rsid w:val="00647B4E"/>
    <w:rsid w:val="006552D5"/>
    <w:rsid w:val="00673A78"/>
    <w:rsid w:val="006B3599"/>
    <w:rsid w:val="007217F8"/>
    <w:rsid w:val="007307C2"/>
    <w:rsid w:val="008013B6"/>
    <w:rsid w:val="0087087E"/>
    <w:rsid w:val="008D1842"/>
    <w:rsid w:val="00901D07"/>
    <w:rsid w:val="00990AFC"/>
    <w:rsid w:val="009A70D2"/>
    <w:rsid w:val="00A9031B"/>
    <w:rsid w:val="00AD12FE"/>
    <w:rsid w:val="00C1400E"/>
    <w:rsid w:val="00C52138"/>
    <w:rsid w:val="00CA0E30"/>
    <w:rsid w:val="00D0621A"/>
    <w:rsid w:val="00D20A2A"/>
    <w:rsid w:val="00DC5A3D"/>
    <w:rsid w:val="00DF1363"/>
    <w:rsid w:val="00EF580C"/>
    <w:rsid w:val="00F02B2C"/>
    <w:rsid w:val="00F14723"/>
    <w:rsid w:val="00FC4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qFormat="1"/>
    <w:lsdException w:name="header" w:qFormat="1"/>
    <w:lsdException w:name="footer" w:qFormat="1"/>
    <w:lsdException w:name="caption" w:semiHidden="1" w:unhideWhenUsed="1" w:qFormat="1"/>
    <w:lsdException w:name="Title" w:qFormat="1"/>
    <w:lsdException w:name="Default Paragraph Font" w:uiPriority="1"/>
    <w:lsdException w:name="Body Text" w:uiPriority="99" w:qFormat="1"/>
    <w:lsdException w:name="Subtitle" w:qFormat="1"/>
    <w:lsdException w:name="Hyperlink" w:uiPriority="99"/>
    <w:lsdException w:name="FollowedHyperlink" w:uiPriority="99"/>
    <w:lsdException w:name="Strong" w:uiPriority="99"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0735"/>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673A7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73A7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73A78"/>
    <w:pPr>
      <w:keepNext/>
      <w:keepLines/>
      <w:spacing w:before="260" w:after="260" w:line="416" w:lineRule="auto"/>
      <w:outlineLvl w:val="2"/>
    </w:pPr>
    <w:rPr>
      <w:b/>
      <w:bCs/>
      <w:sz w:val="32"/>
      <w:szCs w:val="32"/>
    </w:rPr>
  </w:style>
  <w:style w:type="character" w:default="1" w:styleId="a0">
    <w:name w:val="Default Paragraph Font"/>
    <w:uiPriority w:val="1"/>
    <w:semiHidden/>
    <w:unhideWhenUsed/>
    <w:rsid w:val="000D0735"/>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0D0735"/>
  </w:style>
  <w:style w:type="paragraph" w:styleId="a3">
    <w:name w:val="Body Text"/>
    <w:basedOn w:val="a"/>
    <w:link w:val="Char"/>
    <w:uiPriority w:val="99"/>
    <w:qFormat/>
    <w:rsid w:val="00A9031B"/>
    <w:pPr>
      <w:spacing w:beforeLines="30"/>
    </w:pPr>
    <w:rPr>
      <w:rFonts w:ascii="仿宋_GB2312" w:eastAsia="仿宋_GB2312"/>
      <w:kern w:val="0"/>
      <w:sz w:val="30"/>
    </w:rPr>
  </w:style>
  <w:style w:type="character" w:customStyle="1" w:styleId="Char">
    <w:name w:val="正文文本 Char"/>
    <w:basedOn w:val="a0"/>
    <w:link w:val="a3"/>
    <w:uiPriority w:val="99"/>
    <w:qFormat/>
    <w:rsid w:val="00A9031B"/>
    <w:rPr>
      <w:rFonts w:ascii="仿宋_GB2312" w:eastAsia="仿宋_GB2312"/>
      <w:sz w:val="30"/>
      <w:szCs w:val="24"/>
    </w:rPr>
  </w:style>
  <w:style w:type="character" w:customStyle="1" w:styleId="1Char">
    <w:name w:val="标题 1 Char"/>
    <w:basedOn w:val="a0"/>
    <w:link w:val="1"/>
    <w:qFormat/>
    <w:rsid w:val="00A9031B"/>
    <w:rPr>
      <w:b/>
      <w:bCs/>
      <w:kern w:val="44"/>
      <w:sz w:val="44"/>
      <w:szCs w:val="44"/>
    </w:rPr>
  </w:style>
  <w:style w:type="character" w:customStyle="1" w:styleId="2Char">
    <w:name w:val="标题 2 Char"/>
    <w:basedOn w:val="a0"/>
    <w:link w:val="2"/>
    <w:qFormat/>
    <w:rsid w:val="00A9031B"/>
    <w:rPr>
      <w:rFonts w:ascii="Arial" w:eastAsia="黑体" w:hAnsi="Arial"/>
      <w:b/>
      <w:bCs/>
      <w:kern w:val="2"/>
      <w:sz w:val="32"/>
      <w:szCs w:val="32"/>
    </w:rPr>
  </w:style>
  <w:style w:type="paragraph" w:customStyle="1" w:styleId="a4">
    <w:name w:val="大标题"/>
    <w:basedOn w:val="1"/>
    <w:rsid w:val="00673A78"/>
    <w:pPr>
      <w:keepNext w:val="0"/>
      <w:keepLines w:val="0"/>
      <w:snapToGrid w:val="0"/>
      <w:spacing w:before="0" w:after="0" w:line="240" w:lineRule="auto"/>
      <w:jc w:val="center"/>
    </w:pPr>
    <w:rPr>
      <w:rFonts w:ascii="方正黑体" w:eastAsia="方正小标宋简体"/>
      <w:b w:val="0"/>
      <w:kern w:val="2"/>
      <w:szCs w:val="28"/>
    </w:rPr>
  </w:style>
  <w:style w:type="paragraph" w:customStyle="1" w:styleId="a5">
    <w:name w:val="一级标题"/>
    <w:basedOn w:val="2"/>
    <w:rsid w:val="00673A78"/>
    <w:pPr>
      <w:keepNext w:val="0"/>
      <w:keepLines w:val="0"/>
      <w:snapToGrid w:val="0"/>
      <w:spacing w:before="0" w:after="0" w:line="319" w:lineRule="auto"/>
      <w:ind w:firstLineChars="200" w:firstLine="200"/>
    </w:pPr>
    <w:rPr>
      <w:rFonts w:eastAsia="方正黑体"/>
      <w:b w:val="0"/>
    </w:rPr>
  </w:style>
  <w:style w:type="paragraph" w:customStyle="1" w:styleId="a6">
    <w:name w:val="二级标题"/>
    <w:basedOn w:val="3"/>
    <w:rsid w:val="00673A78"/>
    <w:pPr>
      <w:keepNext w:val="0"/>
      <w:keepLines w:val="0"/>
      <w:snapToGrid w:val="0"/>
      <w:spacing w:before="0" w:after="0" w:line="319" w:lineRule="auto"/>
      <w:ind w:firstLineChars="200" w:firstLine="200"/>
    </w:pPr>
    <w:rPr>
      <w:rFonts w:eastAsia="方正楷体"/>
      <w:b w:val="0"/>
    </w:rPr>
  </w:style>
  <w:style w:type="paragraph" w:customStyle="1" w:styleId="a7">
    <w:name w:val="方正正文"/>
    <w:basedOn w:val="a"/>
    <w:rsid w:val="00673A78"/>
    <w:pPr>
      <w:snapToGrid w:val="0"/>
      <w:spacing w:line="319" w:lineRule="auto"/>
      <w:ind w:firstLineChars="200" w:firstLine="200"/>
    </w:pPr>
    <w:rPr>
      <w:rFonts w:eastAsia="方正仿宋"/>
      <w:sz w:val="32"/>
    </w:rPr>
  </w:style>
  <w:style w:type="paragraph" w:customStyle="1" w:styleId="a8">
    <w:name w:val="正文要点"/>
    <w:basedOn w:val="a7"/>
    <w:autoRedefine/>
    <w:rsid w:val="00673A78"/>
    <w:pPr>
      <w:ind w:firstLine="640"/>
    </w:pPr>
    <w:rPr>
      <w:rFonts w:eastAsia="方正书宋"/>
      <w:sz w:val="30"/>
    </w:rPr>
  </w:style>
  <w:style w:type="paragraph" w:customStyle="1" w:styleId="a9">
    <w:name w:val="正规副标题"/>
    <w:basedOn w:val="a6"/>
    <w:rsid w:val="00673A78"/>
    <w:pPr>
      <w:ind w:firstLineChars="0" w:firstLine="0"/>
      <w:jc w:val="center"/>
    </w:pPr>
  </w:style>
  <w:style w:type="paragraph" w:customStyle="1" w:styleId="20">
    <w:name w:val="二级标题 + 首行缩进:  2 字符"/>
    <w:basedOn w:val="a6"/>
    <w:autoRedefine/>
    <w:rsid w:val="00673A78"/>
    <w:pPr>
      <w:ind w:firstLine="640"/>
    </w:pPr>
    <w:rPr>
      <w:rFonts w:cs="宋体"/>
      <w:bCs w:val="0"/>
      <w:szCs w:val="20"/>
    </w:rPr>
  </w:style>
  <w:style w:type="paragraph" w:customStyle="1" w:styleId="21">
    <w:name w:val="样式 方正正文 + 首行缩进:  2 字符"/>
    <w:basedOn w:val="a7"/>
    <w:autoRedefine/>
    <w:rsid w:val="00673A78"/>
    <w:pPr>
      <w:ind w:firstLine="640"/>
    </w:pPr>
    <w:rPr>
      <w:rFonts w:cs="宋体"/>
      <w:szCs w:val="20"/>
    </w:rPr>
  </w:style>
  <w:style w:type="paragraph" w:customStyle="1" w:styleId="22">
    <w:name w:val="一级标题 + 首行缩进:  2 字符"/>
    <w:basedOn w:val="a5"/>
    <w:rsid w:val="00673A78"/>
    <w:pPr>
      <w:ind w:firstLine="640"/>
    </w:pPr>
    <w:rPr>
      <w:rFonts w:cs="宋体"/>
      <w:bCs w:val="0"/>
      <w:szCs w:val="20"/>
    </w:rPr>
  </w:style>
  <w:style w:type="paragraph" w:customStyle="1" w:styleId="23">
    <w:name w:val="样式 正文要点 + 首行缩进:  2 字符"/>
    <w:basedOn w:val="a8"/>
    <w:rsid w:val="00673A78"/>
    <w:pPr>
      <w:ind w:firstLine="600"/>
    </w:pPr>
    <w:rPr>
      <w:rFonts w:cs="宋体"/>
      <w:szCs w:val="20"/>
    </w:rPr>
  </w:style>
  <w:style w:type="paragraph" w:styleId="aa">
    <w:name w:val="footer"/>
    <w:basedOn w:val="a"/>
    <w:link w:val="Char0"/>
    <w:rsid w:val="00673A78"/>
    <w:pPr>
      <w:tabs>
        <w:tab w:val="center" w:pos="4153"/>
        <w:tab w:val="right" w:pos="8306"/>
      </w:tabs>
      <w:snapToGrid w:val="0"/>
      <w:jc w:val="left"/>
    </w:pPr>
    <w:rPr>
      <w:sz w:val="18"/>
      <w:szCs w:val="18"/>
    </w:rPr>
  </w:style>
  <w:style w:type="character" w:customStyle="1" w:styleId="Char0">
    <w:name w:val="页脚 Char"/>
    <w:link w:val="aa"/>
    <w:qFormat/>
    <w:locked/>
    <w:rsid w:val="00A9031B"/>
    <w:rPr>
      <w:kern w:val="2"/>
      <w:sz w:val="18"/>
      <w:szCs w:val="18"/>
    </w:rPr>
  </w:style>
  <w:style w:type="character" w:styleId="ab">
    <w:name w:val="page number"/>
    <w:basedOn w:val="a0"/>
    <w:rsid w:val="00673A78"/>
  </w:style>
  <w:style w:type="paragraph" w:styleId="ac">
    <w:name w:val="header"/>
    <w:basedOn w:val="a"/>
    <w:link w:val="Char1"/>
    <w:rsid w:val="00673A78"/>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c"/>
    <w:qFormat/>
    <w:locked/>
    <w:rsid w:val="00A9031B"/>
    <w:rPr>
      <w:kern w:val="2"/>
      <w:sz w:val="18"/>
      <w:szCs w:val="18"/>
    </w:rPr>
  </w:style>
  <w:style w:type="paragraph" w:styleId="24">
    <w:name w:val="toc 2"/>
    <w:basedOn w:val="a"/>
    <w:next w:val="a"/>
    <w:uiPriority w:val="39"/>
    <w:unhideWhenUsed/>
    <w:qFormat/>
    <w:rsid w:val="00A9031B"/>
    <w:pPr>
      <w:tabs>
        <w:tab w:val="right" w:leader="dot" w:pos="8296"/>
      </w:tabs>
      <w:ind w:leftChars="200" w:left="420"/>
    </w:pPr>
  </w:style>
  <w:style w:type="character" w:styleId="ad">
    <w:name w:val="Strong"/>
    <w:basedOn w:val="a0"/>
    <w:uiPriority w:val="99"/>
    <w:qFormat/>
    <w:rsid w:val="00A9031B"/>
    <w:rPr>
      <w:b/>
    </w:rPr>
  </w:style>
  <w:style w:type="paragraph" w:customStyle="1" w:styleId="Default">
    <w:name w:val="Default"/>
    <w:uiPriority w:val="99"/>
    <w:qFormat/>
    <w:rsid w:val="00A9031B"/>
    <w:pPr>
      <w:widowControl w:val="0"/>
      <w:autoSpaceDE w:val="0"/>
      <w:autoSpaceDN w:val="0"/>
      <w:adjustRightInd w:val="0"/>
    </w:pPr>
    <w:rPr>
      <w:rFonts w:ascii="仿宋" w:eastAsia="仿宋" w:hAnsi="Calibri" w:cs="仿宋"/>
      <w:color w:val="000000"/>
      <w:sz w:val="24"/>
      <w:szCs w:val="24"/>
    </w:rPr>
  </w:style>
  <w:style w:type="paragraph" w:styleId="ae">
    <w:name w:val="List Paragraph"/>
    <w:basedOn w:val="a"/>
    <w:uiPriority w:val="34"/>
    <w:qFormat/>
    <w:rsid w:val="00A9031B"/>
    <w:pPr>
      <w:ind w:firstLineChars="200" w:firstLine="420"/>
    </w:pPr>
  </w:style>
  <w:style w:type="paragraph" w:customStyle="1" w:styleId="WPSOffice1">
    <w:name w:val="WPSOffice手动目录 1"/>
    <w:qFormat/>
    <w:rsid w:val="00A9031B"/>
    <w:rPr>
      <w:rFonts w:asciiTheme="minorHAnsi" w:eastAsiaTheme="minorEastAsia" w:hAnsiTheme="minorHAnsi" w:cstheme="minorBidi"/>
    </w:rPr>
  </w:style>
  <w:style w:type="paragraph" w:customStyle="1" w:styleId="WPSOffice2">
    <w:name w:val="WPSOffice手动目录 2"/>
    <w:rsid w:val="00A9031B"/>
    <w:pPr>
      <w:ind w:leftChars="200" w:left="200"/>
    </w:pPr>
    <w:rPr>
      <w:rFonts w:asciiTheme="minorHAnsi" w:eastAsiaTheme="minorEastAsia" w:hAnsiTheme="minorHAnsi" w:cstheme="minorBidi"/>
    </w:rPr>
  </w:style>
  <w:style w:type="paragraph" w:styleId="af">
    <w:name w:val="Balloon Text"/>
    <w:basedOn w:val="a"/>
    <w:link w:val="Char2"/>
    <w:rsid w:val="00A9031B"/>
    <w:rPr>
      <w:sz w:val="18"/>
      <w:szCs w:val="18"/>
    </w:rPr>
  </w:style>
  <w:style w:type="character" w:customStyle="1" w:styleId="Char2">
    <w:name w:val="批注框文本 Char"/>
    <w:basedOn w:val="a0"/>
    <w:link w:val="af"/>
    <w:rsid w:val="00A9031B"/>
    <w:rPr>
      <w:kern w:val="2"/>
      <w:sz w:val="18"/>
      <w:szCs w:val="18"/>
    </w:rPr>
  </w:style>
  <w:style w:type="table" w:styleId="af0">
    <w:name w:val="Table Grid"/>
    <w:basedOn w:val="a1"/>
    <w:rsid w:val="00A903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uiPriority w:val="39"/>
    <w:rsid w:val="006B3599"/>
  </w:style>
  <w:style w:type="character" w:styleId="af1">
    <w:name w:val="Hyperlink"/>
    <w:basedOn w:val="a0"/>
    <w:uiPriority w:val="99"/>
    <w:unhideWhenUsed/>
    <w:rsid w:val="006B3599"/>
    <w:rPr>
      <w:color w:val="0000FF" w:themeColor="hyperlink"/>
      <w:u w:val="single"/>
    </w:rPr>
  </w:style>
  <w:style w:type="character" w:styleId="af2">
    <w:name w:val="FollowedHyperlink"/>
    <w:basedOn w:val="a0"/>
    <w:uiPriority w:val="99"/>
    <w:unhideWhenUsed/>
    <w:rsid w:val="00990AFC"/>
    <w:rPr>
      <w:color w:val="800080"/>
      <w:u w:val="single"/>
    </w:rPr>
  </w:style>
  <w:style w:type="paragraph" w:customStyle="1" w:styleId="font5">
    <w:name w:val="font5"/>
    <w:basedOn w:val="a"/>
    <w:rsid w:val="00990AFC"/>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990AFC"/>
    <w:pPr>
      <w:widowControl/>
      <w:spacing w:before="100" w:beforeAutospacing="1" w:after="100" w:afterAutospacing="1"/>
      <w:jc w:val="left"/>
    </w:pPr>
    <w:rPr>
      <w:rFonts w:ascii="宋体" w:hAnsi="宋体" w:cs="宋体"/>
      <w:kern w:val="0"/>
      <w:sz w:val="18"/>
      <w:szCs w:val="18"/>
    </w:rPr>
  </w:style>
  <w:style w:type="paragraph" w:customStyle="1" w:styleId="xl66">
    <w:name w:val="xl66"/>
    <w:basedOn w:val="a"/>
    <w:rsid w:val="00990AFC"/>
    <w:pPr>
      <w:widowControl/>
      <w:spacing w:before="100" w:beforeAutospacing="1" w:after="100" w:afterAutospacing="1"/>
      <w:jc w:val="left"/>
    </w:pPr>
    <w:rPr>
      <w:rFonts w:ascii="宋体" w:hAnsi="宋体" w:cs="宋体"/>
      <w:kern w:val="0"/>
      <w:sz w:val="24"/>
    </w:rPr>
  </w:style>
  <w:style w:type="paragraph" w:customStyle="1" w:styleId="xl67">
    <w:name w:val="xl67"/>
    <w:basedOn w:val="a"/>
    <w:rsid w:val="00990AFC"/>
    <w:pPr>
      <w:widowControl/>
      <w:spacing w:before="100" w:beforeAutospacing="1" w:after="100" w:afterAutospacing="1"/>
      <w:jc w:val="left"/>
    </w:pPr>
    <w:rPr>
      <w:rFonts w:ascii="Courier New" w:hAnsi="Courier New" w:cs="Courier New"/>
      <w:kern w:val="0"/>
      <w:sz w:val="18"/>
      <w:szCs w:val="18"/>
    </w:rPr>
  </w:style>
  <w:style w:type="paragraph" w:customStyle="1" w:styleId="xl68">
    <w:name w:val="xl68"/>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69">
    <w:name w:val="xl69"/>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0">
    <w:name w:val="xl70"/>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1">
    <w:name w:val="xl71"/>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2">
    <w:name w:val="xl72"/>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微软雅黑" w:eastAsia="微软雅黑" w:hAnsi="微软雅黑" w:cs="宋体"/>
      <w:i/>
      <w:iCs/>
      <w:kern w:val="0"/>
      <w:sz w:val="16"/>
      <w:szCs w:val="16"/>
    </w:rPr>
  </w:style>
  <w:style w:type="paragraph" w:customStyle="1" w:styleId="xl73">
    <w:name w:val="xl73"/>
    <w:basedOn w:val="a"/>
    <w:rsid w:val="00990AFC"/>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4">
    <w:name w:val="xl74"/>
    <w:basedOn w:val="a"/>
    <w:rsid w:val="00990A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5">
    <w:name w:val="xl75"/>
    <w:basedOn w:val="a"/>
    <w:rsid w:val="00990A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6">
    <w:name w:val="xl76"/>
    <w:basedOn w:val="a"/>
    <w:rsid w:val="00990AF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7">
    <w:name w:val="xl77"/>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kern w:val="0"/>
      <w:sz w:val="18"/>
      <w:szCs w:val="18"/>
    </w:rPr>
  </w:style>
  <w:style w:type="paragraph" w:customStyle="1" w:styleId="xl78">
    <w:name w:val="xl78"/>
    <w:basedOn w:val="a"/>
    <w:rsid w:val="00990AFC"/>
    <w:pPr>
      <w:widowControl/>
      <w:pBdr>
        <w:left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9">
    <w:name w:val="xl79"/>
    <w:basedOn w:val="a"/>
    <w:rsid w:val="00990AFC"/>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80">
    <w:name w:val="xl80"/>
    <w:basedOn w:val="a"/>
    <w:rsid w:val="00990AFC"/>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1">
    <w:name w:val="xl81"/>
    <w:basedOn w:val="a"/>
    <w:rsid w:val="00990AFC"/>
    <w:pPr>
      <w:widowControl/>
      <w:pBdr>
        <w:top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2">
    <w:name w:val="xl82"/>
    <w:basedOn w:val="a"/>
    <w:rsid w:val="00990AFC"/>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83">
    <w:name w:val="xl83"/>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i/>
      <w:iCs/>
      <w:kern w:val="0"/>
      <w:sz w:val="18"/>
      <w:szCs w:val="18"/>
    </w:rPr>
  </w:style>
  <w:style w:type="paragraph" w:customStyle="1" w:styleId="xl84">
    <w:name w:val="xl84"/>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ourier New" w:hAnsi="Courier New" w:cs="Courier New"/>
      <w:kern w:val="0"/>
      <w:sz w:val="18"/>
      <w:szCs w:val="18"/>
    </w:rPr>
  </w:style>
  <w:style w:type="paragraph" w:customStyle="1" w:styleId="xl85">
    <w:name w:val="xl85"/>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黑体" w:eastAsia="黑体" w:hAnsi="黑体" w:cs="宋体"/>
      <w:b/>
      <w:bCs/>
      <w:kern w:val="0"/>
      <w:sz w:val="30"/>
      <w:szCs w:val="30"/>
    </w:rPr>
  </w:style>
  <w:style w:type="paragraph" w:customStyle="1" w:styleId="xl86">
    <w:name w:val="xl86"/>
    <w:basedOn w:val="a"/>
    <w:rsid w:val="00990AFC"/>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7">
    <w:name w:val="xl87"/>
    <w:basedOn w:val="a"/>
    <w:rsid w:val="00990AFC"/>
    <w:pPr>
      <w:widowControl/>
      <w:pBdr>
        <w:top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8">
    <w:name w:val="xl88"/>
    <w:basedOn w:val="a"/>
    <w:rsid w:val="00990AFC"/>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89">
    <w:name w:val="xl89"/>
    <w:basedOn w:val="a"/>
    <w:rsid w:val="00990AFC"/>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rsid w:val="00990AFC"/>
    <w:pPr>
      <w:widowControl/>
      <w:pBdr>
        <w:top w:val="single" w:sz="4" w:space="0" w:color="000000"/>
        <w:bottom w:val="single" w:sz="4" w:space="0" w:color="000000"/>
        <w:right w:val="single" w:sz="4" w:space="0" w:color="auto"/>
      </w:pBdr>
      <w:spacing w:before="100" w:beforeAutospacing="1" w:after="100" w:afterAutospacing="1"/>
      <w:jc w:val="left"/>
    </w:pPr>
    <w:rPr>
      <w:rFonts w:ascii="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qFormat="1"/>
    <w:lsdException w:name="header" w:qFormat="1"/>
    <w:lsdException w:name="footer" w:qFormat="1"/>
    <w:lsdException w:name="caption" w:semiHidden="1" w:unhideWhenUsed="1" w:qFormat="1"/>
    <w:lsdException w:name="Title" w:qFormat="1"/>
    <w:lsdException w:name="Default Paragraph Font" w:uiPriority="1"/>
    <w:lsdException w:name="Body Text" w:uiPriority="99" w:qFormat="1"/>
    <w:lsdException w:name="Subtitle" w:qFormat="1"/>
    <w:lsdException w:name="Hyperlink" w:uiPriority="99"/>
    <w:lsdException w:name="FollowedHyperlink" w:uiPriority="99"/>
    <w:lsdException w:name="Strong" w:uiPriority="99"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3A78"/>
    <w:pPr>
      <w:widowControl w:val="0"/>
      <w:jc w:val="both"/>
    </w:pPr>
    <w:rPr>
      <w:kern w:val="2"/>
      <w:sz w:val="21"/>
      <w:szCs w:val="24"/>
    </w:rPr>
  </w:style>
  <w:style w:type="paragraph" w:styleId="1">
    <w:name w:val="heading 1"/>
    <w:basedOn w:val="a"/>
    <w:next w:val="a"/>
    <w:link w:val="1Char"/>
    <w:qFormat/>
    <w:rsid w:val="00673A7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73A7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73A78"/>
    <w:pPr>
      <w:keepNext/>
      <w:keepLines/>
      <w:spacing w:before="260" w:after="260" w:line="416" w:lineRule="auto"/>
      <w:outlineLvl w:val="2"/>
    </w:pPr>
    <w:rPr>
      <w:b/>
      <w:bCs/>
      <w:sz w:val="32"/>
      <w:szCs w:val="32"/>
    </w:rPr>
  </w:style>
  <w:style w:type="character" w:default="1" w:styleId="a0">
    <w:name w:val="Default Paragraph Font"/>
    <w:uiPriority w:val="1"/>
    <w:semiHidden/>
    <w:unhideWhenUsed/>
    <w:rsid w:val="00673A7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73A78"/>
  </w:style>
  <w:style w:type="paragraph" w:styleId="a3">
    <w:name w:val="Body Text"/>
    <w:basedOn w:val="a"/>
    <w:link w:val="Char"/>
    <w:uiPriority w:val="99"/>
    <w:qFormat/>
    <w:rsid w:val="00A9031B"/>
    <w:pPr>
      <w:spacing w:beforeLines="30"/>
    </w:pPr>
    <w:rPr>
      <w:rFonts w:ascii="仿宋_GB2312" w:eastAsia="仿宋_GB2312"/>
      <w:kern w:val="0"/>
      <w:sz w:val="30"/>
    </w:rPr>
  </w:style>
  <w:style w:type="character" w:customStyle="1" w:styleId="Char">
    <w:name w:val="正文文本 Char"/>
    <w:basedOn w:val="a0"/>
    <w:link w:val="a3"/>
    <w:uiPriority w:val="99"/>
    <w:qFormat/>
    <w:rsid w:val="00A9031B"/>
    <w:rPr>
      <w:rFonts w:ascii="仿宋_GB2312" w:eastAsia="仿宋_GB2312"/>
      <w:sz w:val="30"/>
      <w:szCs w:val="24"/>
    </w:rPr>
  </w:style>
  <w:style w:type="character" w:customStyle="1" w:styleId="1Char">
    <w:name w:val="标题 1 Char"/>
    <w:basedOn w:val="a0"/>
    <w:link w:val="1"/>
    <w:qFormat/>
    <w:rsid w:val="00A9031B"/>
    <w:rPr>
      <w:b/>
      <w:bCs/>
      <w:kern w:val="44"/>
      <w:sz w:val="44"/>
      <w:szCs w:val="44"/>
    </w:rPr>
  </w:style>
  <w:style w:type="character" w:customStyle="1" w:styleId="2Char">
    <w:name w:val="标题 2 Char"/>
    <w:basedOn w:val="a0"/>
    <w:link w:val="2"/>
    <w:qFormat/>
    <w:rsid w:val="00A9031B"/>
    <w:rPr>
      <w:rFonts w:ascii="Arial" w:eastAsia="黑体" w:hAnsi="Arial"/>
      <w:b/>
      <w:bCs/>
      <w:kern w:val="2"/>
      <w:sz w:val="32"/>
      <w:szCs w:val="32"/>
    </w:rPr>
  </w:style>
  <w:style w:type="paragraph" w:customStyle="1" w:styleId="a4">
    <w:name w:val="大标题"/>
    <w:basedOn w:val="1"/>
    <w:rsid w:val="00673A78"/>
    <w:pPr>
      <w:keepNext w:val="0"/>
      <w:keepLines w:val="0"/>
      <w:snapToGrid w:val="0"/>
      <w:spacing w:before="0" w:after="0" w:line="240" w:lineRule="auto"/>
      <w:jc w:val="center"/>
    </w:pPr>
    <w:rPr>
      <w:rFonts w:ascii="方正黑体" w:eastAsia="方正小标宋简体"/>
      <w:b w:val="0"/>
      <w:kern w:val="2"/>
      <w:szCs w:val="28"/>
    </w:rPr>
  </w:style>
  <w:style w:type="paragraph" w:customStyle="1" w:styleId="a5">
    <w:name w:val="一级标题"/>
    <w:basedOn w:val="2"/>
    <w:rsid w:val="00673A78"/>
    <w:pPr>
      <w:keepNext w:val="0"/>
      <w:keepLines w:val="0"/>
      <w:snapToGrid w:val="0"/>
      <w:spacing w:before="0" w:after="0" w:line="319" w:lineRule="auto"/>
      <w:ind w:firstLineChars="200" w:firstLine="200"/>
    </w:pPr>
    <w:rPr>
      <w:rFonts w:eastAsia="方正黑体"/>
      <w:b w:val="0"/>
    </w:rPr>
  </w:style>
  <w:style w:type="paragraph" w:customStyle="1" w:styleId="a6">
    <w:name w:val="二级标题"/>
    <w:basedOn w:val="3"/>
    <w:rsid w:val="00673A78"/>
    <w:pPr>
      <w:keepNext w:val="0"/>
      <w:keepLines w:val="0"/>
      <w:snapToGrid w:val="0"/>
      <w:spacing w:before="0" w:after="0" w:line="319" w:lineRule="auto"/>
      <w:ind w:firstLineChars="200" w:firstLine="200"/>
    </w:pPr>
    <w:rPr>
      <w:rFonts w:eastAsia="方正楷体"/>
      <w:b w:val="0"/>
    </w:rPr>
  </w:style>
  <w:style w:type="paragraph" w:customStyle="1" w:styleId="a7">
    <w:name w:val="方正正文"/>
    <w:basedOn w:val="a"/>
    <w:rsid w:val="00673A78"/>
    <w:pPr>
      <w:snapToGrid w:val="0"/>
      <w:spacing w:line="319" w:lineRule="auto"/>
      <w:ind w:firstLineChars="200" w:firstLine="200"/>
    </w:pPr>
    <w:rPr>
      <w:rFonts w:eastAsia="方正仿宋"/>
      <w:sz w:val="32"/>
    </w:rPr>
  </w:style>
  <w:style w:type="paragraph" w:customStyle="1" w:styleId="a8">
    <w:name w:val="正文要点"/>
    <w:basedOn w:val="a7"/>
    <w:autoRedefine/>
    <w:rsid w:val="00673A78"/>
    <w:pPr>
      <w:ind w:firstLine="640"/>
    </w:pPr>
    <w:rPr>
      <w:rFonts w:eastAsia="方正书宋"/>
      <w:sz w:val="30"/>
    </w:rPr>
  </w:style>
  <w:style w:type="paragraph" w:customStyle="1" w:styleId="a9">
    <w:name w:val="正规副标题"/>
    <w:basedOn w:val="a6"/>
    <w:rsid w:val="00673A78"/>
    <w:pPr>
      <w:ind w:firstLineChars="0" w:firstLine="0"/>
      <w:jc w:val="center"/>
    </w:pPr>
  </w:style>
  <w:style w:type="paragraph" w:customStyle="1" w:styleId="20">
    <w:name w:val="二级标题 + 首行缩进:  2 字符"/>
    <w:basedOn w:val="a6"/>
    <w:autoRedefine/>
    <w:rsid w:val="00673A78"/>
    <w:pPr>
      <w:ind w:firstLine="640"/>
    </w:pPr>
    <w:rPr>
      <w:rFonts w:cs="宋体"/>
      <w:bCs w:val="0"/>
      <w:szCs w:val="20"/>
    </w:rPr>
  </w:style>
  <w:style w:type="paragraph" w:customStyle="1" w:styleId="21">
    <w:name w:val="样式 方正正文 + 首行缩进:  2 字符"/>
    <w:basedOn w:val="a7"/>
    <w:autoRedefine/>
    <w:rsid w:val="00673A78"/>
    <w:pPr>
      <w:ind w:firstLine="640"/>
    </w:pPr>
    <w:rPr>
      <w:rFonts w:cs="宋体"/>
      <w:szCs w:val="20"/>
    </w:rPr>
  </w:style>
  <w:style w:type="paragraph" w:customStyle="1" w:styleId="22">
    <w:name w:val="一级标题 + 首行缩进:  2 字符"/>
    <w:basedOn w:val="a5"/>
    <w:rsid w:val="00673A78"/>
    <w:pPr>
      <w:ind w:firstLine="640"/>
    </w:pPr>
    <w:rPr>
      <w:rFonts w:cs="宋体"/>
      <w:bCs w:val="0"/>
      <w:szCs w:val="20"/>
    </w:rPr>
  </w:style>
  <w:style w:type="paragraph" w:customStyle="1" w:styleId="23">
    <w:name w:val="样式 正文要点 + 首行缩进:  2 字符"/>
    <w:basedOn w:val="a8"/>
    <w:rsid w:val="00673A78"/>
    <w:pPr>
      <w:ind w:firstLine="600"/>
    </w:pPr>
    <w:rPr>
      <w:rFonts w:cs="宋体"/>
      <w:szCs w:val="20"/>
    </w:rPr>
  </w:style>
  <w:style w:type="paragraph" w:styleId="aa">
    <w:name w:val="footer"/>
    <w:basedOn w:val="a"/>
    <w:link w:val="Char0"/>
    <w:rsid w:val="00673A78"/>
    <w:pPr>
      <w:tabs>
        <w:tab w:val="center" w:pos="4153"/>
        <w:tab w:val="right" w:pos="8306"/>
      </w:tabs>
      <w:snapToGrid w:val="0"/>
      <w:jc w:val="left"/>
    </w:pPr>
    <w:rPr>
      <w:sz w:val="18"/>
      <w:szCs w:val="18"/>
    </w:rPr>
  </w:style>
  <w:style w:type="character" w:customStyle="1" w:styleId="Char0">
    <w:name w:val="页脚 Char"/>
    <w:link w:val="aa"/>
    <w:qFormat/>
    <w:locked/>
    <w:rsid w:val="00A9031B"/>
    <w:rPr>
      <w:kern w:val="2"/>
      <w:sz w:val="18"/>
      <w:szCs w:val="18"/>
    </w:rPr>
  </w:style>
  <w:style w:type="character" w:styleId="ab">
    <w:name w:val="page number"/>
    <w:basedOn w:val="a0"/>
    <w:rsid w:val="00673A78"/>
  </w:style>
  <w:style w:type="paragraph" w:styleId="ac">
    <w:name w:val="header"/>
    <w:basedOn w:val="a"/>
    <w:link w:val="Char1"/>
    <w:rsid w:val="00673A78"/>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c"/>
    <w:qFormat/>
    <w:locked/>
    <w:rsid w:val="00A9031B"/>
    <w:rPr>
      <w:kern w:val="2"/>
      <w:sz w:val="18"/>
      <w:szCs w:val="18"/>
    </w:rPr>
  </w:style>
  <w:style w:type="paragraph" w:styleId="24">
    <w:name w:val="toc 2"/>
    <w:basedOn w:val="a"/>
    <w:next w:val="a"/>
    <w:uiPriority w:val="39"/>
    <w:unhideWhenUsed/>
    <w:qFormat/>
    <w:rsid w:val="00A9031B"/>
    <w:pPr>
      <w:tabs>
        <w:tab w:val="right" w:leader="dot" w:pos="8296"/>
      </w:tabs>
      <w:ind w:leftChars="200" w:left="420"/>
    </w:pPr>
  </w:style>
  <w:style w:type="character" w:styleId="ad">
    <w:name w:val="Strong"/>
    <w:basedOn w:val="a0"/>
    <w:uiPriority w:val="99"/>
    <w:qFormat/>
    <w:rsid w:val="00A9031B"/>
    <w:rPr>
      <w:b/>
    </w:rPr>
  </w:style>
  <w:style w:type="paragraph" w:customStyle="1" w:styleId="Default">
    <w:name w:val="Default"/>
    <w:uiPriority w:val="99"/>
    <w:qFormat/>
    <w:rsid w:val="00A9031B"/>
    <w:pPr>
      <w:widowControl w:val="0"/>
      <w:autoSpaceDE w:val="0"/>
      <w:autoSpaceDN w:val="0"/>
      <w:adjustRightInd w:val="0"/>
    </w:pPr>
    <w:rPr>
      <w:rFonts w:ascii="仿宋" w:eastAsia="仿宋" w:hAnsi="Calibri" w:cs="仿宋"/>
      <w:color w:val="000000"/>
      <w:sz w:val="24"/>
      <w:szCs w:val="24"/>
    </w:rPr>
  </w:style>
  <w:style w:type="paragraph" w:styleId="ae">
    <w:name w:val="List Paragraph"/>
    <w:basedOn w:val="a"/>
    <w:uiPriority w:val="34"/>
    <w:qFormat/>
    <w:rsid w:val="00A9031B"/>
    <w:pPr>
      <w:ind w:firstLineChars="200" w:firstLine="420"/>
    </w:pPr>
  </w:style>
  <w:style w:type="paragraph" w:customStyle="1" w:styleId="WPSOffice1">
    <w:name w:val="WPSOffice手动目录 1"/>
    <w:qFormat/>
    <w:rsid w:val="00A9031B"/>
    <w:rPr>
      <w:rFonts w:asciiTheme="minorHAnsi" w:eastAsiaTheme="minorEastAsia" w:hAnsiTheme="minorHAnsi" w:cstheme="minorBidi"/>
    </w:rPr>
  </w:style>
  <w:style w:type="paragraph" w:customStyle="1" w:styleId="WPSOffice2">
    <w:name w:val="WPSOffice手动目录 2"/>
    <w:rsid w:val="00A9031B"/>
    <w:pPr>
      <w:ind w:leftChars="200" w:left="200"/>
    </w:pPr>
    <w:rPr>
      <w:rFonts w:asciiTheme="minorHAnsi" w:eastAsiaTheme="minorEastAsia" w:hAnsiTheme="minorHAnsi" w:cstheme="minorBidi"/>
    </w:rPr>
  </w:style>
  <w:style w:type="paragraph" w:styleId="af">
    <w:name w:val="Balloon Text"/>
    <w:basedOn w:val="a"/>
    <w:link w:val="Char2"/>
    <w:rsid w:val="00A9031B"/>
    <w:rPr>
      <w:sz w:val="18"/>
      <w:szCs w:val="18"/>
    </w:rPr>
  </w:style>
  <w:style w:type="character" w:customStyle="1" w:styleId="Char2">
    <w:name w:val="批注框文本 Char"/>
    <w:basedOn w:val="a0"/>
    <w:link w:val="af"/>
    <w:rsid w:val="00A9031B"/>
    <w:rPr>
      <w:kern w:val="2"/>
      <w:sz w:val="18"/>
      <w:szCs w:val="18"/>
    </w:rPr>
  </w:style>
  <w:style w:type="table" w:styleId="af0">
    <w:name w:val="Table Grid"/>
    <w:basedOn w:val="a1"/>
    <w:rsid w:val="00A903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rsid w:val="006B3599"/>
  </w:style>
  <w:style w:type="character" w:styleId="af1">
    <w:name w:val="Hyperlink"/>
    <w:basedOn w:val="a0"/>
    <w:uiPriority w:val="99"/>
    <w:unhideWhenUsed/>
    <w:rsid w:val="006B3599"/>
    <w:rPr>
      <w:color w:val="0000FF" w:themeColor="hyperlink"/>
      <w:u w:val="single"/>
    </w:rPr>
  </w:style>
  <w:style w:type="character" w:styleId="af2">
    <w:name w:val="FollowedHyperlink"/>
    <w:basedOn w:val="a0"/>
    <w:uiPriority w:val="99"/>
    <w:unhideWhenUsed/>
    <w:rsid w:val="00990AFC"/>
    <w:rPr>
      <w:color w:val="800080"/>
      <w:u w:val="single"/>
    </w:rPr>
  </w:style>
  <w:style w:type="paragraph" w:customStyle="1" w:styleId="font5">
    <w:name w:val="font5"/>
    <w:basedOn w:val="a"/>
    <w:rsid w:val="00990AFC"/>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990AFC"/>
    <w:pPr>
      <w:widowControl/>
      <w:spacing w:before="100" w:beforeAutospacing="1" w:after="100" w:afterAutospacing="1"/>
      <w:jc w:val="left"/>
    </w:pPr>
    <w:rPr>
      <w:rFonts w:ascii="宋体" w:hAnsi="宋体" w:cs="宋体"/>
      <w:kern w:val="0"/>
      <w:sz w:val="18"/>
      <w:szCs w:val="18"/>
    </w:rPr>
  </w:style>
  <w:style w:type="paragraph" w:customStyle="1" w:styleId="xl66">
    <w:name w:val="xl66"/>
    <w:basedOn w:val="a"/>
    <w:rsid w:val="00990AFC"/>
    <w:pPr>
      <w:widowControl/>
      <w:spacing w:before="100" w:beforeAutospacing="1" w:after="100" w:afterAutospacing="1"/>
      <w:jc w:val="left"/>
    </w:pPr>
    <w:rPr>
      <w:rFonts w:ascii="宋体" w:hAnsi="宋体" w:cs="宋体"/>
      <w:kern w:val="0"/>
      <w:sz w:val="24"/>
    </w:rPr>
  </w:style>
  <w:style w:type="paragraph" w:customStyle="1" w:styleId="xl67">
    <w:name w:val="xl67"/>
    <w:basedOn w:val="a"/>
    <w:rsid w:val="00990AFC"/>
    <w:pPr>
      <w:widowControl/>
      <w:spacing w:before="100" w:beforeAutospacing="1" w:after="100" w:afterAutospacing="1"/>
      <w:jc w:val="left"/>
    </w:pPr>
    <w:rPr>
      <w:rFonts w:ascii="Courier New" w:hAnsi="Courier New" w:cs="Courier New"/>
      <w:kern w:val="0"/>
      <w:sz w:val="18"/>
      <w:szCs w:val="18"/>
    </w:rPr>
  </w:style>
  <w:style w:type="paragraph" w:customStyle="1" w:styleId="xl68">
    <w:name w:val="xl68"/>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69">
    <w:name w:val="xl69"/>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0">
    <w:name w:val="xl70"/>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1">
    <w:name w:val="xl71"/>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2">
    <w:name w:val="xl72"/>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微软雅黑" w:eastAsia="微软雅黑" w:hAnsi="微软雅黑" w:cs="宋体"/>
      <w:i/>
      <w:iCs/>
      <w:kern w:val="0"/>
      <w:sz w:val="16"/>
      <w:szCs w:val="16"/>
    </w:rPr>
  </w:style>
  <w:style w:type="paragraph" w:customStyle="1" w:styleId="xl73">
    <w:name w:val="xl73"/>
    <w:basedOn w:val="a"/>
    <w:rsid w:val="00990AFC"/>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4">
    <w:name w:val="xl74"/>
    <w:basedOn w:val="a"/>
    <w:rsid w:val="00990A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5">
    <w:name w:val="xl75"/>
    <w:basedOn w:val="a"/>
    <w:rsid w:val="00990A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6">
    <w:name w:val="xl76"/>
    <w:basedOn w:val="a"/>
    <w:rsid w:val="00990AF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7">
    <w:name w:val="xl77"/>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kern w:val="0"/>
      <w:sz w:val="18"/>
      <w:szCs w:val="18"/>
    </w:rPr>
  </w:style>
  <w:style w:type="paragraph" w:customStyle="1" w:styleId="xl78">
    <w:name w:val="xl78"/>
    <w:basedOn w:val="a"/>
    <w:rsid w:val="00990AFC"/>
    <w:pPr>
      <w:widowControl/>
      <w:pBdr>
        <w:left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79">
    <w:name w:val="xl79"/>
    <w:basedOn w:val="a"/>
    <w:rsid w:val="00990AFC"/>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80">
    <w:name w:val="xl80"/>
    <w:basedOn w:val="a"/>
    <w:rsid w:val="00990AFC"/>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1">
    <w:name w:val="xl81"/>
    <w:basedOn w:val="a"/>
    <w:rsid w:val="00990AFC"/>
    <w:pPr>
      <w:widowControl/>
      <w:pBdr>
        <w:top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2">
    <w:name w:val="xl82"/>
    <w:basedOn w:val="a"/>
    <w:rsid w:val="00990AFC"/>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83">
    <w:name w:val="xl83"/>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i/>
      <w:iCs/>
      <w:kern w:val="0"/>
      <w:sz w:val="18"/>
      <w:szCs w:val="18"/>
    </w:rPr>
  </w:style>
  <w:style w:type="paragraph" w:customStyle="1" w:styleId="xl84">
    <w:name w:val="xl84"/>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ourier New" w:hAnsi="Courier New" w:cs="Courier New"/>
      <w:kern w:val="0"/>
      <w:sz w:val="18"/>
      <w:szCs w:val="18"/>
    </w:rPr>
  </w:style>
  <w:style w:type="paragraph" w:customStyle="1" w:styleId="xl85">
    <w:name w:val="xl85"/>
    <w:basedOn w:val="a"/>
    <w:rsid w:val="00990A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黑体" w:eastAsia="黑体" w:hAnsi="黑体" w:cs="宋体"/>
      <w:b/>
      <w:bCs/>
      <w:kern w:val="0"/>
      <w:sz w:val="30"/>
      <w:szCs w:val="30"/>
    </w:rPr>
  </w:style>
  <w:style w:type="paragraph" w:customStyle="1" w:styleId="xl86">
    <w:name w:val="xl86"/>
    <w:basedOn w:val="a"/>
    <w:rsid w:val="00990AFC"/>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7">
    <w:name w:val="xl87"/>
    <w:basedOn w:val="a"/>
    <w:rsid w:val="00990AFC"/>
    <w:pPr>
      <w:widowControl/>
      <w:pBdr>
        <w:top w:val="single" w:sz="4" w:space="0" w:color="000000"/>
        <w:bottom w:val="single" w:sz="4" w:space="0" w:color="000000"/>
      </w:pBdr>
      <w:spacing w:before="100" w:beforeAutospacing="1" w:after="100" w:afterAutospacing="1"/>
      <w:jc w:val="left"/>
    </w:pPr>
    <w:rPr>
      <w:rFonts w:ascii="宋体" w:hAnsi="宋体" w:cs="宋体"/>
      <w:kern w:val="0"/>
      <w:sz w:val="18"/>
      <w:szCs w:val="18"/>
    </w:rPr>
  </w:style>
  <w:style w:type="paragraph" w:customStyle="1" w:styleId="xl88">
    <w:name w:val="xl88"/>
    <w:basedOn w:val="a"/>
    <w:rsid w:val="00990AFC"/>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89">
    <w:name w:val="xl89"/>
    <w:basedOn w:val="a"/>
    <w:rsid w:val="00990AFC"/>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rsid w:val="00990AFC"/>
    <w:pPr>
      <w:widowControl/>
      <w:pBdr>
        <w:top w:val="single" w:sz="4" w:space="0" w:color="000000"/>
        <w:bottom w:val="single" w:sz="4" w:space="0" w:color="000000"/>
        <w:right w:val="single" w:sz="4" w:space="0" w:color="auto"/>
      </w:pBdr>
      <w:spacing w:before="100" w:beforeAutospacing="1" w:after="100" w:afterAutospacing="1"/>
      <w:jc w:val="left"/>
    </w:pPr>
    <w:rPr>
      <w:rFonts w:ascii="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divs>
    <w:div w:id="448597187">
      <w:bodyDiv w:val="1"/>
      <w:marLeft w:val="0"/>
      <w:marRight w:val="0"/>
      <w:marTop w:val="0"/>
      <w:marBottom w:val="0"/>
      <w:divBdr>
        <w:top w:val="none" w:sz="0" w:space="0" w:color="auto"/>
        <w:left w:val="none" w:sz="0" w:space="0" w:color="auto"/>
        <w:bottom w:val="none" w:sz="0" w:space="0" w:color="auto"/>
        <w:right w:val="none" w:sz="0" w:space="0" w:color="auto"/>
      </w:divBdr>
    </w:div>
    <w:div w:id="685179946">
      <w:bodyDiv w:val="1"/>
      <w:marLeft w:val="0"/>
      <w:marRight w:val="0"/>
      <w:marTop w:val="0"/>
      <w:marBottom w:val="0"/>
      <w:divBdr>
        <w:top w:val="none" w:sz="0" w:space="0" w:color="auto"/>
        <w:left w:val="none" w:sz="0" w:space="0" w:color="auto"/>
        <w:bottom w:val="none" w:sz="0" w:space="0" w:color="auto"/>
        <w:right w:val="none" w:sz="0" w:space="0" w:color="auto"/>
      </w:divBdr>
    </w:div>
    <w:div w:id="1037585868">
      <w:bodyDiv w:val="1"/>
      <w:marLeft w:val="0"/>
      <w:marRight w:val="0"/>
      <w:marTop w:val="0"/>
      <w:marBottom w:val="0"/>
      <w:divBdr>
        <w:top w:val="none" w:sz="0" w:space="0" w:color="auto"/>
        <w:left w:val="none" w:sz="0" w:space="0" w:color="auto"/>
        <w:bottom w:val="none" w:sz="0" w:space="0" w:color="auto"/>
        <w:right w:val="none" w:sz="0" w:space="0" w:color="auto"/>
      </w:divBdr>
    </w:div>
    <w:div w:id="1589998361">
      <w:bodyDiv w:val="1"/>
      <w:marLeft w:val="0"/>
      <w:marRight w:val="0"/>
      <w:marTop w:val="0"/>
      <w:marBottom w:val="0"/>
      <w:divBdr>
        <w:top w:val="none" w:sz="0" w:space="0" w:color="auto"/>
        <w:left w:val="none" w:sz="0" w:space="0" w:color="auto"/>
        <w:bottom w:val="none" w:sz="0" w:space="0" w:color="auto"/>
        <w:right w:val="none" w:sz="0" w:space="0" w:color="auto"/>
      </w:divBdr>
    </w:div>
    <w:div w:id="176364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chart" Target="charts/chart7.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lang val="zh-CN"/>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barChart>
        <c:barDir val="col"/>
        <c:grouping val="clustered"/>
        <c:ser>
          <c:idx val="0"/>
          <c:order val="0"/>
          <c:tx>
            <c:strRef>
              <c:f>Sheet1!$B$1</c:f>
              <c:strCache>
                <c:ptCount val="1"/>
                <c:pt idx="0">
                  <c:v>收支总计决算明细表</c:v>
                </c:pt>
              </c:strCache>
            </c:strRef>
          </c:tx>
          <c:cat>
            <c:strRef>
              <c:f>Sheet1!$A$2:$A$3</c:f>
              <c:strCache>
                <c:ptCount val="2"/>
                <c:pt idx="0">
                  <c:v>2021年10788.81万元</c:v>
                </c:pt>
                <c:pt idx="1">
                  <c:v>2022年10118.01万元</c:v>
                </c:pt>
              </c:strCache>
            </c:strRef>
          </c:cat>
          <c:val>
            <c:numRef>
              <c:f>Sheet1!$B$2:$B$3</c:f>
              <c:numCache>
                <c:formatCode>General</c:formatCode>
                <c:ptCount val="2"/>
                <c:pt idx="0">
                  <c:v>10788.81</c:v>
                </c:pt>
                <c:pt idx="1">
                  <c:v>10118.01</c:v>
                </c:pt>
              </c:numCache>
            </c:numRef>
          </c:val>
        </c:ser>
        <c:dLbls/>
        <c:axId val="45214336"/>
        <c:axId val="83304448"/>
      </c:barChart>
      <c:catAx>
        <c:axId val="45214336"/>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83304448"/>
        <c:crosses val="autoZero"/>
        <c:auto val="1"/>
        <c:lblAlgn val="ctr"/>
        <c:lblOffset val="100"/>
      </c:catAx>
      <c:valAx>
        <c:axId val="83304448"/>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5214336"/>
        <c:crosses val="autoZero"/>
        <c:crossBetween val="between"/>
      </c:valAx>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chart>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2022年度收入结构图</c:v>
                </c:pt>
              </c:strCache>
            </c:strRef>
          </c:tx>
          <c:dPt>
            <c:idx val="0"/>
          </c:dPt>
          <c:cat>
            <c:strRef>
              <c:f>Sheet1!$A$2</c:f>
              <c:strCache>
                <c:ptCount val="1"/>
                <c:pt idx="0">
                  <c:v>一般公共预算财政拨款收入10118.01万元</c:v>
                </c:pt>
              </c:strCache>
            </c:strRef>
          </c:cat>
          <c:val>
            <c:numRef>
              <c:f>Sheet1!$B$2</c:f>
              <c:numCache>
                <c:formatCode>General</c:formatCode>
                <c:ptCount val="1"/>
                <c:pt idx="0">
                  <c:v>10118.01</c:v>
                </c:pt>
              </c:numCache>
            </c:numRef>
          </c:val>
        </c:ser>
        <c:dLbls/>
        <c:firstSliceAng val="0"/>
      </c:pieChart>
    </c:plotArea>
    <c:legend>
      <c:legendPos val="tr"/>
      <c:layout>
        <c:manualLayout>
          <c:xMode val="edge"/>
          <c:yMode val="edge"/>
          <c:x val="0.72645553069703905"/>
          <c:y val="0.29321503826106199"/>
          <c:w val="0.25864618918200605"/>
          <c:h val="0.45424581461215696"/>
        </c:manualLayout>
      </c:layout>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2022年支出明细表</c:v>
                </c:pt>
              </c:strCache>
            </c:strRef>
          </c:tx>
          <c:explosion val="25"/>
          <c:dPt>
            <c:idx val="0"/>
          </c:dPt>
          <c:dPt>
            <c:idx val="1"/>
          </c:dPt>
          <c:cat>
            <c:strRef>
              <c:f>Sheet1!$A$2:$A$3</c:f>
              <c:strCache>
                <c:ptCount val="2"/>
                <c:pt idx="0">
                  <c:v>基本支出9368.89万元</c:v>
                </c:pt>
                <c:pt idx="1">
                  <c:v>项目支出749.12万元</c:v>
                </c:pt>
              </c:strCache>
            </c:strRef>
          </c:cat>
          <c:val>
            <c:numRef>
              <c:f>Sheet1!$B$2:$B$3</c:f>
              <c:numCache>
                <c:formatCode>General</c:formatCode>
                <c:ptCount val="2"/>
                <c:pt idx="0">
                  <c:v>9368.89</c:v>
                </c:pt>
                <c:pt idx="1">
                  <c:v>749.12</c:v>
                </c:pt>
              </c:numCache>
            </c:numRef>
          </c:val>
        </c:ser>
        <c:dLbls/>
        <c:firstSliceAng val="0"/>
      </c:pieChart>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barChart>
        <c:barDir val="col"/>
        <c:grouping val="stacked"/>
        <c:ser>
          <c:idx val="0"/>
          <c:order val="0"/>
          <c:tx>
            <c:strRef>
              <c:f>Sheet1!$B$1</c:f>
              <c:strCache>
                <c:ptCount val="1"/>
                <c:pt idx="0">
                  <c:v>财政拨款收支总额对比</c:v>
                </c:pt>
              </c:strCache>
            </c:strRef>
          </c:tx>
          <c:cat>
            <c:strRef>
              <c:f>Sheet1!$A$2:$A$3</c:f>
              <c:strCache>
                <c:ptCount val="2"/>
                <c:pt idx="0">
                  <c:v>2021年8794.66万元</c:v>
                </c:pt>
                <c:pt idx="1">
                  <c:v>2022年10118.01万元</c:v>
                </c:pt>
              </c:strCache>
            </c:strRef>
          </c:cat>
          <c:val>
            <c:numRef>
              <c:f>Sheet1!$B$2:$B$3</c:f>
              <c:numCache>
                <c:formatCode>General</c:formatCode>
                <c:ptCount val="2"/>
                <c:pt idx="0">
                  <c:v>8794.66</c:v>
                </c:pt>
                <c:pt idx="1">
                  <c:v>10118.01</c:v>
                </c:pt>
              </c:numCache>
            </c:numRef>
          </c:val>
        </c:ser>
        <c:dLbls/>
        <c:overlap val="100"/>
        <c:axId val="44213376"/>
        <c:axId val="44214912"/>
      </c:barChart>
      <c:catAx>
        <c:axId val="44213376"/>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4214912"/>
        <c:crosses val="autoZero"/>
        <c:auto val="1"/>
        <c:lblAlgn val="ctr"/>
        <c:lblOffset val="100"/>
      </c:catAx>
      <c:valAx>
        <c:axId val="44214912"/>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4213376"/>
        <c:crosses val="autoZero"/>
        <c:crossBetween val="between"/>
      </c:valAx>
      <c:spPr>
        <a:solidFill>
          <a:schemeClr val="bg1"/>
        </a:solid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chart>
  <c:txPr>
    <a:bodyPr/>
    <a:lstStyle/>
    <a:p>
      <a:pPr>
        <a:defRPr lang="zh-CN"/>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200"/>
              <a:t>一般公共预算财政拨款支出变动表</a:t>
            </a:r>
          </a:p>
        </c:rich>
      </c:tx>
    </c:title>
    <c:plotArea>
      <c:layout/>
      <c:barChart>
        <c:barDir val="col"/>
        <c:grouping val="clustered"/>
        <c:ser>
          <c:idx val="0"/>
          <c:order val="0"/>
          <c:tx>
            <c:strRef>
              <c:f>Sheet1!$B$1</c:f>
              <c:strCache>
                <c:ptCount val="1"/>
                <c:pt idx="0">
                  <c:v>一般公共预算财政拨款支出变动表</c:v>
                </c:pt>
              </c:strCache>
            </c:strRef>
          </c:tx>
          <c:cat>
            <c:strRef>
              <c:f>Sheet1!$A$2:$A$3</c:f>
              <c:strCache>
                <c:ptCount val="2"/>
                <c:pt idx="0">
                  <c:v>2022年度10118.01万元</c:v>
                </c:pt>
                <c:pt idx="1">
                  <c:v>2021年度8794.66万元</c:v>
                </c:pt>
              </c:strCache>
            </c:strRef>
          </c:cat>
          <c:val>
            <c:numRef>
              <c:f>Sheet1!$B$2:$B$3</c:f>
              <c:numCache>
                <c:formatCode>General</c:formatCode>
                <c:ptCount val="2"/>
                <c:pt idx="0">
                  <c:v>10118.01</c:v>
                </c:pt>
                <c:pt idx="1">
                  <c:v>8794.66</c:v>
                </c:pt>
              </c:numCache>
            </c:numRef>
          </c:val>
        </c:ser>
        <c:dLbls/>
        <c:axId val="44234624"/>
        <c:axId val="44236160"/>
      </c:barChart>
      <c:catAx>
        <c:axId val="44234624"/>
        <c:scaling>
          <c:orientation val="minMax"/>
        </c:scaling>
        <c:axPos val="b"/>
        <c:tickLblPos val="nextTo"/>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4236160"/>
        <c:crosses val="autoZero"/>
        <c:auto val="1"/>
        <c:lblAlgn val="ctr"/>
        <c:lblOffset val="100"/>
      </c:catAx>
      <c:valAx>
        <c:axId val="44236160"/>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4234624"/>
        <c:crosses val="autoZero"/>
        <c:crossBetween val="between"/>
      </c:valAx>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chart>
  <c:txPr>
    <a:bodyPr/>
    <a:lstStyle/>
    <a:p>
      <a:pPr>
        <a:defRPr lang="zh-CN"/>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manualLayout>
          <c:layoutTarget val="inner"/>
          <c:xMode val="edge"/>
          <c:yMode val="edge"/>
          <c:x val="6.5878317556875801E-2"/>
          <c:y val="0.22456140350877199"/>
          <c:w val="0.45210589651022892"/>
          <c:h val="0.77543859649122804"/>
        </c:manualLayout>
      </c:layout>
      <c:pieChart>
        <c:varyColors val="1"/>
        <c:ser>
          <c:idx val="0"/>
          <c:order val="0"/>
          <c:tx>
            <c:strRef>
              <c:f>Sheet1!$B$1</c:f>
              <c:strCache>
                <c:ptCount val="1"/>
                <c:pt idx="0">
                  <c:v>2022年度一般公共预算财政拨款支出决算表</c:v>
                </c:pt>
              </c:strCache>
            </c:strRef>
          </c:tx>
          <c:explosion val="23"/>
          <c:dPt>
            <c:idx val="0"/>
          </c:dPt>
          <c:dPt>
            <c:idx val="1"/>
          </c:dPt>
          <c:dPt>
            <c:idx val="2"/>
          </c:dPt>
          <c:dPt>
            <c:idx val="3"/>
          </c:dPt>
          <c:cat>
            <c:strRef>
              <c:f>Sheet1!$A$2:$A$5</c:f>
              <c:strCache>
                <c:ptCount val="4"/>
                <c:pt idx="0">
                  <c:v>公共安全类支出8531.28万元</c:v>
                </c:pt>
                <c:pt idx="1">
                  <c:v>社会保障和就业类支出654.5万元</c:v>
                </c:pt>
                <c:pt idx="2">
                  <c:v>卫生健康支出319.33万元</c:v>
                </c:pt>
                <c:pt idx="3">
                  <c:v>住房保障支出612.9万元</c:v>
                </c:pt>
              </c:strCache>
            </c:strRef>
          </c:cat>
          <c:val>
            <c:numRef>
              <c:f>Sheet1!$B$2:$B$5</c:f>
              <c:numCache>
                <c:formatCode>General</c:formatCode>
                <c:ptCount val="4"/>
                <c:pt idx="0">
                  <c:v>8531.2800000000007</c:v>
                </c:pt>
                <c:pt idx="1">
                  <c:v>654.5</c:v>
                </c:pt>
                <c:pt idx="2">
                  <c:v>319.33</c:v>
                </c:pt>
                <c:pt idx="3">
                  <c:v>612.9</c:v>
                </c:pt>
              </c:numCache>
            </c:numRef>
          </c:val>
        </c:ser>
        <c:dLbls/>
        <c:firstSliceAng val="0"/>
      </c:pieChart>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zh-CN"/>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2022年三公经费财政拨款支出结构表</c:v>
                </c:pt>
              </c:strCache>
            </c:strRef>
          </c:tx>
          <c:dPt>
            <c:idx val="0"/>
          </c:dPt>
          <c:dPt>
            <c:idx val="1"/>
          </c:dPt>
          <c:dPt>
            <c:idx val="2"/>
          </c:dPt>
          <c:cat>
            <c:strRef>
              <c:f>Sheet1!$A$2:$A$4</c:f>
              <c:strCache>
                <c:ptCount val="3"/>
                <c:pt idx="0">
                  <c:v>因公出国（境）费0万元</c:v>
                </c:pt>
                <c:pt idx="1">
                  <c:v>公务用车购置及运行费120万元</c:v>
                </c:pt>
                <c:pt idx="2">
                  <c:v>公务接待费0.5万元</c:v>
                </c:pt>
              </c:strCache>
            </c:strRef>
          </c:cat>
          <c:val>
            <c:numRef>
              <c:f>Sheet1!$B$2:$B$4</c:f>
              <c:numCache>
                <c:formatCode>General</c:formatCode>
                <c:ptCount val="3"/>
                <c:pt idx="0">
                  <c:v>0</c:v>
                </c:pt>
                <c:pt idx="1">
                  <c:v>120</c:v>
                </c:pt>
                <c:pt idx="2">
                  <c:v>0.5</c:v>
                </c:pt>
              </c:numCache>
            </c:numRef>
          </c:val>
        </c:ser>
        <c:dLbls/>
        <c:firstSliceAng val="0"/>
      </c:pieChart>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37614-491C-41BB-8E0D-F4EF9E7A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19</Pages>
  <Words>3126</Words>
  <Characters>17824</Characters>
  <Application>Microsoft Office Word</Application>
  <DocSecurity>0</DocSecurity>
  <Lines>148</Lines>
  <Paragraphs>41</Paragraphs>
  <ScaleCrop>false</ScaleCrop>
  <Company>微软中国</Company>
  <LinksUpToDate>false</LinksUpToDate>
  <CharactersWithSpaces>20909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adminsa</cp:lastModifiedBy>
  <cp:revision>10</cp:revision>
  <dcterms:created xsi:type="dcterms:W3CDTF">2023-10-18T01:38:00Z</dcterms:created>
  <dcterms:modified xsi:type="dcterms:W3CDTF">2023-10-20T00:54:00Z</dcterms:modified>
</cp:coreProperties>
</file>