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1869"/>
      <w:bookmarkStart w:id="3" w:name="_Toc15377425"/>
      <w:bookmarkStart w:id="4" w:name="_Toc15396475"/>
      <w:bookmarkStart w:id="5" w:name="_Toc15396597"/>
      <w:bookmarkStart w:id="6"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8442"/>
      <w:bookmarkStart w:id="8" w:name="_Toc15377426"/>
      <w:bookmarkStart w:id="9" w:name="_Toc27646"/>
      <w:bookmarkStart w:id="10" w:name="_Toc15396598"/>
      <w:bookmarkStart w:id="11" w:name="_Toc15377194"/>
      <w:bookmarkStart w:id="12"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财政绩效管理中心单位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rPr>
          <w:rFonts w:hint="eastAsia" w:eastAsia="仿宋"/>
          <w:color w:val="auto"/>
          <w:highlight w:val="yellow"/>
          <w:lang w:val="en-US" w:eastAsia="zh-CN"/>
        </w:rPr>
      </w:pPr>
      <w:r>
        <w:rPr>
          <w:rFonts w:hint="eastAsia"/>
          <w:color w:val="auto"/>
          <w:highlight w:val="yellow"/>
        </w:rPr>
        <w:t>公开时间：20</w:t>
      </w:r>
      <w:r>
        <w:rPr>
          <w:rFonts w:hint="eastAsia"/>
          <w:color w:val="auto"/>
          <w:highlight w:val="yellow"/>
          <w:lang w:val="en-US" w:eastAsia="zh-CN"/>
        </w:rPr>
        <w:t>23</w:t>
      </w:r>
      <w:r>
        <w:rPr>
          <w:rFonts w:hint="eastAsia"/>
          <w:color w:val="auto"/>
          <w:highlight w:val="yellow"/>
        </w:rPr>
        <w:t>年</w:t>
      </w:r>
      <w:r>
        <w:rPr>
          <w:rFonts w:hint="eastAsia"/>
          <w:color w:val="auto"/>
          <w:highlight w:val="yellow"/>
          <w:lang w:val="en-US" w:eastAsia="zh-CN"/>
        </w:rPr>
        <w:t>10</w:t>
      </w:r>
      <w:r>
        <w:rPr>
          <w:rFonts w:hint="eastAsia"/>
          <w:color w:val="auto"/>
          <w:highlight w:val="yellow"/>
        </w:rPr>
        <w:t>月</w:t>
      </w:r>
      <w:r>
        <w:rPr>
          <w:rFonts w:hint="eastAsia"/>
          <w:color w:val="auto"/>
          <w:highlight w:val="yellow"/>
          <w:lang w:val="en-US" w:eastAsia="zh-CN"/>
        </w:rPr>
        <w:t>15</w:t>
      </w:r>
      <w:bookmarkStart w:id="100" w:name="_GoBack"/>
      <w:bookmarkEnd w:id="100"/>
      <w:r>
        <w:rPr>
          <w:rFonts w:hint="eastAsia"/>
          <w:color w:val="auto"/>
          <w:highlight w:val="yellow"/>
        </w:rPr>
        <w:t>日</w:t>
      </w:r>
    </w:p>
    <w:sdt>
      <w:sdtPr>
        <w:rPr>
          <w:rFonts w:ascii="宋体" w:hAnsi="宋体" w:eastAsia="宋体" w:cs="Times New Roman"/>
          <w:kern w:val="2"/>
          <w:sz w:val="21"/>
          <w:szCs w:val="24"/>
          <w:lang w:val="en-US" w:eastAsia="zh-CN" w:bidi="ar-SA"/>
        </w:rPr>
        <w:id w:val="147475524"/>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14" w:name="_Toc15377196"/>
          <w:bookmarkStart w:id="15" w:name="_Toc15396599"/>
          <w:r>
            <w:fldChar w:fldCharType="begin"/>
          </w:r>
          <w:r>
            <w:instrText xml:space="preserve">TOC \o "1-2" \h \u </w:instrText>
          </w:r>
          <w:r>
            <w:fldChar w:fldCharType="separate"/>
          </w:r>
        </w:p>
        <w:p>
          <w:pPr>
            <w:pStyle w:val="31"/>
            <w:tabs>
              <w:tab w:val="right" w:leader="dot" w:pos="8306"/>
            </w:tabs>
            <w:rPr>
              <w:b/>
            </w:rPr>
          </w:pPr>
          <w:r>
            <w:rPr>
              <w:b/>
            </w:rPr>
            <w:fldChar w:fldCharType="begin"/>
          </w:r>
          <w:r>
            <w:rPr>
              <w:b/>
            </w:rPr>
            <w:instrText xml:space="preserve"> HYPERLINK \l _Toc11130 </w:instrText>
          </w:r>
          <w:r>
            <w:rPr>
              <w:b/>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_Toc11130 \h </w:instrText>
          </w:r>
          <w:r>
            <w:rPr>
              <w:b/>
            </w:rPr>
            <w:fldChar w:fldCharType="separate"/>
          </w:r>
          <w:r>
            <w:rPr>
              <w:b/>
            </w:rPr>
            <w:t>1</w:t>
          </w:r>
          <w:r>
            <w:rPr>
              <w:b/>
            </w:rPr>
            <w:fldChar w:fldCharType="end"/>
          </w:r>
          <w:r>
            <w:rPr>
              <w:b/>
            </w:rPr>
            <w:fldChar w:fldCharType="end"/>
          </w:r>
        </w:p>
        <w:p>
          <w:pPr>
            <w:pStyle w:val="32"/>
            <w:tabs>
              <w:tab w:val="right" w:leader="dot" w:pos="8306"/>
            </w:tabs>
          </w:pPr>
          <w:r>
            <w:fldChar w:fldCharType="begin"/>
          </w:r>
          <w:r>
            <w:instrText xml:space="preserve"> HYPERLINK \l _Toc22365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_Toc22365 \h </w:instrText>
          </w:r>
          <w:r>
            <w:fldChar w:fldCharType="separate"/>
          </w:r>
          <w:r>
            <w:t>1</w:t>
          </w:r>
          <w:r>
            <w:fldChar w:fldCharType="end"/>
          </w:r>
          <w:r>
            <w:fldChar w:fldCharType="end"/>
          </w:r>
        </w:p>
        <w:p>
          <w:pPr>
            <w:pStyle w:val="32"/>
            <w:tabs>
              <w:tab w:val="right" w:leader="dot" w:pos="8306"/>
            </w:tabs>
          </w:pPr>
          <w:r>
            <w:fldChar w:fldCharType="begin"/>
          </w:r>
          <w:r>
            <w:instrText xml:space="preserve"> HYPERLINK \l _Toc23138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_Toc23138 \h </w:instrText>
          </w:r>
          <w:r>
            <w:fldChar w:fldCharType="separate"/>
          </w:r>
          <w:r>
            <w:t>1</w:t>
          </w:r>
          <w:r>
            <w:fldChar w:fldCharType="end"/>
          </w:r>
          <w:r>
            <w:fldChar w:fldCharType="end"/>
          </w:r>
        </w:p>
        <w:p>
          <w:pPr>
            <w:pStyle w:val="31"/>
            <w:tabs>
              <w:tab w:val="right" w:leader="dot" w:pos="8306"/>
            </w:tabs>
            <w:rPr>
              <w:b/>
            </w:rPr>
          </w:pPr>
          <w:r>
            <w:rPr>
              <w:b/>
            </w:rPr>
            <w:fldChar w:fldCharType="begin"/>
          </w:r>
          <w:r>
            <w:rPr>
              <w:b/>
            </w:rPr>
            <w:instrText xml:space="preserve"> HYPERLINK \l _Toc11319 </w:instrText>
          </w:r>
          <w:r>
            <w:rPr>
              <w:b/>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_Toc11319 \h </w:instrText>
          </w:r>
          <w:r>
            <w:rPr>
              <w:b/>
            </w:rPr>
            <w:fldChar w:fldCharType="separate"/>
          </w:r>
          <w:r>
            <w:rPr>
              <w:b/>
            </w:rPr>
            <w:t>2</w:t>
          </w:r>
          <w:r>
            <w:rPr>
              <w:b/>
            </w:rPr>
            <w:fldChar w:fldCharType="end"/>
          </w:r>
          <w:r>
            <w:rPr>
              <w:b/>
            </w:rPr>
            <w:fldChar w:fldCharType="end"/>
          </w:r>
        </w:p>
        <w:p>
          <w:pPr>
            <w:pStyle w:val="32"/>
            <w:tabs>
              <w:tab w:val="right" w:leader="dot" w:pos="8306"/>
            </w:tabs>
          </w:pPr>
          <w:r>
            <w:fldChar w:fldCharType="begin"/>
          </w:r>
          <w:r>
            <w:instrText xml:space="preserve"> HYPERLINK \l _Toc6461 </w:instrText>
          </w:r>
          <w: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_Toc6461 \h </w:instrText>
          </w:r>
          <w:r>
            <w:fldChar w:fldCharType="separate"/>
          </w:r>
          <w:r>
            <w:t>2</w:t>
          </w:r>
          <w:r>
            <w:fldChar w:fldCharType="end"/>
          </w:r>
          <w:r>
            <w:fldChar w:fldCharType="end"/>
          </w:r>
        </w:p>
        <w:p>
          <w:pPr>
            <w:pStyle w:val="32"/>
            <w:tabs>
              <w:tab w:val="right" w:leader="dot" w:pos="8306"/>
            </w:tabs>
          </w:pPr>
          <w:r>
            <w:fldChar w:fldCharType="begin"/>
          </w:r>
          <w:r>
            <w:instrText xml:space="preserve"> HYPERLINK \l _Toc4360 </w:instrText>
          </w:r>
          <w: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_Toc4360 \h </w:instrText>
          </w:r>
          <w:r>
            <w:fldChar w:fldCharType="separate"/>
          </w:r>
          <w:r>
            <w:t>2</w:t>
          </w:r>
          <w:r>
            <w:fldChar w:fldCharType="end"/>
          </w:r>
          <w:r>
            <w:fldChar w:fldCharType="end"/>
          </w:r>
        </w:p>
        <w:p>
          <w:pPr>
            <w:pStyle w:val="32"/>
            <w:tabs>
              <w:tab w:val="right" w:leader="dot" w:pos="8306"/>
            </w:tabs>
          </w:pPr>
          <w:r>
            <w:fldChar w:fldCharType="begin"/>
          </w:r>
          <w:r>
            <w:instrText xml:space="preserve"> HYPERLINK \l _Toc26921 </w:instrText>
          </w:r>
          <w: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_Toc26921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_Toc9186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_Toc9186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_Toc20879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_Toc20879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_Toc17663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_Toc17663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_Toc5754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_Toc5754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_Toc31508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_Toc31508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_Toc27862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_Toc27862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_Toc30930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_Toc30930 \h </w:instrText>
          </w:r>
          <w:r>
            <w:fldChar w:fldCharType="separate"/>
          </w:r>
          <w:r>
            <w:t>6</w:t>
          </w:r>
          <w:r>
            <w:fldChar w:fldCharType="end"/>
          </w:r>
          <w:r>
            <w:fldChar w:fldCharType="end"/>
          </w:r>
        </w:p>
        <w:p>
          <w:pPr>
            <w:pStyle w:val="31"/>
            <w:tabs>
              <w:tab w:val="right" w:leader="dot" w:pos="8306"/>
            </w:tabs>
            <w:rPr>
              <w:b/>
            </w:rPr>
          </w:pPr>
          <w:r>
            <w:rPr>
              <w:b/>
            </w:rPr>
            <w:fldChar w:fldCharType="begin"/>
          </w:r>
          <w:r>
            <w:rPr>
              <w:b/>
            </w:rPr>
            <w:instrText xml:space="preserve"> HYPERLINK \l _Toc12614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_Toc12614 \h </w:instrText>
          </w:r>
          <w:r>
            <w:rPr>
              <w:b/>
            </w:rPr>
            <w:fldChar w:fldCharType="separate"/>
          </w:r>
          <w:r>
            <w:rPr>
              <w:b/>
            </w:rPr>
            <w:t>8</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_Toc12831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_Toc12831 \h </w:instrText>
          </w:r>
          <w:r>
            <w:rPr>
              <w:b/>
            </w:rPr>
            <w:fldChar w:fldCharType="separate"/>
          </w:r>
          <w:r>
            <w:rPr>
              <w:b/>
            </w:rPr>
            <w:t>10</w:t>
          </w:r>
          <w:r>
            <w:rPr>
              <w:b/>
            </w:rPr>
            <w:fldChar w:fldCharType="end"/>
          </w:r>
          <w:r>
            <w:rPr>
              <w:b/>
            </w:rPr>
            <w:fldChar w:fldCharType="end"/>
          </w:r>
        </w:p>
        <w:p>
          <w:pPr>
            <w:pStyle w:val="31"/>
            <w:tabs>
              <w:tab w:val="right" w:leader="dot" w:pos="8306"/>
            </w:tabs>
            <w:rPr>
              <w:rFonts w:hint="eastAsia" w:eastAsiaTheme="minorEastAsia"/>
              <w:b/>
              <w:lang w:val="en-US" w:eastAsia="zh-CN"/>
            </w:rPr>
          </w:pPr>
          <w:r>
            <w:rPr>
              <w:b/>
            </w:rPr>
            <w:fldChar w:fldCharType="begin"/>
          </w:r>
          <w:r>
            <w:rPr>
              <w:b/>
            </w:rPr>
            <w:instrText xml:space="preserve"> HYPERLINK \l _Toc19544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rFonts w:hint="eastAsia"/>
              <w:b/>
              <w:lang w:val="en-US" w:eastAsia="zh-CN"/>
            </w:rPr>
            <w:t>2</w:t>
          </w:r>
          <w:r>
            <w:rPr>
              <w:b/>
            </w:rPr>
            <w:fldChar w:fldCharType="end"/>
          </w:r>
          <w:r>
            <w:rPr>
              <w:rFonts w:hint="eastAsia"/>
              <w:b/>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_Toc13345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_Toc6200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_Toc16271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_Toc7394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_Toc24660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_Toc17260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_Toc4816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_Toc30666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_Toc22487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_Toc12659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_Toc840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_Toc19965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rPr>
              <w:rFonts w:hint="eastAsia"/>
              <w:lang w:val="en-US" w:eastAsia="zh-CN"/>
            </w:rPr>
            <w:t>2</w:t>
          </w:r>
          <w:r>
            <w:fldChar w:fldCharType="end"/>
          </w:r>
          <w:r>
            <w:rPr>
              <w:rFonts w:hint="eastAsia"/>
              <w:lang w:val="en-US" w:eastAsia="zh-CN"/>
            </w:rPr>
            <w:t>0</w:t>
          </w:r>
        </w:p>
        <w:p>
          <w:pPr>
            <w:pStyle w:val="32"/>
            <w:tabs>
              <w:tab w:val="right" w:leader="dot" w:pos="8306"/>
            </w:tabs>
            <w:rPr>
              <w:rFonts w:hint="eastAsia" w:eastAsiaTheme="minorEastAsia"/>
              <w:lang w:val="en-US" w:eastAsia="zh-CN"/>
            </w:rPr>
          </w:pPr>
          <w:r>
            <w:fldChar w:fldCharType="begin"/>
          </w:r>
          <w:r>
            <w:instrText xml:space="preserve"> HYPERLINK \l _Toc22705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w:t>
          </w:r>
          <w:r>
            <w:tab/>
          </w:r>
          <w:r>
            <w:rPr>
              <w:rFonts w:hint="eastAsia"/>
              <w:lang w:val="en-US" w:eastAsia="zh-CN"/>
            </w:rPr>
            <w:t>2</w:t>
          </w:r>
          <w:r>
            <w:fldChar w:fldCharType="end"/>
          </w:r>
          <w:r>
            <w:rPr>
              <w:rFonts w:hint="eastAsia"/>
              <w:lang w:val="en-US" w:eastAsia="zh-CN"/>
            </w:rPr>
            <w:t>0</w:t>
          </w:r>
        </w:p>
        <w:p>
          <w:r>
            <w:rPr>
              <w:b/>
            </w:rPr>
            <w:fldChar w:fldCharType="end"/>
          </w:r>
        </w:p>
      </w:sdtContent>
    </w:sdt>
    <w:p>
      <w:pPr>
        <w:pStyle w:val="3"/>
        <w:jc w:val="center"/>
        <w:rPr>
          <w:rFonts w:hint="eastAsia" w:ascii="黑体" w:hAnsi="黑体" w:eastAsia="黑体"/>
          <w:b w:val="0"/>
          <w:color w:val="auto"/>
          <w:highlight w:val="none"/>
        </w:rPr>
        <w:sectPr>
          <w:pgSz w:w="11906" w:h="16838"/>
          <w:pgMar w:top="1440" w:right="1800" w:bottom="1440" w:left="1800" w:header="851" w:footer="992" w:gutter="0"/>
          <w:pgNumType w:fmt="decimal" w:start="1"/>
          <w:cols w:space="425" w:num="1"/>
          <w:titlePg/>
          <w:docGrid w:type="lines" w:linePitch="312" w:charSpace="0"/>
        </w:sectPr>
      </w:pPr>
      <w:bookmarkStart w:id="16" w:name="_Toc11130"/>
    </w:p>
    <w:p>
      <w:pPr>
        <w:pStyle w:val="3"/>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416" w:lineRule="auto"/>
        <w:ind w:firstLine="640" w:firstLineChars="200"/>
        <w:textAlignment w:val="auto"/>
        <w:rPr>
          <w:rStyle w:val="18"/>
          <w:rFonts w:hint="eastAsia" w:ascii="黑体" w:hAnsi="黑体" w:eastAsia="黑体"/>
          <w:b w:val="0"/>
          <w:bCs w:val="0"/>
          <w:color w:val="auto"/>
          <w:highlight w:val="none"/>
          <w:lang w:eastAsia="zh-CN"/>
        </w:rPr>
      </w:pPr>
      <w:bookmarkStart w:id="17" w:name="_Toc22365"/>
      <w:bookmarkStart w:id="18" w:name="_Toc15377197"/>
      <w:bookmarkStart w:id="19" w:name="_Toc15396600"/>
      <w:r>
        <w:rPr>
          <w:rStyle w:val="18"/>
          <w:rFonts w:hint="eastAsia" w:ascii="黑体" w:hAnsi="黑体" w:eastAsia="黑体"/>
          <w:b w:val="0"/>
          <w:bCs w:val="0"/>
          <w:color w:val="auto"/>
          <w:highlight w:val="none"/>
          <w:lang w:eastAsia="zh-CN"/>
        </w:rPr>
        <w:t>一、主要职责</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b w:val="0"/>
          <w:color w:val="auto"/>
          <w:highlight w:val="none"/>
          <w:lang w:val="en-US" w:eastAsia="zh-CN"/>
        </w:rPr>
      </w:pPr>
      <w:r>
        <w:rPr>
          <w:rFonts w:hint="eastAsia" w:ascii="仿宋_GB2312" w:hAnsi="微软雅黑" w:eastAsia="仿宋_GB2312"/>
          <w:sz w:val="32"/>
          <w:szCs w:val="32"/>
        </w:rPr>
        <w:t>承担市级财政绩效管理工作，负责市级各部门、各单位政府公共预算、国有资本经营预算、政府性基金预算和社会保障基金预算草案的初审、汇总；研究制定市级财政绩效管理制度并组织实施；负责组织实施市级财政绩效考评工作，研究提出考评结果运用建议；指导县区财政绩效管理工作。</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416" w:lineRule="auto"/>
        <w:ind w:firstLine="640" w:firstLineChars="200"/>
        <w:textAlignment w:val="auto"/>
        <w:rPr>
          <w:rFonts w:hint="default"/>
          <w:lang w:val="en-US" w:eastAsia="zh-CN"/>
        </w:rPr>
      </w:pPr>
      <w:bookmarkStart w:id="20" w:name="_Toc23138"/>
      <w:r>
        <w:rPr>
          <w:rFonts w:hint="eastAsia" w:ascii="黑体" w:hAnsi="黑体" w:eastAsia="黑体"/>
          <w:b w:val="0"/>
          <w:color w:val="auto"/>
          <w:highlight w:val="none"/>
          <w:lang w:val="en-US" w:eastAsia="zh-CN"/>
        </w:rPr>
        <w:t>二、机构设置</w:t>
      </w:r>
      <w:bookmarkEnd w:id="20"/>
    </w:p>
    <w:bookmarkEnd w:id="18"/>
    <w:bookmarkEnd w:id="19"/>
    <w:p>
      <w:pPr>
        <w:widowControl/>
        <w:ind w:firstLine="640" w:firstLineChars="200"/>
        <w:jc w:val="left"/>
        <w:rPr>
          <w:rFonts w:ascii="仿宋" w:hAnsi="仿宋" w:eastAsia="仿宋"/>
          <w:color w:val="auto"/>
          <w:kern w:val="0"/>
          <w:sz w:val="32"/>
          <w:szCs w:val="32"/>
          <w:highlight w:val="none"/>
        </w:rPr>
      </w:pPr>
      <w:r>
        <w:rPr>
          <w:rFonts w:hint="eastAsia" w:ascii="仿宋_GB2312" w:hAnsi="仿宋_GB2312" w:eastAsia="仿宋_GB2312" w:cs="仿宋_GB2312"/>
          <w:b w:val="0"/>
          <w:bCs w:val="0"/>
          <w:color w:val="auto"/>
          <w:kern w:val="0"/>
          <w:sz w:val="32"/>
          <w:szCs w:val="32"/>
        </w:rPr>
        <w:t>广元市财政绩效管理中心</w:t>
      </w:r>
      <w:r>
        <w:rPr>
          <w:rFonts w:hint="eastAsia" w:ascii="仿宋_GB2312" w:hAnsi="仿宋_GB2312" w:eastAsia="仿宋_GB2312" w:cs="仿宋_GB2312"/>
          <w:b w:val="0"/>
          <w:bCs w:val="0"/>
          <w:color w:val="auto"/>
          <w:kern w:val="0"/>
          <w:sz w:val="32"/>
          <w:szCs w:val="32"/>
          <w:lang w:val="en-US" w:eastAsia="zh-CN"/>
        </w:rPr>
        <w:t>为</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广元市财政局下属</w:t>
      </w:r>
      <w:r>
        <w:rPr>
          <w:rFonts w:hint="default" w:ascii="仿宋_GB2312" w:eastAsia="仿宋_GB2312" w:cs="仿宋_GB2312"/>
          <w:b w:val="0"/>
          <w:bCs w:val="0"/>
          <w:i w:val="0"/>
          <w:caps w:val="0"/>
          <w:color w:val="auto"/>
          <w:spacing w:val="0"/>
          <w:kern w:val="0"/>
          <w:sz w:val="32"/>
          <w:szCs w:val="32"/>
          <w:shd w:val="clear" w:color="auto" w:fill="FFFFFF"/>
          <w:lang w:eastAsia="zh-CN" w:bidi="ar"/>
        </w:rPr>
        <w:t>二级</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事业预算单位。</w:t>
      </w:r>
      <w:r>
        <w:rPr>
          <w:rFonts w:hint="eastAsia" w:ascii="仿宋_GB2312" w:hAnsi="仿宋_GB2312" w:eastAsia="仿宋_GB2312" w:cs="仿宋_GB2312"/>
          <w:b w:val="0"/>
          <w:bCs w:val="0"/>
          <w:color w:val="auto"/>
          <w:kern w:val="0"/>
          <w:sz w:val="32"/>
          <w:szCs w:val="32"/>
          <w:lang w:val="en-US" w:eastAsia="zh-CN"/>
        </w:rPr>
        <w:t xml:space="preserve"> </w:t>
      </w: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21" w:name="_Toc11319"/>
      <w:bookmarkStart w:id="22" w:name="_Toc15377204"/>
      <w:bookmarkStart w:id="23"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7"/>
        <w:numPr>
          <w:ilvl w:val="0"/>
          <w:numId w:val="1"/>
        </w:numPr>
        <w:spacing w:line="600" w:lineRule="exact"/>
        <w:ind w:firstLineChars="0"/>
        <w:outlineLvl w:val="1"/>
        <w:rPr>
          <w:rStyle w:val="18"/>
          <w:rFonts w:ascii="黑体" w:hAnsi="黑体" w:eastAsia="黑体"/>
          <w:b w:val="0"/>
          <w:color w:val="auto"/>
          <w:highlight w:val="none"/>
        </w:rPr>
      </w:pPr>
      <w:bookmarkStart w:id="24" w:name="_Toc15396603"/>
      <w:bookmarkStart w:id="25" w:name="_Toc6461"/>
      <w:bookmarkStart w:id="26"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178.41</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227.68</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56.07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：一是</w:t>
      </w:r>
      <w:r>
        <w:rPr>
          <w:rFonts w:hint="eastAsia" w:ascii="仿宋" w:hAnsi="仿宋" w:eastAsia="仿宋"/>
          <w:color w:val="auto"/>
          <w:sz w:val="32"/>
          <w:szCs w:val="32"/>
          <w:highlight w:val="none"/>
          <w:lang w:val="en-US" w:eastAsia="zh-CN"/>
        </w:rPr>
        <w:t>2022年年初结转资金较2021年下降</w:t>
      </w:r>
      <w:r>
        <w:rPr>
          <w:rFonts w:hint="eastAsia" w:ascii="仿宋" w:hAnsi="仿宋" w:eastAsia="仿宋"/>
          <w:color w:val="auto"/>
          <w:sz w:val="32"/>
          <w:szCs w:val="32"/>
          <w:highlight w:val="none"/>
          <w:lang w:eastAsia="zh-CN"/>
        </w:rPr>
        <w:t>；二是项目支出收支</w:t>
      </w:r>
      <w:r>
        <w:rPr>
          <w:rFonts w:hint="eastAsia" w:ascii="仿宋" w:hAnsi="仿宋" w:eastAsia="仿宋"/>
          <w:color w:val="auto"/>
          <w:sz w:val="32"/>
          <w:szCs w:val="32"/>
          <w:highlight w:val="none"/>
          <w:lang w:val="en-US" w:eastAsia="zh-CN"/>
        </w:rPr>
        <w:t>减少。</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
        <w:ind w:left="0" w:leftChars="0" w:firstLine="0" w:firstLineChars="0"/>
        <w:jc w:val="center"/>
        <w:rPr>
          <w:rFonts w:ascii="仿宋_GB2312" w:eastAsia="仿宋_GB2312"/>
          <w:color w:val="auto"/>
          <w:sz w:val="32"/>
          <w:szCs w:val="32"/>
          <w:highlight w:val="none"/>
        </w:rPr>
      </w:pPr>
      <w:r>
        <w:drawing>
          <wp:inline distT="0" distB="0" distL="114300" distR="114300">
            <wp:extent cx="3340735" cy="1715135"/>
            <wp:effectExtent l="4445" t="4445" r="7620" b="1397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7"/>
        <w:numPr>
          <w:ilvl w:val="0"/>
          <w:numId w:val="1"/>
        </w:numPr>
        <w:spacing w:line="600" w:lineRule="exact"/>
        <w:ind w:firstLineChars="0"/>
        <w:outlineLvl w:val="1"/>
        <w:rPr>
          <w:rStyle w:val="18"/>
          <w:rFonts w:ascii="黑体" w:hAnsi="黑体" w:eastAsia="黑体"/>
          <w:b w:val="0"/>
          <w:color w:val="auto"/>
          <w:highlight w:val="none"/>
        </w:rPr>
      </w:pPr>
      <w:bookmarkStart w:id="27" w:name="_Toc4360"/>
      <w:bookmarkStart w:id="28" w:name="_Toc15396604"/>
      <w:bookmarkStart w:id="29" w:name="_Toc15377206"/>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auto"/>
          <w:sz w:val="32"/>
          <w:szCs w:val="32"/>
          <w:highlight w:val="none"/>
        </w:rPr>
      </w:pPr>
      <w:bookmarkStart w:id="30" w:name="_Toc3117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149.85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149.84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99.99</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0.01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
        <w:ind w:left="0" w:leftChars="0" w:firstLine="0" w:firstLineChars="0"/>
        <w:jc w:val="center"/>
        <w:rPr>
          <w:rFonts w:ascii="仿宋_GB2312" w:eastAsia="仿宋_GB2312"/>
          <w:color w:val="auto"/>
          <w:sz w:val="32"/>
          <w:szCs w:val="32"/>
          <w:highlight w:val="none"/>
        </w:rPr>
      </w:pPr>
      <w:r>
        <w:drawing>
          <wp:inline distT="0" distB="0" distL="114300" distR="114300">
            <wp:extent cx="2983865" cy="1735455"/>
            <wp:effectExtent l="5080" t="4445" r="20955" b="1270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7"/>
        <w:numPr>
          <w:ilvl w:val="0"/>
          <w:numId w:val="1"/>
        </w:numPr>
        <w:spacing w:line="600" w:lineRule="exact"/>
        <w:ind w:firstLineChars="0"/>
        <w:outlineLvl w:val="1"/>
        <w:rPr>
          <w:rStyle w:val="18"/>
          <w:rFonts w:ascii="黑体" w:hAnsi="黑体" w:eastAsia="黑体"/>
          <w:b w:val="0"/>
          <w:color w:val="auto"/>
          <w:highlight w:val="none"/>
        </w:rPr>
      </w:pPr>
      <w:bookmarkStart w:id="31" w:name="_Toc15377207"/>
      <w:bookmarkStart w:id="32" w:name="_Toc26921"/>
      <w:bookmarkStart w:id="33" w:name="_Toc15396605"/>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auto"/>
          <w:sz w:val="32"/>
          <w:szCs w:val="32"/>
          <w:highlight w:val="none"/>
        </w:rPr>
      </w:pPr>
      <w:bookmarkStart w:id="34" w:name="_Toc419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162.09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142.6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87.98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19.49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12.02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pStyle w:val="2"/>
        <w:ind w:left="0" w:leftChars="0" w:firstLine="0" w:firstLineChars="0"/>
        <w:jc w:val="center"/>
        <w:rPr>
          <w:rFonts w:ascii="仿宋_GB2312" w:eastAsia="仿宋_GB2312"/>
          <w:color w:val="auto"/>
          <w:sz w:val="32"/>
          <w:szCs w:val="32"/>
          <w:highlight w:val="none"/>
        </w:rPr>
      </w:pPr>
      <w:r>
        <w:drawing>
          <wp:inline distT="0" distB="0" distL="114300" distR="114300">
            <wp:extent cx="3115945" cy="1712595"/>
            <wp:effectExtent l="4445" t="4445" r="22860" b="16510"/>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35" w:name="_Toc9186"/>
      <w:bookmarkStart w:id="36" w:name="_Toc15396606"/>
      <w:bookmarkStart w:id="37" w:name="_Toc15377208"/>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firstLineChars="200"/>
        <w:rPr>
          <w:rFonts w:hint="default"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default" w:ascii="仿宋" w:hAnsi="仿宋" w:eastAsia="仿宋"/>
          <w:color w:val="auto"/>
          <w:sz w:val="32"/>
          <w:szCs w:val="32"/>
          <w:highlight w:val="none"/>
          <w:lang w:val="en"/>
        </w:rPr>
        <w:t>178.34</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default" w:ascii="仿宋" w:hAnsi="仿宋" w:eastAsia="仿宋"/>
          <w:color w:val="auto"/>
          <w:sz w:val="32"/>
          <w:szCs w:val="32"/>
          <w:highlight w:val="none"/>
          <w:lang w:val="en"/>
        </w:rPr>
        <w:t>227.65</w:t>
      </w:r>
      <w:r>
        <w:rPr>
          <w:rFonts w:hint="eastAsia" w:ascii="仿宋" w:hAnsi="仿宋" w:eastAsia="仿宋"/>
          <w:color w:val="auto"/>
          <w:sz w:val="32"/>
          <w:szCs w:val="32"/>
          <w:highlight w:val="none"/>
        </w:rPr>
        <w:t>万元，下降</w:t>
      </w:r>
      <w:r>
        <w:rPr>
          <w:rFonts w:hint="default" w:ascii="仿宋" w:hAnsi="仿宋" w:eastAsia="仿宋"/>
          <w:color w:val="auto"/>
          <w:sz w:val="32"/>
          <w:szCs w:val="32"/>
          <w:highlight w:val="none"/>
          <w:lang w:val="en"/>
        </w:rPr>
        <w:t>56.07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：一是</w:t>
      </w:r>
      <w:r>
        <w:rPr>
          <w:rFonts w:hint="eastAsia" w:ascii="仿宋" w:hAnsi="仿宋" w:eastAsia="仿宋"/>
          <w:color w:val="auto"/>
          <w:sz w:val="32"/>
          <w:szCs w:val="32"/>
          <w:highlight w:val="none"/>
          <w:lang w:val="en-US" w:eastAsia="zh-CN"/>
        </w:rPr>
        <w:t>2022年年初结转资金较2021年下降</w:t>
      </w:r>
      <w:r>
        <w:rPr>
          <w:rFonts w:hint="eastAsia" w:ascii="仿宋" w:hAnsi="仿宋" w:eastAsia="仿宋"/>
          <w:color w:val="auto"/>
          <w:sz w:val="32"/>
          <w:szCs w:val="32"/>
          <w:highlight w:val="none"/>
          <w:lang w:eastAsia="zh-CN"/>
        </w:rPr>
        <w:t>；二是</w:t>
      </w:r>
      <w:r>
        <w:rPr>
          <w:rFonts w:hint="eastAsia" w:ascii="仿宋" w:hAnsi="仿宋" w:eastAsia="仿宋"/>
          <w:color w:val="auto"/>
          <w:sz w:val="32"/>
          <w:szCs w:val="32"/>
          <w:highlight w:val="none"/>
          <w:lang w:val="en-US" w:eastAsia="zh-CN"/>
        </w:rPr>
        <w:t>2022年人员减少引起的收支减少。</w:t>
      </w:r>
    </w:p>
    <w:p>
      <w:pPr>
        <w:spacing w:line="600" w:lineRule="exact"/>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2"/>
        <w:ind w:left="0" w:leftChars="0" w:firstLine="0" w:firstLineChars="0"/>
        <w:jc w:val="center"/>
        <w:rPr>
          <w:rFonts w:ascii="仿宋" w:hAnsi="仿宋" w:eastAsia="仿宋"/>
          <w:b/>
          <w:color w:val="auto"/>
          <w:sz w:val="32"/>
          <w:szCs w:val="32"/>
          <w:highlight w:val="none"/>
        </w:rPr>
      </w:pPr>
      <w:r>
        <w:drawing>
          <wp:inline distT="0" distB="0" distL="114300" distR="114300">
            <wp:extent cx="3547745" cy="1891665"/>
            <wp:effectExtent l="4445" t="4445" r="10160" b="88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38" w:name="_Toc15396607"/>
      <w:bookmarkStart w:id="39" w:name="_Toc15377209"/>
      <w:bookmarkStart w:id="40" w:name="_Toc2087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2"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pacing w:line="600" w:lineRule="exact"/>
        <w:ind w:firstLine="640" w:firstLineChars="200"/>
        <w:rPr>
          <w:rFonts w:hint="default"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default" w:ascii="仿宋" w:hAnsi="仿宋" w:eastAsia="仿宋"/>
          <w:color w:val="auto"/>
          <w:sz w:val="32"/>
          <w:szCs w:val="32"/>
          <w:highlight w:val="none"/>
          <w:lang w:val="en"/>
        </w:rPr>
        <w:t>162.05</w:t>
      </w:r>
      <w:r>
        <w:rPr>
          <w:rFonts w:hint="eastAsia" w:ascii="仿宋" w:hAnsi="仿宋" w:eastAsia="仿宋"/>
          <w:color w:val="auto"/>
          <w:sz w:val="32"/>
          <w:szCs w:val="32"/>
          <w:highlight w:val="none"/>
        </w:rPr>
        <w:t>万元，占本年支出合计的</w:t>
      </w:r>
      <w:r>
        <w:rPr>
          <w:rFonts w:hint="default" w:ascii="仿宋" w:hAnsi="仿宋" w:eastAsia="仿宋"/>
          <w:color w:val="auto"/>
          <w:sz w:val="32"/>
          <w:szCs w:val="32"/>
          <w:highlight w:val="none"/>
          <w:lang w:val="en"/>
        </w:rPr>
        <w:t>99.98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default" w:ascii="仿宋" w:hAnsi="仿宋" w:eastAsia="仿宋"/>
          <w:color w:val="auto"/>
          <w:sz w:val="32"/>
          <w:szCs w:val="32"/>
          <w:highlight w:val="none"/>
          <w:lang w:val="en"/>
        </w:rPr>
        <w:t>64.43</w:t>
      </w:r>
      <w:r>
        <w:rPr>
          <w:rFonts w:hint="eastAsia" w:ascii="仿宋" w:hAnsi="仿宋" w:eastAsia="仿宋"/>
          <w:color w:val="auto"/>
          <w:sz w:val="32"/>
          <w:szCs w:val="32"/>
          <w:highlight w:val="none"/>
        </w:rPr>
        <w:t>万元，下降</w:t>
      </w:r>
      <w:r>
        <w:rPr>
          <w:rFonts w:hint="default" w:ascii="仿宋" w:hAnsi="仿宋" w:eastAsia="仿宋"/>
          <w:color w:val="auto"/>
          <w:sz w:val="32"/>
          <w:szCs w:val="32"/>
          <w:highlight w:val="none"/>
          <w:lang w:val="en"/>
        </w:rPr>
        <w:t>28.45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2022年实施的项目支出需结转下年支付，因此当年项目支出较2021年降低。</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pStyle w:val="2"/>
        <w:ind w:left="0" w:leftChars="0" w:firstLine="0" w:firstLineChars="0"/>
        <w:jc w:val="center"/>
        <w:rPr>
          <w:rFonts w:ascii="仿宋" w:hAnsi="仿宋" w:eastAsia="仿宋"/>
          <w:color w:val="auto"/>
          <w:sz w:val="32"/>
          <w:szCs w:val="32"/>
          <w:highlight w:val="none"/>
        </w:rPr>
      </w:pPr>
      <w:r>
        <w:drawing>
          <wp:inline distT="0" distB="0" distL="114300" distR="114300">
            <wp:extent cx="4283710" cy="1983105"/>
            <wp:effectExtent l="5080" t="4445" r="16510" b="1270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162.05</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135.24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83.45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9.69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5.98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5.36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3.31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11.76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pStyle w:val="2"/>
        <w:jc w:val="center"/>
        <w:rPr>
          <w:rFonts w:ascii="仿宋" w:hAnsi="仿宋" w:eastAsia="仿宋"/>
          <w:color w:val="auto"/>
          <w:sz w:val="32"/>
          <w:szCs w:val="32"/>
          <w:highlight w:val="none"/>
        </w:rPr>
      </w:pPr>
      <w:r>
        <w:drawing>
          <wp:inline distT="0" distB="0" distL="114300" distR="114300">
            <wp:extent cx="3565525" cy="2131695"/>
            <wp:effectExtent l="4445" t="4445" r="11430" b="16510"/>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3" w:name="_Toc15377212"/>
      <w:r>
        <w:rPr>
          <w:rFonts w:hint="eastAsia" w:ascii="仿宋" w:hAnsi="仿宋" w:eastAsia="仿宋"/>
          <w:b/>
          <w:color w:val="auto"/>
          <w:sz w:val="32"/>
          <w:szCs w:val="32"/>
          <w:highlight w:val="none"/>
        </w:rPr>
        <w:t>（三）一般公共预算财政拨款支出决算具体情况</w:t>
      </w:r>
      <w:bookmarkEnd w:id="43"/>
    </w:p>
    <w:p>
      <w:pPr>
        <w:spacing w:line="600" w:lineRule="exact"/>
        <w:ind w:firstLine="642" w:firstLineChars="200"/>
        <w:outlineLvl w:val="2"/>
        <w:rPr>
          <w:rFonts w:ascii="仿宋" w:hAnsi="仿宋" w:eastAsia="仿宋"/>
          <w:color w:val="auto"/>
          <w:sz w:val="32"/>
          <w:szCs w:val="32"/>
          <w:highlight w:val="none"/>
        </w:rPr>
      </w:pPr>
      <w:bookmarkStart w:id="44" w:name="_Toc15377213"/>
      <w:bookmarkStart w:id="45" w:name="_Toc15377444"/>
      <w:bookmarkStart w:id="46"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般公共预算财政拨款支出决算数为</w:t>
      </w:r>
      <w:r>
        <w:rPr>
          <w:rFonts w:hint="eastAsia" w:ascii="仿宋" w:hAnsi="仿宋" w:eastAsia="仿宋"/>
          <w:b/>
          <w:color w:val="auto"/>
          <w:sz w:val="32"/>
          <w:szCs w:val="32"/>
          <w:highlight w:val="none"/>
          <w:lang w:val="en-US" w:eastAsia="zh-CN"/>
        </w:rPr>
        <w:t>162.05万元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90.87</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4"/>
      <w:bookmarkEnd w:id="45"/>
      <w:bookmarkEnd w:id="46"/>
    </w:p>
    <w:p>
      <w:pPr>
        <w:numPr>
          <w:ilvl w:val="0"/>
          <w:numId w:val="0"/>
        </w:numPr>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ascii="仿宋" w:hAnsi="仿宋" w:eastAsia="仿宋"/>
          <w:bCs/>
          <w:color w:val="auto"/>
          <w:sz w:val="32"/>
          <w:szCs w:val="32"/>
          <w:highlight w:val="none"/>
        </w:rPr>
        <w:t>1.</w:t>
      </w:r>
      <w:bookmarkStart w:id="47" w:name="_Toc15377214"/>
      <w:bookmarkStart w:id="48" w:name="_Toc15396608"/>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事业运行</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115.75</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95.33</w:t>
      </w:r>
      <w:r>
        <w:rPr>
          <w:rStyle w:val="15"/>
          <w:rFonts w:hint="eastAsia" w:ascii="仿宋_GB2312" w:hAnsi="仿宋_GB2312" w:eastAsia="仿宋_GB2312" w:cs="仿宋_GB2312"/>
          <w:b w:val="0"/>
          <w:bCs/>
          <w:color w:val="auto"/>
          <w:sz w:val="32"/>
          <w:szCs w:val="32"/>
          <w:highlight w:val="none"/>
        </w:rPr>
        <w:t>%，决算数小于预算数的主要原因是</w:t>
      </w:r>
      <w:r>
        <w:rPr>
          <w:rStyle w:val="15"/>
          <w:rFonts w:hint="eastAsia" w:ascii="仿宋" w:hAnsi="仿宋" w:eastAsia="仿宋"/>
          <w:b w:val="0"/>
          <w:bCs/>
          <w:color w:val="auto"/>
          <w:sz w:val="32"/>
          <w:szCs w:val="32"/>
          <w:highlight w:val="none"/>
          <w:lang w:eastAsia="zh-CN"/>
        </w:rPr>
        <w:t>当年部分公积金及保险需结转到</w:t>
      </w:r>
      <w:r>
        <w:rPr>
          <w:rStyle w:val="15"/>
          <w:rFonts w:hint="eastAsia" w:ascii="仿宋" w:hAnsi="仿宋" w:eastAsia="仿宋"/>
          <w:b w:val="0"/>
          <w:bCs/>
          <w:color w:val="auto"/>
          <w:sz w:val="32"/>
          <w:szCs w:val="32"/>
          <w:highlight w:val="none"/>
          <w:lang w:val="en-US" w:eastAsia="zh-CN"/>
        </w:rPr>
        <w:t>2023年支出</w:t>
      </w:r>
      <w:r>
        <w:rPr>
          <w:rStyle w:val="15"/>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2</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其他财政事务支出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19.49</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64.71</w:t>
      </w:r>
      <w:r>
        <w:rPr>
          <w:rStyle w:val="15"/>
          <w:rFonts w:hint="eastAsia" w:ascii="仿宋_GB2312" w:hAnsi="仿宋_GB2312" w:eastAsia="仿宋_GB2312" w:cs="仿宋_GB2312"/>
          <w:b w:val="0"/>
          <w:bCs/>
          <w:color w:val="auto"/>
          <w:sz w:val="32"/>
          <w:szCs w:val="32"/>
          <w:highlight w:val="none"/>
        </w:rPr>
        <w:t>%，决算数小于预算数的主要原因是</w:t>
      </w:r>
      <w:r>
        <w:rPr>
          <w:rStyle w:val="15"/>
          <w:rFonts w:hint="eastAsia" w:ascii="仿宋_GB2312" w:hAnsi="仿宋_GB2312" w:eastAsia="仿宋_GB2312" w:cs="仿宋_GB2312"/>
          <w:b w:val="0"/>
          <w:bCs/>
          <w:color w:val="000000"/>
          <w:sz w:val="32"/>
          <w:szCs w:val="32"/>
        </w:rPr>
        <w:t>项目支出202</w:t>
      </w:r>
      <w:r>
        <w:rPr>
          <w:rStyle w:val="15"/>
          <w:rFonts w:hint="eastAsia" w:ascii="仿宋_GB2312" w:hAnsi="仿宋_GB2312" w:eastAsia="仿宋_GB2312" w:cs="仿宋_GB2312"/>
          <w:b w:val="0"/>
          <w:bCs/>
          <w:color w:val="000000"/>
          <w:sz w:val="32"/>
          <w:szCs w:val="32"/>
          <w:lang w:val="en-US" w:eastAsia="zh-CN"/>
        </w:rPr>
        <w:t>2</w:t>
      </w:r>
      <w:r>
        <w:rPr>
          <w:rStyle w:val="15"/>
          <w:rFonts w:hint="eastAsia" w:ascii="仿宋_GB2312" w:hAnsi="仿宋_GB2312" w:eastAsia="仿宋_GB2312" w:cs="仿宋_GB2312"/>
          <w:b w:val="0"/>
          <w:bCs/>
          <w:color w:val="000000"/>
          <w:sz w:val="32"/>
          <w:szCs w:val="32"/>
        </w:rPr>
        <w:t>年未完成，202</w:t>
      </w:r>
      <w:r>
        <w:rPr>
          <w:rStyle w:val="15"/>
          <w:rFonts w:hint="eastAsia" w:ascii="仿宋_GB2312" w:hAnsi="仿宋_GB2312" w:eastAsia="仿宋_GB2312" w:cs="仿宋_GB2312"/>
          <w:b w:val="0"/>
          <w:bCs/>
          <w:color w:val="000000"/>
          <w:sz w:val="32"/>
          <w:szCs w:val="32"/>
          <w:lang w:val="en-US" w:eastAsia="zh-CN"/>
        </w:rPr>
        <w:t>3</w:t>
      </w:r>
      <w:r>
        <w:rPr>
          <w:rStyle w:val="15"/>
          <w:rFonts w:hint="eastAsia" w:ascii="仿宋_GB2312" w:hAnsi="仿宋_GB2312" w:eastAsia="仿宋_GB2312" w:cs="仿宋_GB2312"/>
          <w:b w:val="0"/>
          <w:bCs/>
          <w:color w:val="000000"/>
          <w:sz w:val="32"/>
          <w:szCs w:val="32"/>
        </w:rPr>
        <w:t>年还将继续实施</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hAnsi="仿宋_GB2312" w:cs="仿宋_GB2312"/>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3.社会保障</w:t>
      </w:r>
      <w:r>
        <w:rPr>
          <w:rStyle w:val="15"/>
          <w:rFonts w:hint="eastAsia" w:ascii="仿宋_GB2312" w:hAnsi="仿宋_GB2312" w:eastAsia="仿宋_GB2312" w:cs="仿宋_GB2312"/>
          <w:bCs/>
          <w:color w:val="auto"/>
          <w:sz w:val="32"/>
          <w:szCs w:val="32"/>
          <w:highlight w:val="none"/>
        </w:rPr>
        <w:t>和就业（类）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机关事业单位基本养老保险缴费支出</w:t>
      </w:r>
      <w:r>
        <w:rPr>
          <w:rStyle w:val="15"/>
          <w:rFonts w:hint="eastAsia" w:ascii="仿宋_GB2312" w:hAnsi="仿宋_GB2312" w:eastAsia="仿宋_GB2312" w:cs="仿宋_GB2312"/>
          <w:bCs/>
          <w:color w:val="auto"/>
          <w:sz w:val="32"/>
          <w:szCs w:val="32"/>
          <w:highlight w:val="none"/>
        </w:rPr>
        <w:t>（项）</w:t>
      </w:r>
      <w:r>
        <w:rPr>
          <w:rStyle w:val="15"/>
          <w:rFonts w:hint="eastAsia" w:hAnsi="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9.17</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4.社会保</w:t>
      </w:r>
      <w:r>
        <w:rPr>
          <w:rStyle w:val="15"/>
          <w:rFonts w:hint="eastAsia" w:ascii="仿宋_GB2312" w:hAnsi="仿宋_GB2312" w:eastAsia="仿宋_GB2312" w:cs="仿宋_GB2312"/>
          <w:bCs/>
          <w:color w:val="auto"/>
          <w:sz w:val="32"/>
          <w:szCs w:val="32"/>
          <w:highlight w:val="none"/>
        </w:rPr>
        <w:t>障和就业（类）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机关事业单位职业年金缴费支出</w:t>
      </w:r>
      <w:r>
        <w:rPr>
          <w:rStyle w:val="15"/>
          <w:rFonts w:hint="eastAsia" w:ascii="仿宋_GB2312" w:hAnsi="仿宋_GB2312" w:eastAsia="仿宋_GB2312" w:cs="仿宋_GB2312"/>
          <w:bCs/>
          <w:color w:val="auto"/>
          <w:sz w:val="32"/>
          <w:szCs w:val="32"/>
          <w:highlight w:val="none"/>
        </w:rPr>
        <w:t>（项）</w:t>
      </w:r>
      <w:r>
        <w:rPr>
          <w:rStyle w:val="15"/>
          <w:rFonts w:hint="eastAsia" w:hAnsi="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0.52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5</w:t>
      </w:r>
      <w:r>
        <w:rPr>
          <w:rStyle w:val="15"/>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
          <w:bCs/>
          <w:color w:val="auto"/>
          <w:sz w:val="32"/>
          <w:szCs w:val="32"/>
          <w:highlight w:val="none"/>
        </w:rPr>
        <w:t>卫生健康</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行政事业单位医疗</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事业单位医疗</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5.36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pStyle w:val="6"/>
        <w:ind w:firstLine="642" w:firstLineChars="200"/>
        <w:rPr>
          <w:rStyle w:val="15"/>
          <w:rFonts w:hint="eastAsia" w:hAnsi="仿宋_GB2312" w:cs="仿宋_GB2312"/>
          <w:bCs/>
          <w:color w:val="auto"/>
          <w:sz w:val="32"/>
          <w:szCs w:val="32"/>
          <w:highlight w:val="none"/>
          <w:lang w:val="en-US" w:eastAsia="zh-CN"/>
        </w:rPr>
      </w:pPr>
      <w:r>
        <w:rPr>
          <w:rStyle w:val="15"/>
          <w:rFonts w:hint="eastAsia" w:hAnsi="仿宋_GB2312" w:cs="仿宋_GB2312"/>
          <w:bCs/>
          <w:color w:val="000000"/>
          <w:sz w:val="32"/>
          <w:szCs w:val="32"/>
          <w:lang w:val="en-US" w:eastAsia="zh-CN"/>
        </w:rPr>
        <w:t>6</w:t>
      </w:r>
      <w:r>
        <w:rPr>
          <w:rStyle w:val="15"/>
          <w:rFonts w:hint="eastAsia" w:ascii="仿宋_GB2312" w:hAnsi="仿宋_GB2312" w:eastAsia="仿宋_GB2312" w:cs="仿宋_GB2312"/>
          <w:bCs/>
          <w:color w:val="000000"/>
          <w:sz w:val="32"/>
          <w:szCs w:val="32"/>
          <w:lang w:val="en-US" w:eastAsia="zh-CN"/>
        </w:rPr>
        <w:t>.</w:t>
      </w:r>
      <w:r>
        <w:rPr>
          <w:rStyle w:val="15"/>
          <w:rFonts w:hint="eastAsia" w:ascii="仿宋_GB2312" w:hAnsi="仿宋_GB2312" w:eastAsia="仿宋_GB2312" w:cs="仿宋_GB2312"/>
          <w:bCs/>
          <w:color w:val="000000"/>
          <w:sz w:val="32"/>
          <w:szCs w:val="32"/>
        </w:rPr>
        <w:t>住房保障（类）住房改革</w:t>
      </w:r>
      <w:r>
        <w:rPr>
          <w:rStyle w:val="15"/>
          <w:rFonts w:hint="eastAsia" w:ascii="仿宋_GB2312" w:hAnsi="仿宋_GB2312" w:eastAsia="仿宋_GB2312" w:cs="仿宋_GB2312"/>
          <w:bCs/>
          <w:color w:val="000000"/>
          <w:sz w:val="32"/>
          <w:szCs w:val="32"/>
          <w:lang w:val="en-US" w:eastAsia="zh-CN"/>
        </w:rPr>
        <w:t>支出</w:t>
      </w:r>
      <w:r>
        <w:rPr>
          <w:rStyle w:val="15"/>
          <w:rFonts w:hint="eastAsia" w:ascii="仿宋_GB2312" w:hAnsi="仿宋_GB2312" w:eastAsia="仿宋_GB2312" w:cs="仿宋_GB2312"/>
          <w:bCs/>
          <w:color w:val="000000"/>
          <w:sz w:val="32"/>
          <w:szCs w:val="32"/>
        </w:rPr>
        <w:t>（款）住房公积金（项）:</w:t>
      </w:r>
      <w:r>
        <w:rPr>
          <w:rStyle w:val="15"/>
          <w:rFonts w:hint="eastAsia" w:ascii="仿宋_GB2312" w:hAnsi="仿宋_GB2312" w:eastAsia="仿宋_GB2312" w:cs="仿宋_GB2312"/>
          <w:b w:val="0"/>
          <w:bCs/>
          <w:color w:val="000000"/>
          <w:sz w:val="32"/>
          <w:szCs w:val="32"/>
        </w:rPr>
        <w:t>支出决算为</w:t>
      </w:r>
      <w:r>
        <w:rPr>
          <w:rStyle w:val="15"/>
          <w:rFonts w:hint="eastAsia" w:hAnsi="仿宋_GB2312" w:cs="仿宋_GB2312"/>
          <w:b w:val="0"/>
          <w:bCs/>
          <w:color w:val="000000"/>
          <w:sz w:val="32"/>
          <w:szCs w:val="32"/>
          <w:lang w:val="en-US" w:eastAsia="zh-CN"/>
        </w:rPr>
        <w:t>11.76</w:t>
      </w:r>
      <w:r>
        <w:rPr>
          <w:rStyle w:val="15"/>
          <w:rFonts w:hint="eastAsia" w:ascii="仿宋_GB2312" w:hAnsi="仿宋_GB2312" w:eastAsia="仿宋_GB2312" w:cs="仿宋_GB2312"/>
          <w:b w:val="0"/>
          <w:bCs/>
          <w:color w:val="000000"/>
          <w:sz w:val="32"/>
          <w:szCs w:val="32"/>
        </w:rPr>
        <w:t>万元，完成预算</w:t>
      </w:r>
      <w:r>
        <w:rPr>
          <w:rStyle w:val="15"/>
          <w:rFonts w:hint="eastAsia" w:ascii="仿宋_GB2312" w:hAnsi="仿宋_GB2312" w:eastAsia="仿宋_GB2312" w:cs="仿宋_GB2312"/>
          <w:b w:val="0"/>
          <w:bCs/>
          <w:color w:val="000000"/>
          <w:sz w:val="32"/>
          <w:szCs w:val="32"/>
          <w:lang w:val="en-US" w:eastAsia="zh-CN"/>
        </w:rPr>
        <w:t>100</w:t>
      </w:r>
      <w:r>
        <w:rPr>
          <w:rStyle w:val="15"/>
          <w:rFonts w:hint="eastAsia" w:ascii="仿宋_GB2312" w:hAnsi="仿宋_GB2312" w:eastAsia="仿宋_GB2312" w:cs="仿宋_GB2312"/>
          <w:b w:val="0"/>
          <w:bCs/>
          <w:color w:val="000000"/>
          <w:sz w:val="32"/>
          <w:szCs w:val="32"/>
        </w:rPr>
        <w:t>%，</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tabs>
          <w:tab w:val="right" w:pos="8306"/>
        </w:tabs>
        <w:spacing w:line="600" w:lineRule="exact"/>
        <w:ind w:firstLine="640"/>
        <w:outlineLvl w:val="1"/>
        <w:rPr>
          <w:rStyle w:val="18"/>
          <w:color w:val="auto"/>
          <w:highlight w:val="none"/>
        </w:rPr>
      </w:pPr>
      <w:bookmarkStart w:id="49" w:name="_Toc17663"/>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7"/>
      <w:bookmarkEnd w:id="48"/>
      <w:bookmarkEnd w:id="49"/>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142.56</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135.51</w:t>
      </w:r>
      <w:r>
        <w:rPr>
          <w:rFonts w:hint="eastAsia" w:ascii="仿宋" w:hAnsi="仿宋" w:eastAsia="仿宋"/>
          <w:color w:val="auto"/>
          <w:sz w:val="32"/>
          <w:szCs w:val="32"/>
          <w:highlight w:val="none"/>
        </w:rPr>
        <w:t>万元，主要包括：基本工资、津贴补贴、奖金、伙食补助费、绩效工资、机关事业单位基本养老保险缴费、职业年金缴费、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其他社会保障缴费、住房公积金、其他工资福利支出、生活补助。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7.05</w:t>
      </w:r>
      <w:r>
        <w:rPr>
          <w:rFonts w:hint="eastAsia" w:ascii="仿宋" w:hAnsi="仿宋" w:eastAsia="仿宋"/>
          <w:color w:val="auto"/>
          <w:sz w:val="32"/>
          <w:szCs w:val="32"/>
          <w:highlight w:val="none"/>
        </w:rPr>
        <w:t>万元，主要包括：办公费、邮电费、差旅费、工会经费、福利费、其他商品和服务支出。</w:t>
      </w:r>
    </w:p>
    <w:p>
      <w:pPr>
        <w:spacing w:line="600" w:lineRule="exact"/>
        <w:ind w:firstLine="640"/>
        <w:outlineLvl w:val="1"/>
        <w:rPr>
          <w:rStyle w:val="18"/>
          <w:rFonts w:ascii="黑体" w:hAnsi="黑体" w:eastAsia="黑体"/>
          <w:b w:val="0"/>
          <w:color w:val="auto"/>
          <w:highlight w:val="none"/>
        </w:rPr>
      </w:pPr>
      <w:bookmarkStart w:id="50" w:name="_Toc5754"/>
      <w:bookmarkStart w:id="51" w:name="_Toc15396609"/>
      <w:bookmarkStart w:id="52" w:name="_Toc15377215"/>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0"/>
      <w:bookmarkEnd w:id="51"/>
      <w:bookmarkEnd w:id="52"/>
    </w:p>
    <w:p>
      <w:pPr>
        <w:keepNext w:val="0"/>
        <w:keepLines w:val="0"/>
        <w:pageBreakBefore w:val="0"/>
        <w:widowControl w:val="0"/>
        <w:kinsoku/>
        <w:wordWrap/>
        <w:overflowPunct/>
        <w:topLinePunct w:val="0"/>
        <w:bidi w:val="0"/>
        <w:snapToGrid/>
        <w:spacing w:line="576" w:lineRule="exact"/>
        <w:ind w:firstLine="640" w:firstLineChars="200"/>
        <w:jc w:val="both"/>
        <w:textAlignment w:val="auto"/>
        <w:rPr>
          <w:rFonts w:hint="eastAsia" w:ascii="仿宋_GB2312" w:hAnsi="仿宋_GB2312" w:eastAsia="仿宋_GB2312" w:cs="仿宋_GB2312"/>
          <w:b/>
          <w:color w:val="auto"/>
          <w:sz w:val="32"/>
          <w:szCs w:val="32"/>
          <w:highlight w:val="none"/>
        </w:rPr>
      </w:pPr>
      <w:bookmarkStart w:id="53" w:name="_Toc15377218"/>
      <w:bookmarkStart w:id="54" w:name="_Toc15396610"/>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年初未安排</w:t>
      </w:r>
      <w:r>
        <w:rPr>
          <w:rFonts w:hint="eastAsia" w:ascii="仿宋_GB2312" w:hAnsi="仿宋_GB2312" w:eastAsia="仿宋_GB2312" w:cs="仿宋_GB2312"/>
          <w:color w:val="auto"/>
          <w:sz w:val="32"/>
          <w:szCs w:val="32"/>
          <w:highlight w:val="none"/>
        </w:rPr>
        <w:t>“三公”经费</w:t>
      </w:r>
      <w:r>
        <w:rPr>
          <w:rFonts w:hint="eastAsia" w:ascii="仿宋_GB2312" w:hAnsi="仿宋_GB2312" w:eastAsia="仿宋_GB2312" w:cs="仿宋_GB2312"/>
          <w:color w:val="auto"/>
          <w:sz w:val="32"/>
          <w:szCs w:val="32"/>
          <w:highlight w:val="none"/>
          <w:lang w:val="en-US" w:eastAsia="zh-CN"/>
        </w:rPr>
        <w:t>预算。2022年</w:t>
      </w:r>
      <w:r>
        <w:rPr>
          <w:rFonts w:hint="eastAsia" w:ascii="仿宋_GB2312" w:hAnsi="仿宋_GB2312" w:eastAsia="仿宋_GB2312" w:cs="仿宋_GB2312"/>
          <w:color w:val="auto"/>
          <w:sz w:val="32"/>
          <w:szCs w:val="32"/>
          <w:highlight w:val="none"/>
        </w:rPr>
        <w:t>“三公”经费财政拨款支出</w:t>
      </w:r>
      <w:r>
        <w:rPr>
          <w:rFonts w:hint="eastAsia" w:ascii="仿宋_GB2312" w:hAnsi="仿宋_GB2312" w:eastAsia="仿宋_GB2312" w:cs="仿宋_GB2312"/>
          <w:color w:val="auto"/>
          <w:sz w:val="32"/>
          <w:szCs w:val="32"/>
          <w:lang w:eastAsia="zh-CN"/>
        </w:rPr>
        <w:t>与</w:t>
      </w:r>
      <w:r>
        <w:rPr>
          <w:rFonts w:hint="eastAsia" w:ascii="仿宋_GB2312" w:hAnsi="仿宋_GB2312" w:eastAsia="仿宋_GB2312" w:cs="仿宋_GB2312"/>
          <w:color w:val="auto"/>
          <w:sz w:val="32"/>
          <w:szCs w:val="32"/>
          <w:lang w:val="en-US" w:eastAsia="zh-CN"/>
        </w:rPr>
        <w:t>2021</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一致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无</w:t>
      </w:r>
      <w:r>
        <w:rPr>
          <w:rFonts w:hint="eastAsia" w:ascii="仿宋_GB2312" w:hAnsi="仿宋_GB2312" w:eastAsia="仿宋_GB2312" w:cs="仿宋_GB2312"/>
          <w:color w:val="auto"/>
          <w:sz w:val="32"/>
          <w:szCs w:val="32"/>
          <w:highlight w:val="none"/>
        </w:rPr>
        <w:t>公务用车</w:t>
      </w:r>
      <w:r>
        <w:rPr>
          <w:rFonts w:hint="eastAsia" w:ascii="仿宋_GB2312" w:hAnsi="仿宋_GB2312" w:eastAsia="仿宋_GB2312" w:cs="仿宋_GB2312"/>
          <w:color w:val="auto"/>
          <w:sz w:val="32"/>
          <w:szCs w:val="32"/>
          <w:highlight w:val="none"/>
          <w:lang w:val="en-US" w:eastAsia="zh-CN"/>
        </w:rPr>
        <w:t>保有量</w:t>
      </w:r>
      <w:r>
        <w:rPr>
          <w:rFonts w:hint="eastAsia" w:ascii="仿宋_GB2312" w:hAnsi="仿宋_GB2312" w:eastAsia="仿宋_GB2312" w:cs="仿宋_GB2312"/>
          <w:color w:val="auto"/>
          <w:sz w:val="32"/>
          <w:szCs w:val="32"/>
          <w:highlight w:val="none"/>
        </w:rPr>
        <w:t>。</w:t>
      </w:r>
    </w:p>
    <w:p>
      <w:pPr>
        <w:spacing w:line="600" w:lineRule="exact"/>
        <w:ind w:firstLine="640"/>
        <w:outlineLvl w:val="1"/>
        <w:rPr>
          <w:rStyle w:val="18"/>
          <w:rFonts w:ascii="黑体" w:hAnsi="黑体" w:eastAsia="黑体"/>
          <w:color w:val="auto"/>
          <w:highlight w:val="none"/>
        </w:rPr>
      </w:pPr>
      <w:bookmarkStart w:id="55" w:name="_Toc31508"/>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3"/>
      <w:bookmarkEnd w:id="54"/>
      <w:bookmarkEnd w:id="55"/>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000000"/>
          <w:sz w:val="32"/>
          <w:szCs w:val="32"/>
          <w:highlight w:val="none"/>
        </w:rPr>
        <w:t>202</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年本单位未在政府性基金预算拨款安排“三公经费”支出。</w:t>
      </w:r>
    </w:p>
    <w:p>
      <w:pPr>
        <w:numPr>
          <w:ilvl w:val="0"/>
          <w:numId w:val="2"/>
        </w:numPr>
        <w:spacing w:line="600" w:lineRule="exact"/>
        <w:ind w:firstLine="640"/>
        <w:outlineLvl w:val="1"/>
        <w:rPr>
          <w:rStyle w:val="18"/>
          <w:rFonts w:ascii="黑体" w:hAnsi="黑体" w:eastAsia="黑体"/>
          <w:b w:val="0"/>
          <w:color w:val="auto"/>
          <w:highlight w:val="none"/>
        </w:rPr>
      </w:pPr>
      <w:bookmarkStart w:id="56" w:name="_Toc27862"/>
      <w:bookmarkStart w:id="57" w:name="_Toc15396611"/>
      <w:bookmarkStart w:id="58" w:name="_Toc15377219"/>
      <w:r>
        <w:rPr>
          <w:rStyle w:val="18"/>
          <w:rFonts w:hint="eastAsia" w:ascii="黑体" w:hAnsi="黑体" w:eastAsia="黑体"/>
          <w:b w:val="0"/>
          <w:color w:val="auto"/>
          <w:highlight w:val="none"/>
        </w:rPr>
        <w:t>国有资本经营预算支出决算情况说明</w:t>
      </w:r>
      <w:bookmarkEnd w:id="56"/>
      <w:bookmarkEnd w:id="57"/>
      <w:bookmarkEnd w:id="58"/>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18"/>
          <w:rFonts w:hint="eastAsia" w:ascii="黑体" w:hAnsi="黑体" w:eastAsia="黑体"/>
          <w:b w:val="0"/>
          <w:color w:val="auto"/>
          <w:highlight w:val="none"/>
        </w:rPr>
      </w:pPr>
      <w:bookmarkStart w:id="59" w:name="_Toc30930"/>
      <w:bookmarkStart w:id="60" w:name="_Toc15377221"/>
      <w:bookmarkStart w:id="61" w:name="_Toc15396612"/>
      <w:r>
        <w:rPr>
          <w:rStyle w:val="18"/>
          <w:rFonts w:hint="eastAsia" w:ascii="黑体" w:hAnsi="黑体" w:eastAsia="黑体"/>
          <w:b w:val="0"/>
          <w:color w:val="auto"/>
          <w:highlight w:val="none"/>
        </w:rPr>
        <w:t>其他重要事项的情况说明</w:t>
      </w:r>
      <w:bookmarkEnd w:id="59"/>
      <w:bookmarkEnd w:id="60"/>
      <w:bookmarkEnd w:id="61"/>
    </w:p>
    <w:p>
      <w:pPr>
        <w:spacing w:line="600" w:lineRule="exact"/>
        <w:ind w:firstLine="642" w:firstLineChars="200"/>
        <w:outlineLvl w:val="2"/>
        <w:rPr>
          <w:rFonts w:ascii="仿宋" w:hAnsi="仿宋" w:eastAsia="仿宋"/>
          <w:color w:val="auto"/>
          <w:sz w:val="32"/>
          <w:szCs w:val="32"/>
          <w:highlight w:val="none"/>
        </w:rPr>
      </w:pPr>
      <w:bookmarkStart w:id="62" w:name="_Toc15377222"/>
      <w:r>
        <w:rPr>
          <w:rFonts w:hint="eastAsia" w:ascii="仿宋" w:hAnsi="仿宋" w:eastAsia="仿宋"/>
          <w:b/>
          <w:color w:val="auto"/>
          <w:sz w:val="32"/>
          <w:szCs w:val="32"/>
          <w:highlight w:val="none"/>
        </w:rPr>
        <w:t>（一）机关运行经费支出情况</w:t>
      </w:r>
      <w:bookmarkEnd w:id="62"/>
    </w:p>
    <w:p>
      <w:pPr>
        <w:keepNext w:val="0"/>
        <w:keepLines w:val="0"/>
        <w:pageBreakBefore w:val="0"/>
        <w:widowControl w:val="0"/>
        <w:kinsoku/>
        <w:wordWrap/>
        <w:overflowPunct/>
        <w:topLinePunct w:val="0"/>
        <w:bidi w:val="0"/>
        <w:snapToGrid/>
        <w:spacing w:line="576" w:lineRule="exact"/>
        <w:ind w:firstLine="640" w:firstLineChars="200"/>
        <w:jc w:val="both"/>
        <w:textAlignment w:val="auto"/>
        <w:rPr>
          <w:rFonts w:hint="eastAsia" w:ascii="仿宋_GB2312" w:hAnsi="仿宋_GB2312" w:eastAsia="仿宋_GB2312" w:cs="仿宋_GB2312"/>
          <w:b w:val="0"/>
          <w:bCs/>
          <w:color w:val="auto"/>
          <w:sz w:val="32"/>
          <w:szCs w:val="32"/>
          <w:highlight w:val="none"/>
        </w:rPr>
      </w:pPr>
      <w:bookmarkStart w:id="63" w:name="_Toc15377223"/>
      <w:r>
        <w:rPr>
          <w:rFonts w:hint="eastAsia" w:ascii="仿宋_GB2312" w:hAnsi="仿宋_GB2312" w:eastAsia="仿宋_GB2312" w:cs="仿宋_GB2312"/>
          <w:b w:val="0"/>
          <w:bCs/>
          <w:color w:val="auto"/>
          <w:sz w:val="32"/>
          <w:szCs w:val="32"/>
          <w:highlight w:val="none"/>
          <w:lang w:val="en-US" w:eastAsia="zh-CN"/>
        </w:rPr>
        <w:t>2022年</w:t>
      </w:r>
      <w:r>
        <w:rPr>
          <w:rFonts w:hint="eastAsia" w:ascii="仿宋_GB2312" w:hAnsi="仿宋_GB2312" w:eastAsia="仿宋_GB2312" w:cs="仿宋_GB2312"/>
          <w:b w:val="0"/>
          <w:bCs/>
          <w:i w:val="0"/>
          <w:iCs w:val="0"/>
          <w:caps w:val="0"/>
          <w:color w:val="000000"/>
          <w:spacing w:val="0"/>
          <w:sz w:val="32"/>
          <w:szCs w:val="32"/>
          <w:highlight w:val="none"/>
        </w:rPr>
        <w:t>未发生机关运行经费支出</w:t>
      </w:r>
      <w:r>
        <w:rPr>
          <w:rFonts w:hint="eastAsia" w:ascii="仿宋_GB2312" w:hAnsi="仿宋_GB2312" w:eastAsia="仿宋_GB2312" w:cs="仿宋_GB2312"/>
          <w:b w:val="0"/>
          <w:bCs/>
          <w:i w:val="0"/>
          <w:iCs w:val="0"/>
          <w:caps w:val="0"/>
          <w:color w:val="000000"/>
          <w:spacing w:val="0"/>
          <w:sz w:val="32"/>
          <w:szCs w:val="32"/>
          <w:highlight w:val="none"/>
          <w:lang w:eastAsia="zh-CN"/>
        </w:rPr>
        <w:t>，</w:t>
      </w:r>
      <w:r>
        <w:rPr>
          <w:rFonts w:hint="eastAsia" w:ascii="仿宋_GB2312" w:hAnsi="仿宋_GB2312" w:eastAsia="仿宋_GB2312" w:cs="仿宋_GB2312"/>
          <w:b w:val="0"/>
          <w:bCs/>
          <w:i w:val="0"/>
          <w:iCs w:val="0"/>
          <w:caps w:val="0"/>
          <w:color w:val="000000"/>
          <w:spacing w:val="0"/>
          <w:sz w:val="32"/>
          <w:szCs w:val="32"/>
          <w:highlight w:val="none"/>
          <w:lang w:val="en-US" w:eastAsia="zh-CN"/>
        </w:rPr>
        <w:t>与2021年决算数持平。</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3"/>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广元市财政绩效管理中心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4" w:name="_Toc15377224"/>
      <w:r>
        <w:rPr>
          <w:rFonts w:hint="eastAsia" w:ascii="仿宋" w:hAnsi="仿宋" w:eastAsia="仿宋"/>
          <w:b/>
          <w:color w:val="auto"/>
          <w:sz w:val="32"/>
          <w:szCs w:val="32"/>
          <w:highlight w:val="none"/>
        </w:rPr>
        <w:t>（三）国有资产占有使用情况</w:t>
      </w:r>
      <w:bookmarkEnd w:id="64"/>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both"/>
        <w:textAlignment w:val="auto"/>
        <w:rPr>
          <w:rFonts w:hint="eastAsia" w:eastAsia="仿宋_GB2312"/>
          <w:highlight w:val="yellow"/>
          <w:lang w:eastAsia="zh-CN"/>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广元市财政绩效管理中心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b w:val="0"/>
          <w:bCs w:val="0"/>
          <w:color w:val="auto"/>
          <w:sz w:val="32"/>
          <w:szCs w:val="32"/>
          <w:highlight w:val="none"/>
          <w:lang w:val="en-US" w:eastAsia="zh-CN"/>
        </w:rPr>
        <w:t>预算绩效管理工作经费</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pacing w:line="600" w:lineRule="exact"/>
        <w:ind w:firstLine="660" w:firstLineChars="150"/>
        <w:jc w:val="center"/>
        <w:outlineLvl w:val="0"/>
        <w:rPr>
          <w:rStyle w:val="17"/>
          <w:rFonts w:ascii="黑体" w:hAnsi="黑体" w:eastAsia="黑体"/>
          <w:b w:val="0"/>
          <w:color w:val="auto"/>
          <w:highlight w:val="none"/>
        </w:rPr>
      </w:pPr>
      <w:bookmarkStart w:id="65" w:name="_Toc15396613"/>
      <w:bookmarkStart w:id="66" w:name="_Toc15377225"/>
      <w:bookmarkStart w:id="67" w:name="_Toc12614"/>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5"/>
      <w:bookmarkEnd w:id="66"/>
      <w:bookmarkEnd w:id="67"/>
    </w:p>
    <w:p>
      <w:pPr>
        <w:spacing w:line="600" w:lineRule="exact"/>
        <w:jc w:val="left"/>
        <w:rPr>
          <w:rFonts w:ascii="宋体"/>
          <w:b/>
          <w:color w:val="auto"/>
          <w:sz w:val="44"/>
          <w:szCs w:val="44"/>
          <w:highlight w:val="none"/>
        </w:rPr>
      </w:pP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bookmarkStart w:id="68"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val="en-US" w:eastAsia="zh-CN"/>
        </w:rPr>
        <w:t>利息收入、疫情防控专项收入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pageBreakBefore w:val="0"/>
        <w:widowControl w:val="0"/>
        <w:kinsoku/>
        <w:wordWrap/>
        <w:overflowPunct/>
        <w:topLinePunct w:val="0"/>
        <w:bidi w:val="0"/>
        <w:spacing w:line="576"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5</w:t>
      </w:r>
      <w:r>
        <w:rPr>
          <w:rFonts w:hint="eastAsia" w:ascii="仿宋_GB2312" w:hAnsi="仿宋_GB2312" w:eastAsia="仿宋_GB2312" w:cs="仿宋_GB2312"/>
          <w:sz w:val="32"/>
          <w:szCs w:val="32"/>
          <w:shd w:val="clear" w:color="auto" w:fill="FFFFFF"/>
        </w:rPr>
        <w:t>.一般公共服务（类）财政事务（款）事业运行（项）：指事业单位用于保障机构正常运行、开展日常工作的基本支出。</w:t>
      </w:r>
    </w:p>
    <w:p>
      <w:pPr>
        <w:keepNext w:val="0"/>
        <w:keepLines w:val="0"/>
        <w:pageBreakBefore w:val="0"/>
        <w:widowControl w:val="0"/>
        <w:kinsoku/>
        <w:wordWrap/>
        <w:overflowPunct/>
        <w:topLinePunct w:val="0"/>
        <w:bidi w:val="0"/>
        <w:spacing w:line="576"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6</w:t>
      </w:r>
      <w:r>
        <w:rPr>
          <w:rFonts w:hint="eastAsia" w:ascii="仿宋_GB2312" w:hAnsi="仿宋_GB2312" w:eastAsia="仿宋_GB2312" w:cs="仿宋_GB2312"/>
          <w:sz w:val="32"/>
          <w:szCs w:val="32"/>
          <w:shd w:val="clear" w:color="auto" w:fill="FFFFFF"/>
        </w:rPr>
        <w:t>.一般公共服务（类）财政事务（款）其他财政事务支出</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项）：指事业单位用于除上述项目以外其他财政事务等方面支出。</w:t>
      </w:r>
    </w:p>
    <w:p>
      <w:pPr>
        <w:pStyle w:val="6"/>
        <w:keepNext w:val="0"/>
        <w:keepLines w:val="0"/>
        <w:pageBreakBefore w:val="0"/>
        <w:widowControl w:val="0"/>
        <w:kinsoku/>
        <w:wordWrap/>
        <w:overflowPunct/>
        <w:topLinePunct w:val="0"/>
        <w:bidi w:val="0"/>
        <w:ind w:firstLine="640" w:firstLineChars="200"/>
        <w:rPr>
          <w:rStyle w:val="15"/>
          <w:rFonts w:ascii="仿宋_GB2312" w:hAnsi="仿宋_GB2312" w:eastAsia="仿宋_GB2312" w:cs="仿宋_GB2312"/>
          <w:b w:val="0"/>
          <w:color w:val="000000"/>
          <w:sz w:val="32"/>
          <w:szCs w:val="32"/>
        </w:rPr>
      </w:pPr>
      <w:r>
        <w:rPr>
          <w:rStyle w:val="15"/>
          <w:rFonts w:hint="eastAsia" w:hAnsi="仿宋_GB2312" w:cs="仿宋_GB2312"/>
          <w:b w:val="0"/>
          <w:sz w:val="32"/>
          <w:szCs w:val="32"/>
          <w:lang w:val="en-US" w:eastAsia="zh-CN"/>
        </w:rPr>
        <w:t>7</w:t>
      </w:r>
      <w:r>
        <w:rPr>
          <w:rStyle w:val="15"/>
          <w:rFonts w:hint="eastAsia" w:ascii="仿宋_GB2312" w:hAnsi="仿宋_GB2312" w:eastAsia="仿宋_GB2312" w:cs="仿宋_GB2312"/>
          <w:b w:val="0"/>
          <w:sz w:val="32"/>
          <w:szCs w:val="32"/>
        </w:rPr>
        <w:t>.社会保障和就业（类）行政事业单位养老支出（款）机关事业单位基本养老保险缴费</w:t>
      </w:r>
      <w:r>
        <w:rPr>
          <w:rStyle w:val="15"/>
          <w:rFonts w:hint="eastAsia" w:ascii="仿宋_GB2312" w:hAnsi="仿宋_GB2312" w:eastAsia="仿宋_GB2312" w:cs="仿宋_GB2312"/>
          <w:b w:val="0"/>
          <w:sz w:val="32"/>
          <w:szCs w:val="32"/>
          <w:lang w:val="en-US" w:eastAsia="zh-CN"/>
        </w:rPr>
        <w:t>支出</w:t>
      </w:r>
      <w:r>
        <w:rPr>
          <w:rStyle w:val="15"/>
          <w:rFonts w:hint="eastAsia" w:ascii="仿宋_GB2312" w:hAnsi="仿宋_GB2312" w:eastAsia="仿宋_GB2312" w:cs="仿宋_GB2312"/>
          <w:b w:val="0"/>
          <w:sz w:val="32"/>
          <w:szCs w:val="32"/>
        </w:rPr>
        <w:t>（项）：指机关事业单位</w:t>
      </w:r>
      <w:r>
        <w:rPr>
          <w:rStyle w:val="15"/>
          <w:rFonts w:hint="eastAsia" w:ascii="仿宋_GB2312" w:hAnsi="仿宋_GB2312" w:eastAsia="仿宋_GB2312" w:cs="仿宋_GB2312"/>
          <w:b w:val="0"/>
          <w:color w:val="000000"/>
          <w:sz w:val="32"/>
          <w:szCs w:val="32"/>
        </w:rPr>
        <w:t>实施养老保险制度由单位缴纳的基本养老保险费支出。</w:t>
      </w:r>
    </w:p>
    <w:p>
      <w:pPr>
        <w:keepNext w:val="0"/>
        <w:keepLines w:val="0"/>
        <w:pageBreakBefore w:val="0"/>
        <w:widowControl w:val="0"/>
        <w:kinsoku/>
        <w:wordWrap/>
        <w:overflowPunct/>
        <w:topLinePunct w:val="0"/>
        <w:bidi w:val="0"/>
        <w:spacing w:line="576" w:lineRule="exact"/>
        <w:ind w:firstLine="640" w:firstLineChars="200"/>
        <w:rPr>
          <w:rFonts w:hint="eastAsia" w:ascii="仿宋_GB2312" w:hAnsi="仿宋_GB2312" w:eastAsia="仿宋_GB2312" w:cs="仿宋_GB2312"/>
          <w:sz w:val="32"/>
          <w:szCs w:val="32"/>
          <w:shd w:val="clear" w:color="auto" w:fill="FFFFFF"/>
        </w:rPr>
      </w:pPr>
      <w:r>
        <w:rPr>
          <w:rStyle w:val="15"/>
          <w:rFonts w:hint="eastAsia" w:ascii="仿宋_GB2312" w:hAnsi="仿宋_GB2312" w:eastAsia="仿宋_GB2312" w:cs="仿宋_GB2312"/>
          <w:b w:val="0"/>
          <w:sz w:val="32"/>
          <w:szCs w:val="32"/>
          <w:lang w:val="en-US" w:eastAsia="zh-CN"/>
        </w:rPr>
        <w:t>8</w:t>
      </w:r>
      <w:r>
        <w:rPr>
          <w:rStyle w:val="15"/>
          <w:rFonts w:hint="eastAsia" w:ascii="仿宋_GB2312" w:hAnsi="仿宋_GB2312" w:eastAsia="仿宋_GB2312" w:cs="仿宋_GB2312"/>
          <w:b w:val="0"/>
          <w:sz w:val="32"/>
          <w:szCs w:val="32"/>
        </w:rPr>
        <w:t>.社会保障和就业（类）行政事业单位养老支出（款）机关事业单位职业年金缴费</w:t>
      </w:r>
      <w:r>
        <w:rPr>
          <w:rStyle w:val="15"/>
          <w:rFonts w:hint="eastAsia" w:ascii="仿宋_GB2312" w:hAnsi="仿宋_GB2312" w:eastAsia="仿宋_GB2312" w:cs="仿宋_GB2312"/>
          <w:b w:val="0"/>
          <w:sz w:val="32"/>
          <w:szCs w:val="32"/>
          <w:lang w:val="en-US" w:eastAsia="zh-CN"/>
        </w:rPr>
        <w:t>支出</w:t>
      </w:r>
      <w:r>
        <w:rPr>
          <w:rStyle w:val="15"/>
          <w:rFonts w:hint="eastAsia" w:ascii="仿宋_GB2312" w:hAnsi="仿宋_GB2312" w:eastAsia="仿宋_GB2312" w:cs="仿宋_GB2312"/>
          <w:b w:val="0"/>
          <w:sz w:val="32"/>
          <w:szCs w:val="32"/>
        </w:rPr>
        <w:t>（项）：指机关事业单位实施养老保险制度由单位实际缴纳的职业年金支出。</w:t>
      </w:r>
    </w:p>
    <w:p>
      <w:pPr>
        <w:keepNext w:val="0"/>
        <w:keepLines w:val="0"/>
        <w:pageBreakBefore w:val="0"/>
        <w:widowControl w:val="0"/>
        <w:kinsoku/>
        <w:wordWrap/>
        <w:overflowPunct/>
        <w:topLinePunct w:val="0"/>
        <w:bidi w:val="0"/>
        <w:spacing w:line="576" w:lineRule="exact"/>
        <w:ind w:firstLine="640" w:firstLineChars="200"/>
        <w:rPr>
          <w:rStyle w:val="15"/>
          <w:rFonts w:ascii="仿宋_GB2312" w:hAnsi="仿宋_GB2312" w:eastAsia="仿宋_GB2312" w:cs="仿宋_GB2312"/>
          <w:sz w:val="32"/>
          <w:szCs w:val="32"/>
        </w:rPr>
      </w:pPr>
      <w:r>
        <w:rPr>
          <w:rStyle w:val="15"/>
          <w:rFonts w:hint="eastAsia" w:ascii="仿宋_GB2312" w:hAnsi="仿宋_GB2312" w:eastAsia="仿宋_GB2312" w:cs="仿宋_GB2312"/>
          <w:b w:val="0"/>
          <w:sz w:val="32"/>
          <w:szCs w:val="32"/>
          <w:lang w:val="en-US" w:eastAsia="zh-CN"/>
        </w:rPr>
        <w:t>9</w:t>
      </w:r>
      <w:r>
        <w:rPr>
          <w:rStyle w:val="15"/>
          <w:rFonts w:hint="eastAsia" w:ascii="仿宋_GB2312" w:hAnsi="仿宋_GB2312" w:eastAsia="仿宋_GB2312" w:cs="仿宋_GB2312"/>
          <w:b w:val="0"/>
          <w:sz w:val="32"/>
          <w:szCs w:val="32"/>
        </w:rPr>
        <w:t>.卫生健康支出（类）行政事业单位医疗（款）事业单位医疗（项）：指</w:t>
      </w:r>
      <w:r>
        <w:rPr>
          <w:rFonts w:hint="eastAsia" w:ascii="仿宋_GB2312" w:hAnsi="仿宋_GB2312" w:eastAsia="仿宋_GB2312" w:cs="仿宋_GB2312"/>
          <w:sz w:val="32"/>
          <w:szCs w:val="32"/>
          <w:shd w:val="clear" w:color="auto" w:fill="FFFFFF"/>
        </w:rPr>
        <w:t>事业单位用于缴纳单位基本医疗保险支出。</w:t>
      </w:r>
    </w:p>
    <w:p>
      <w:pPr>
        <w:keepNext w:val="0"/>
        <w:keepLines w:val="0"/>
        <w:pageBreakBefore w:val="0"/>
        <w:widowControl w:val="0"/>
        <w:kinsoku/>
        <w:wordWrap/>
        <w:overflowPunct/>
        <w:topLinePunct w:val="0"/>
        <w:bidi w:val="0"/>
        <w:spacing w:line="576" w:lineRule="exact"/>
        <w:ind w:firstLine="640" w:firstLineChars="200"/>
        <w:rPr>
          <w:rFonts w:hint="eastAsia" w:eastAsia="仿宋_GB231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.住房保障（类）住房改革（款）住房公积金（项）：指局机关及事业单位按行政事业单位按人力资源部和社会保障部、财政部规定的基本工资和津贴补贴以及规定比例为职工缴纳的住房公积金。</w:t>
      </w:r>
    </w:p>
    <w:p>
      <w:pPr>
        <w:keepNext w:val="0"/>
        <w:keepLines w:val="0"/>
        <w:pageBreakBefore w:val="0"/>
        <w:widowControl w:val="0"/>
        <w:kinsoku/>
        <w:wordWrap/>
        <w:overflowPunct/>
        <w:topLinePunct w:val="0"/>
        <w:bidi w:val="0"/>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bidi w:val="0"/>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w:t>
      </w:r>
      <w:r>
        <w:rPr>
          <w:rFonts w:hint="eastAsia" w:ascii="仿宋_GB2312" w:eastAsia="仿宋_GB2312"/>
          <w:color w:val="auto"/>
          <w:sz w:val="32"/>
          <w:szCs w:val="32"/>
          <w:highlight w:val="none"/>
          <w:lang w:eastAsia="zh-CN"/>
        </w:rPr>
        <w:t>费、</w:t>
      </w:r>
      <w:r>
        <w:rPr>
          <w:rFonts w:hint="eastAsia" w:ascii="仿宋_GB2312" w:eastAsia="仿宋_GB2312"/>
          <w:color w:val="auto"/>
          <w:sz w:val="32"/>
          <w:szCs w:val="32"/>
          <w:highlight w:val="none"/>
        </w:rPr>
        <w:t>印刷费、</w:t>
      </w:r>
      <w:r>
        <w:rPr>
          <w:rFonts w:hint="eastAsia" w:ascii="仿宋_GB2312" w:eastAsia="仿宋_GB2312"/>
          <w:color w:val="auto"/>
          <w:sz w:val="32"/>
          <w:szCs w:val="32"/>
          <w:highlight w:val="none"/>
          <w:lang w:eastAsia="zh-CN"/>
        </w:rPr>
        <w:t>咨询费、</w:t>
      </w:r>
      <w:r>
        <w:rPr>
          <w:rFonts w:hint="eastAsia" w:ascii="仿宋_GB2312" w:eastAsia="仿宋_GB2312"/>
          <w:color w:val="auto"/>
          <w:sz w:val="32"/>
          <w:szCs w:val="32"/>
          <w:highlight w:val="none"/>
        </w:rPr>
        <w:t>邮电费、差旅费、会议费、</w:t>
      </w:r>
      <w:r>
        <w:rPr>
          <w:rFonts w:hint="eastAsia" w:ascii="仿宋_GB2312" w:eastAsia="仿宋_GB2312"/>
          <w:color w:val="auto"/>
          <w:sz w:val="32"/>
          <w:szCs w:val="32"/>
          <w:highlight w:val="none"/>
          <w:lang w:eastAsia="zh-CN"/>
        </w:rPr>
        <w:t>培训费、</w:t>
      </w:r>
      <w:r>
        <w:rPr>
          <w:rFonts w:hint="eastAsia" w:ascii="仿宋_GB2312" w:eastAsia="仿宋_GB2312"/>
          <w:color w:val="auto"/>
          <w:sz w:val="32"/>
          <w:szCs w:val="32"/>
          <w:highlight w:val="none"/>
        </w:rPr>
        <w:t>福利费、日常维修费、办公用房水电费、办公用房物业管理费、</w:t>
      </w:r>
      <w:r>
        <w:rPr>
          <w:rFonts w:hint="eastAsia" w:ascii="仿宋_GB2312" w:eastAsia="仿宋_GB2312"/>
          <w:color w:val="auto"/>
          <w:sz w:val="32"/>
          <w:szCs w:val="32"/>
          <w:highlight w:val="none"/>
          <w:lang w:eastAsia="zh-CN"/>
        </w:rPr>
        <w:t>劳务费、公务接待费、</w:t>
      </w:r>
      <w:r>
        <w:rPr>
          <w:rFonts w:hint="eastAsia" w:ascii="仿宋_GB2312" w:eastAsia="仿宋_GB2312"/>
          <w:color w:val="auto"/>
          <w:sz w:val="32"/>
          <w:szCs w:val="32"/>
          <w:highlight w:val="none"/>
        </w:rPr>
        <w:t>公务用车运行维护费</w:t>
      </w:r>
      <w:r>
        <w:rPr>
          <w:rFonts w:hint="eastAsia" w:ascii="仿宋_GB2312" w:eastAsia="仿宋_GB2312"/>
          <w:color w:val="auto"/>
          <w:sz w:val="32"/>
          <w:szCs w:val="32"/>
          <w:highlight w:val="none"/>
          <w:lang w:eastAsia="zh-CN"/>
        </w:rPr>
        <w:t>、其他交通费用以及其他商品和服务支出</w:t>
      </w:r>
      <w:r>
        <w:rPr>
          <w:rFonts w:hint="eastAsia" w:ascii="仿宋_GB2312" w:eastAsia="仿宋_GB2312"/>
          <w:color w:val="auto"/>
          <w:sz w:val="32"/>
          <w:szCs w:val="32"/>
          <w:highlight w:val="none"/>
        </w:rPr>
        <w:t>。</w:t>
      </w:r>
    </w:p>
    <w:p>
      <w:pPr>
        <w:spacing w:line="600" w:lineRule="exact"/>
        <w:jc w:val="center"/>
        <w:outlineLvl w:val="9"/>
        <w:rPr>
          <w:rFonts w:ascii="宋体"/>
          <w:b/>
          <w:color w:val="auto"/>
          <w:sz w:val="44"/>
          <w:szCs w:val="44"/>
          <w:highlight w:val="none"/>
        </w:rPr>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pPr>
    </w:p>
    <w:bookmarkEnd w:id="68"/>
    <w:p>
      <w:pPr>
        <w:spacing w:line="600" w:lineRule="exact"/>
        <w:jc w:val="center"/>
        <w:outlineLvl w:val="0"/>
        <w:rPr>
          <w:rStyle w:val="17"/>
          <w:rFonts w:hint="eastAsia" w:ascii="黑体" w:hAnsi="黑体" w:eastAsia="黑体"/>
          <w:b w:val="0"/>
          <w:color w:val="auto"/>
          <w:sz w:val="32"/>
          <w:szCs w:val="32"/>
          <w:highlight w:val="none"/>
        </w:rPr>
      </w:pPr>
      <w:bookmarkStart w:id="69" w:name="_Toc15396614"/>
      <w:bookmarkStart w:id="70" w:name="_Toc12831"/>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69"/>
      <w:bookmarkEnd w:id="70"/>
    </w:p>
    <w:p>
      <w:pPr>
        <w:spacing w:line="600" w:lineRule="exact"/>
        <w:jc w:val="center"/>
        <w:outlineLvl w:val="1"/>
        <w:rPr>
          <w:rStyle w:val="17"/>
          <w:rFonts w:hint="eastAsia" w:ascii="黑体" w:hAnsi="黑体" w:eastAsia="黑体"/>
          <w:b w:val="0"/>
          <w:color w:val="auto"/>
          <w:sz w:val="32"/>
          <w:szCs w:val="32"/>
          <w:highlight w:val="none"/>
        </w:rPr>
      </w:pPr>
      <w:bookmarkStart w:id="71" w:name="_Toc12965"/>
      <w:r>
        <w:rPr>
          <w:rStyle w:val="17"/>
          <w:rFonts w:hint="eastAsia" w:ascii="黑体" w:hAnsi="黑体" w:eastAsia="黑体"/>
          <w:b w:val="0"/>
          <w:color w:val="auto"/>
          <w:sz w:val="32"/>
          <w:szCs w:val="32"/>
          <w:highlight w:val="none"/>
        </w:rPr>
        <w:t>部门预算项目支出绩效自评表（2022年度）</w:t>
      </w:r>
    </w:p>
    <w:tbl>
      <w:tblPr>
        <w:tblStyle w:val="13"/>
        <w:tblW w:w="13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2"/>
        <w:gridCol w:w="2038"/>
        <w:gridCol w:w="1354"/>
        <w:gridCol w:w="2155"/>
        <w:gridCol w:w="685"/>
        <w:gridCol w:w="1295"/>
        <w:gridCol w:w="700"/>
        <w:gridCol w:w="1088"/>
        <w:gridCol w:w="576"/>
        <w:gridCol w:w="630"/>
        <w:gridCol w:w="25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项目名称</w:t>
            </w:r>
          </w:p>
        </w:tc>
        <w:tc>
          <w:tcPr>
            <w:tcW w:w="110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主管部门</w:t>
            </w:r>
          </w:p>
        </w:tc>
        <w:tc>
          <w:tcPr>
            <w:tcW w:w="6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广元市财政绩效管理中心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项目基本情况</w:t>
            </w:r>
          </w:p>
        </w:tc>
        <w:tc>
          <w:tcPr>
            <w:tcW w:w="2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1.项目年度目标完成情况</w:t>
            </w:r>
          </w:p>
        </w:tc>
        <w:tc>
          <w:tcPr>
            <w:tcW w:w="6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项目年度目标</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2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6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严格执行相关政策，保障了人员经费，确保了财政工作顺利开展。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2.项目实施内容及过程概述</w:t>
            </w:r>
          </w:p>
        </w:tc>
        <w:tc>
          <w:tcPr>
            <w:tcW w:w="110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预算编制环节对人员经费绩效目标进行了绩效指标设定。在预算执行中，人员经费支出严格根据各项管理规定执行，保障了人员工资津补贴按时足额发放，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预算执行情况（10分）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年度预算数（万元）</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年初预算</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调整后预算数</w:t>
            </w: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预算执行率</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总额</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108.88</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141.21</w:t>
            </w: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135.51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95.96%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其中：财政资金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108.88</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141.21</w:t>
            </w: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135.51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95.96%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财政专户管理资金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单位资金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其他资金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绩效指标（90分）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一级指标</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二级指标</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三级指标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指标性质</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指标值</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完成值</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产出指标</w:t>
            </w:r>
          </w:p>
        </w:tc>
        <w:tc>
          <w:tcPr>
            <w:tcW w:w="13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效益指标</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4.03</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      计</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评价结论</w:t>
            </w:r>
          </w:p>
        </w:tc>
        <w:tc>
          <w:tcPr>
            <w:tcW w:w="130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人员经费支出严格根据各项管理规定执行，保障了人员工资津补贴按时足额发放，预算执行进度达到预算管理要求，完成了年度预算绩效目标。项目自评得分100分。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存在问题</w:t>
            </w:r>
          </w:p>
        </w:tc>
        <w:tc>
          <w:tcPr>
            <w:tcW w:w="130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改进措施</w:t>
            </w:r>
          </w:p>
        </w:tc>
        <w:tc>
          <w:tcPr>
            <w:tcW w:w="1305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项目负责人：袁秀武</w:t>
            </w:r>
          </w:p>
        </w:tc>
        <w:tc>
          <w:tcPr>
            <w:tcW w:w="68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财务负责人：衡云云</w:t>
            </w:r>
          </w:p>
        </w:tc>
      </w:tr>
    </w:tbl>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r>
        <w:rPr>
          <w:rStyle w:val="17"/>
          <w:rFonts w:hint="eastAsia" w:ascii="黑体" w:hAnsi="黑体" w:eastAsia="黑体"/>
          <w:b w:val="0"/>
          <w:color w:val="auto"/>
          <w:sz w:val="32"/>
          <w:szCs w:val="32"/>
          <w:highlight w:val="none"/>
        </w:rPr>
        <w:t>部门预算项目支出绩效自评表（2022年度）</w:t>
      </w:r>
    </w:p>
    <w:tbl>
      <w:tblPr>
        <w:tblStyle w:val="13"/>
        <w:tblW w:w="133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590"/>
        <w:gridCol w:w="1231"/>
        <w:gridCol w:w="1784"/>
        <w:gridCol w:w="615"/>
        <w:gridCol w:w="1080"/>
        <w:gridCol w:w="1080"/>
        <w:gridCol w:w="1080"/>
        <w:gridCol w:w="1080"/>
        <w:gridCol w:w="1080"/>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项目名称</w:t>
            </w:r>
          </w:p>
        </w:tc>
        <w:tc>
          <w:tcPr>
            <w:tcW w:w="106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主管部门</w:t>
            </w: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3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广元市财政绩效管理中心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项目基本情况</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1.项目年度目标完成情况</w:t>
            </w: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项目年度目标</w:t>
            </w:r>
          </w:p>
        </w:tc>
        <w:tc>
          <w:tcPr>
            <w:tcW w:w="48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预算编制科学合理，严格执行相关政策，保障单位日常运转，严格执行预算。</w:t>
            </w:r>
          </w:p>
        </w:tc>
        <w:tc>
          <w:tcPr>
            <w:tcW w:w="48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公用经费支出保障了财政工作顺利开展，预算执行进度达到预算管理要求，完成了年度预算绩效目标。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2.项目实施内容及过程概述</w:t>
            </w:r>
          </w:p>
        </w:tc>
        <w:tc>
          <w:tcPr>
            <w:tcW w:w="106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预算编制环节对公用经费绩效目标进行了绩效指标设定，准确预测全年运转支出项目。在预算执行中，加强日常运转经费管理，严格支出审批及报销，公用经费支出严格根据各项管理规定执行，保障了财政工作顺利开展，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预算执行情况（10分）</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年度预算数（万元）</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年初预算</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调整后预算数</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总额</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18.22</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7.09</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其中：财政资金</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18.15</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7.05</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财政专户管理资金</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单位资金</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其他资金</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0.07</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0.04</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绩效指标（90分）</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一级指标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二级指标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产出指标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效益指标</w:t>
            </w: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      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评价结论</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公用经费支出严格根据各项管理规定执行，保障了财政绩效管理工作顺利开展，预算执行进度达到预算管理要求，完成了年度预算绩效目标。项目自评得分100分。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存在问题</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改进措施</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项目负责人：袁秀武</w:t>
            </w:r>
          </w:p>
        </w:tc>
        <w:tc>
          <w:tcPr>
            <w:tcW w:w="70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财务负责人：衡云云</w:t>
            </w:r>
          </w:p>
        </w:tc>
      </w:tr>
    </w:tbl>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Fonts w:hint="eastAsia" w:ascii="黑体" w:hAnsi="黑体" w:eastAsia="黑体"/>
          <w:color w:val="auto"/>
          <w:sz w:val="44"/>
          <w:szCs w:val="44"/>
          <w:highlight w:val="none"/>
        </w:rPr>
      </w:pPr>
      <w:r>
        <w:rPr>
          <w:rStyle w:val="17"/>
          <w:rFonts w:hint="eastAsia" w:ascii="黑体" w:hAnsi="黑体" w:eastAsia="黑体"/>
          <w:b w:val="0"/>
          <w:color w:val="auto"/>
          <w:sz w:val="32"/>
          <w:szCs w:val="32"/>
          <w:highlight w:val="none"/>
        </w:rPr>
        <w:t>部门预算、专项资金预算项目支出绩效目标自评表（2022年度）</w:t>
      </w:r>
      <w:bookmarkEnd w:id="71"/>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0"/>
        <w:gridCol w:w="1181"/>
        <w:gridCol w:w="1176"/>
        <w:gridCol w:w="1176"/>
        <w:gridCol w:w="1195"/>
        <w:gridCol w:w="1176"/>
        <w:gridCol w:w="955"/>
        <w:gridCol w:w="1224"/>
        <w:gridCol w:w="938"/>
        <w:gridCol w:w="872"/>
        <w:gridCol w:w="1198"/>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17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预算绩效管理工作经费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20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广元市财政绩效管理中心</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7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广元市财政绩效管理中心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20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b/>
                <w:i w:val="0"/>
                <w:color w:val="000000"/>
                <w:sz w:val="16"/>
                <w:szCs w:val="16"/>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b/>
                <w:i w:val="0"/>
                <w:color w:val="000000"/>
                <w:sz w:val="16"/>
                <w:szCs w:val="16"/>
                <w:u w:val="none"/>
              </w:rPr>
            </w:pPr>
          </w:p>
        </w:tc>
        <w:tc>
          <w:tcPr>
            <w:tcW w:w="20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为更好地全面推进全市预算绩效管理，提高全市绩效管理水平，确保全市绩效目标全覆盖，做好绩效目标管理及运行监控试点工作，做好做实项目绩效评价及部门整体绩效评价工作。</w:t>
            </w:r>
          </w:p>
        </w:tc>
        <w:tc>
          <w:tcPr>
            <w:tcW w:w="2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2022年，全市预算绩效管理全面推进，绩效管理水平不断提高，绩效目标编制实现全覆盖，全面开展预算绩效目标管理、绩效运行监控、部门整体和项目绩效评价等工作。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17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项目主要保障绩效管理工作开展，包括调研指导差旅费、向上对接工作、开展项目和部门绩效评价工作开展的网络费和印刷费等其他费用。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11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30.12</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30.12</w:t>
            </w:r>
          </w:p>
        </w:tc>
        <w:tc>
          <w:tcPr>
            <w:tcW w:w="11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19.49</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64.71%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30.12</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30.12</w:t>
            </w:r>
          </w:p>
        </w:tc>
        <w:tc>
          <w:tcPr>
            <w:tcW w:w="11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19.49</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64.71%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项目及政策绩效评价个数</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绩效目标覆盖率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始终绩效监控完成时间</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业务培训完成时间</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绩效评价完成时间</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预算绩效目标填报完成时间</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工作会议</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场次</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工作经费</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19.49</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业务培训</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场次</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部门整体支出绩效评价个数</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事中绩效监控覆盖率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绩效目标使用期限</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开展预算绩效管理环节数量</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绩效目标结果调整预算金额</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4067.38</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预算绩效考核部门通过率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事中绩效监控持续时间</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月</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绩效评价结果预算调整金额</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640.6831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绩效目标调整项目数</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因受疫情影响，开展绩效目标会审项目个数减少，故调整项目个数减少。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绩效监控整改问题个数</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因受疫情影响，开展绩效重点监控个数减少，故问题整改个数减少。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市本级部门满意度</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26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eastAsia="宋体" w:cs="宋体"/>
                <w:i w:val="0"/>
                <w:color w:val="000000"/>
                <w:kern w:val="0"/>
                <w:sz w:val="16"/>
                <w:szCs w:val="16"/>
                <w:u w:val="none"/>
                <w:lang w:val="en-US" w:eastAsia="zh-CN" w:bidi="ar"/>
              </w:rPr>
              <w:t>86</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宋体" w:hAnsi="宋体" w:eastAsia="宋体" w:cs="宋体"/>
                <w:i w:val="0"/>
                <w:color w:val="000000"/>
                <w:sz w:val="16"/>
                <w:szCs w:val="16"/>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8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广元市财政绩效管理中心全面推进全市预算绩效管理工作，相继开展预算绩效目标管理、事中绩效运行监控以及部门整体和项目（政策）绩效评价（估）等工作，多次开展预算绩效管理业务培训和绩效管理工作会议，不断提高全市预算绩效管理工作水平。经自评，预算绩效管理工作经费项目总分100分，自评得分86分，其中，预算执行情况得6.5分，绩效指标得86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8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自评，发现以下问题：一是年初预算资金执行情况偏低。原因为受疫情影响，检查调研项目次数减少，同时使用了部分上年度结转项目资金，故该项目当年预算未全部执行。二是开展项目及政策绩效评价个数未达指标值。因当年政府采购第三方机构数量减少，且工作开展时间偏晚，加上疫情影响，故选择开展项目及政策绩效评价个数未达年初绩效目标设置值。三是绩效目标调整项目数和绩效监控问题整改个数未达指标值。原因为受疫情影响，开展绩效目标和绩效监控个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8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下一步改进措施：一是优先使用当年度预算资金，加快预算执行进度，合理安排检查调研等绩效管理工作内容。二是科学设置项目绩效指标值，结合绩效管理工作实际，从源头把控绩效指标设置，做到精准客观。三是提前谋划，尽早布局，高速高质高效开展预算绩效管理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8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92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92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center"/>
        <w:outlineLvl w:val="0"/>
        <w:rPr>
          <w:rStyle w:val="17"/>
          <w:rFonts w:hint="eastAsia" w:ascii="黑体" w:hAnsi="黑体" w:eastAsia="黑体"/>
          <w:b w:val="0"/>
          <w:color w:val="auto"/>
          <w:sz w:val="32"/>
          <w:szCs w:val="32"/>
          <w:highlight w:val="none"/>
        </w:rPr>
      </w:pPr>
      <w:bookmarkStart w:id="72" w:name="_Toc25293"/>
    </w:p>
    <w:p>
      <w:pPr>
        <w:spacing w:line="600" w:lineRule="exact"/>
        <w:jc w:val="center"/>
        <w:outlineLvl w:val="0"/>
        <w:rPr>
          <w:rFonts w:hint="eastAsia" w:ascii="黑体" w:hAnsi="黑体" w:eastAsia="黑体"/>
          <w:color w:val="auto"/>
          <w:sz w:val="44"/>
          <w:szCs w:val="44"/>
          <w:highlight w:val="none"/>
        </w:rPr>
      </w:pPr>
      <w:r>
        <w:rPr>
          <w:rStyle w:val="17"/>
          <w:rFonts w:hint="eastAsia" w:ascii="黑体" w:hAnsi="黑体" w:eastAsia="黑体"/>
          <w:b w:val="0"/>
          <w:color w:val="auto"/>
          <w:sz w:val="32"/>
          <w:szCs w:val="32"/>
          <w:highlight w:val="none"/>
        </w:rPr>
        <w:t>部门预算、专项资金预算项目支出绩效目标自评表（2022年度）</w:t>
      </w:r>
      <w:bookmarkEnd w:id="72"/>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8"/>
        <w:gridCol w:w="1450"/>
        <w:gridCol w:w="1164"/>
        <w:gridCol w:w="1634"/>
        <w:gridCol w:w="592"/>
        <w:gridCol w:w="804"/>
        <w:gridCol w:w="654"/>
        <w:gridCol w:w="915"/>
        <w:gridCol w:w="635"/>
        <w:gridCol w:w="785"/>
        <w:gridCol w:w="796"/>
        <w:gridCol w:w="33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第三方绩效评价工作经费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广元市财政绩效管理中心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广元市财政绩效管理中心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完成2022年事前政策和项目的绩效评估，重点事后部门整体和项目、政策支出绩效评价，对市级部门单位进行2021年度考核，评估和评价结果运用于2022年预算安排，让绩效和预算调整深度挂钩。</w:t>
            </w:r>
          </w:p>
        </w:tc>
        <w:tc>
          <w:tcPr>
            <w:tcW w:w="22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开展事前绩效评估项目（政策）15个，事后部门整体重点绩效评价15个以及项目（政策）重点绩效评价18个，对市级部门单位开展了2021年度绩效考核，市级部门单位绩效管理水平显著提升，同时，将事前评估和事后评价结果应用于2022年预算安排，与预算安排调整相挂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该项目经费主要保障2022年事前绩效评估、事后绩效评价工作的开展，以及开展对市级部门绩效考核工作，评估和评价结果应用以及市级部门单位年度考核情况与年度预算安排资金相挂钩。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100.00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lang w:val="en-US" w:eastAsia="zh-CN"/>
              </w:rPr>
            </w:pPr>
            <w:r>
              <w:rPr>
                <w:rFonts w:hint="eastAsia" w:ascii="宋体" w:hAnsi="宋体" w:eastAsia="宋体" w:cs="宋体"/>
                <w:i w:val="0"/>
                <w:color w:val="000000"/>
                <w:sz w:val="16"/>
                <w:szCs w:val="16"/>
                <w:u w:val="none"/>
                <w:lang w:val="en-US" w:eastAsia="zh-CN"/>
              </w:rPr>
              <w:t>0</w:t>
            </w:r>
          </w:p>
        </w:tc>
        <w:tc>
          <w:tcPr>
            <w:tcW w:w="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年重新通过政府招投标，与2家第三方机构签订绩效管理工作合同，合同约定委托第三方机构开展的绩效管理工作全部完成后，经市财政绩效管理中心对第三方机构开展的绩效工作进行考核，待考核合格后测算并支付合同约定金额，同时考核结果作为下一年度续签合同的依据。故当年预算金额暂未执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100.00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lang w:val="en-US" w:eastAsia="zh-CN"/>
              </w:rPr>
            </w:pPr>
            <w:r>
              <w:rPr>
                <w:rFonts w:hint="eastAsia" w:ascii="宋体" w:hAnsi="宋体" w:eastAsia="宋体" w:cs="宋体"/>
                <w:i w:val="0"/>
                <w:color w:val="000000"/>
                <w:sz w:val="16"/>
                <w:szCs w:val="16"/>
                <w:u w:val="none"/>
                <w:lang w:val="en-US" w:eastAsia="zh-CN"/>
              </w:rPr>
              <w:t>0</w:t>
            </w:r>
          </w:p>
        </w:tc>
        <w:tc>
          <w:tcPr>
            <w:tcW w:w="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部门整体支出绩效评价采购标准</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元/个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19333</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政策和项目绩效评价采购标准</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元/个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19333</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政策绩效评价</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部门整体评价</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3.8</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因受疫情影响，委托开展绩效评价工作的第三方减少，故开展部门整体绩效评价个数减少。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项目事前绩效评价</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因受疫情影响，委托开展绩效评估工作的第三方减少，故开展项目事前绩效评估个数减少。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项目支出绩效评价</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2.7</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因受疫情影响，委托开展绩效评价工作的第三方减少，故开展项目支出绩效评价个数减少。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事前绩效评估完成时间</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绩效评价完成时间</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项目事前绩效评估报告考核通过率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项目及政策绩效评价报告考核通过率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部门整体支出绩效评价报告考核通过率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部门整体支出绩效评价整改问题个数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部门整体支出绩效评价调整预算金额</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640.6831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项目支出绩效评价调整预算金额</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640.6831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项目事前绩效评估调整预算金额</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55.4</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因单位申报项目资金大多为实际需求资金，故开展事前绩效评估调整资金减少。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绩效评价总结材料编制情况</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项目支出绩效评价整改问题个数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事前绩效评估总结材料编制情况</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政策绩效评价整改问题个数</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涉及科室满意度</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涉及部门满意度</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3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79.4</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年，我市共开展事前绩效评估项目（政策）15个，事后部门整体重点绩效评价15个以及项目（政策）重点绩效评价18个，对市级部门单位开展了2021年度绩效考核，市级部门单位绩效管理水平显著提升，同时，将事前评估和事后评价结果应用于2022年预算安排，与预算安排调整相挂钩，不断提高全市预算绩效管理工作水平。经自评，第三方绩效评价工作经费项目总分100分，自评得分79.4分，其中，预算执行情况得0分，绩效指标得79.4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自评，发现以下问题：一是年初预算资金执行情况为0。主要原因为2022年通过政府招投标与新的第三方机构签订了合同，合同约定第三方机构完成市财政绩效管理中心所委托工作后，经绩效中心考核合格，再测算并支付合同约定金额，故当年预算资金未执行支付。二是开展绩效评价（估）项目个数未达指标值。主要原因为受疫情影响，加上当年委托第三方机构减少，选择开展绩效评价（估）个数相应减少。三是事前绩效评估调整预算金额未达指标值。主要原因为单位年初申报预算项目资金为该项目实际需求资金，在评估过程中发现，项目预算资金确为刚需，故调整金额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下一步改进措施：一是提前签订与第三方机构委托合同，提前谋划，及早开展绩效评价（估）工作，待评价工作完成后，按照合同约定支付金额，加快预算资金执行效率。二是精准定位，结合绩效管理工作实际，客观合理设置年初绩效目标指标值。同时，委托第三方开展工作时，以年初绩效目标指标值为基础，选取部门整体和项目、政策。三是加强绩效评价（估）结果应用，合理调整使用预算资金，提高预算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9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9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ind w:firstLine="440" w:firstLineChars="100"/>
        <w:jc w:val="both"/>
        <w:outlineLvl w:val="9"/>
        <w:rPr>
          <w:rFonts w:hint="eastAsia" w:ascii="黑体" w:hAnsi="黑体" w:eastAsia="黑体"/>
          <w:color w:val="auto"/>
          <w:sz w:val="44"/>
          <w:szCs w:val="44"/>
          <w:highlight w:val="none"/>
        </w:rPr>
      </w:pPr>
    </w:p>
    <w:p>
      <w:pPr>
        <w:spacing w:line="600" w:lineRule="exact"/>
        <w:ind w:firstLine="440" w:firstLineChars="100"/>
        <w:jc w:val="both"/>
        <w:outlineLvl w:val="9"/>
        <w:rPr>
          <w:rFonts w:hint="eastAsia" w:ascii="黑体" w:hAnsi="黑体" w:eastAsia="黑体"/>
          <w:color w:val="auto"/>
          <w:sz w:val="44"/>
          <w:szCs w:val="44"/>
          <w:highlight w:val="none"/>
        </w:rPr>
        <w:sectPr>
          <w:pgSz w:w="16838" w:h="11906" w:orient="landscape"/>
          <w:pgMar w:top="1800" w:right="1440" w:bottom="1800" w:left="1440" w:header="851" w:footer="992" w:gutter="0"/>
          <w:pgNumType w:fmt="decimal"/>
          <w:cols w:space="425" w:num="1"/>
          <w:titlePg/>
          <w:docGrid w:type="lines" w:linePitch="312" w:charSpace="0"/>
        </w:sectPr>
      </w:pPr>
    </w:p>
    <w:p>
      <w:pPr>
        <w:spacing w:line="600" w:lineRule="exact"/>
        <w:jc w:val="center"/>
        <w:outlineLvl w:val="0"/>
        <w:rPr>
          <w:rFonts w:hint="eastAsia" w:ascii="仿宋" w:hAnsi="仿宋" w:eastAsia="仿宋"/>
          <w:b w:val="0"/>
          <w:color w:val="auto"/>
          <w:highlight w:val="none"/>
        </w:rPr>
      </w:pPr>
      <w:bookmarkStart w:id="73" w:name="_Toc19544"/>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3"/>
      <w:bookmarkStart w:id="74" w:name="_Toc15396619"/>
    </w:p>
    <w:p>
      <w:pPr>
        <w:pStyle w:val="4"/>
        <w:rPr>
          <w:rFonts w:ascii="仿宋" w:hAnsi="仿宋" w:eastAsia="仿宋"/>
          <w:color w:val="auto"/>
          <w:highlight w:val="none"/>
        </w:rPr>
      </w:pPr>
      <w:bookmarkStart w:id="75" w:name="_Toc13345"/>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4"/>
      <w:bookmarkEnd w:id="75"/>
    </w:p>
    <w:p>
      <w:pPr>
        <w:pStyle w:val="4"/>
        <w:rPr>
          <w:rFonts w:ascii="仿宋" w:hAnsi="仿宋" w:eastAsia="仿宋"/>
          <w:color w:val="auto"/>
          <w:highlight w:val="none"/>
        </w:rPr>
      </w:pPr>
      <w:bookmarkStart w:id="76" w:name="_Toc15396620"/>
      <w:bookmarkStart w:id="77" w:name="_Toc620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6"/>
      <w:bookmarkEnd w:id="77"/>
    </w:p>
    <w:p>
      <w:pPr>
        <w:pStyle w:val="4"/>
        <w:rPr>
          <w:rFonts w:ascii="仿宋" w:hAnsi="仿宋" w:eastAsia="仿宋"/>
          <w:color w:val="auto"/>
          <w:highlight w:val="none"/>
        </w:rPr>
      </w:pPr>
      <w:bookmarkStart w:id="78" w:name="_Toc16271"/>
      <w:bookmarkStart w:id="79"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78"/>
      <w:bookmarkEnd w:id="79"/>
    </w:p>
    <w:p>
      <w:pPr>
        <w:pStyle w:val="4"/>
        <w:rPr>
          <w:rFonts w:ascii="仿宋" w:hAnsi="仿宋" w:eastAsia="仿宋"/>
          <w:b w:val="0"/>
          <w:color w:val="auto"/>
          <w:highlight w:val="none"/>
        </w:rPr>
      </w:pPr>
      <w:bookmarkStart w:id="80" w:name="_Toc7394"/>
      <w:bookmarkStart w:id="81" w:name="_Toc1539662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0"/>
      <w:bookmarkEnd w:id="81"/>
    </w:p>
    <w:p>
      <w:pPr>
        <w:pStyle w:val="4"/>
        <w:rPr>
          <w:rStyle w:val="18"/>
          <w:rFonts w:ascii="仿宋" w:hAnsi="仿宋" w:eastAsia="仿宋"/>
          <w:b w:val="0"/>
          <w:bCs w:val="0"/>
          <w:color w:val="auto"/>
          <w:highlight w:val="none"/>
        </w:rPr>
      </w:pPr>
      <w:bookmarkStart w:id="82" w:name="_Toc15396623"/>
      <w:bookmarkStart w:id="83" w:name="_Toc24660"/>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2"/>
      <w:bookmarkEnd w:id="83"/>
      <w:bookmarkStart w:id="84" w:name="_Toc15396624"/>
    </w:p>
    <w:p>
      <w:pPr>
        <w:pStyle w:val="4"/>
        <w:rPr>
          <w:rFonts w:ascii="仿宋" w:hAnsi="仿宋" w:eastAsia="仿宋"/>
          <w:color w:val="auto"/>
          <w:highlight w:val="none"/>
        </w:rPr>
      </w:pPr>
      <w:bookmarkStart w:id="85" w:name="_Toc17260"/>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4"/>
      <w:bookmarkEnd w:id="85"/>
    </w:p>
    <w:p>
      <w:pPr>
        <w:pStyle w:val="4"/>
        <w:rPr>
          <w:rFonts w:ascii="仿宋" w:hAnsi="仿宋" w:eastAsia="仿宋"/>
          <w:color w:val="auto"/>
          <w:highlight w:val="none"/>
        </w:rPr>
      </w:pPr>
      <w:bookmarkStart w:id="86" w:name="_Toc15396625"/>
      <w:bookmarkStart w:id="87" w:name="_Toc4816"/>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6"/>
      <w:bookmarkEnd w:id="87"/>
    </w:p>
    <w:p>
      <w:pPr>
        <w:pStyle w:val="4"/>
        <w:rPr>
          <w:rFonts w:ascii="仿宋" w:hAnsi="仿宋" w:eastAsia="仿宋"/>
          <w:color w:val="auto"/>
          <w:highlight w:val="none"/>
        </w:rPr>
      </w:pPr>
      <w:bookmarkStart w:id="88" w:name="_Toc30666"/>
      <w:bookmarkStart w:id="89" w:name="_Toc15396626"/>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88"/>
      <w:bookmarkEnd w:id="89"/>
    </w:p>
    <w:p>
      <w:pPr>
        <w:pStyle w:val="4"/>
        <w:rPr>
          <w:rFonts w:ascii="仿宋" w:hAnsi="仿宋" w:eastAsia="仿宋"/>
          <w:color w:val="auto"/>
          <w:highlight w:val="none"/>
        </w:rPr>
      </w:pPr>
      <w:bookmarkStart w:id="90" w:name="_Toc15396627"/>
      <w:bookmarkStart w:id="91" w:name="_Toc22487"/>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0"/>
      <w:bookmarkEnd w:id="91"/>
    </w:p>
    <w:p>
      <w:pPr>
        <w:pStyle w:val="4"/>
        <w:rPr>
          <w:rFonts w:ascii="仿宋" w:hAnsi="仿宋" w:eastAsia="仿宋"/>
          <w:color w:val="auto"/>
          <w:highlight w:val="none"/>
        </w:rPr>
      </w:pPr>
      <w:bookmarkStart w:id="92" w:name="_Toc15396628"/>
      <w:bookmarkStart w:id="93" w:name="_Toc12659"/>
      <w:r>
        <w:rPr>
          <w:rStyle w:val="18"/>
          <w:rFonts w:hint="eastAsia" w:ascii="仿宋" w:hAnsi="仿宋" w:eastAsia="仿宋"/>
          <w:b w:val="0"/>
          <w:bCs w:val="0"/>
          <w:color w:val="auto"/>
          <w:highlight w:val="none"/>
        </w:rPr>
        <w:t>十、</w:t>
      </w:r>
      <w:bookmarkEnd w:id="92"/>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3"/>
    </w:p>
    <w:p>
      <w:pPr>
        <w:pStyle w:val="4"/>
        <w:rPr>
          <w:rFonts w:ascii="仿宋" w:hAnsi="仿宋" w:eastAsia="仿宋"/>
          <w:color w:val="auto"/>
          <w:highlight w:val="none"/>
        </w:rPr>
      </w:pPr>
      <w:bookmarkStart w:id="94" w:name="_Toc15396629"/>
      <w:bookmarkStart w:id="95" w:name="_Toc840"/>
      <w:r>
        <w:rPr>
          <w:rStyle w:val="18"/>
          <w:rFonts w:hint="eastAsia" w:ascii="仿宋" w:hAnsi="仿宋" w:eastAsia="仿宋"/>
          <w:b w:val="0"/>
          <w:bCs w:val="0"/>
          <w:color w:val="auto"/>
          <w:highlight w:val="none"/>
        </w:rPr>
        <w:t>十一、</w:t>
      </w:r>
      <w:bookmarkEnd w:id="94"/>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5"/>
    </w:p>
    <w:p>
      <w:pPr>
        <w:pStyle w:val="4"/>
        <w:rPr>
          <w:rFonts w:ascii="仿宋" w:hAnsi="仿宋" w:eastAsia="仿宋"/>
          <w:color w:val="auto"/>
          <w:highlight w:val="none"/>
        </w:rPr>
      </w:pPr>
      <w:bookmarkStart w:id="96" w:name="_Toc15396630"/>
      <w:bookmarkStart w:id="97" w:name="_Toc19965"/>
      <w:r>
        <w:rPr>
          <w:rStyle w:val="18"/>
          <w:rFonts w:hint="eastAsia" w:ascii="仿宋" w:hAnsi="仿宋" w:eastAsia="仿宋"/>
          <w:b w:val="0"/>
          <w:bCs w:val="0"/>
          <w:color w:val="auto"/>
          <w:highlight w:val="none"/>
        </w:rPr>
        <w:t>十二、</w:t>
      </w:r>
      <w:bookmarkEnd w:id="96"/>
      <w:r>
        <w:rPr>
          <w:rStyle w:val="18"/>
          <w:rFonts w:hint="eastAsia" w:ascii="仿宋" w:hAnsi="仿宋" w:eastAsia="仿宋"/>
          <w:b w:val="0"/>
          <w:bCs w:val="0"/>
          <w:color w:val="auto"/>
          <w:highlight w:val="none"/>
          <w:lang w:eastAsia="zh-CN"/>
        </w:rPr>
        <w:t>国有资本经营预算财政拨款支出决算表</w:t>
      </w:r>
      <w:bookmarkEnd w:id="97"/>
    </w:p>
    <w:p>
      <w:pPr>
        <w:pStyle w:val="4"/>
        <w:rPr>
          <w:rFonts w:hint="eastAsia" w:eastAsia="仿宋"/>
          <w:color w:val="auto"/>
          <w:highlight w:val="none"/>
          <w:lang w:eastAsia="zh-CN"/>
        </w:rPr>
      </w:pPr>
      <w:bookmarkStart w:id="98" w:name="_Toc15396631"/>
      <w:bookmarkStart w:id="99" w:name="_Toc22705"/>
      <w:r>
        <w:rPr>
          <w:rStyle w:val="18"/>
          <w:rFonts w:hint="eastAsia" w:ascii="仿宋" w:hAnsi="仿宋" w:eastAsia="仿宋"/>
          <w:b w:val="0"/>
          <w:bCs w:val="0"/>
          <w:color w:val="auto"/>
          <w:highlight w:val="none"/>
        </w:rPr>
        <w:t>十三、</w:t>
      </w:r>
      <w:bookmarkEnd w:id="98"/>
      <w:r>
        <w:rPr>
          <w:rStyle w:val="18"/>
          <w:rFonts w:hint="eastAsia" w:ascii="仿宋" w:hAnsi="仿宋" w:eastAsia="仿宋"/>
          <w:b w:val="0"/>
          <w:bCs w:val="0"/>
          <w:color w:val="auto"/>
          <w:highlight w:val="none"/>
          <w:lang w:eastAsia="zh-CN"/>
        </w:rPr>
        <w:t>财政拨款“三公”经费支出决算</w:t>
      </w:r>
      <w:bookmarkEnd w:id="99"/>
    </w:p>
    <w:p>
      <w:pPr>
        <w:pStyle w:val="4"/>
        <w:outlineLvl w:val="9"/>
        <w:rPr>
          <w:rFonts w:hint="eastAsia" w:eastAsia="仿宋"/>
          <w:color w:val="auto"/>
          <w:highlight w:val="none"/>
          <w:lang w:eastAsia="zh-CN"/>
        </w:rPr>
      </w:pPr>
    </w:p>
    <w:sectPr>
      <w:headerReference r:id="rId5" w:type="default"/>
      <w:footerReference r:id="rId6"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simhei">
    <w:altName w:val="Manga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10C055FF"/>
    <w:rsid w:val="118107EC"/>
    <w:rsid w:val="11DD6519"/>
    <w:rsid w:val="16BB723D"/>
    <w:rsid w:val="18015F3F"/>
    <w:rsid w:val="1BE8440E"/>
    <w:rsid w:val="1D155CEE"/>
    <w:rsid w:val="1DB736A3"/>
    <w:rsid w:val="20F57F95"/>
    <w:rsid w:val="240371BF"/>
    <w:rsid w:val="25711CC6"/>
    <w:rsid w:val="25BCE9A2"/>
    <w:rsid w:val="25C741E6"/>
    <w:rsid w:val="27842671"/>
    <w:rsid w:val="29FD04D3"/>
    <w:rsid w:val="2ABE7A3E"/>
    <w:rsid w:val="2CA234A8"/>
    <w:rsid w:val="2DFBD5B6"/>
    <w:rsid w:val="2EFA178C"/>
    <w:rsid w:val="30B46D73"/>
    <w:rsid w:val="319F7F4E"/>
    <w:rsid w:val="383D272C"/>
    <w:rsid w:val="39AE70AB"/>
    <w:rsid w:val="3C0C0783"/>
    <w:rsid w:val="3EBB98E7"/>
    <w:rsid w:val="3F9F3A96"/>
    <w:rsid w:val="3FDFED7F"/>
    <w:rsid w:val="3FFF31E8"/>
    <w:rsid w:val="41085755"/>
    <w:rsid w:val="47DFC453"/>
    <w:rsid w:val="47E80223"/>
    <w:rsid w:val="48BF60AB"/>
    <w:rsid w:val="493C27E9"/>
    <w:rsid w:val="496F39ED"/>
    <w:rsid w:val="49FF41D3"/>
    <w:rsid w:val="4A7700D2"/>
    <w:rsid w:val="4BE068DB"/>
    <w:rsid w:val="4BF6002B"/>
    <w:rsid w:val="4ECE2238"/>
    <w:rsid w:val="4FFF568F"/>
    <w:rsid w:val="50326E82"/>
    <w:rsid w:val="51DB4B86"/>
    <w:rsid w:val="55333C3E"/>
    <w:rsid w:val="5EBB396B"/>
    <w:rsid w:val="5FD70DB2"/>
    <w:rsid w:val="5FFD3679"/>
    <w:rsid w:val="5FFED90D"/>
    <w:rsid w:val="5FFF2A16"/>
    <w:rsid w:val="64CA39A1"/>
    <w:rsid w:val="69630ADE"/>
    <w:rsid w:val="6BFBE3CB"/>
    <w:rsid w:val="6C4A05C8"/>
    <w:rsid w:val="6D1773D2"/>
    <w:rsid w:val="6D3B1A89"/>
    <w:rsid w:val="6FF7B741"/>
    <w:rsid w:val="6FFDC993"/>
    <w:rsid w:val="6FFF9272"/>
    <w:rsid w:val="71BF4EC2"/>
    <w:rsid w:val="72734D90"/>
    <w:rsid w:val="7412278C"/>
    <w:rsid w:val="777A4434"/>
    <w:rsid w:val="7904082E"/>
    <w:rsid w:val="79E7B28D"/>
    <w:rsid w:val="7A9B52B7"/>
    <w:rsid w:val="7AFFB302"/>
    <w:rsid w:val="7F2B7979"/>
    <w:rsid w:val="7F9F20EE"/>
    <w:rsid w:val="7FAB70ED"/>
    <w:rsid w:val="7FFF9D2F"/>
    <w:rsid w:val="9E3A10E2"/>
    <w:rsid w:val="AFFE1425"/>
    <w:rsid w:val="AFFFF754"/>
    <w:rsid w:val="BDFCD136"/>
    <w:rsid w:val="BFF510E6"/>
    <w:rsid w:val="D3FEB0C7"/>
    <w:rsid w:val="D4FBD147"/>
    <w:rsid w:val="DDEF75FE"/>
    <w:rsid w:val="DEBCA4CF"/>
    <w:rsid w:val="EDF11AA7"/>
    <w:rsid w:val="EFFDE5B6"/>
    <w:rsid w:val="F15B5F8F"/>
    <w:rsid w:val="F2E1F9D4"/>
    <w:rsid w:val="F37CE9D4"/>
    <w:rsid w:val="F5F7BD3C"/>
    <w:rsid w:val="F77E3786"/>
    <w:rsid w:val="F7880819"/>
    <w:rsid w:val="F7BE3587"/>
    <w:rsid w:val="FAFFA43A"/>
    <w:rsid w:val="FBF6B056"/>
    <w:rsid w:val="FCAEECD7"/>
    <w:rsid w:val="FDF22EAB"/>
    <w:rsid w:val="FEBD430F"/>
    <w:rsid w:val="FF4E2215"/>
    <w:rsid w:val="FFD974D9"/>
    <w:rsid w:val="FFFB46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[工作簿1]Sheet1!$B$4:$B$5</c:f>
              <c:strCache>
                <c:ptCount val="2"/>
                <c:pt idx="0">
                  <c:v>2022年度收、支</c:v>
                </c:pt>
                <c:pt idx="1">
                  <c:v>2021年度收、支</c:v>
                </c:pt>
              </c:strCache>
            </c:strRef>
          </c:cat>
          <c:val>
            <c:numRef>
              <c:f>[工作簿1]Sheet1!$C$4:$C$5</c:f>
              <c:numCache>
                <c:formatCode>General</c:formatCode>
                <c:ptCount val="2"/>
                <c:pt idx="0">
                  <c:v>178.41</c:v>
                </c:pt>
                <c:pt idx="1">
                  <c:v>406.09</c:v>
                </c:pt>
              </c:numCache>
            </c:numRef>
          </c:val>
        </c:ser>
        <c:dLbls>
          <c:showLegendKey val="false"/>
          <c:showVal val="true"/>
          <c:showCatName val="false"/>
          <c:showSerName val="false"/>
          <c:showPercent val="false"/>
          <c:showBubbleSize val="false"/>
        </c:dLbls>
        <c:gapWidth val="219"/>
        <c:overlap val="-27"/>
        <c:axId val="875102686"/>
        <c:axId val="761037889"/>
      </c:barChart>
      <c:catAx>
        <c:axId val="87510268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61037889"/>
        <c:crosses val="autoZero"/>
        <c:auto val="true"/>
        <c:lblAlgn val="ctr"/>
        <c:lblOffset val="100"/>
        <c:noMultiLvlLbl val="false"/>
      </c:catAx>
      <c:valAx>
        <c:axId val="76103788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510268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99.99</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0</a:t>
                    </a:r>
                    <a:r>
                      <a:rPr lang="en-US" altLang="zh-CN"/>
                      <a:t>.01</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[工作簿1]Sheet1!$B$4:$B$5</c:f>
              <c:strCache>
                <c:ptCount val="2"/>
                <c:pt idx="0">
                  <c:v>一般公共预算财政拨款收入</c:v>
                </c:pt>
                <c:pt idx="1">
                  <c:v>其他收入</c:v>
                </c:pt>
              </c:strCache>
            </c:strRef>
          </c:cat>
          <c:val>
            <c:numRef>
              <c:f>[工作簿1]Sheet1!$C$4:$C$5</c:f>
              <c:numCache>
                <c:formatCode>General</c:formatCode>
                <c:ptCount val="2"/>
                <c:pt idx="0">
                  <c:v>149.84</c:v>
                </c:pt>
                <c:pt idx="1">
                  <c:v>0.01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87.98</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12.02</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[工作簿1]Sheet1!$B$4:$B$5</c:f>
              <c:strCache>
                <c:ptCount val="2"/>
                <c:pt idx="0">
                  <c:v>基本支出</c:v>
                </c:pt>
                <c:pt idx="1">
                  <c:v>项目支出</c:v>
                </c:pt>
              </c:strCache>
            </c:strRef>
          </c:cat>
          <c:val>
            <c:numRef>
              <c:f>[工作簿1]Sheet1!$C$4:$C$5</c:f>
              <c:numCache>
                <c:formatCode>General</c:formatCode>
                <c:ptCount val="2"/>
                <c:pt idx="0">
                  <c:v>142.6</c:v>
                </c:pt>
                <c:pt idx="1">
                  <c:v>19.49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[工作簿1]Sheet1!$B$6:$B$7</c:f>
              <c:strCache>
                <c:ptCount val="2"/>
                <c:pt idx="0">
                  <c:v>2022年财政拨款收、支</c:v>
                </c:pt>
                <c:pt idx="1">
                  <c:v>2021年财政拨款收、支</c:v>
                </c:pt>
              </c:strCache>
            </c:strRef>
          </c:cat>
          <c:val>
            <c:numRef>
              <c:f>[工作簿1]Sheet1!$C$6:$C$7</c:f>
              <c:numCache>
                <c:formatCode>General</c:formatCode>
                <c:ptCount val="2"/>
                <c:pt idx="0">
                  <c:v>178.34</c:v>
                </c:pt>
                <c:pt idx="1">
                  <c:v>405.99</c:v>
                </c:pt>
              </c:numCache>
            </c:numRef>
          </c:val>
        </c:ser>
        <c:dLbls>
          <c:showLegendKey val="false"/>
          <c:showVal val="true"/>
          <c:showCatName val="false"/>
          <c:showSerName val="false"/>
          <c:showPercent val="false"/>
          <c:showBubbleSize val="false"/>
        </c:dLbls>
        <c:gapWidth val="219"/>
        <c:overlap val="-27"/>
        <c:axId val="72830236"/>
        <c:axId val="997529129"/>
      </c:barChart>
      <c:catAx>
        <c:axId val="7283023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97529129"/>
        <c:crosses val="autoZero"/>
        <c:auto val="true"/>
        <c:lblAlgn val="ctr"/>
        <c:lblOffset val="100"/>
        <c:noMultiLvlLbl val="false"/>
      </c:catAx>
      <c:valAx>
        <c:axId val="99752912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283023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[工作簿1]Sheet1!$B$6:$B$7</c:f>
              <c:strCache>
                <c:ptCount val="2"/>
                <c:pt idx="0">
                  <c:v>2022年一般公共预算财政拨款支出</c:v>
                </c:pt>
                <c:pt idx="1">
                  <c:v>2021年一般公共预算财政拨款支出</c:v>
                </c:pt>
              </c:strCache>
            </c:strRef>
          </c:cat>
          <c:val>
            <c:numRef>
              <c:f>[工作簿1]Sheet1!$C$6:$C$7</c:f>
              <c:numCache>
                <c:formatCode>General</c:formatCode>
                <c:ptCount val="2"/>
                <c:pt idx="0">
                  <c:v>162.05</c:v>
                </c:pt>
                <c:pt idx="1">
                  <c:v>226.48</c:v>
                </c:pt>
              </c:numCache>
            </c:numRef>
          </c:val>
        </c:ser>
        <c:dLbls>
          <c:showLegendKey val="false"/>
          <c:showVal val="true"/>
          <c:showCatName val="false"/>
          <c:showSerName val="false"/>
          <c:showPercent val="false"/>
          <c:showBubbleSize val="false"/>
        </c:dLbls>
        <c:gapWidth val="219"/>
        <c:overlap val="-27"/>
        <c:axId val="364636872"/>
        <c:axId val="704293647"/>
      </c:barChart>
      <c:catAx>
        <c:axId val="36463687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04293647"/>
        <c:crosses val="autoZero"/>
        <c:auto val="true"/>
        <c:lblAlgn val="ctr"/>
        <c:lblOffset val="100"/>
        <c:noMultiLvlLbl val="false"/>
      </c:catAx>
      <c:valAx>
        <c:axId val="704293647"/>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6463687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8</a:t>
                    </a:r>
                    <a:r>
                      <a:rPr lang="en-US" altLang="zh-CN"/>
                      <a:t>3.45</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extLst>
            </c:dLbl>
            <c:dLbl>
              <c:idx val="1"/>
              <c:layout>
                <c:manualLayout>
                  <c:x val="-0.0031839409728082"/>
                  <c:y val="0.0387757245763665"/>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5.98</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3</a:t>
                    </a:r>
                    <a:r>
                      <a:rPr lang="en-US" altLang="zh-CN"/>
                      <a:t>.31</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extLst>
            </c:dLbl>
            <c:dLbl>
              <c:idx val="3"/>
              <c:layout>
                <c:manualLayout>
                  <c:x val="0.0577718316660145"/>
                  <c:y val="0.00158899380555621"/>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7</a:t>
                    </a:r>
                    <a:r>
                      <a:rPr lang="en-US" altLang="zh-CN"/>
                      <a:t>.26</a:t>
                    </a:r>
                    <a:r>
                      <a:t>%</a:t>
                    </a:r>
                  </a:p>
                </c:rich>
              </c:tx>
              <c:dLblPos val="bestFit"/>
              <c:showLegendKey val="tru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[工作簿1]Sheet1!$B$6:$B$9</c:f>
              <c:strCache>
                <c:ptCount val="4"/>
                <c:pt idx="0">
                  <c:v>一般公共服务支出</c:v>
                </c:pt>
                <c:pt idx="1">
                  <c:v>社会保障和就业支出</c:v>
                </c:pt>
                <c:pt idx="2">
                  <c:v>卫生健康支出</c:v>
                </c:pt>
                <c:pt idx="3">
                  <c:v>住房保障支出</c:v>
                </c:pt>
              </c:strCache>
            </c:strRef>
          </c:cat>
          <c:val>
            <c:numRef>
              <c:f>[工作簿1]Sheet1!$C$6:$C$9</c:f>
              <c:numCache>
                <c:formatCode>General</c:formatCode>
                <c:ptCount val="4"/>
                <c:pt idx="0">
                  <c:v>135.24</c:v>
                </c:pt>
                <c:pt idx="1">
                  <c:v>9.69</c:v>
                </c:pt>
                <c:pt idx="2">
                  <c:v>5.36</c:v>
                </c:pt>
                <c:pt idx="3">
                  <c:v>11.76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2020-08-07T09:49:00Z</dcterms:created>
  <dc:creator>曹颖</dc:creator>
  <cp:lastModifiedBy> </cp:lastModifiedBy>
  <cp:lastPrinted>2023-08-02T10:35:00Z</cp:lastPrinted>
  <dcterms:modified xsi:type="dcterms:W3CDTF">2023-10-24T18:02:34Z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