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96597"/>
      <w:bookmarkStart w:id="3" w:name="_Toc6958"/>
      <w:bookmarkStart w:id="4" w:name="_Toc15377193"/>
      <w:bookmarkStart w:id="5" w:name="_Toc15378441"/>
      <w:bookmarkStart w:id="6"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val="en-US" w:eastAsia="zh-CN"/>
        </w:rPr>
      </w:pPr>
      <w:bookmarkStart w:id="7" w:name="_Toc4961"/>
      <w:bookmarkStart w:id="8" w:name="_Toc15377194"/>
      <w:bookmarkStart w:id="9" w:name="_Toc15377426"/>
      <w:bookmarkStart w:id="10" w:name="_Toc15378442"/>
      <w:bookmarkStart w:id="11" w:name="_Toc15396598"/>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val="en-US" w:eastAsia="zh-CN"/>
        </w:rPr>
        <w:t>中心血站</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5285"/>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jc w:val="center"/>
        <w:rPr>
          <w:rFonts w:hint="eastAsia" w:ascii="黑体" w:hAnsi="黑体" w:eastAsia="黑体"/>
          <w:color w:val="auto"/>
          <w:sz w:val="48"/>
          <w:szCs w:val="48"/>
          <w:highlight w:val="none"/>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3"/>
        <w:tabs>
          <w:tab w:val="right" w:leader="dot" w:pos="8296"/>
        </w:tabs>
        <w:jc w:val="center"/>
        <w:rPr>
          <w:rFonts w:ascii="Times New Roman" w:hAnsi="Times New Roman" w:eastAsia="宋体" w:cs="Times New Roman"/>
          <w:kern w:val="2"/>
          <w:sz w:val="28"/>
          <w:szCs w:val="28"/>
          <w:lang w:val="en-US" w:eastAsia="zh-CN" w:bidi="ar-SA"/>
        </w:rPr>
      </w:pPr>
      <w:bookmarkStart w:id="113" w:name="_GoBack"/>
      <w:r>
        <w:rPr>
          <w:rFonts w:hint="eastAsia"/>
          <w:color w:val="auto"/>
          <w:sz w:val="28"/>
          <w:szCs w:val="28"/>
          <w:highlight w:val="none"/>
        </w:rPr>
        <w:t>公开时间：20</w:t>
      </w:r>
      <w:r>
        <w:rPr>
          <w:rFonts w:hint="eastAsia"/>
          <w:color w:val="auto"/>
          <w:sz w:val="28"/>
          <w:szCs w:val="28"/>
          <w:highlight w:val="none"/>
          <w:lang w:val="en-US" w:eastAsia="zh-CN"/>
        </w:rPr>
        <w:t>23</w:t>
      </w:r>
      <w:r>
        <w:rPr>
          <w:rFonts w:hint="eastAsia"/>
          <w:color w:val="auto"/>
          <w:sz w:val="28"/>
          <w:szCs w:val="28"/>
          <w:highlight w:val="none"/>
        </w:rPr>
        <w:t>年</w:t>
      </w:r>
      <w:r>
        <w:rPr>
          <w:rFonts w:hint="eastAsia"/>
          <w:color w:val="auto"/>
          <w:sz w:val="28"/>
          <w:szCs w:val="28"/>
          <w:highlight w:val="none"/>
          <w:lang w:val="en-US" w:eastAsia="zh-CN"/>
        </w:rPr>
        <w:t xml:space="preserve">10 </w:t>
      </w:r>
      <w:r>
        <w:rPr>
          <w:rFonts w:hint="eastAsia"/>
          <w:color w:val="auto"/>
          <w:sz w:val="28"/>
          <w:szCs w:val="28"/>
          <w:highlight w:val="none"/>
        </w:rPr>
        <w:t>月</w:t>
      </w:r>
      <w:r>
        <w:rPr>
          <w:rFonts w:hint="eastAsia"/>
          <w:color w:val="auto"/>
          <w:sz w:val="28"/>
          <w:szCs w:val="28"/>
          <w:highlight w:val="none"/>
          <w:lang w:val="en-US" w:eastAsia="zh-CN"/>
        </w:rPr>
        <w:t>18</w:t>
      </w:r>
      <w:r>
        <w:rPr>
          <w:rFonts w:hint="eastAsia"/>
          <w:color w:val="auto"/>
          <w:sz w:val="28"/>
          <w:szCs w:val="28"/>
          <w:highlight w:val="none"/>
        </w:rPr>
        <w:t>日</w:t>
      </w:r>
      <w:bookmarkEnd w:id="113"/>
      <w:r>
        <w:rPr>
          <w:color w:val="auto"/>
          <w:sz w:val="28"/>
          <w:szCs w:val="28"/>
          <w:highlight w:val="none"/>
        </w:rPr>
        <w:fldChar w:fldCharType="begin"/>
      </w:r>
      <w:r>
        <w:rPr>
          <w:color w:val="auto"/>
          <w:sz w:val="28"/>
          <w:szCs w:val="28"/>
          <w:highlight w:val="none"/>
        </w:rPr>
        <w:instrText xml:space="preserve">TOC \o "1-3" \h \u </w:instrText>
      </w:r>
      <w:r>
        <w:rPr>
          <w:color w:val="auto"/>
          <w:sz w:val="28"/>
          <w:szCs w:val="28"/>
          <w:highlight w:val="none"/>
        </w:rPr>
        <w:fldChar w:fldCharType="separate"/>
      </w:r>
    </w:p>
    <w:p>
      <w:pPr>
        <w:pStyle w:val="13"/>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_Toc17262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黑体" w:hAnsi="黑体" w:eastAsia="黑体" w:cs="Times New Roman"/>
          <w:kern w:val="2"/>
          <w:sz w:val="28"/>
          <w:szCs w:val="28"/>
          <w:highlight w:val="none"/>
          <w:lang w:val="en-US" w:eastAsia="zh-CN" w:bidi="ar-SA"/>
        </w:rPr>
        <w:t>第一部分 单位</w:t>
      </w:r>
      <w:r>
        <w:rPr>
          <w:rFonts w:hint="eastAsia" w:ascii="黑体" w:hAnsi="黑体" w:eastAsia="黑体" w:cs="Times New Roman"/>
          <w:bCs w:val="0"/>
          <w:kern w:val="2"/>
          <w:sz w:val="28"/>
          <w:szCs w:val="28"/>
          <w:highlight w:val="none"/>
          <w:lang w:val="en-US" w:eastAsia="zh-CN" w:bidi="ar-SA"/>
        </w:rPr>
        <w:t>概况</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_Toc17262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1</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_Toc3780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一、</w:t>
      </w:r>
      <w:r>
        <w:rPr>
          <w:rFonts w:hint="eastAsia" w:ascii="仿宋_GB2312" w:hAnsi="仿宋_GB2312" w:eastAsia="仿宋_GB2312" w:cs="仿宋_GB2312"/>
          <w:bCs w:val="0"/>
          <w:kern w:val="2"/>
          <w:sz w:val="28"/>
          <w:szCs w:val="28"/>
          <w:highlight w:val="none"/>
          <w:lang w:val="en-US" w:eastAsia="zh-CN" w:bidi="ar-SA"/>
        </w:rPr>
        <w:t>主要职责</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_Toc3780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val="0"/>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_Toc5985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二、机构设置</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_Toc5985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13"/>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_Toc10400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黑体" w:hAnsi="黑体" w:eastAsia="黑体" w:cs="Times New Roman"/>
          <w:bCs/>
          <w:kern w:val="2"/>
          <w:sz w:val="28"/>
          <w:szCs w:val="28"/>
          <w:highlight w:val="none"/>
          <w:lang w:val="en-US" w:eastAsia="zh-CN" w:bidi="ar-SA"/>
        </w:rPr>
        <w:t>第二部分 2022年度单位决算情况说明</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_Toc10400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_Toc29391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一</w:t>
      </w:r>
      <w:r>
        <w:rPr>
          <w:rFonts w:hint="eastAsia" w:ascii="仿宋_GB2312" w:hAnsi="仿宋_GB2312" w:eastAsia="仿宋_GB2312" w:cs="仿宋_GB2312"/>
          <w:bCs/>
          <w:kern w:val="2"/>
          <w:sz w:val="28"/>
          <w:szCs w:val="28"/>
          <w:lang w:val="en-US" w:eastAsia="zh-CN" w:bidi="ar-SA"/>
        </w:rPr>
        <w:t xml:space="preserve">、 </w:t>
      </w:r>
      <w:r>
        <w:rPr>
          <w:rFonts w:hint="eastAsia" w:ascii="仿宋_GB2312" w:hAnsi="仿宋_GB2312" w:eastAsia="仿宋_GB2312" w:cs="仿宋_GB2312"/>
          <w:kern w:val="2"/>
          <w:sz w:val="28"/>
          <w:szCs w:val="28"/>
          <w:highlight w:val="none"/>
          <w:lang w:val="en-US" w:eastAsia="zh-CN" w:bidi="ar-SA"/>
        </w:rPr>
        <w:t>收入支出决算总体情况说明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_Toc29391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_Toc23784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二</w:t>
      </w:r>
      <w:r>
        <w:rPr>
          <w:rFonts w:hint="eastAsia" w:ascii="仿宋_GB2312" w:hAnsi="仿宋_GB2312" w:eastAsia="仿宋_GB2312" w:cs="仿宋_GB2312"/>
          <w:bCs/>
          <w:kern w:val="2"/>
          <w:sz w:val="28"/>
          <w:szCs w:val="28"/>
          <w:lang w:val="en-US" w:eastAsia="zh-CN" w:bidi="ar-SA"/>
        </w:rPr>
        <w:t xml:space="preserve">、 </w:t>
      </w:r>
      <w:r>
        <w:rPr>
          <w:rFonts w:hint="eastAsia" w:ascii="仿宋_GB2312" w:hAnsi="仿宋_GB2312" w:eastAsia="仿宋_GB2312" w:cs="仿宋_GB2312"/>
          <w:kern w:val="2"/>
          <w:sz w:val="28"/>
          <w:szCs w:val="28"/>
          <w:highlight w:val="none"/>
          <w:lang w:val="en-US" w:eastAsia="zh-CN" w:bidi="ar-SA"/>
        </w:rPr>
        <w:t>收入决算情况说明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_Toc23784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_Toc5565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三</w:t>
      </w:r>
      <w:r>
        <w:rPr>
          <w:rFonts w:hint="eastAsia" w:ascii="仿宋_GB2312" w:hAnsi="仿宋_GB2312" w:eastAsia="仿宋_GB2312" w:cs="仿宋_GB2312"/>
          <w:bCs/>
          <w:kern w:val="2"/>
          <w:sz w:val="28"/>
          <w:szCs w:val="28"/>
          <w:lang w:val="en-US" w:eastAsia="zh-CN" w:bidi="ar-SA"/>
        </w:rPr>
        <w:t xml:space="preserve">、 </w:t>
      </w:r>
      <w:r>
        <w:rPr>
          <w:rFonts w:hint="eastAsia" w:ascii="仿宋_GB2312" w:hAnsi="仿宋_GB2312" w:eastAsia="仿宋_GB2312" w:cs="仿宋_GB2312"/>
          <w:kern w:val="2"/>
          <w:sz w:val="28"/>
          <w:szCs w:val="28"/>
          <w:highlight w:val="none"/>
          <w:lang w:val="en-US" w:eastAsia="zh-CN" w:bidi="ar-SA"/>
        </w:rPr>
        <w:t>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_Toc5565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3</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color w:val="auto"/>
          <w:kern w:val="2"/>
          <w:sz w:val="28"/>
          <w:szCs w:val="28"/>
          <w:highlight w:val="none"/>
          <w:lang w:val="en-US" w:eastAsia="zh-CN" w:bidi="ar-SA"/>
        </w:rPr>
        <w:fldChar w:fldCharType="end"/>
      </w:r>
    </w:p>
    <w:p>
      <w:pPr>
        <w:pStyle w:val="16"/>
        <w:tabs>
          <w:tab w:val="right" w:leader="dot" w:pos="8306"/>
        </w:tabs>
        <w:ind w:left="0" w:leftChars="0" w:firstLine="0" w:firstLineChars="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_Toc6250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四、财政拨款收入支出决算总体情况说明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_Toc6250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_Toc24689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五、一般公共预算财政拨款支出决算情况说明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_Toc24689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_Toc20455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（一）一般公共预算财政拨款支出决算总体情况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_Toc20455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4</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_Toc22551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（二）一般公共预算财政拨款支出决算结构情况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_Toc22551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5</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ascii="Times New Roman" w:hAnsi="Times New Roman" w:eastAsia="宋体" w:cs="Times New Roman"/>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_Toc29757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（三）一般公共预算财政拨款支出决算具体情况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_Toc29757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6</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_Toc15946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六、一般公共预算财政拨款基本支出决算情况说明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_Toc15946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6</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_Toc25049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七、财政拨款“三公”经费支出决算情况说明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_Toc25049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7</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_Toc4731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（一）“三公”经费财政拨款支出决算总体情况说明</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_Toc4731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7</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_Toc23639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（二）“三公”经费财政拨款支出决算具体情况说明</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_Toc23639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7</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_Toc8816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highlight w:val="none"/>
          <w:lang w:val="en-US" w:eastAsia="zh-CN" w:bidi="ar-SA"/>
        </w:rPr>
        <w:t>八、政府性基金预算支出决算情况说明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_Toc8816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9</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_Toc78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九</w:t>
      </w:r>
      <w:r>
        <w:rPr>
          <w:rFonts w:hint="eastAsia" w:ascii="仿宋_GB2312" w:hAnsi="仿宋_GB2312" w:eastAsia="仿宋_GB2312" w:cs="仿宋_GB2312"/>
          <w:bCs/>
          <w:kern w:val="2"/>
          <w:sz w:val="28"/>
          <w:szCs w:val="28"/>
          <w:lang w:val="en-US" w:eastAsia="zh-CN" w:bidi="ar-SA"/>
        </w:rPr>
        <w:t xml:space="preserve">、 </w:t>
      </w:r>
      <w:r>
        <w:rPr>
          <w:rFonts w:hint="eastAsia" w:ascii="仿宋_GB2312" w:hAnsi="仿宋_GB2312" w:eastAsia="仿宋_GB2312" w:cs="仿宋_GB2312"/>
          <w:kern w:val="2"/>
          <w:sz w:val="28"/>
          <w:szCs w:val="28"/>
          <w:highlight w:val="none"/>
          <w:lang w:val="en-US" w:eastAsia="zh-CN" w:bidi="ar-SA"/>
        </w:rPr>
        <w:t>国有资本经营预算支出决算情况说明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_Toc78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9</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color w:val="auto"/>
          <w:kern w:val="2"/>
          <w:sz w:val="28"/>
          <w:szCs w:val="28"/>
          <w:highlight w:val="none"/>
          <w:lang w:val="en-US" w:eastAsia="zh-CN" w:bidi="ar-SA"/>
        </w:rPr>
        <w:fldChar w:fldCharType="end"/>
      </w:r>
    </w:p>
    <w:p>
      <w:pPr>
        <w:pStyle w:val="16"/>
        <w:tabs>
          <w:tab w:val="right" w:leader="dot" w:pos="8306"/>
        </w:tabs>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fldChar w:fldCharType="begin"/>
      </w:r>
      <w:r>
        <w:rPr>
          <w:rFonts w:hint="eastAsia" w:ascii="仿宋_GB2312" w:hAnsi="仿宋_GB2312" w:eastAsia="仿宋_GB2312" w:cs="仿宋_GB2312"/>
          <w:color w:val="auto"/>
          <w:kern w:val="2"/>
          <w:sz w:val="28"/>
          <w:szCs w:val="28"/>
          <w:highlight w:val="none"/>
          <w:lang w:val="en-US" w:eastAsia="zh-CN" w:bidi="ar-SA"/>
        </w:rPr>
        <w:instrText xml:space="preserve"> HYPERLINK \l _Toc17576 </w:instrText>
      </w:r>
      <w:r>
        <w:rPr>
          <w:rFonts w:hint="eastAsia" w:ascii="仿宋_GB2312" w:hAnsi="仿宋_GB2312" w:eastAsia="仿宋_GB2312" w:cs="仿宋_GB2312"/>
          <w:color w:val="auto"/>
          <w:kern w:val="2"/>
          <w:sz w:val="28"/>
          <w:szCs w:val="28"/>
          <w:highlight w:val="none"/>
          <w:lang w:val="en-US" w:eastAsia="zh-CN" w:bidi="ar-SA"/>
        </w:rPr>
        <w:fldChar w:fldCharType="separate"/>
      </w:r>
      <w:r>
        <w:rPr>
          <w:rFonts w:hint="eastAsia" w:ascii="仿宋_GB2312" w:hAnsi="仿宋_GB2312" w:eastAsia="仿宋_GB2312" w:cs="仿宋_GB2312"/>
          <w:kern w:val="2"/>
          <w:sz w:val="28"/>
          <w:szCs w:val="28"/>
          <w:lang w:val="en-US" w:eastAsia="zh-CN" w:bidi="ar-SA"/>
        </w:rPr>
        <w:t>十</w:t>
      </w:r>
      <w:r>
        <w:rPr>
          <w:rFonts w:hint="eastAsia" w:ascii="仿宋_GB2312" w:hAnsi="仿宋_GB2312" w:eastAsia="仿宋_GB2312" w:cs="仿宋_GB2312"/>
          <w:bCs/>
          <w:kern w:val="2"/>
          <w:sz w:val="28"/>
          <w:szCs w:val="28"/>
          <w:lang w:val="en-US" w:eastAsia="zh-CN" w:bidi="ar-SA"/>
        </w:rPr>
        <w:t xml:space="preserve">、 </w:t>
      </w:r>
      <w:r>
        <w:rPr>
          <w:rFonts w:hint="eastAsia" w:ascii="仿宋_GB2312" w:hAnsi="仿宋_GB2312" w:eastAsia="仿宋_GB2312" w:cs="仿宋_GB2312"/>
          <w:kern w:val="2"/>
          <w:sz w:val="28"/>
          <w:szCs w:val="28"/>
          <w:highlight w:val="none"/>
          <w:lang w:val="en-US" w:eastAsia="zh-CN" w:bidi="ar-SA"/>
        </w:rPr>
        <w:t>其他重要事项的情况说明</w:t>
      </w:r>
      <w:r>
        <w:rPr>
          <w:rFonts w:hint="eastAsia" w:ascii="仿宋_GB2312" w:hAnsi="仿宋_GB2312" w:eastAsia="仿宋_GB2312" w:cs="仿宋_GB2312"/>
          <w:kern w:val="2"/>
          <w:sz w:val="28"/>
          <w:szCs w:val="28"/>
          <w:lang w:val="en-US" w:eastAsia="zh-CN" w:bidi="ar-SA"/>
        </w:rPr>
        <w:tab/>
      </w:r>
      <w:r>
        <w:rPr>
          <w:rFonts w:hint="eastAsia" w:ascii="仿宋_GB2312" w:hAnsi="仿宋_GB2312" w:eastAsia="仿宋_GB2312" w:cs="仿宋_GB2312"/>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PAGEREF _Toc17576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9</w:t>
      </w:r>
      <w:r>
        <w:rPr>
          <w:rFonts w:hint="eastAsia"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bCs/>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color w:val="auto"/>
          <w:kern w:val="2"/>
          <w:sz w:val="28"/>
          <w:szCs w:val="28"/>
          <w:highlight w:val="none"/>
          <w:lang w:val="en-US" w:eastAsia="zh-CN" w:bidi="ar-SA"/>
        </w:rPr>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pP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_Toc21096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（一）机关运行经费支出情况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_Toc21096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9</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_Toc31401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（二）政府采购支出情况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_Toc31401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9</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hint="eastAsia" w:ascii="楷体_GB2312" w:hAnsi="楷体_GB2312" w:eastAsia="楷体_GB2312" w:cs="楷体_GB2312"/>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_Toc10132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（三）国有资产占有使用情况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_Toc10132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10</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8"/>
        <w:tabs>
          <w:tab w:val="right" w:leader="dot" w:pos="8306"/>
        </w:tabs>
        <w:rPr>
          <w:rFonts w:ascii="Times New Roman" w:hAnsi="Times New Roman" w:eastAsia="宋体" w:cs="Times New Roman"/>
          <w:kern w:val="2"/>
          <w:sz w:val="28"/>
          <w:szCs w:val="28"/>
          <w:lang w:val="en-US" w:eastAsia="zh-CN" w:bidi="ar-SA"/>
        </w:rPr>
      </w:pPr>
      <w:r>
        <w:rPr>
          <w:rFonts w:hint="eastAsia" w:ascii="楷体_GB2312" w:hAnsi="楷体_GB2312" w:eastAsia="楷体_GB2312" w:cs="楷体_GB2312"/>
          <w:color w:val="auto"/>
          <w:kern w:val="2"/>
          <w:sz w:val="28"/>
          <w:szCs w:val="28"/>
          <w:highlight w:val="none"/>
          <w:lang w:val="en-US" w:eastAsia="zh-CN" w:bidi="ar-SA"/>
        </w:rPr>
        <w:fldChar w:fldCharType="begin"/>
      </w:r>
      <w:r>
        <w:rPr>
          <w:rFonts w:hint="eastAsia" w:ascii="楷体_GB2312" w:hAnsi="楷体_GB2312" w:eastAsia="楷体_GB2312" w:cs="楷体_GB2312"/>
          <w:color w:val="auto"/>
          <w:kern w:val="2"/>
          <w:sz w:val="28"/>
          <w:szCs w:val="28"/>
          <w:highlight w:val="none"/>
          <w:lang w:val="en-US" w:eastAsia="zh-CN" w:bidi="ar-SA"/>
        </w:rPr>
        <w:instrText xml:space="preserve"> HYPERLINK \l _Toc8507 </w:instrText>
      </w:r>
      <w:r>
        <w:rPr>
          <w:rFonts w:hint="eastAsia" w:ascii="楷体_GB2312" w:hAnsi="楷体_GB2312" w:eastAsia="楷体_GB2312" w:cs="楷体_GB2312"/>
          <w:color w:val="auto"/>
          <w:kern w:val="2"/>
          <w:sz w:val="28"/>
          <w:szCs w:val="28"/>
          <w:highlight w:val="none"/>
          <w:lang w:val="en-US" w:eastAsia="zh-CN" w:bidi="ar-SA"/>
        </w:rPr>
        <w:fldChar w:fldCharType="separate"/>
      </w:r>
      <w:r>
        <w:rPr>
          <w:rFonts w:hint="eastAsia" w:ascii="楷体_GB2312" w:hAnsi="楷体_GB2312" w:eastAsia="楷体_GB2312" w:cs="楷体_GB2312"/>
          <w:kern w:val="2"/>
          <w:sz w:val="28"/>
          <w:szCs w:val="28"/>
          <w:highlight w:val="none"/>
          <w:lang w:val="en-US" w:eastAsia="zh-CN" w:bidi="ar-SA"/>
        </w:rPr>
        <w:t>（四）预算绩效管理情况</w:t>
      </w:r>
      <w:r>
        <w:rPr>
          <w:rFonts w:hint="eastAsia" w:ascii="楷体_GB2312" w:hAnsi="楷体_GB2312" w:eastAsia="楷体_GB2312" w:cs="楷体_GB2312"/>
          <w:kern w:val="2"/>
          <w:sz w:val="28"/>
          <w:szCs w:val="28"/>
          <w:lang w:val="en-US" w:eastAsia="zh-CN" w:bidi="ar-SA"/>
        </w:rPr>
        <w:tab/>
      </w:r>
      <w:r>
        <w:rPr>
          <w:rFonts w:hint="eastAsia" w:ascii="楷体_GB2312" w:hAnsi="楷体_GB2312" w:eastAsia="楷体_GB2312" w:cs="楷体_GB2312"/>
          <w:kern w:val="2"/>
          <w:sz w:val="28"/>
          <w:szCs w:val="28"/>
          <w:lang w:val="en-US" w:eastAsia="zh-CN" w:bidi="ar-SA"/>
        </w:rPr>
        <w:fldChar w:fldCharType="begin"/>
      </w:r>
      <w:r>
        <w:rPr>
          <w:rFonts w:hint="eastAsia" w:ascii="楷体_GB2312" w:hAnsi="楷体_GB2312" w:eastAsia="楷体_GB2312" w:cs="楷体_GB2312"/>
          <w:kern w:val="2"/>
          <w:sz w:val="28"/>
          <w:szCs w:val="28"/>
          <w:lang w:val="en-US" w:eastAsia="zh-CN" w:bidi="ar-SA"/>
        </w:rPr>
        <w:instrText xml:space="preserve"> PAGEREF _Toc8507 </w:instrText>
      </w:r>
      <w:r>
        <w:rPr>
          <w:rFonts w:hint="eastAsia" w:ascii="楷体_GB2312" w:hAnsi="楷体_GB2312" w:eastAsia="楷体_GB2312" w:cs="楷体_GB2312"/>
          <w:kern w:val="2"/>
          <w:sz w:val="28"/>
          <w:szCs w:val="28"/>
          <w:lang w:val="en-US" w:eastAsia="zh-CN" w:bidi="ar-SA"/>
        </w:rPr>
        <w:fldChar w:fldCharType="separate"/>
      </w:r>
      <w:r>
        <w:rPr>
          <w:rFonts w:hint="eastAsia" w:ascii="楷体_GB2312" w:hAnsi="楷体_GB2312" w:eastAsia="楷体_GB2312" w:cs="楷体_GB2312"/>
          <w:kern w:val="2"/>
          <w:sz w:val="28"/>
          <w:szCs w:val="28"/>
          <w:lang w:val="en-US" w:eastAsia="zh-CN" w:bidi="ar-SA"/>
        </w:rPr>
        <w:t>10</w:t>
      </w:r>
      <w:r>
        <w:rPr>
          <w:rFonts w:hint="eastAsia" w:ascii="楷体_GB2312" w:hAnsi="楷体_GB2312" w:eastAsia="楷体_GB2312" w:cs="楷体_GB2312"/>
          <w:kern w:val="2"/>
          <w:sz w:val="28"/>
          <w:szCs w:val="28"/>
          <w:lang w:val="en-US" w:eastAsia="zh-CN" w:bidi="ar-SA"/>
        </w:rPr>
        <w:fldChar w:fldCharType="end"/>
      </w:r>
      <w:r>
        <w:rPr>
          <w:rFonts w:hint="eastAsia" w:ascii="楷体_GB2312" w:hAnsi="楷体_GB2312" w:eastAsia="楷体_GB2312" w:cs="楷体_GB2312"/>
          <w:color w:val="auto"/>
          <w:kern w:val="2"/>
          <w:sz w:val="28"/>
          <w:szCs w:val="28"/>
          <w:highlight w:val="none"/>
          <w:lang w:val="en-US" w:eastAsia="zh-CN" w:bidi="ar-SA"/>
        </w:rPr>
        <w:fldChar w:fldCharType="end"/>
      </w:r>
    </w:p>
    <w:p>
      <w:pPr>
        <w:pStyle w:val="13"/>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_Toc7872 </w:instrText>
      </w:r>
      <w:r>
        <w:rPr>
          <w:rFonts w:ascii="Times New Roman" w:hAnsi="Times New Roman" w:eastAsia="宋体" w:cs="Times New Roman"/>
          <w:color w:val="auto"/>
          <w:kern w:val="2"/>
          <w:sz w:val="28"/>
          <w:szCs w:val="28"/>
          <w:highlight w:val="none"/>
          <w:lang w:val="en-US" w:eastAsia="zh-CN" w:bidi="ar-SA"/>
        </w:rPr>
        <w:fldChar w:fldCharType="separate"/>
      </w:r>
      <w:r>
        <w:rPr>
          <w:rFonts w:ascii="Times New Roman" w:hAnsi="Times New Roman" w:eastAsia="宋体" w:cs="Times New Roman"/>
          <w:kern w:val="2"/>
          <w:sz w:val="28"/>
          <w:szCs w:val="28"/>
          <w:lang w:val="en-US" w:eastAsia="zh-CN" w:bidi="ar-SA"/>
        </w:rPr>
        <w:t>第</w:t>
      </w:r>
      <w:r>
        <w:rPr>
          <w:rFonts w:hint="eastAsia" w:ascii="黑体" w:hAnsi="黑体" w:eastAsia="黑体" w:cs="黑体"/>
          <w:bCs/>
          <w:kern w:val="44"/>
          <w:sz w:val="28"/>
          <w:szCs w:val="28"/>
          <w:lang w:val="en-US" w:eastAsia="zh-CN" w:bidi="ar-SA"/>
        </w:rPr>
        <w:t xml:space="preserve">三部分 </w:t>
      </w:r>
      <w:r>
        <w:rPr>
          <w:rFonts w:hint="eastAsia" w:ascii="黑体" w:hAnsi="黑体" w:eastAsia="黑体" w:cs="Times New Roman"/>
          <w:kern w:val="2"/>
          <w:sz w:val="28"/>
          <w:szCs w:val="28"/>
          <w:highlight w:val="none"/>
          <w:lang w:val="en-US" w:eastAsia="zh-CN" w:bidi="ar-SA"/>
        </w:rPr>
        <w:t>名词解释</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_Toc7872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11</w:t>
      </w:r>
      <w:r>
        <w:rPr>
          <w:rFonts w:ascii="Times New Roman" w:hAnsi="Times New Roman" w:eastAsia="宋体" w:cs="Times New Roman"/>
          <w:kern w:val="2"/>
          <w:sz w:val="28"/>
          <w:szCs w:val="28"/>
          <w:lang w:val="en-US" w:eastAsia="zh-CN" w:bidi="ar-SA"/>
        </w:rPr>
        <w:fldChar w:fldCharType="end"/>
      </w:r>
      <w:r>
        <w:rPr>
          <w:rFonts w:hint="eastAsia" w:ascii="黑体" w:hAnsi="黑体" w:eastAsia="黑体" w:cs="黑体"/>
          <w:bCs/>
          <w:color w:val="auto"/>
          <w:kern w:val="44"/>
          <w:sz w:val="28"/>
          <w:szCs w:val="28"/>
          <w:highlight w:val="none"/>
          <w:lang w:val="en-US" w:eastAsia="zh-CN" w:bidi="ar-SA"/>
        </w:rPr>
        <w:fldChar w:fldCharType="end"/>
      </w:r>
    </w:p>
    <w:p>
      <w:pPr>
        <w:pStyle w:val="13"/>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_Toc25521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黑体" w:hAnsi="黑体" w:eastAsia="黑体" w:cs="Times New Roman"/>
          <w:kern w:val="2"/>
          <w:sz w:val="28"/>
          <w:szCs w:val="28"/>
          <w:highlight w:val="none"/>
          <w:lang w:val="en-US" w:eastAsia="zh-CN" w:bidi="ar-SA"/>
        </w:rPr>
        <w:t>第四部分 附件</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_Toc25521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13</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3"/>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_Toc18295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黑体" w:hAnsi="黑体" w:eastAsia="黑体" w:cs="Times New Roman"/>
          <w:kern w:val="2"/>
          <w:sz w:val="28"/>
          <w:szCs w:val="28"/>
          <w:highlight w:val="none"/>
          <w:lang w:val="en-US" w:eastAsia="zh-CN" w:bidi="ar-SA"/>
        </w:rPr>
        <w:t>第五部分 附表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_Toc18295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_Toc15757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kern w:val="2"/>
          <w:sz w:val="28"/>
          <w:szCs w:val="28"/>
          <w:highlight w:val="none"/>
          <w:lang w:val="en-US" w:eastAsia="zh-CN" w:bidi="ar-SA"/>
        </w:rPr>
        <w:t>一、收</w:t>
      </w:r>
      <w:r>
        <w:rPr>
          <w:rFonts w:hint="eastAsia" w:ascii="仿宋" w:hAnsi="仿宋" w:eastAsia="仿宋" w:cs="Times New Roman"/>
          <w:bCs w:val="0"/>
          <w:kern w:val="2"/>
          <w:sz w:val="28"/>
          <w:szCs w:val="28"/>
          <w:highlight w:val="none"/>
          <w:lang w:val="en-US" w:eastAsia="zh-CN" w:bidi="ar-SA"/>
        </w:rPr>
        <w:t>入支出决算总表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_Toc15757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_Toc17208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kern w:val="2"/>
          <w:sz w:val="28"/>
          <w:szCs w:val="28"/>
          <w:highlight w:val="none"/>
          <w:lang w:val="en-US" w:eastAsia="zh-CN" w:bidi="ar-SA"/>
        </w:rPr>
        <w:t>二、收</w:t>
      </w:r>
      <w:r>
        <w:rPr>
          <w:rFonts w:hint="eastAsia" w:ascii="仿宋" w:hAnsi="仿宋" w:eastAsia="仿宋" w:cs="Times New Roman"/>
          <w:bCs w:val="0"/>
          <w:kern w:val="2"/>
          <w:sz w:val="28"/>
          <w:szCs w:val="28"/>
          <w:highlight w:val="none"/>
          <w:lang w:val="en-US" w:eastAsia="zh-CN" w:bidi="ar-SA"/>
        </w:rPr>
        <w:t>入决算表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_Toc17208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_Toc16870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三、</w:t>
      </w:r>
      <w:r>
        <w:rPr>
          <w:rFonts w:hint="eastAsia" w:ascii="仿宋" w:hAnsi="仿宋" w:eastAsia="仿宋" w:cs="Times New Roman"/>
          <w:kern w:val="2"/>
          <w:sz w:val="28"/>
          <w:szCs w:val="28"/>
          <w:highlight w:val="none"/>
          <w:lang w:val="en-US" w:eastAsia="zh-CN" w:bidi="ar-SA"/>
        </w:rPr>
        <w:t>支</w:t>
      </w:r>
      <w:r>
        <w:rPr>
          <w:rFonts w:hint="eastAsia" w:ascii="仿宋" w:hAnsi="仿宋" w:eastAsia="仿宋" w:cs="Times New Roman"/>
          <w:bCs w:val="0"/>
          <w:kern w:val="2"/>
          <w:sz w:val="28"/>
          <w:szCs w:val="28"/>
          <w:highlight w:val="none"/>
          <w:lang w:val="en-US" w:eastAsia="zh-CN" w:bidi="ar-SA"/>
        </w:rPr>
        <w:t>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_Toc16870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_Toc128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四、</w:t>
      </w:r>
      <w:r>
        <w:rPr>
          <w:rFonts w:hint="eastAsia" w:ascii="仿宋" w:hAnsi="仿宋" w:eastAsia="仿宋" w:cs="Times New Roman"/>
          <w:kern w:val="2"/>
          <w:sz w:val="28"/>
          <w:szCs w:val="28"/>
          <w:highlight w:val="none"/>
          <w:lang w:val="en-US" w:eastAsia="zh-CN" w:bidi="ar-SA"/>
        </w:rPr>
        <w:t>财</w:t>
      </w:r>
      <w:r>
        <w:rPr>
          <w:rFonts w:hint="eastAsia" w:ascii="仿宋" w:hAnsi="仿宋" w:eastAsia="仿宋" w:cs="Times New Roman"/>
          <w:bCs w:val="0"/>
          <w:kern w:val="2"/>
          <w:sz w:val="28"/>
          <w:szCs w:val="28"/>
          <w:highlight w:val="none"/>
          <w:lang w:val="en-US" w:eastAsia="zh-CN" w:bidi="ar-SA"/>
        </w:rPr>
        <w:t>政拨款收入支出决算总表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_Toc128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_Toc6070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五、</w:t>
      </w:r>
      <w:r>
        <w:rPr>
          <w:rFonts w:hint="eastAsia" w:ascii="仿宋" w:hAnsi="仿宋" w:eastAsia="仿宋" w:cs="Times New Roman"/>
          <w:kern w:val="2"/>
          <w:sz w:val="28"/>
          <w:szCs w:val="28"/>
          <w:highlight w:val="none"/>
          <w:lang w:val="en-US" w:eastAsia="zh-CN" w:bidi="ar-SA"/>
        </w:rPr>
        <w:t>财</w:t>
      </w:r>
      <w:r>
        <w:rPr>
          <w:rFonts w:hint="eastAsia" w:ascii="仿宋" w:hAnsi="仿宋" w:eastAsia="仿宋" w:cs="Times New Roman"/>
          <w:bCs w:val="0"/>
          <w:kern w:val="2"/>
          <w:sz w:val="28"/>
          <w:szCs w:val="28"/>
          <w:highlight w:val="none"/>
          <w:lang w:val="en-US" w:eastAsia="zh-CN" w:bidi="ar-SA"/>
        </w:rPr>
        <w:t>政拨款支出决算明细表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_Toc6070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_Toc4151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六、</w:t>
      </w:r>
      <w:r>
        <w:rPr>
          <w:rFonts w:hint="eastAsia" w:ascii="仿宋" w:hAnsi="仿宋" w:eastAsia="仿宋" w:cs="Times New Roman"/>
          <w:kern w:val="2"/>
          <w:sz w:val="28"/>
          <w:szCs w:val="28"/>
          <w:highlight w:val="none"/>
          <w:lang w:val="en-US" w:eastAsia="zh-CN" w:bidi="ar-SA"/>
        </w:rPr>
        <w:t>一</w:t>
      </w:r>
      <w:r>
        <w:rPr>
          <w:rFonts w:hint="eastAsia" w:ascii="仿宋" w:hAnsi="仿宋" w:eastAsia="仿宋" w:cs="Times New Roman"/>
          <w:bCs w:val="0"/>
          <w:kern w:val="2"/>
          <w:sz w:val="28"/>
          <w:szCs w:val="28"/>
          <w:highlight w:val="none"/>
          <w:lang w:val="en-US" w:eastAsia="zh-CN" w:bidi="ar-SA"/>
        </w:rPr>
        <w:t>般公共预算财政拨款支出决算表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_Toc4151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_Toc1719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七、</w:t>
      </w:r>
      <w:r>
        <w:rPr>
          <w:rFonts w:hint="eastAsia" w:ascii="仿宋" w:hAnsi="仿宋" w:eastAsia="仿宋" w:cs="Times New Roman"/>
          <w:kern w:val="2"/>
          <w:sz w:val="28"/>
          <w:szCs w:val="28"/>
          <w:highlight w:val="none"/>
          <w:lang w:val="en-US" w:eastAsia="zh-CN" w:bidi="ar-SA"/>
        </w:rPr>
        <w:t>一</w:t>
      </w:r>
      <w:r>
        <w:rPr>
          <w:rFonts w:hint="eastAsia" w:ascii="仿宋" w:hAnsi="仿宋" w:eastAsia="仿宋" w:cs="Times New Roman"/>
          <w:bCs w:val="0"/>
          <w:kern w:val="2"/>
          <w:sz w:val="28"/>
          <w:szCs w:val="28"/>
          <w:highlight w:val="none"/>
          <w:lang w:val="en-US" w:eastAsia="zh-CN" w:bidi="ar-SA"/>
        </w:rPr>
        <w:t>般公共预算财政拨款支出决算明细表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_Toc1719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_Toc29658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八、</w:t>
      </w:r>
      <w:r>
        <w:rPr>
          <w:rFonts w:hint="eastAsia" w:ascii="仿宋" w:hAnsi="仿宋" w:eastAsia="仿宋" w:cs="Times New Roman"/>
          <w:kern w:val="2"/>
          <w:sz w:val="28"/>
          <w:szCs w:val="28"/>
          <w:highlight w:val="none"/>
          <w:lang w:val="en-US" w:eastAsia="zh-CN" w:bidi="ar-SA"/>
        </w:rPr>
        <w:t>一</w:t>
      </w:r>
      <w:r>
        <w:rPr>
          <w:rFonts w:hint="eastAsia" w:ascii="仿宋" w:hAnsi="仿宋" w:eastAsia="仿宋" w:cs="Times New Roman"/>
          <w:bCs w:val="0"/>
          <w:kern w:val="2"/>
          <w:sz w:val="28"/>
          <w:szCs w:val="28"/>
          <w:highlight w:val="none"/>
          <w:lang w:val="en-US" w:eastAsia="zh-CN" w:bidi="ar-SA"/>
        </w:rPr>
        <w:t>般公共预算财政拨款基本支出决算表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_Toc29658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_Toc10361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九、</w:t>
      </w:r>
      <w:r>
        <w:rPr>
          <w:rFonts w:hint="eastAsia" w:ascii="仿宋" w:hAnsi="仿宋" w:eastAsia="仿宋" w:cs="Times New Roman"/>
          <w:kern w:val="2"/>
          <w:sz w:val="28"/>
          <w:szCs w:val="28"/>
          <w:highlight w:val="none"/>
          <w:lang w:val="en-US" w:eastAsia="zh-CN" w:bidi="ar-SA"/>
        </w:rPr>
        <w:t>一</w:t>
      </w:r>
      <w:r>
        <w:rPr>
          <w:rFonts w:hint="eastAsia" w:ascii="仿宋" w:hAnsi="仿宋" w:eastAsia="仿宋" w:cs="Times New Roman"/>
          <w:bCs w:val="0"/>
          <w:kern w:val="2"/>
          <w:sz w:val="28"/>
          <w:szCs w:val="28"/>
          <w:highlight w:val="none"/>
          <w:lang w:val="en-US" w:eastAsia="zh-CN" w:bidi="ar-SA"/>
        </w:rPr>
        <w:t>般公共预算财政拨款项目支出决算表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_Toc10361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_Toc3253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十、</w:t>
      </w:r>
      <w:r>
        <w:rPr>
          <w:rFonts w:hint="eastAsia" w:ascii="仿宋" w:hAnsi="仿宋" w:eastAsia="仿宋" w:cs="Times New Roman"/>
          <w:kern w:val="2"/>
          <w:sz w:val="28"/>
          <w:szCs w:val="28"/>
          <w:highlight w:val="none"/>
          <w:lang w:val="en-US" w:eastAsia="zh-CN" w:bidi="ar-SA"/>
        </w:rPr>
        <w:t>政</w:t>
      </w:r>
      <w:r>
        <w:rPr>
          <w:rFonts w:hint="eastAsia" w:ascii="仿宋" w:hAnsi="仿宋" w:eastAsia="仿宋" w:cs="Times New Roman"/>
          <w:bCs w:val="0"/>
          <w:kern w:val="2"/>
          <w:sz w:val="28"/>
          <w:szCs w:val="28"/>
          <w:highlight w:val="none"/>
          <w:lang w:val="en-US" w:eastAsia="zh-CN" w:bidi="ar-SA"/>
        </w:rPr>
        <w:t>府性基金预算财政拨款收入支出决算表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_Toc3253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_Toc14121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十一、</w:t>
      </w:r>
      <w:r>
        <w:rPr>
          <w:rFonts w:hint="eastAsia" w:ascii="仿宋" w:hAnsi="仿宋" w:eastAsia="仿宋" w:cs="Times New Roman"/>
          <w:kern w:val="2"/>
          <w:sz w:val="28"/>
          <w:szCs w:val="28"/>
          <w:highlight w:val="none"/>
          <w:lang w:val="en-US" w:eastAsia="zh-CN" w:bidi="ar-SA"/>
        </w:rPr>
        <w:t>国</w:t>
      </w:r>
      <w:r>
        <w:rPr>
          <w:rFonts w:hint="eastAsia" w:ascii="仿宋" w:hAnsi="仿宋" w:eastAsia="仿宋" w:cs="Times New Roman"/>
          <w:bCs w:val="0"/>
          <w:kern w:val="2"/>
          <w:sz w:val="28"/>
          <w:szCs w:val="28"/>
          <w:highlight w:val="none"/>
          <w:lang w:val="en-US" w:eastAsia="zh-CN" w:bidi="ar-SA"/>
        </w:rPr>
        <w:t>有资本经营预算财政拨款收入支出决算表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_Toc14121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_Toc23050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十二、国有资本经营预算财政拨款支出决算表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_Toc23050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pStyle w:val="16"/>
        <w:tabs>
          <w:tab w:val="right" w:leader="dot" w:pos="8306"/>
        </w:tabs>
        <w:rPr>
          <w:rFonts w:ascii="Times New Roman" w:hAnsi="Times New Roman" w:eastAsia="宋体" w:cs="Times New Roman"/>
          <w:kern w:val="2"/>
          <w:sz w:val="28"/>
          <w:szCs w:val="28"/>
          <w:lang w:val="en-US" w:eastAsia="zh-CN" w:bidi="ar-SA"/>
        </w:rPr>
      </w:pPr>
      <w:r>
        <w:rPr>
          <w:rFonts w:ascii="Times New Roman" w:hAnsi="Times New Roman" w:eastAsia="宋体" w:cs="Times New Roman"/>
          <w:color w:val="auto"/>
          <w:kern w:val="2"/>
          <w:sz w:val="28"/>
          <w:szCs w:val="28"/>
          <w:highlight w:val="none"/>
          <w:lang w:val="en-US" w:eastAsia="zh-CN" w:bidi="ar-SA"/>
        </w:rPr>
        <w:fldChar w:fldCharType="begin"/>
      </w:r>
      <w:r>
        <w:rPr>
          <w:rFonts w:ascii="Times New Roman" w:hAnsi="Times New Roman" w:eastAsia="宋体" w:cs="Times New Roman"/>
          <w:color w:val="auto"/>
          <w:kern w:val="2"/>
          <w:sz w:val="28"/>
          <w:szCs w:val="28"/>
          <w:highlight w:val="none"/>
          <w:lang w:val="en-US" w:eastAsia="zh-CN" w:bidi="ar-SA"/>
        </w:rPr>
        <w:instrText xml:space="preserve"> HYPERLINK \l _Toc21406 </w:instrText>
      </w:r>
      <w:r>
        <w:rPr>
          <w:rFonts w:ascii="Times New Roman" w:hAnsi="Times New Roman" w:eastAsia="宋体" w:cs="Times New Roman"/>
          <w:color w:val="auto"/>
          <w:kern w:val="2"/>
          <w:sz w:val="28"/>
          <w:szCs w:val="28"/>
          <w:highlight w:val="none"/>
          <w:lang w:val="en-US" w:eastAsia="zh-CN" w:bidi="ar-SA"/>
        </w:rPr>
        <w:fldChar w:fldCharType="separate"/>
      </w:r>
      <w:r>
        <w:rPr>
          <w:rFonts w:hint="eastAsia" w:ascii="仿宋" w:hAnsi="仿宋" w:eastAsia="仿宋" w:cs="Times New Roman"/>
          <w:bCs w:val="0"/>
          <w:kern w:val="2"/>
          <w:sz w:val="28"/>
          <w:szCs w:val="28"/>
          <w:highlight w:val="none"/>
          <w:lang w:val="en-US" w:eastAsia="zh-CN" w:bidi="ar-SA"/>
        </w:rPr>
        <w:t>十三、财政拨款“三公”经费支出决算表</w:t>
      </w:r>
      <w:r>
        <w:rPr>
          <w:rFonts w:ascii="Times New Roman" w:hAnsi="Times New Roman" w:eastAsia="宋体" w:cs="Times New Roman"/>
          <w:kern w:val="2"/>
          <w:sz w:val="28"/>
          <w:szCs w:val="28"/>
          <w:lang w:val="en-US" w:eastAsia="zh-CN" w:bidi="ar-SA"/>
        </w:rPr>
        <w:tab/>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 PAGEREF _Toc21406 </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en-US" w:eastAsia="zh-CN" w:bidi="ar-SA"/>
        </w:rPr>
        <w:t>26</w:t>
      </w:r>
      <w:r>
        <w:rPr>
          <w:rFonts w:ascii="Times New Roman" w:hAnsi="Times New Roman" w:eastAsia="宋体" w:cs="Times New Roman"/>
          <w:kern w:val="2"/>
          <w:sz w:val="28"/>
          <w:szCs w:val="28"/>
          <w:lang w:val="en-US" w:eastAsia="zh-CN" w:bidi="ar-SA"/>
        </w:rPr>
        <w:fldChar w:fldCharType="end"/>
      </w:r>
      <w:r>
        <w:rPr>
          <w:rFonts w:ascii="Times New Roman" w:hAnsi="Times New Roman" w:eastAsia="宋体" w:cs="Times New Roman"/>
          <w:color w:val="auto"/>
          <w:kern w:val="2"/>
          <w:sz w:val="28"/>
          <w:szCs w:val="28"/>
          <w:highlight w:val="none"/>
          <w:lang w:val="en-US" w:eastAsia="zh-CN" w:bidi="ar-SA"/>
        </w:rPr>
        <w:fldChar w:fldCharType="end"/>
      </w:r>
    </w:p>
    <w:p>
      <w:pPr>
        <w:rPr>
          <w:color w:val="auto"/>
          <w:highlight w:val="none"/>
        </w:rPr>
      </w:pPr>
      <w:r>
        <w:rPr>
          <w:rFonts w:ascii="Times New Roman" w:hAnsi="Times New Roman" w:eastAsia="宋体" w:cs="Times New Roman"/>
          <w:color w:val="auto"/>
          <w:kern w:val="2"/>
          <w:sz w:val="28"/>
          <w:szCs w:val="28"/>
          <w:highlight w:val="none"/>
          <w:lang w:val="en-US" w:eastAsia="zh-CN" w:bidi="ar-SA"/>
        </w:rPr>
        <w:fldChar w:fldCharType="end"/>
      </w:r>
    </w:p>
    <w:p>
      <w:pPr>
        <w:pStyle w:val="3"/>
        <w:jc w:val="both"/>
        <w:rPr>
          <w:rFonts w:hint="eastAsia" w:ascii="黑体" w:hAnsi="黑体" w:eastAsia="黑体"/>
          <w:b w:val="0"/>
          <w:color w:val="auto"/>
          <w:highlight w:val="none"/>
          <w:lang w:val="en-US" w:eastAsia="zh-CN"/>
        </w:rPr>
        <w:sectPr>
          <w:footerReference r:id="rId10" w:type="first"/>
          <w:footerReference r:id="rId9" w:type="default"/>
          <w:pgSz w:w="11906" w:h="16838"/>
          <w:pgMar w:top="1440" w:right="1800" w:bottom="1440" w:left="1800" w:header="851" w:footer="992" w:gutter="0"/>
          <w:pgNumType w:fmt="decimal" w:start="1"/>
          <w:cols w:space="425" w:num="1"/>
          <w:docGrid w:type="lines" w:linePitch="312" w:charSpace="0"/>
        </w:sectPr>
      </w:pPr>
      <w:bookmarkStart w:id="15" w:name="_Toc15396599"/>
      <w:bookmarkStart w:id="16" w:name="_Toc15377196"/>
    </w:p>
    <w:p>
      <w:pPr>
        <w:pStyle w:val="3"/>
        <w:jc w:val="both"/>
        <w:rPr>
          <w:rStyle w:val="31"/>
          <w:rFonts w:ascii="黑体" w:hAnsi="黑体" w:eastAsia="黑体"/>
          <w:b/>
          <w:bCs w:val="0"/>
          <w:color w:val="auto"/>
          <w:highlight w:val="none"/>
        </w:rPr>
      </w:pPr>
      <w:r>
        <w:rPr>
          <w:rFonts w:hint="eastAsia" w:ascii="黑体" w:hAnsi="黑体" w:eastAsia="黑体"/>
          <w:b w:val="0"/>
          <w:color w:val="auto"/>
          <w:highlight w:val="none"/>
          <w:lang w:val="en-US" w:eastAsia="zh-CN"/>
        </w:rPr>
        <w:t xml:space="preserve">        </w:t>
      </w:r>
      <w:bookmarkStart w:id="17" w:name="_Toc1726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31"/>
          <w:rFonts w:hint="eastAsia" w:ascii="黑体" w:hAnsi="黑体" w:eastAsia="黑体"/>
          <w:b w:val="0"/>
          <w:bCs w:val="0"/>
          <w:color w:val="auto"/>
          <w:highlight w:val="none"/>
        </w:rPr>
        <w:t>概况</w:t>
      </w:r>
      <w:bookmarkEnd w:id="15"/>
      <w:bookmarkEnd w:id="16"/>
      <w:bookmarkEnd w:id="17"/>
    </w:p>
    <w:p>
      <w:pPr>
        <w:pStyle w:val="4"/>
        <w:numPr>
          <w:ilvl w:val="0"/>
          <w:numId w:val="1"/>
        </w:numPr>
        <w:rPr>
          <w:rStyle w:val="32"/>
          <w:rFonts w:hint="eastAsia" w:ascii="黑体" w:hAnsi="黑体" w:eastAsia="黑体"/>
          <w:b w:val="0"/>
          <w:bCs w:val="0"/>
          <w:color w:val="auto"/>
          <w:highlight w:val="none"/>
          <w:lang w:eastAsia="zh-CN"/>
        </w:rPr>
      </w:pPr>
      <w:bookmarkStart w:id="18" w:name="_Toc3780"/>
      <w:bookmarkStart w:id="19" w:name="_Toc15377197"/>
      <w:bookmarkStart w:id="20" w:name="_Toc15396600"/>
      <w:r>
        <w:rPr>
          <w:rStyle w:val="32"/>
          <w:rFonts w:hint="eastAsia" w:ascii="黑体" w:hAnsi="黑体" w:eastAsia="黑体"/>
          <w:b w:val="0"/>
          <w:bCs w:val="0"/>
          <w:color w:val="auto"/>
          <w:highlight w:val="none"/>
          <w:lang w:eastAsia="zh-CN"/>
        </w:rPr>
        <w:t>主要职责</w:t>
      </w:r>
      <w:bookmarkEnd w:id="18"/>
    </w:p>
    <w:p>
      <w:pPr>
        <w:adjustRightInd w:val="0"/>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rPr>
        <w:t>1.依据《中华人民共和国献血法》的规定，保证医疗</w:t>
      </w:r>
      <w:r>
        <w:rPr>
          <w:rFonts w:hint="eastAsia" w:ascii="仿宋" w:hAnsi="仿宋" w:eastAsia="仿宋" w:cs="仿宋"/>
          <w:sz w:val="32"/>
          <w:szCs w:val="32"/>
          <w:lang w:val="en-US" w:eastAsia="zh-CN"/>
        </w:rPr>
        <w:t>机构</w:t>
      </w:r>
      <w:r>
        <w:rPr>
          <w:rFonts w:hint="eastAsia" w:ascii="仿宋" w:hAnsi="仿宋" w:eastAsia="仿宋" w:cs="仿宋"/>
          <w:sz w:val="32"/>
          <w:szCs w:val="32"/>
        </w:rPr>
        <w:t>临床用血需要和安全，保障献血者和用血者身体健康，发扬人道主义精神，促进社会主义物质文明和精神文明建设。</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2.负责在规定范围内开展无偿献血者</w:t>
      </w:r>
      <w:r>
        <w:rPr>
          <w:rFonts w:hint="eastAsia" w:ascii="仿宋" w:hAnsi="仿宋" w:eastAsia="仿宋" w:cs="仿宋"/>
          <w:sz w:val="32"/>
          <w:szCs w:val="32"/>
          <w:lang w:val="en-US" w:eastAsia="zh-CN"/>
        </w:rPr>
        <w:t>宣传</w:t>
      </w:r>
      <w:r>
        <w:rPr>
          <w:rFonts w:hint="eastAsia" w:ascii="仿宋" w:hAnsi="仿宋" w:eastAsia="仿宋" w:cs="仿宋"/>
          <w:sz w:val="32"/>
          <w:szCs w:val="32"/>
        </w:rPr>
        <w:t>招募，献血前人员筛</w:t>
      </w:r>
      <w:r>
        <w:rPr>
          <w:rFonts w:hint="eastAsia" w:ascii="仿宋" w:hAnsi="仿宋" w:eastAsia="仿宋" w:cs="仿宋"/>
          <w:sz w:val="32"/>
          <w:szCs w:val="32"/>
          <w:lang w:val="en-US" w:eastAsia="zh-CN"/>
        </w:rPr>
        <w:t>查</w:t>
      </w:r>
      <w:r>
        <w:rPr>
          <w:rFonts w:hint="eastAsia" w:ascii="仿宋" w:hAnsi="仿宋" w:eastAsia="仿宋" w:cs="仿宋"/>
          <w:sz w:val="32"/>
          <w:szCs w:val="32"/>
        </w:rPr>
        <w:t>，血液采集</w:t>
      </w:r>
      <w:r>
        <w:rPr>
          <w:rFonts w:hint="eastAsia" w:ascii="仿宋" w:hAnsi="仿宋" w:eastAsia="仿宋" w:cs="仿宋"/>
          <w:sz w:val="32"/>
          <w:szCs w:val="32"/>
          <w:lang w:eastAsia="zh-CN"/>
        </w:rPr>
        <w:t>、</w:t>
      </w:r>
      <w:r>
        <w:rPr>
          <w:rFonts w:hint="eastAsia" w:ascii="仿宋" w:hAnsi="仿宋" w:eastAsia="仿宋" w:cs="仿宋"/>
          <w:sz w:val="32"/>
          <w:szCs w:val="32"/>
        </w:rPr>
        <w:t>献血后服务，血液制备，临床用血供应以及医疗</w:t>
      </w:r>
      <w:r>
        <w:rPr>
          <w:rFonts w:hint="eastAsia" w:ascii="仿宋" w:hAnsi="仿宋" w:eastAsia="仿宋" w:cs="仿宋"/>
          <w:sz w:val="32"/>
          <w:szCs w:val="32"/>
          <w:lang w:val="en-US" w:eastAsia="zh-CN"/>
        </w:rPr>
        <w:t>机构临床</w:t>
      </w:r>
      <w:r>
        <w:rPr>
          <w:rFonts w:hint="eastAsia" w:ascii="仿宋" w:hAnsi="仿宋" w:eastAsia="仿宋" w:cs="仿宋"/>
          <w:sz w:val="32"/>
          <w:szCs w:val="32"/>
        </w:rPr>
        <w:t>用血的业务指导等工作；负责承担供血区域范围内血液储存的质量控制与评价。</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3.负责对所辖行政区域内的</w:t>
      </w:r>
      <w:r>
        <w:rPr>
          <w:rFonts w:hint="eastAsia" w:ascii="仿宋" w:hAnsi="仿宋" w:eastAsia="仿宋" w:cs="仿宋"/>
          <w:sz w:val="32"/>
          <w:szCs w:val="32"/>
          <w:lang w:val="en-US" w:eastAsia="zh-CN"/>
        </w:rPr>
        <w:t>储血点</w:t>
      </w:r>
      <w:r>
        <w:rPr>
          <w:rFonts w:hint="eastAsia" w:ascii="仿宋" w:hAnsi="仿宋" w:eastAsia="仿宋" w:cs="仿宋"/>
          <w:sz w:val="32"/>
          <w:szCs w:val="32"/>
        </w:rPr>
        <w:t>进行质量控制和业务培训与技术指导。</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4.负责采供血管理系统业务信息报</w:t>
      </w:r>
      <w:r>
        <w:rPr>
          <w:rFonts w:hint="eastAsia" w:ascii="仿宋" w:hAnsi="仿宋" w:eastAsia="仿宋" w:cs="仿宋"/>
          <w:sz w:val="32"/>
          <w:szCs w:val="32"/>
          <w:lang w:val="en-US" w:eastAsia="zh-CN"/>
        </w:rPr>
        <w:t>送</w:t>
      </w:r>
      <w:r>
        <w:rPr>
          <w:rFonts w:hint="eastAsia" w:ascii="仿宋" w:hAnsi="仿宋" w:eastAsia="仿宋" w:cs="仿宋"/>
          <w:sz w:val="32"/>
          <w:szCs w:val="32"/>
        </w:rPr>
        <w:t>、网络信息上传、网站维护及网络建设工作。</w:t>
      </w:r>
    </w:p>
    <w:p>
      <w:pPr>
        <w:adjustRightInd w:val="0"/>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rPr>
        <w:t>5.负责宣传、组织应急献血者队伍建设、志愿者协会联络，临床用血</w:t>
      </w:r>
      <w:r>
        <w:rPr>
          <w:rFonts w:hint="eastAsia" w:ascii="仿宋" w:hAnsi="仿宋" w:eastAsia="仿宋" w:cs="仿宋"/>
          <w:sz w:val="32"/>
          <w:szCs w:val="32"/>
          <w:lang w:val="en-US" w:eastAsia="zh-CN"/>
        </w:rPr>
        <w:t>费用报销</w:t>
      </w:r>
      <w:r>
        <w:rPr>
          <w:rFonts w:hint="eastAsia" w:ascii="仿宋" w:hAnsi="仿宋" w:eastAsia="仿宋" w:cs="仿宋"/>
          <w:sz w:val="32"/>
          <w:szCs w:val="32"/>
        </w:rPr>
        <w:t>管理工作。</w:t>
      </w:r>
    </w:p>
    <w:p>
      <w:pPr>
        <w:adjustRightInd w:val="0"/>
        <w:snapToGrid w:val="0"/>
        <w:spacing w:line="360" w:lineRule="auto"/>
        <w:ind w:firstLine="480"/>
        <w:rPr>
          <w:rFonts w:hint="eastAsia"/>
          <w:lang w:eastAsia="zh-CN"/>
        </w:rPr>
      </w:pPr>
      <w:r>
        <w:rPr>
          <w:rFonts w:hint="eastAsia" w:ascii="仿宋" w:hAnsi="仿宋" w:eastAsia="仿宋" w:cs="仿宋"/>
          <w:sz w:val="32"/>
          <w:szCs w:val="32"/>
        </w:rPr>
        <w:t>6.承办卫生行政部门交办的其他事项。</w:t>
      </w:r>
    </w:p>
    <w:p>
      <w:pPr>
        <w:pStyle w:val="4"/>
        <w:numPr>
          <w:ilvl w:val="0"/>
          <w:numId w:val="0"/>
        </w:numPr>
        <w:rPr>
          <w:rFonts w:hint="eastAsia" w:ascii="黑体" w:hAnsi="黑体" w:eastAsia="黑体"/>
          <w:b w:val="0"/>
          <w:color w:val="auto"/>
          <w:highlight w:val="none"/>
          <w:lang w:val="en-US" w:eastAsia="zh-CN"/>
        </w:rPr>
      </w:pPr>
      <w:bookmarkStart w:id="21" w:name="_Toc5985"/>
      <w:r>
        <w:rPr>
          <w:rFonts w:hint="eastAsia" w:ascii="黑体" w:hAnsi="黑体" w:eastAsia="黑体"/>
          <w:b w:val="0"/>
          <w:color w:val="auto"/>
          <w:highlight w:val="none"/>
          <w:lang w:val="en-US" w:eastAsia="zh-CN"/>
        </w:rPr>
        <w:t>二、机构设置</w:t>
      </w:r>
      <w:bookmarkEnd w:id="21"/>
    </w:p>
    <w:p>
      <w:pPr>
        <w:adjustRightInd w:val="0"/>
        <w:snapToGrid w:val="0"/>
        <w:spacing w:line="360" w:lineRule="auto"/>
        <w:ind w:firstLine="48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广元市中心血站为广元市卫生健康委员会下属二级预算单位，</w:t>
      </w:r>
      <w:r>
        <w:rPr>
          <w:rStyle w:val="28"/>
          <w:rFonts w:hint="eastAsia"/>
          <w:sz w:val="32"/>
          <w:szCs w:val="32"/>
          <w:lang w:val="en-US" w:eastAsia="zh-CN"/>
        </w:rPr>
        <w:t>下设独立编制机构1个，</w:t>
      </w:r>
      <w:r>
        <w:rPr>
          <w:rFonts w:hint="eastAsia" w:ascii="仿宋" w:hAnsi="仿宋" w:eastAsia="仿宋" w:cs="仿宋"/>
          <w:sz w:val="32"/>
          <w:szCs w:val="32"/>
          <w:lang w:val="en-US" w:eastAsia="zh-CN"/>
        </w:rPr>
        <w:t>其中行政单位0个，参照公务员法管理的事业单位0个，其他事业单位1个。</w:t>
      </w:r>
      <w:bookmarkEnd w:id="19"/>
      <w:bookmarkEnd w:id="20"/>
    </w:p>
    <w:p>
      <w:pPr>
        <w:pStyle w:val="2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纳入广元市中心血站2022年度单位决算编制范围的二级预算单位包括：广元市中心血站。</w:t>
      </w:r>
    </w:p>
    <w:p>
      <w:pPr>
        <w:pStyle w:val="3"/>
        <w:ind w:right="440"/>
        <w:jc w:val="both"/>
        <w:rPr>
          <w:color w:val="auto"/>
          <w:highlight w:val="none"/>
        </w:rPr>
      </w:pPr>
      <w:bookmarkStart w:id="22" w:name="_Toc15377204"/>
      <w:bookmarkStart w:id="23" w:name="_Toc10400"/>
      <w:bookmarkStart w:id="24"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31"/>
          <w:rFonts w:hint="eastAsia" w:ascii="黑体" w:hAnsi="黑体" w:eastAsia="黑体"/>
          <w:b w:val="0"/>
          <w:bCs/>
          <w:color w:val="auto"/>
          <w:highlight w:val="none"/>
          <w:lang w:eastAsia="zh-CN"/>
        </w:rPr>
        <w:t>单位</w:t>
      </w:r>
      <w:r>
        <w:rPr>
          <w:rStyle w:val="31"/>
          <w:rFonts w:hint="eastAsia" w:ascii="黑体" w:hAnsi="黑体" w:eastAsia="黑体"/>
          <w:b w:val="0"/>
          <w:bCs/>
          <w:color w:val="auto"/>
          <w:highlight w:val="none"/>
        </w:rPr>
        <w:t>决算情况说明</w:t>
      </w:r>
      <w:bookmarkEnd w:id="22"/>
      <w:bookmarkEnd w:id="23"/>
      <w:bookmarkEnd w:id="24"/>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25" w:name="_Toc15396603"/>
      <w:bookmarkStart w:id="26" w:name="_Toc29391"/>
      <w:bookmarkStart w:id="27" w:name="_Toc15377205"/>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2252.39</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76.58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财政对人员经费支出预算增加</w:t>
      </w:r>
      <w:r>
        <w:rPr>
          <w:rFonts w:hint="eastAsia" w:ascii="仿宋" w:hAnsi="仿宋" w:eastAsia="仿宋"/>
          <w:color w:val="auto"/>
          <w:sz w:val="32"/>
          <w:szCs w:val="32"/>
          <w:highlight w:val="none"/>
          <w:lang w:eastAsia="zh-CN"/>
        </w:rPr>
        <w:t>。</w:t>
      </w:r>
    </w:p>
    <w:p>
      <w:pPr>
        <w:pStyle w:val="22"/>
        <w:rPr>
          <w:rFonts w:hint="eastAsia"/>
          <w:lang w:eastAsia="zh-CN"/>
        </w:rPr>
      </w:pPr>
    </w:p>
    <w:p>
      <w:pPr>
        <w:pStyle w:val="22"/>
        <w:spacing w:line="240" w:lineRule="auto"/>
        <w:rPr>
          <w:rFonts w:hint="eastAsia"/>
          <w:lang w:eastAsia="zh-CN"/>
        </w:rPr>
      </w:pPr>
      <w:r>
        <w:rPr>
          <w:rFonts w:hint="eastAsia"/>
          <w:lang w:eastAsia="zh-CN"/>
        </w:rPr>
        <w:drawing>
          <wp:inline distT="0" distB="0" distL="114300" distR="114300">
            <wp:extent cx="4590415" cy="2761615"/>
            <wp:effectExtent l="0" t="0" r="635" b="63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4"/>
                    <a:stretch>
                      <a:fillRect/>
                    </a:stretch>
                  </pic:blipFill>
                  <pic:spPr>
                    <a:xfrm>
                      <a:off x="0" y="0"/>
                      <a:ext cx="4590415" cy="2761615"/>
                    </a:xfrm>
                    <a:prstGeom prst="rect">
                      <a:avLst/>
                    </a:prstGeom>
                  </pic:spPr>
                </pic:pic>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28" w:name="_Toc23784"/>
      <w:bookmarkStart w:id="29" w:name="_Toc15377206"/>
      <w:bookmarkStart w:id="30" w:name="_Toc15396604"/>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hint="eastAsia" w:ascii="仿宋" w:hAnsi="仿宋" w:eastAsia="仿宋"/>
          <w:color w:val="auto"/>
          <w:sz w:val="32"/>
          <w:szCs w:val="32"/>
          <w:highlight w:val="none"/>
          <w:lang w:eastAsia="zh-CN"/>
        </w:rPr>
      </w:pPr>
      <w:bookmarkStart w:id="31" w:name="_Toc1570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2235.72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2235.72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1"/>
    </w:p>
    <w:p>
      <w:pPr>
        <w:pStyle w:val="22"/>
        <w:rPr>
          <w:rFonts w:hint="eastAsia" w:ascii="仿宋" w:hAnsi="仿宋" w:eastAsia="仿宋"/>
          <w:color w:val="auto"/>
          <w:sz w:val="32"/>
          <w:szCs w:val="32"/>
          <w:highlight w:val="none"/>
          <w:lang w:eastAsia="zh-CN"/>
        </w:rPr>
      </w:pPr>
    </w:p>
    <w:p>
      <w:pPr>
        <w:pStyle w:val="22"/>
        <w:rPr>
          <w:rFonts w:hint="eastAsia" w:ascii="仿宋" w:hAnsi="仿宋" w:eastAsia="仿宋"/>
          <w:color w:val="auto"/>
          <w:sz w:val="32"/>
          <w:szCs w:val="32"/>
          <w:highlight w:val="none"/>
          <w:lang w:eastAsia="zh-CN"/>
        </w:rPr>
      </w:pPr>
    </w:p>
    <w:p>
      <w:pPr>
        <w:pStyle w:val="22"/>
        <w:spacing w:line="240" w:lineRule="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19040" cy="2933065"/>
            <wp:effectExtent l="0" t="0" r="10160" b="635"/>
            <wp:docPr id="5" name="图片 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2"/>
                    <pic:cNvPicPr>
                      <a:picLocks noChangeAspect="1"/>
                    </pic:cNvPicPr>
                  </pic:nvPicPr>
                  <pic:blipFill>
                    <a:blip r:embed="rId15"/>
                    <a:stretch>
                      <a:fillRect/>
                    </a:stretch>
                  </pic:blipFill>
                  <pic:spPr>
                    <a:xfrm>
                      <a:off x="0" y="0"/>
                      <a:ext cx="5019040" cy="2933065"/>
                    </a:xfrm>
                    <a:prstGeom prst="rect">
                      <a:avLst/>
                    </a:prstGeom>
                  </pic:spPr>
                </pic:pic>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32" w:name="_Toc15377207"/>
      <w:bookmarkStart w:id="33" w:name="_Toc5565"/>
      <w:bookmarkStart w:id="34" w:name="_Toc15396605"/>
      <w:r>
        <w:rPr>
          <w:rFonts w:hint="eastAsia" w:ascii="黑体" w:hAnsi="黑体" w:eastAsia="黑体"/>
          <w:color w:val="auto"/>
          <w:sz w:val="32"/>
          <w:szCs w:val="32"/>
          <w:highlight w:val="none"/>
        </w:rPr>
        <w:t>支</w:t>
      </w:r>
      <w:r>
        <w:rPr>
          <w:rStyle w:val="32"/>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35" w:name="_Toc2396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2252.39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727.89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32.32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1524.50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67.68</w:t>
      </w:r>
      <w:r>
        <w:rPr>
          <w:rFonts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w:t>
      </w:r>
      <w:bookmarkEnd w:id="35"/>
    </w:p>
    <w:p>
      <w:pPr>
        <w:pStyle w:val="22"/>
        <w:rPr>
          <w:lang w:val="en-US"/>
        </w:rPr>
      </w:pPr>
    </w:p>
    <w:p>
      <w:pPr>
        <w:spacing w:line="240" w:lineRule="auto"/>
        <w:ind w:firstLine="640"/>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4590415" cy="2761615"/>
            <wp:effectExtent l="0" t="0" r="635" b="635"/>
            <wp:docPr id="6" name="图片 6"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3"/>
                    <pic:cNvPicPr>
                      <a:picLocks noChangeAspect="1"/>
                    </pic:cNvPicPr>
                  </pic:nvPicPr>
                  <pic:blipFill>
                    <a:blip r:embed="rId16"/>
                    <a:stretch>
                      <a:fillRect/>
                    </a:stretch>
                  </pic:blipFill>
                  <pic:spPr>
                    <a:xfrm>
                      <a:off x="0" y="0"/>
                      <a:ext cx="4590415" cy="2761615"/>
                    </a:xfrm>
                    <a:prstGeom prst="rect">
                      <a:avLst/>
                    </a:prstGeom>
                  </pic:spPr>
                </pic:pic>
              </a:graphicData>
            </a:graphic>
          </wp:inline>
        </w:drawing>
      </w:r>
    </w:p>
    <w:p>
      <w:pPr>
        <w:pStyle w:val="22"/>
        <w:rPr>
          <w:rFonts w:ascii="仿宋" w:hAnsi="仿宋" w:eastAsia="仿宋"/>
          <w:color w:val="auto"/>
          <w:sz w:val="32"/>
          <w:szCs w:val="32"/>
          <w:highlight w:val="none"/>
          <w:shd w:val="pct10" w:color="auto" w:fill="FFFFFF"/>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32"/>
          <w:rFonts w:ascii="黑体" w:hAnsi="黑体" w:eastAsia="黑体"/>
          <w:b w:val="0"/>
          <w:color w:val="auto"/>
          <w:highlight w:val="none"/>
        </w:rPr>
      </w:pPr>
      <w:bookmarkStart w:id="36" w:name="_Toc15377208"/>
      <w:bookmarkStart w:id="37" w:name="_Toc15396606"/>
      <w:bookmarkStart w:id="38" w:name="_Toc6250"/>
      <w:r>
        <w:rPr>
          <w:rFonts w:hint="eastAsia" w:ascii="黑体" w:hAnsi="黑体" w:eastAsia="黑体"/>
          <w:color w:val="auto"/>
          <w:sz w:val="32"/>
          <w:szCs w:val="32"/>
          <w:highlight w:val="none"/>
        </w:rPr>
        <w:t>四、财</w:t>
      </w:r>
      <w:r>
        <w:rPr>
          <w:rStyle w:val="32"/>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2252.39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76.58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财政对基本支出中人员经费的预算增加。</w:t>
      </w:r>
    </w:p>
    <w:p>
      <w:pPr>
        <w:pStyle w:val="22"/>
      </w:pPr>
    </w:p>
    <w:p>
      <w:pPr>
        <w:pStyle w:val="22"/>
        <w:spacing w:line="240" w:lineRule="auto"/>
        <w:rPr>
          <w:rFonts w:ascii="仿宋" w:hAnsi="仿宋" w:eastAsia="仿宋"/>
          <w:color w:val="auto"/>
          <w:sz w:val="32"/>
          <w:szCs w:val="32"/>
          <w:highlight w:val="none"/>
        </w:rPr>
      </w:pPr>
      <w:r>
        <w:rPr>
          <w:rFonts w:hint="eastAsia" w:eastAsia="仿宋"/>
          <w:lang w:eastAsia="zh-CN"/>
        </w:rPr>
        <w:drawing>
          <wp:inline distT="0" distB="0" distL="114300" distR="114300">
            <wp:extent cx="4590415" cy="2761615"/>
            <wp:effectExtent l="0" t="0" r="635" b="635"/>
            <wp:docPr id="7" name="图片 7"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4"/>
                    <pic:cNvPicPr>
                      <a:picLocks noChangeAspect="1"/>
                    </pic:cNvPicPr>
                  </pic:nvPicPr>
                  <pic:blipFill>
                    <a:blip r:embed="rId17"/>
                    <a:stretch>
                      <a:fillRect/>
                    </a:stretch>
                  </pic:blipFill>
                  <pic:spPr>
                    <a:xfrm>
                      <a:off x="0" y="0"/>
                      <a:ext cx="4590415" cy="2761615"/>
                    </a:xfrm>
                    <a:prstGeom prst="rect">
                      <a:avLst/>
                    </a:prstGeom>
                  </pic:spPr>
                </pic:pic>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32"/>
          <w:rFonts w:ascii="黑体" w:hAnsi="黑体" w:eastAsia="黑体"/>
          <w:b w:val="0"/>
          <w:color w:val="auto"/>
          <w:highlight w:val="none"/>
        </w:rPr>
      </w:pPr>
      <w:bookmarkStart w:id="39" w:name="_Toc24689"/>
      <w:bookmarkStart w:id="40" w:name="_Toc15396607"/>
      <w:bookmarkStart w:id="41"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3" w:firstLineChars="200"/>
        <w:outlineLvl w:val="2"/>
        <w:rPr>
          <w:rFonts w:ascii="仿宋" w:hAnsi="仿宋" w:eastAsia="仿宋"/>
          <w:b/>
          <w:color w:val="auto"/>
          <w:sz w:val="32"/>
          <w:szCs w:val="32"/>
          <w:highlight w:val="none"/>
        </w:rPr>
      </w:pPr>
      <w:bookmarkStart w:id="42" w:name="_Toc15377210"/>
      <w:bookmarkStart w:id="43" w:name="_Toc20455"/>
      <w:r>
        <w:rPr>
          <w:rFonts w:hint="eastAsia" w:ascii="仿宋" w:hAnsi="仿宋" w:eastAsia="仿宋"/>
          <w:b/>
          <w:color w:val="auto"/>
          <w:sz w:val="32"/>
          <w:szCs w:val="32"/>
          <w:highlight w:val="none"/>
        </w:rPr>
        <w:t>（一）一般公共预算财政拨款支出决算总体情况</w:t>
      </w:r>
      <w:bookmarkEnd w:id="42"/>
      <w:bookmarkEnd w:id="43"/>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年一般公共预算财政拨款支出2252.39万元，占本年支出合计的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93.26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4.32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lang w:val="en-US" w:eastAsia="zh-CN"/>
        </w:rPr>
        <w:t>指标调整，</w:t>
      </w:r>
      <w:r>
        <w:rPr>
          <w:rFonts w:hint="eastAsia" w:ascii="仿宋" w:hAnsi="仿宋" w:eastAsia="仿宋"/>
          <w:color w:val="auto"/>
          <w:sz w:val="32"/>
          <w:szCs w:val="32"/>
          <w:highlight w:val="none"/>
          <w:lang w:val="en-US" w:eastAsia="zh-CN"/>
        </w:rPr>
        <w:t>财政对基本支出中人员经费的预算增加。</w:t>
      </w:r>
    </w:p>
    <w:p>
      <w:pPr>
        <w:pStyle w:val="22"/>
        <w:spacing w:line="240" w:lineRule="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4590415" cy="2761615"/>
            <wp:effectExtent l="0" t="0" r="635" b="635"/>
            <wp:docPr id="8" name="图片 8"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5"/>
                    <pic:cNvPicPr>
                      <a:picLocks noChangeAspect="1"/>
                    </pic:cNvPicPr>
                  </pic:nvPicPr>
                  <pic:blipFill>
                    <a:blip r:embed="rId18"/>
                    <a:stretch>
                      <a:fillRect/>
                    </a:stretch>
                  </pic:blipFill>
                  <pic:spPr>
                    <a:xfrm>
                      <a:off x="0" y="0"/>
                      <a:ext cx="4590415" cy="2761615"/>
                    </a:xfrm>
                    <a:prstGeom prst="rect">
                      <a:avLst/>
                    </a:prstGeom>
                  </pic:spPr>
                </pic:pic>
              </a:graphicData>
            </a:graphic>
          </wp:inline>
        </w:drawing>
      </w:r>
    </w:p>
    <w:p>
      <w:pPr>
        <w:spacing w:line="600" w:lineRule="exact"/>
        <w:ind w:firstLine="640" w:firstLineChars="200"/>
        <w:rPr>
          <w:rFonts w:hint="eastAsia" w:eastAsia="仿宋_GB2312"/>
          <w:lang w:eastAsia="zh-CN"/>
        </w:rPr>
      </w:pPr>
      <w:r>
        <w:rPr>
          <w:rFonts w:hint="eastAsia" w:ascii="仿宋" w:hAnsi="仿宋" w:eastAsia="仿宋"/>
          <w:color w:val="auto"/>
          <w:sz w:val="32"/>
          <w:szCs w:val="32"/>
          <w:highlight w:val="none"/>
        </w:rPr>
        <w:t>（图5：一般公共预算财政拨款支出决算变动情况</w:t>
      </w:r>
      <w:r>
        <w:rPr>
          <w:rFonts w:hint="eastAsia" w:ascii="仿宋" w:hAnsi="仿宋" w:eastAsia="仿宋"/>
          <w:color w:val="auto"/>
          <w:sz w:val="32"/>
          <w:szCs w:val="32"/>
          <w:highlight w:val="none"/>
          <w:lang w:eastAsia="zh-CN"/>
        </w:rPr>
        <w:t>）</w:t>
      </w:r>
    </w:p>
    <w:p>
      <w:pPr>
        <w:spacing w:line="600" w:lineRule="exact"/>
        <w:outlineLvl w:val="2"/>
      </w:pPr>
      <w:bookmarkStart w:id="44" w:name="_Toc15377211"/>
      <w:bookmarkStart w:id="45" w:name="_Toc22551"/>
      <w:r>
        <w:rPr>
          <w:rFonts w:hint="eastAsia" w:ascii="仿宋" w:hAnsi="仿宋" w:eastAsia="仿宋"/>
          <w:b/>
          <w:color w:val="auto"/>
          <w:sz w:val="32"/>
          <w:szCs w:val="32"/>
          <w:highlight w:val="none"/>
          <w:lang w:val="en-US" w:eastAsia="zh-CN"/>
        </w:rPr>
        <w:t xml:space="preserve">   </w:t>
      </w:r>
      <w:r>
        <w:rPr>
          <w:rFonts w:hint="eastAsia" w:ascii="仿宋" w:hAnsi="仿宋" w:eastAsia="仿宋"/>
          <w:b/>
          <w:color w:val="auto"/>
          <w:sz w:val="32"/>
          <w:szCs w:val="32"/>
          <w:highlight w:val="none"/>
        </w:rPr>
        <w:t>（二）一般公共预算财政拨款支出决算结构情况</w:t>
      </w:r>
      <w:bookmarkEnd w:id="44"/>
      <w:bookmarkEnd w:id="45"/>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2252.39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61.42万元，占</w:t>
      </w:r>
      <w:r>
        <w:rPr>
          <w:rFonts w:hint="eastAsia" w:ascii="仿宋" w:hAnsi="仿宋" w:eastAsia="仿宋"/>
          <w:color w:val="auto"/>
          <w:sz w:val="32"/>
          <w:szCs w:val="32"/>
          <w:highlight w:val="none"/>
          <w:lang w:val="en-US" w:eastAsia="zh-CN"/>
        </w:rPr>
        <w:t>2.73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2136.17万元，占</w:t>
      </w:r>
      <w:r>
        <w:rPr>
          <w:rFonts w:hint="eastAsia" w:ascii="仿宋" w:hAnsi="仿宋" w:eastAsia="仿宋"/>
          <w:color w:val="auto"/>
          <w:sz w:val="32"/>
          <w:szCs w:val="32"/>
          <w:highlight w:val="none"/>
          <w:lang w:val="en-US" w:eastAsia="zh-CN"/>
        </w:rPr>
        <w:t>94.84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54.8</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2.43</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22"/>
        <w:rPr>
          <w:rFonts w:hint="eastAsia"/>
        </w:rPr>
      </w:pPr>
    </w:p>
    <w:p>
      <w:pPr>
        <w:pStyle w:val="22"/>
        <w:spacing w:line="240" w:lineRule="auto"/>
        <w:rPr>
          <w:rFonts w:hint="eastAsia" w:eastAsia="仿宋"/>
          <w:lang w:eastAsia="zh-CN"/>
        </w:rPr>
      </w:pPr>
      <w:r>
        <w:rPr>
          <w:rFonts w:hint="eastAsia" w:eastAsia="仿宋"/>
          <w:lang w:eastAsia="zh-CN"/>
        </w:rPr>
        <w:drawing>
          <wp:inline distT="0" distB="0" distL="114300" distR="114300">
            <wp:extent cx="4590415" cy="2761615"/>
            <wp:effectExtent l="0" t="0" r="635" b="635"/>
            <wp:docPr id="9" name="图片 9"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6"/>
                    <pic:cNvPicPr>
                      <a:picLocks noChangeAspect="1"/>
                    </pic:cNvPicPr>
                  </pic:nvPicPr>
                  <pic:blipFill>
                    <a:blip r:embed="rId19"/>
                    <a:stretch>
                      <a:fillRect/>
                    </a:stretch>
                  </pic:blipFill>
                  <pic:spPr>
                    <a:xfrm>
                      <a:off x="0" y="0"/>
                      <a:ext cx="4590415" cy="2761615"/>
                    </a:xfrm>
                    <a:prstGeom prst="rect">
                      <a:avLst/>
                    </a:prstGeom>
                  </pic:spPr>
                </pic:pic>
              </a:graphicData>
            </a:graphic>
          </wp:inline>
        </w:drawing>
      </w:r>
    </w:p>
    <w:p>
      <w:pPr>
        <w:spacing w:line="600" w:lineRule="exact"/>
        <w:jc w:val="both"/>
        <w:rPr>
          <w:rFonts w:hint="eastAsia" w:ascii="仿宋" w:hAnsi="仿宋" w:eastAsia="仿宋"/>
          <w:color w:val="auto"/>
          <w:sz w:val="32"/>
          <w:szCs w:val="32"/>
          <w:highlight w:val="none"/>
        </w:rPr>
      </w:pPr>
    </w:p>
    <w:p>
      <w:pPr>
        <w:spacing w:line="600" w:lineRule="exact"/>
        <w:jc w:val="both"/>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rPr>
        <w:t>（图6：一般公共预算财政拨款支出决算结构）（饼</w:t>
      </w:r>
    </w:p>
    <w:p>
      <w:pPr>
        <w:spacing w:line="600" w:lineRule="exact"/>
        <w:jc w:val="both"/>
      </w:pPr>
      <w:r>
        <w:rPr>
          <w:rFonts w:hint="eastAsia" w:ascii="仿宋" w:hAnsi="仿宋" w:eastAsia="仿宋"/>
          <w:color w:val="auto"/>
          <w:sz w:val="32"/>
          <w:szCs w:val="32"/>
          <w:highlight w:val="none"/>
        </w:rPr>
        <w:t>状图）</w:t>
      </w:r>
    </w:p>
    <w:p>
      <w:pPr>
        <w:spacing w:line="600" w:lineRule="exact"/>
        <w:ind w:firstLine="643" w:firstLineChars="200"/>
        <w:outlineLvl w:val="2"/>
        <w:rPr>
          <w:rFonts w:ascii="仿宋" w:hAnsi="仿宋" w:eastAsia="仿宋"/>
          <w:b/>
          <w:color w:val="auto"/>
          <w:sz w:val="32"/>
          <w:szCs w:val="32"/>
          <w:highlight w:val="none"/>
        </w:rPr>
      </w:pPr>
      <w:bookmarkStart w:id="46" w:name="_Toc29757"/>
      <w:bookmarkStart w:id="47" w:name="_Toc15377212"/>
      <w:r>
        <w:rPr>
          <w:rFonts w:hint="eastAsia" w:ascii="仿宋" w:hAnsi="仿宋" w:eastAsia="仿宋"/>
          <w:b/>
          <w:color w:val="auto"/>
          <w:sz w:val="32"/>
          <w:szCs w:val="32"/>
          <w:highlight w:val="none"/>
        </w:rPr>
        <w:t>（三）一般公共预算财政拨款支出决算具体情况</w:t>
      </w:r>
      <w:bookmarkEnd w:id="46"/>
      <w:bookmarkEnd w:id="47"/>
    </w:p>
    <w:p>
      <w:pPr>
        <w:spacing w:line="600" w:lineRule="exact"/>
        <w:ind w:firstLine="643" w:firstLineChars="200"/>
        <w:outlineLvl w:val="2"/>
        <w:rPr>
          <w:rFonts w:ascii="仿宋" w:hAnsi="仿宋" w:eastAsia="仿宋"/>
          <w:color w:val="auto"/>
          <w:sz w:val="32"/>
          <w:szCs w:val="32"/>
          <w:highlight w:val="none"/>
        </w:rPr>
      </w:pPr>
      <w:bookmarkStart w:id="48" w:name="_Toc15377213"/>
      <w:bookmarkStart w:id="49" w:name="_Toc15378460"/>
      <w:bookmarkStart w:id="50" w:name="_Toc6233"/>
      <w:bookmarkStart w:id="51"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2252.39万元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w:t>
      </w:r>
      <w:r>
        <w:rPr>
          <w:rStyle w:val="20"/>
          <w:rFonts w:hint="eastAsia" w:ascii="仿宋" w:hAnsi="仿宋" w:eastAsia="仿宋"/>
          <w:bCs/>
          <w:color w:val="auto"/>
          <w:sz w:val="32"/>
          <w:szCs w:val="32"/>
          <w:highlight w:val="none"/>
          <w:lang w:val="en-US" w:eastAsia="zh-CN"/>
        </w:rPr>
        <w:t>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48"/>
      <w:bookmarkEnd w:id="49"/>
      <w:bookmarkEnd w:id="50"/>
      <w:bookmarkEnd w:id="51"/>
    </w:p>
    <w:p>
      <w:pPr>
        <w:spacing w:line="600" w:lineRule="exact"/>
        <w:ind w:firstLine="643" w:firstLineChars="200"/>
        <w:rPr>
          <w:rFonts w:ascii="仿宋" w:hAnsi="仿宋" w:eastAsia="仿宋"/>
          <w:b/>
          <w:color w:val="000000"/>
          <w:sz w:val="32"/>
          <w:szCs w:val="32"/>
        </w:rPr>
      </w:pPr>
      <w:r>
        <w:rPr>
          <w:rStyle w:val="37"/>
          <w:rFonts w:hint="eastAsia" w:ascii="仿宋" w:hAnsi="仿宋" w:eastAsia="仿宋"/>
          <w:bCs/>
          <w:color w:val="000000"/>
          <w:sz w:val="32"/>
          <w:szCs w:val="32"/>
        </w:rPr>
        <w:t>1. 社会保障和就业支出（类）行政事业单位养老支出（款）机关事业单位基本养老保险缴费支出（项）:</w:t>
      </w:r>
      <w:r>
        <w:rPr>
          <w:rStyle w:val="37"/>
          <w:rFonts w:hint="eastAsia" w:ascii="仿宋" w:hAnsi="仿宋" w:eastAsia="仿宋"/>
          <w:b w:val="0"/>
          <w:bCs/>
          <w:color w:val="000000"/>
          <w:sz w:val="32"/>
          <w:szCs w:val="32"/>
        </w:rPr>
        <w:t xml:space="preserve"> 支出决算为55.74万元，完成预算100%。</w:t>
      </w:r>
    </w:p>
    <w:p>
      <w:pPr>
        <w:spacing w:line="600" w:lineRule="exact"/>
        <w:ind w:firstLine="643" w:firstLineChars="200"/>
        <w:rPr>
          <w:rStyle w:val="37"/>
          <w:rFonts w:ascii="仿宋" w:hAnsi="仿宋" w:eastAsia="仿宋"/>
          <w:b w:val="0"/>
          <w:bCs/>
          <w:color w:val="000000"/>
          <w:sz w:val="32"/>
          <w:szCs w:val="32"/>
        </w:rPr>
      </w:pPr>
      <w:r>
        <w:rPr>
          <w:rStyle w:val="37"/>
          <w:rFonts w:hint="eastAsia" w:ascii="仿宋" w:hAnsi="仿宋" w:eastAsia="仿宋"/>
          <w:bCs/>
          <w:color w:val="000000"/>
          <w:sz w:val="32"/>
          <w:szCs w:val="32"/>
        </w:rPr>
        <w:t>2. 社会保障和就业支出（类）行政事业单位养老支出（款）机关事业单位职业年金缴费支出（项）</w:t>
      </w:r>
      <w:r>
        <w:rPr>
          <w:rStyle w:val="37"/>
          <w:rFonts w:hint="eastAsia" w:ascii="仿宋" w:hAnsi="仿宋" w:eastAsia="仿宋"/>
          <w:b w:val="0"/>
          <w:bCs/>
          <w:color w:val="000000"/>
          <w:sz w:val="32"/>
          <w:szCs w:val="32"/>
        </w:rPr>
        <w:t xml:space="preserve"> 支出决算为5.68万元，完成预算100%。</w:t>
      </w:r>
    </w:p>
    <w:p>
      <w:pPr>
        <w:ind w:firstLine="643" w:firstLineChars="200"/>
        <w:rPr>
          <w:rStyle w:val="37"/>
          <w:rFonts w:hint="eastAsia" w:ascii="仿宋" w:hAnsi="仿宋" w:eastAsia="仿宋"/>
          <w:b w:val="0"/>
          <w:bCs/>
          <w:color w:val="000000"/>
          <w:sz w:val="32"/>
          <w:szCs w:val="32"/>
        </w:rPr>
      </w:pPr>
      <w:r>
        <w:rPr>
          <w:rFonts w:hint="eastAsia" w:ascii="仿宋" w:hAnsi="仿宋" w:eastAsia="仿宋"/>
          <w:b/>
          <w:bCs/>
          <w:color w:val="000000"/>
          <w:sz w:val="32"/>
          <w:szCs w:val="32"/>
        </w:rPr>
        <w:t>3.卫生健康支出</w:t>
      </w:r>
      <w:r>
        <w:rPr>
          <w:rStyle w:val="37"/>
          <w:rFonts w:hint="eastAsia" w:ascii="仿宋" w:hAnsi="仿宋" w:eastAsia="仿宋"/>
          <w:bCs/>
          <w:color w:val="000000"/>
          <w:sz w:val="32"/>
          <w:szCs w:val="32"/>
        </w:rPr>
        <w:t>（类）公共卫生（款）采供血机构（项）:</w:t>
      </w:r>
      <w:r>
        <w:rPr>
          <w:rStyle w:val="37"/>
          <w:rFonts w:hint="eastAsia" w:ascii="仿宋" w:hAnsi="仿宋" w:eastAsia="仿宋"/>
          <w:b w:val="0"/>
          <w:bCs/>
          <w:color w:val="000000"/>
          <w:sz w:val="32"/>
          <w:szCs w:val="32"/>
        </w:rPr>
        <w:t>支出决算为584.59万元，完成预算100%。</w:t>
      </w:r>
    </w:p>
    <w:p>
      <w:pPr>
        <w:ind w:firstLine="643" w:firstLineChars="200"/>
        <w:rPr>
          <w:rStyle w:val="37"/>
          <w:rFonts w:hint="eastAsia" w:ascii="仿宋" w:hAnsi="仿宋" w:eastAsia="仿宋"/>
          <w:b w:val="0"/>
          <w:bCs/>
          <w:color w:val="000000"/>
          <w:sz w:val="32"/>
          <w:szCs w:val="32"/>
        </w:rPr>
      </w:pPr>
      <w:r>
        <w:rPr>
          <w:rFonts w:hint="eastAsia" w:ascii="仿宋" w:hAnsi="仿宋" w:eastAsia="仿宋"/>
          <w:b/>
          <w:bCs/>
          <w:color w:val="000000"/>
          <w:sz w:val="32"/>
          <w:szCs w:val="32"/>
        </w:rPr>
        <w:t>4. 卫生健康支出</w:t>
      </w:r>
      <w:r>
        <w:rPr>
          <w:rStyle w:val="37"/>
          <w:rFonts w:hint="eastAsia" w:ascii="仿宋" w:hAnsi="仿宋" w:eastAsia="仿宋"/>
          <w:bCs/>
          <w:color w:val="000000"/>
          <w:sz w:val="32"/>
          <w:szCs w:val="32"/>
        </w:rPr>
        <w:t>（类）公共卫生（款）其他公共卫生支出（项）:</w:t>
      </w:r>
      <w:r>
        <w:rPr>
          <w:rStyle w:val="37"/>
          <w:rFonts w:hint="eastAsia" w:ascii="仿宋" w:hAnsi="仿宋" w:eastAsia="仿宋"/>
          <w:b w:val="0"/>
          <w:bCs/>
          <w:color w:val="000000"/>
          <w:sz w:val="32"/>
          <w:szCs w:val="32"/>
        </w:rPr>
        <w:t>支出决算为1524.5</w:t>
      </w:r>
      <w:r>
        <w:rPr>
          <w:rStyle w:val="37"/>
          <w:rFonts w:hint="eastAsia" w:ascii="仿宋" w:hAnsi="仿宋" w:eastAsia="仿宋"/>
          <w:b w:val="0"/>
          <w:bCs/>
          <w:color w:val="000000"/>
          <w:sz w:val="32"/>
          <w:szCs w:val="32"/>
          <w:lang w:val="en-US" w:eastAsia="zh-CN"/>
        </w:rPr>
        <w:t>0</w:t>
      </w:r>
      <w:r>
        <w:rPr>
          <w:rStyle w:val="37"/>
          <w:rFonts w:hint="eastAsia" w:ascii="仿宋" w:hAnsi="仿宋" w:eastAsia="仿宋"/>
          <w:b w:val="0"/>
          <w:bCs/>
          <w:color w:val="000000"/>
          <w:sz w:val="32"/>
          <w:szCs w:val="32"/>
        </w:rPr>
        <w:t>万元，完成预算</w:t>
      </w:r>
      <w:r>
        <w:rPr>
          <w:rStyle w:val="37"/>
          <w:rFonts w:hint="eastAsia" w:ascii="仿宋" w:hAnsi="仿宋" w:eastAsia="仿宋"/>
          <w:b w:val="0"/>
          <w:bCs/>
          <w:color w:val="000000"/>
          <w:sz w:val="32"/>
          <w:szCs w:val="32"/>
          <w:lang w:val="en-US" w:eastAsia="zh-CN"/>
        </w:rPr>
        <w:t>100</w:t>
      </w:r>
      <w:r>
        <w:rPr>
          <w:rStyle w:val="37"/>
          <w:rFonts w:hint="eastAsia" w:ascii="仿宋" w:hAnsi="仿宋" w:eastAsia="仿宋"/>
          <w:b w:val="0"/>
          <w:bCs/>
          <w:color w:val="000000"/>
          <w:sz w:val="32"/>
          <w:szCs w:val="32"/>
        </w:rPr>
        <w:t>%。</w:t>
      </w:r>
    </w:p>
    <w:p>
      <w:pPr>
        <w:ind w:firstLine="643" w:firstLineChars="200"/>
        <w:rPr>
          <w:rStyle w:val="37"/>
          <w:rFonts w:hint="eastAsia" w:ascii="仿宋" w:hAnsi="仿宋" w:eastAsia="仿宋"/>
          <w:b w:val="0"/>
          <w:bCs/>
          <w:color w:val="000000"/>
          <w:sz w:val="32"/>
          <w:szCs w:val="32"/>
        </w:rPr>
      </w:pPr>
      <w:r>
        <w:rPr>
          <w:rFonts w:hint="eastAsia" w:ascii="仿宋" w:hAnsi="仿宋" w:eastAsia="仿宋"/>
          <w:b/>
          <w:bCs/>
          <w:color w:val="000000"/>
          <w:sz w:val="32"/>
          <w:szCs w:val="32"/>
          <w:lang w:val="en-US" w:eastAsia="zh-CN"/>
        </w:rPr>
        <w:t>5</w:t>
      </w:r>
      <w:r>
        <w:rPr>
          <w:rFonts w:hint="eastAsia" w:ascii="仿宋" w:hAnsi="仿宋" w:eastAsia="仿宋"/>
          <w:b/>
          <w:bCs/>
          <w:color w:val="000000"/>
          <w:sz w:val="32"/>
          <w:szCs w:val="32"/>
        </w:rPr>
        <w:t>.卫生健康支出</w:t>
      </w:r>
      <w:r>
        <w:rPr>
          <w:rStyle w:val="37"/>
          <w:rFonts w:hint="eastAsia" w:ascii="仿宋" w:hAnsi="仿宋" w:eastAsia="仿宋"/>
          <w:bCs/>
          <w:color w:val="000000"/>
          <w:sz w:val="32"/>
          <w:szCs w:val="32"/>
        </w:rPr>
        <w:t>（类）行政事业单位医疗（款）事业单位医疗（项）:</w:t>
      </w:r>
      <w:r>
        <w:rPr>
          <w:rStyle w:val="37"/>
          <w:rFonts w:hint="eastAsia" w:ascii="仿宋" w:hAnsi="仿宋" w:eastAsia="仿宋"/>
          <w:b w:val="0"/>
          <w:bCs/>
          <w:color w:val="000000"/>
          <w:sz w:val="32"/>
          <w:szCs w:val="32"/>
        </w:rPr>
        <w:t>支出决算为27.08万元，完成预算100%。</w:t>
      </w:r>
    </w:p>
    <w:p>
      <w:pPr>
        <w:rPr>
          <w:rStyle w:val="37"/>
          <w:rFonts w:hint="eastAsia" w:ascii="仿宋" w:hAnsi="仿宋" w:eastAsia="仿宋"/>
          <w:b w:val="0"/>
          <w:bCs/>
          <w:color w:val="000000"/>
          <w:sz w:val="32"/>
          <w:szCs w:val="32"/>
        </w:rPr>
      </w:pPr>
      <w:r>
        <w:rPr>
          <w:rFonts w:hint="eastAsia" w:ascii="仿宋" w:hAnsi="仿宋" w:eastAsia="仿宋"/>
          <w:b/>
          <w:bCs/>
          <w:color w:val="000000"/>
          <w:sz w:val="32"/>
          <w:szCs w:val="32"/>
          <w:lang w:val="en-US" w:eastAsia="zh-CN"/>
        </w:rPr>
        <w:t xml:space="preserve">    6</w:t>
      </w:r>
      <w:r>
        <w:rPr>
          <w:rFonts w:hint="eastAsia" w:ascii="仿宋" w:hAnsi="仿宋" w:eastAsia="仿宋"/>
          <w:b/>
          <w:bCs/>
          <w:color w:val="000000"/>
          <w:sz w:val="32"/>
          <w:szCs w:val="32"/>
        </w:rPr>
        <w:t>.住房保障支出</w:t>
      </w:r>
      <w:r>
        <w:rPr>
          <w:rStyle w:val="37"/>
          <w:rFonts w:hint="eastAsia" w:ascii="仿宋" w:hAnsi="仿宋" w:eastAsia="仿宋"/>
          <w:bCs/>
          <w:color w:val="000000"/>
          <w:sz w:val="32"/>
          <w:szCs w:val="32"/>
        </w:rPr>
        <w:t>（类）住房改革支出（款）住房公积金（项）:</w:t>
      </w:r>
      <w:r>
        <w:rPr>
          <w:rStyle w:val="37"/>
          <w:rFonts w:hint="eastAsia" w:ascii="仿宋" w:hAnsi="仿宋" w:eastAsia="仿宋"/>
          <w:b w:val="0"/>
          <w:bCs/>
          <w:color w:val="000000"/>
          <w:sz w:val="32"/>
          <w:szCs w:val="32"/>
        </w:rPr>
        <w:t>支出决算为54.8</w:t>
      </w:r>
      <w:r>
        <w:rPr>
          <w:rStyle w:val="37"/>
          <w:rFonts w:hint="eastAsia" w:ascii="仿宋" w:hAnsi="仿宋" w:eastAsia="仿宋"/>
          <w:b w:val="0"/>
          <w:bCs/>
          <w:color w:val="000000"/>
          <w:sz w:val="32"/>
          <w:szCs w:val="32"/>
          <w:lang w:val="en-US" w:eastAsia="zh-CN"/>
        </w:rPr>
        <w:t>0</w:t>
      </w:r>
      <w:r>
        <w:rPr>
          <w:rStyle w:val="37"/>
          <w:rFonts w:hint="eastAsia" w:ascii="仿宋" w:hAnsi="仿宋" w:eastAsia="仿宋"/>
          <w:b w:val="0"/>
          <w:bCs/>
          <w:color w:val="000000"/>
          <w:sz w:val="32"/>
          <w:szCs w:val="32"/>
        </w:rPr>
        <w:t>万元，完成预算100%。</w:t>
      </w:r>
    </w:p>
    <w:p>
      <w:pPr>
        <w:pStyle w:val="22"/>
      </w:pPr>
    </w:p>
    <w:p>
      <w:pPr>
        <w:tabs>
          <w:tab w:val="right" w:pos="8306"/>
        </w:tabs>
        <w:spacing w:line="600" w:lineRule="exact"/>
        <w:ind w:firstLine="640"/>
        <w:outlineLvl w:val="1"/>
        <w:rPr>
          <w:rStyle w:val="32"/>
          <w:color w:val="auto"/>
          <w:highlight w:val="none"/>
        </w:rPr>
      </w:pPr>
      <w:bookmarkStart w:id="52" w:name="_Toc15377214"/>
      <w:bookmarkStart w:id="53" w:name="_Toc15396608"/>
      <w:bookmarkStart w:id="54" w:name="_Toc1594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般公共预算财政拨款基本支出决算情况说明</w:t>
      </w:r>
      <w:bookmarkEnd w:id="52"/>
      <w:bookmarkEnd w:id="53"/>
      <w:bookmarkEnd w:id="54"/>
      <w:r>
        <w:rPr>
          <w:rStyle w:val="32"/>
          <w:rFonts w:ascii="黑体" w:hAnsi="黑体" w:eastAsia="黑体"/>
          <w:b w:val="0"/>
          <w:color w:val="auto"/>
          <w:highlight w:val="none"/>
        </w:rPr>
        <w:tab/>
      </w:r>
    </w:p>
    <w:p>
      <w:pPr>
        <w:spacing w:line="600" w:lineRule="exact"/>
        <w:ind w:firstLine="645"/>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727.89</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653.89</w:t>
      </w:r>
      <w:r>
        <w:rPr>
          <w:rFonts w:hint="eastAsia" w:ascii="仿宋" w:hAnsi="仿宋" w:eastAsia="仿宋"/>
          <w:color w:val="auto"/>
          <w:sz w:val="32"/>
          <w:szCs w:val="32"/>
          <w:highlight w:val="none"/>
        </w:rPr>
        <w:t>万元，主要包括：基本工资、津贴补贴、绩效工资、机关事业单位基本养老保险缴费、职业年金缴费、 职工基本医疗保险缴费、 其他社会保障缴费</w:t>
      </w:r>
      <w:r>
        <w:rPr>
          <w:rFonts w:hint="eastAsia" w:ascii="仿宋" w:hAnsi="仿宋" w:eastAsia="仿宋"/>
          <w:color w:val="auto"/>
          <w:sz w:val="32"/>
          <w:szCs w:val="32"/>
          <w:highlight w:val="none"/>
          <w:lang w:eastAsia="zh-CN"/>
        </w:rPr>
        <w:t>、住房公积金、其他工资福利支出</w:t>
      </w:r>
      <w:r>
        <w:rPr>
          <w:rFonts w:hint="eastAsia" w:ascii="仿宋" w:hAnsi="仿宋" w:eastAsia="仿宋"/>
          <w:color w:val="auto"/>
          <w:sz w:val="32"/>
          <w:szCs w:val="32"/>
          <w:highlight w:val="none"/>
        </w:rPr>
        <w:t>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74.01</w:t>
      </w:r>
      <w:r>
        <w:rPr>
          <w:rFonts w:hint="eastAsia" w:ascii="仿宋" w:hAnsi="仿宋" w:eastAsia="仿宋"/>
          <w:color w:val="auto"/>
          <w:sz w:val="32"/>
          <w:szCs w:val="32"/>
          <w:highlight w:val="none"/>
        </w:rPr>
        <w:t>万元，主要包括：办公费、印刷费、咨询费、手续费、水费、电费、邮电费、差旅费、维修（护）费、租赁费、会议费、培训费、公务接待费、委托业务费、工会经费、福利费、公务用车运行维护费、</w:t>
      </w:r>
      <w:r>
        <w:rPr>
          <w:rFonts w:hint="eastAsia" w:ascii="仿宋" w:hAnsi="仿宋" w:eastAsia="仿宋"/>
          <w:color w:val="auto"/>
          <w:sz w:val="32"/>
          <w:szCs w:val="32"/>
          <w:highlight w:val="none"/>
          <w:lang w:val="en-US" w:eastAsia="zh-CN"/>
        </w:rPr>
        <w:t>其他商品和服务支出</w:t>
      </w:r>
      <w:r>
        <w:rPr>
          <w:rFonts w:hint="eastAsia" w:ascii="仿宋" w:hAnsi="仿宋" w:eastAsia="仿宋"/>
          <w:color w:val="auto"/>
          <w:sz w:val="32"/>
          <w:szCs w:val="32"/>
          <w:highlight w:val="none"/>
        </w:rPr>
        <w:t>等。</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32"/>
          <w:rFonts w:ascii="黑体" w:hAnsi="黑体" w:eastAsia="黑体"/>
          <w:b w:val="0"/>
          <w:color w:val="auto"/>
          <w:highlight w:val="none"/>
        </w:rPr>
      </w:pPr>
      <w:bookmarkStart w:id="55" w:name="_Toc15377215"/>
      <w:bookmarkStart w:id="56" w:name="_Toc15396609"/>
      <w:bookmarkStart w:id="57" w:name="_Toc25049"/>
      <w:r>
        <w:rPr>
          <w:rFonts w:hint="eastAsia" w:ascii="黑体" w:eastAsia="黑体"/>
          <w:color w:val="auto"/>
          <w:sz w:val="32"/>
          <w:szCs w:val="32"/>
          <w:highlight w:val="none"/>
        </w:rPr>
        <w:t>七、</w:t>
      </w:r>
      <w:r>
        <w:rPr>
          <w:rStyle w:val="32"/>
          <w:rFonts w:hint="eastAsia" w:ascii="黑体" w:hAnsi="黑体" w:eastAsia="黑体"/>
          <w:b w:val="0"/>
          <w:color w:val="auto"/>
          <w:highlight w:val="none"/>
        </w:rPr>
        <w:t>财政拨款</w:t>
      </w:r>
      <w:r>
        <w:rPr>
          <w:rStyle w:val="32"/>
          <w:rFonts w:hint="eastAsia" w:ascii="黑体" w:hAnsi="黑体" w:eastAsia="黑体"/>
          <w:color w:val="auto"/>
          <w:highlight w:val="none"/>
        </w:rPr>
        <w:t>“</w:t>
      </w:r>
      <w:r>
        <w:rPr>
          <w:rStyle w:val="32"/>
          <w:rFonts w:hint="eastAsia" w:ascii="黑体" w:hAnsi="黑体" w:eastAsia="黑体"/>
          <w:b w:val="0"/>
          <w:color w:val="auto"/>
          <w:highlight w:val="none"/>
        </w:rPr>
        <w:t>三公”经费支出决算情况说明</w:t>
      </w:r>
      <w:bookmarkEnd w:id="55"/>
      <w:bookmarkEnd w:id="56"/>
      <w:bookmarkEnd w:id="57"/>
    </w:p>
    <w:p>
      <w:pPr>
        <w:spacing w:line="600" w:lineRule="exact"/>
        <w:ind w:firstLine="640"/>
        <w:outlineLvl w:val="2"/>
        <w:rPr>
          <w:rFonts w:ascii="仿宋" w:hAnsi="仿宋" w:eastAsia="仿宋"/>
          <w:b/>
          <w:color w:val="auto"/>
          <w:sz w:val="32"/>
          <w:szCs w:val="32"/>
          <w:highlight w:val="none"/>
        </w:rPr>
      </w:pPr>
      <w:bookmarkStart w:id="58" w:name="_Toc4731"/>
      <w:bookmarkStart w:id="59" w:name="_Toc15377216"/>
      <w:r>
        <w:rPr>
          <w:rFonts w:hint="eastAsia" w:ascii="仿宋" w:hAnsi="仿宋" w:eastAsia="仿宋"/>
          <w:b/>
          <w:color w:val="auto"/>
          <w:sz w:val="32"/>
          <w:szCs w:val="32"/>
          <w:highlight w:val="none"/>
        </w:rPr>
        <w:t>（一）“三公”经费财政拨款支出决算总体情况说明</w:t>
      </w:r>
      <w:bookmarkEnd w:id="58"/>
      <w:bookmarkEnd w:id="59"/>
    </w:p>
    <w:p>
      <w:pPr>
        <w:ind w:firstLine="640" w:firstLineChars="200"/>
        <w:rPr>
          <w:rFonts w:hint="default" w:eastAsia="仿宋"/>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年“三公”经费财政拨款支出决算为3.05万元，完成预算</w:t>
      </w:r>
      <w:r>
        <w:rPr>
          <w:rFonts w:hint="eastAsia" w:ascii="仿宋" w:hAnsi="仿宋" w:eastAsia="仿宋"/>
          <w:color w:val="auto"/>
          <w:sz w:val="32"/>
          <w:szCs w:val="32"/>
          <w:highlight w:val="none"/>
          <w:lang w:val="en-US" w:eastAsia="zh-CN"/>
        </w:rPr>
        <w:t>42.07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减少1.13万元，下降27.03%。</w:t>
      </w:r>
      <w:r>
        <w:rPr>
          <w:rFonts w:hint="eastAsia" w:ascii="仿宋" w:hAnsi="仿宋" w:eastAsia="仿宋"/>
          <w:color w:val="auto"/>
          <w:sz w:val="32"/>
          <w:szCs w:val="32"/>
          <w:highlight w:val="none"/>
        </w:rPr>
        <w:t>决算数小于预算数的主要原因是</w:t>
      </w:r>
      <w:r>
        <w:rPr>
          <w:rFonts w:hint="eastAsia" w:ascii="仿宋_GB2312" w:hAnsi="Times New Roman" w:eastAsia="仿宋_GB2312" w:cs="Times New Roman"/>
          <w:color w:val="auto"/>
          <w:sz w:val="32"/>
          <w:szCs w:val="32"/>
          <w:lang w:val="en-US" w:eastAsia="zh-CN"/>
        </w:rPr>
        <w:t>疫情的影响</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公务用车减少。</w:t>
      </w:r>
    </w:p>
    <w:p>
      <w:pPr>
        <w:spacing w:line="600" w:lineRule="exact"/>
        <w:ind w:firstLine="640"/>
        <w:outlineLvl w:val="2"/>
        <w:rPr>
          <w:rFonts w:ascii="仿宋" w:hAnsi="仿宋" w:eastAsia="仿宋"/>
          <w:b/>
          <w:color w:val="auto"/>
          <w:sz w:val="32"/>
          <w:szCs w:val="32"/>
          <w:highlight w:val="none"/>
        </w:rPr>
      </w:pPr>
      <w:bookmarkStart w:id="60" w:name="_Toc15377217"/>
      <w:bookmarkStart w:id="61" w:name="_Toc23639"/>
      <w:r>
        <w:rPr>
          <w:rFonts w:hint="eastAsia" w:ascii="仿宋" w:hAnsi="仿宋" w:eastAsia="仿宋"/>
          <w:b/>
          <w:color w:val="auto"/>
          <w:sz w:val="32"/>
          <w:szCs w:val="32"/>
          <w:highlight w:val="none"/>
        </w:rPr>
        <w:t>（二）“三公”经费财政拨款支出决算具体情况说明</w:t>
      </w:r>
      <w:bookmarkEnd w:id="60"/>
      <w:bookmarkEnd w:id="61"/>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2.42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79.34</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20.66</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2"/>
        <w:spacing w:line="240" w:lineRule="auto"/>
        <w:rPr>
          <w:rFonts w:hint="eastAsia" w:eastAsia="仿宋"/>
          <w:lang w:eastAsia="zh-CN"/>
        </w:rPr>
      </w:pPr>
      <w:r>
        <w:rPr>
          <w:rFonts w:hint="eastAsia" w:eastAsia="仿宋"/>
          <w:lang w:eastAsia="zh-CN"/>
        </w:rPr>
        <w:drawing>
          <wp:inline distT="0" distB="0" distL="114300" distR="114300">
            <wp:extent cx="4590415" cy="2752090"/>
            <wp:effectExtent l="0" t="0" r="635" b="10160"/>
            <wp:docPr id="2" name="图片 2"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7"/>
                    <pic:cNvPicPr>
                      <a:picLocks noChangeAspect="1"/>
                    </pic:cNvPicPr>
                  </pic:nvPicPr>
                  <pic:blipFill>
                    <a:blip r:embed="rId20"/>
                    <a:stretch>
                      <a:fillRect/>
                    </a:stretch>
                  </pic:blipFill>
                  <pic:spPr>
                    <a:xfrm>
                      <a:off x="0" y="0"/>
                      <a:ext cx="4590415" cy="2752090"/>
                    </a:xfrm>
                    <a:prstGeom prst="rect">
                      <a:avLst/>
                    </a:prstGeom>
                  </pic:spPr>
                </pic:pic>
              </a:graphicData>
            </a:graphic>
          </wp:inline>
        </w:drawing>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2"/>
        <w:spacing w:line="240" w:lineRule="auto"/>
        <w:rPr>
          <w:rFonts w:hint="eastAsia" w:eastAsia="仿宋"/>
          <w:lang w:eastAsia="zh-CN"/>
        </w:rPr>
      </w:pPr>
    </w:p>
    <w:p>
      <w:pPr>
        <w:spacing w:line="600" w:lineRule="exact"/>
        <w:ind w:firstLine="640"/>
      </w:pPr>
      <w:r>
        <w:rPr>
          <w:rFonts w:ascii="仿宋_GB2312" w:eastAsia="仿宋_GB2312"/>
          <w:b/>
          <w:color w:val="auto"/>
          <w:sz w:val="32"/>
          <w:szCs w:val="32"/>
          <w:highlight w:val="none"/>
        </w:rPr>
        <w:t>1.</w:t>
      </w:r>
      <w:r>
        <w:rPr>
          <w:rFonts w:hint="eastAsia" w:ascii="仿宋" w:hAnsi="仿宋" w:eastAsia="仿宋"/>
          <w:b/>
          <w:color w:val="auto"/>
          <w:sz w:val="32"/>
          <w:szCs w:val="32"/>
          <w:highlight w:val="none"/>
          <w:lang w:val="en-US" w:eastAsia="zh-CN"/>
        </w:rPr>
        <w:t>因公出国</w:t>
      </w:r>
      <w:r>
        <w:rPr>
          <w:rFonts w:hint="eastAsia" w:ascii="仿宋_GB2312" w:eastAsia="仿宋_GB2312"/>
          <w:b/>
          <w:color w:val="auto"/>
          <w:sz w:val="32"/>
          <w:szCs w:val="32"/>
          <w:highlight w:val="none"/>
        </w:rPr>
        <w:t>（境）</w:t>
      </w:r>
      <w:r>
        <w:rPr>
          <w:rFonts w:hint="eastAsia" w:ascii="仿宋" w:hAnsi="仿宋" w:eastAsia="仿宋"/>
          <w:b/>
          <w:color w:val="auto"/>
          <w:sz w:val="32"/>
          <w:szCs w:val="32"/>
          <w:highlight w:val="none"/>
          <w:lang w:val="en-US" w:eastAsia="zh-CN"/>
        </w:rPr>
        <w:t>经费支出</w:t>
      </w:r>
      <w:r>
        <w:rPr>
          <w:rFonts w:hint="eastAsia" w:ascii="仿宋_GB2312" w:eastAsia="仿宋_GB2312"/>
          <w:color w:val="auto"/>
          <w:sz w:val="32"/>
          <w:szCs w:val="32"/>
          <w:highlight w:val="none"/>
          <w:lang w:val="en-US" w:eastAsia="zh-CN"/>
        </w:rPr>
        <w:t>0万元，年初未安排预算。</w:t>
      </w:r>
      <w:r>
        <w:rPr>
          <w:rStyle w:val="20"/>
          <w:rFonts w:hint="eastAsia" w:ascii="仿宋" w:hAnsi="仿宋" w:eastAsia="仿宋"/>
          <w:b w:val="0"/>
          <w:bCs/>
          <w:color w:val="auto"/>
          <w:sz w:val="32"/>
          <w:szCs w:val="32"/>
          <w:highlight w:val="none"/>
          <w:lang w:val="en-US" w:eastAsia="zh-CN"/>
        </w:rPr>
        <w:t>因公出国（境）经费支出决算</w:t>
      </w:r>
      <w:r>
        <w:rPr>
          <w:rStyle w:val="20"/>
          <w:rFonts w:hint="default" w:ascii="仿宋" w:hAnsi="仿宋" w:eastAsia="仿宋"/>
          <w:b w:val="0"/>
          <w:bCs/>
          <w:color w:val="auto"/>
          <w:sz w:val="32"/>
          <w:szCs w:val="32"/>
          <w:highlight w:val="none"/>
          <w:lang w:eastAsia="zh-CN"/>
        </w:rPr>
        <w:t>较</w:t>
      </w:r>
      <w:r>
        <w:rPr>
          <w:rStyle w:val="20"/>
          <w:rFonts w:hint="eastAsia" w:ascii="仿宋" w:hAnsi="仿宋" w:eastAsia="仿宋"/>
          <w:b w:val="0"/>
          <w:bCs/>
          <w:color w:val="auto"/>
          <w:sz w:val="32"/>
          <w:szCs w:val="32"/>
          <w:highlight w:val="none"/>
          <w:lang w:val="en-US" w:eastAsia="zh-CN"/>
        </w:rPr>
        <w:t>2021年</w:t>
      </w:r>
      <w:r>
        <w:rPr>
          <w:rStyle w:val="20"/>
          <w:rFonts w:hint="default" w:ascii="仿宋" w:hAnsi="仿宋" w:eastAsia="仿宋"/>
          <w:b w:val="0"/>
          <w:bCs/>
          <w:color w:val="auto"/>
          <w:sz w:val="32"/>
          <w:szCs w:val="32"/>
          <w:highlight w:val="none"/>
          <w:lang w:eastAsia="zh-CN"/>
        </w:rPr>
        <w:t>无变化</w:t>
      </w:r>
      <w:r>
        <w:rPr>
          <w:rStyle w:val="20"/>
          <w:rFonts w:hint="eastAsia" w:ascii="仿宋" w:hAnsi="仿宋" w:eastAsia="仿宋"/>
          <w:b w:val="0"/>
          <w:bCs/>
          <w:color w:val="auto"/>
          <w:sz w:val="32"/>
          <w:szCs w:val="32"/>
          <w:highlight w:val="none"/>
          <w:lang w:val="en-US" w:eastAsia="zh-CN"/>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2.42</w:t>
      </w:r>
      <w:r>
        <w:rPr>
          <w:rFonts w:hint="eastAsia" w:ascii="仿宋_GB2312" w:eastAsia="仿宋_GB2312"/>
          <w:color w:val="auto"/>
          <w:sz w:val="32"/>
          <w:szCs w:val="32"/>
          <w:highlight w:val="none"/>
        </w:rPr>
        <w:t>万元,</w:t>
      </w:r>
      <w:r>
        <w:rPr>
          <w:rStyle w:val="20"/>
          <w:rFonts w:hint="eastAsia" w:ascii="仿宋" w:hAnsi="仿宋" w:eastAsia="仿宋"/>
          <w:b w:val="0"/>
          <w:bCs/>
          <w:color w:val="auto"/>
          <w:sz w:val="32"/>
          <w:szCs w:val="32"/>
          <w:highlight w:val="none"/>
        </w:rPr>
        <w:t>完成预算</w:t>
      </w:r>
      <w:r>
        <w:rPr>
          <w:rStyle w:val="20"/>
          <w:rFonts w:hint="eastAsia" w:ascii="仿宋" w:hAnsi="仿宋" w:eastAsia="仿宋"/>
          <w:b w:val="0"/>
          <w:bCs/>
          <w:color w:val="auto"/>
          <w:sz w:val="32"/>
          <w:szCs w:val="32"/>
          <w:highlight w:val="none"/>
          <w:lang w:val="en-US" w:eastAsia="zh-CN"/>
        </w:rPr>
        <w:t>53.78</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1.44</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37.31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hAnsi="Times New Roman" w:eastAsia="仿宋_GB2312" w:cs="Times New Roman"/>
          <w:color w:val="auto"/>
          <w:sz w:val="32"/>
          <w:szCs w:val="32"/>
          <w:lang w:val="en-US" w:eastAsia="zh-CN"/>
        </w:rPr>
        <w:t>疫情的影响</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公务用车减少</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p>
    <w:p>
      <w:pPr>
        <w:spacing w:line="600" w:lineRule="exact"/>
        <w:ind w:firstLine="64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2.42</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rPr>
        <w:t>采供血机构等开展工作等所需的公务用车燃料费、维修费、过路过桥费、保险费等支出</w:t>
      </w:r>
      <w:r>
        <w:rPr>
          <w:rFonts w:hint="eastAsia" w:ascii="仿宋" w:hAnsi="仿宋" w:eastAsia="仿宋"/>
          <w:color w:val="auto"/>
          <w:sz w:val="32"/>
          <w:szCs w:val="32"/>
        </w:rPr>
        <w:t>。</w:t>
      </w:r>
    </w:p>
    <w:p>
      <w:pPr>
        <w:numPr>
          <w:ilvl w:val="0"/>
          <w:numId w:val="3"/>
        </w:numPr>
        <w:spacing w:line="600" w:lineRule="exact"/>
        <w:ind w:firstLine="645"/>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0.63</w:t>
      </w:r>
      <w:r>
        <w:rPr>
          <w:rFonts w:hint="eastAsia" w:ascii="仿宋_GB2312" w:eastAsia="仿宋_GB2312"/>
          <w:color w:val="auto"/>
          <w:sz w:val="32"/>
          <w:szCs w:val="32"/>
          <w:highlight w:val="none"/>
        </w:rPr>
        <w:t>万元，</w:t>
      </w:r>
      <w:r>
        <w:rPr>
          <w:rStyle w:val="20"/>
          <w:rFonts w:hint="eastAsia" w:ascii="仿宋" w:hAnsi="仿宋" w:eastAsia="仿宋"/>
          <w:b w:val="0"/>
          <w:bCs/>
          <w:color w:val="auto"/>
          <w:sz w:val="32"/>
          <w:szCs w:val="32"/>
          <w:highlight w:val="none"/>
        </w:rPr>
        <w:t>完成预算</w:t>
      </w:r>
      <w:r>
        <w:rPr>
          <w:rStyle w:val="20"/>
          <w:rFonts w:hint="eastAsia" w:ascii="仿宋" w:hAnsi="仿宋" w:eastAsia="仿宋"/>
          <w:b w:val="0"/>
          <w:bCs/>
          <w:color w:val="auto"/>
          <w:sz w:val="32"/>
          <w:szCs w:val="32"/>
          <w:highlight w:val="none"/>
          <w:lang w:val="en-US" w:eastAsia="zh-CN"/>
        </w:rPr>
        <w:t>22.91</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0.30</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90.91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w:t>
      </w:r>
      <w:r>
        <w:rPr>
          <w:rFonts w:hint="eastAsia" w:ascii="仿宋_GB2312" w:eastAsia="仿宋_GB2312"/>
          <w:color w:val="auto"/>
          <w:sz w:val="32"/>
          <w:szCs w:val="32"/>
          <w:highlight w:val="none"/>
          <w:lang w:val="en-US" w:eastAsia="zh-CN"/>
        </w:rPr>
        <w:t>是其他血站赴我站学习交流增多</w:t>
      </w:r>
      <w:r>
        <w:rPr>
          <w:rFonts w:hint="eastAsia" w:ascii="仿宋_GB2312" w:eastAsia="仿宋_GB2312"/>
          <w:color w:val="auto"/>
          <w:sz w:val="32"/>
          <w:szCs w:val="32"/>
          <w:highlight w:val="none"/>
        </w:rPr>
        <w:t>。其中：</w:t>
      </w:r>
    </w:p>
    <w:p>
      <w:pPr>
        <w:numPr>
          <w:ilvl w:val="0"/>
          <w:numId w:val="0"/>
        </w:num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0.63</w:t>
      </w:r>
      <w:r>
        <w:rPr>
          <w:rFonts w:hint="eastAsia" w:ascii="仿宋_GB2312" w:eastAsia="仿宋_GB2312"/>
          <w:color w:val="auto"/>
          <w:sz w:val="32"/>
          <w:szCs w:val="32"/>
          <w:highlight w:val="none"/>
        </w:rPr>
        <w:t>万元，主要用于执行公务、开展业务活动开支的交通费、住宿费、用餐费等。国内公务接待</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65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0.63</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四川省血液安全管理中心组织专家对我站的核酸检测实验室进行验收花费0.05万元；巴中市中心血站赴我站交流学习2次共花费0.16万元；苍溪县运山镇人民政府赴我站对接工作花费0.16万元；绵阳市中心血站赴我站交流学习花费0.18万元；四川省血液安全管理中心组织专家对我站的核酸检测实验室进行验收花费0.08万元</w:t>
      </w:r>
      <w:bookmarkStart w:id="62" w:name="_Toc15396610"/>
      <w:bookmarkStart w:id="63" w:name="_Toc15377218"/>
      <w:r>
        <w:rPr>
          <w:rFonts w:hint="eastAsia" w:ascii="仿宋_GB2312" w:eastAsia="仿宋_GB2312"/>
          <w:color w:val="auto"/>
          <w:sz w:val="32"/>
          <w:szCs w:val="32"/>
          <w:highlight w:val="none"/>
          <w:lang w:eastAsia="zh-CN"/>
        </w:rPr>
        <w:t>。</w:t>
      </w:r>
    </w:p>
    <w:p>
      <w:pPr>
        <w:pStyle w:val="2"/>
        <w:spacing w:afterLines="0"/>
        <w:ind w:firstLine="643" w:firstLineChars="200"/>
        <w:rPr>
          <w:rFonts w:hint="eastAsia" w:hAnsi="仿宋_GB2312"/>
          <w:color w:val="000000"/>
          <w:kern w:val="2"/>
          <w:sz w:val="32"/>
          <w:szCs w:val="24"/>
          <w:lang w:val="en-US" w:eastAsia="zh-CN"/>
        </w:rPr>
      </w:pPr>
      <w:r>
        <w:rPr>
          <w:rFonts w:hint="eastAsia" w:hAnsi="仿宋_GB2312" w:cs="Times New Roman"/>
          <w:b/>
          <w:color w:val="000000"/>
          <w:kern w:val="2"/>
          <w:sz w:val="32"/>
          <w:szCs w:val="24"/>
          <w:lang w:val="en-US" w:eastAsia="zh-CN"/>
        </w:rPr>
        <w:t>外事接待</w:t>
      </w:r>
      <w:r>
        <w:rPr>
          <w:rFonts w:hint="eastAsia" w:hAnsi="仿宋_GB2312"/>
          <w:color w:val="000000"/>
          <w:kern w:val="2"/>
          <w:sz w:val="32"/>
          <w:szCs w:val="24"/>
          <w:lang w:val="en-US" w:eastAsia="zh-CN"/>
        </w:rPr>
        <w:t>支出0万元。</w:t>
      </w:r>
    </w:p>
    <w:p/>
    <w:p>
      <w:pPr>
        <w:spacing w:line="600" w:lineRule="exact"/>
        <w:ind w:firstLine="640"/>
        <w:outlineLvl w:val="1"/>
        <w:rPr>
          <w:rStyle w:val="32"/>
          <w:rFonts w:ascii="黑体" w:hAnsi="黑体" w:eastAsia="黑体"/>
          <w:color w:val="auto"/>
          <w:highlight w:val="none"/>
        </w:rPr>
      </w:pPr>
      <w:bookmarkStart w:id="64" w:name="_Toc8816"/>
      <w:r>
        <w:rPr>
          <w:rFonts w:hint="eastAsia" w:ascii="黑体" w:eastAsia="黑体"/>
          <w:color w:val="auto"/>
          <w:sz w:val="32"/>
          <w:szCs w:val="32"/>
          <w:highlight w:val="none"/>
        </w:rPr>
        <w:t>八、</w:t>
      </w:r>
      <w:r>
        <w:rPr>
          <w:rStyle w:val="32"/>
          <w:rFonts w:hint="eastAsia" w:ascii="黑体" w:hAnsi="黑体" w:eastAsia="黑体"/>
          <w:b w:val="0"/>
          <w:color w:val="auto"/>
          <w:highlight w:val="none"/>
        </w:rPr>
        <w:t>政府性基金预算支出决算情况说明</w:t>
      </w:r>
      <w:bookmarkEnd w:id="62"/>
      <w:bookmarkEnd w:id="63"/>
      <w:bookmarkEnd w:id="6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2022年本单位未在政府性基金预算拨款安排“三公经费”支出。</w:t>
      </w:r>
    </w:p>
    <w:p>
      <w:pPr>
        <w:pStyle w:val="2"/>
        <w:rPr>
          <w:rFonts w:hint="eastAsia"/>
          <w:lang w:val="en-US" w:eastAsia="zh-CN"/>
        </w:rPr>
      </w:pPr>
    </w:p>
    <w:p>
      <w:pPr>
        <w:numPr>
          <w:ilvl w:val="0"/>
          <w:numId w:val="4"/>
        </w:numPr>
        <w:spacing w:line="600" w:lineRule="exact"/>
        <w:ind w:firstLine="640"/>
        <w:outlineLvl w:val="1"/>
        <w:rPr>
          <w:rStyle w:val="32"/>
          <w:rFonts w:ascii="黑体" w:hAnsi="黑体" w:eastAsia="黑体"/>
          <w:b w:val="0"/>
          <w:color w:val="auto"/>
          <w:highlight w:val="none"/>
        </w:rPr>
      </w:pPr>
      <w:bookmarkStart w:id="65" w:name="_Toc78"/>
      <w:bookmarkStart w:id="66" w:name="_Toc15396611"/>
      <w:bookmarkStart w:id="67" w:name="_Toc15377219"/>
      <w:r>
        <w:rPr>
          <w:rStyle w:val="32"/>
          <w:rFonts w:hint="eastAsia" w:ascii="黑体" w:hAnsi="黑体" w:eastAsia="黑体"/>
          <w:b w:val="0"/>
          <w:color w:val="auto"/>
          <w:highlight w:val="none"/>
        </w:rPr>
        <w:t>国有资本经营预算支出决算情况说明</w:t>
      </w:r>
      <w:bookmarkEnd w:id="65"/>
      <w:bookmarkEnd w:id="66"/>
      <w:bookmarkEnd w:id="67"/>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rPr>
          <w:rFonts w:hint="eastAsia"/>
          <w:lang w:val="en-US" w:eastAsia="zh-CN"/>
        </w:rPr>
      </w:pPr>
    </w:p>
    <w:p>
      <w:pPr>
        <w:numPr>
          <w:ilvl w:val="0"/>
          <w:numId w:val="4"/>
        </w:numPr>
        <w:spacing w:line="600" w:lineRule="exact"/>
        <w:ind w:firstLine="640"/>
        <w:outlineLvl w:val="1"/>
        <w:rPr>
          <w:rStyle w:val="32"/>
          <w:rFonts w:hint="eastAsia" w:ascii="黑体" w:hAnsi="黑体" w:eastAsia="黑体"/>
          <w:b w:val="0"/>
          <w:color w:val="auto"/>
          <w:highlight w:val="none"/>
        </w:rPr>
      </w:pPr>
      <w:bookmarkStart w:id="68" w:name="_Toc17576"/>
      <w:bookmarkStart w:id="69" w:name="_Toc15377221"/>
      <w:bookmarkStart w:id="70" w:name="_Toc15396612"/>
      <w:r>
        <w:rPr>
          <w:rStyle w:val="32"/>
          <w:rFonts w:hint="eastAsia" w:ascii="黑体" w:hAnsi="黑体" w:eastAsia="黑体"/>
          <w:b w:val="0"/>
          <w:color w:val="auto"/>
          <w:highlight w:val="none"/>
        </w:rPr>
        <w:t>其他重要事项的情况说明</w:t>
      </w:r>
      <w:bookmarkEnd w:id="68"/>
      <w:bookmarkEnd w:id="69"/>
      <w:bookmarkEnd w:id="70"/>
    </w:p>
    <w:p>
      <w:pPr>
        <w:spacing w:line="600" w:lineRule="exact"/>
        <w:ind w:firstLine="643" w:firstLineChars="200"/>
        <w:outlineLvl w:val="2"/>
        <w:rPr>
          <w:rFonts w:ascii="仿宋" w:hAnsi="仿宋" w:eastAsia="仿宋"/>
          <w:color w:val="auto"/>
          <w:sz w:val="32"/>
          <w:szCs w:val="32"/>
          <w:highlight w:val="none"/>
        </w:rPr>
      </w:pPr>
      <w:bookmarkStart w:id="71" w:name="_Toc15377222"/>
      <w:bookmarkStart w:id="72" w:name="_Toc21096"/>
      <w:r>
        <w:rPr>
          <w:rFonts w:hint="eastAsia" w:ascii="仿宋" w:hAnsi="仿宋" w:eastAsia="仿宋"/>
          <w:b/>
          <w:color w:val="auto"/>
          <w:sz w:val="32"/>
          <w:szCs w:val="32"/>
          <w:highlight w:val="none"/>
        </w:rPr>
        <w:t>（一）机关运行经费支出情况</w:t>
      </w:r>
      <w:bookmarkEnd w:id="71"/>
      <w:bookmarkEnd w:id="72"/>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bookmarkStart w:id="73" w:name="_Toc15377223"/>
      <w:bookmarkStart w:id="74" w:name="_Toc31401"/>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与2021年决算数持平。     </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lang w:val="en-US" w:eastAsia="zh-CN"/>
        </w:rPr>
        <w:t>（二）</w:t>
      </w:r>
      <w:r>
        <w:rPr>
          <w:rFonts w:hint="eastAsia" w:ascii="仿宋" w:hAnsi="仿宋" w:eastAsia="仿宋"/>
          <w:b/>
          <w:color w:val="auto"/>
          <w:sz w:val="32"/>
          <w:szCs w:val="32"/>
          <w:highlight w:val="none"/>
        </w:rPr>
        <w:t>政府采购支出情况</w:t>
      </w:r>
      <w:bookmarkEnd w:id="73"/>
      <w:bookmarkEnd w:id="74"/>
    </w:p>
    <w:p>
      <w:pPr>
        <w:spacing w:line="600" w:lineRule="exact"/>
        <w:ind w:firstLine="640" w:firstLineChars="200"/>
        <w:rPr>
          <w:rFonts w:ascii="仿宋_GB2312" w:eastAsia="仿宋_GB2312"/>
          <w:color w:val="0000FF"/>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广元市中心血站</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259.95</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259.95</w:t>
      </w:r>
      <w:r>
        <w:rPr>
          <w:rFonts w:hint="eastAsia" w:ascii="仿宋_GB2312" w:eastAsia="仿宋_GB2312"/>
          <w:color w:val="auto"/>
          <w:sz w:val="32"/>
          <w:szCs w:val="32"/>
          <w:highlight w:val="none"/>
        </w:rPr>
        <w:t>万元。主要</w:t>
      </w:r>
      <w:r>
        <w:rPr>
          <w:rFonts w:hint="eastAsia" w:ascii="仿宋_GB2312" w:eastAsia="仿宋_GB2312"/>
          <w:color w:val="auto"/>
          <w:sz w:val="32"/>
          <w:szCs w:val="32"/>
          <w:highlight w:val="none"/>
          <w:lang w:val="en-US" w:eastAsia="zh-CN"/>
        </w:rPr>
        <w:t>是血袋的采购。</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15377224"/>
      <w:bookmarkStart w:id="76" w:name="_Toc10132"/>
      <w:r>
        <w:rPr>
          <w:rFonts w:hint="eastAsia" w:ascii="仿宋" w:hAnsi="仿宋" w:eastAsia="仿宋"/>
          <w:b/>
          <w:color w:val="auto"/>
          <w:sz w:val="32"/>
          <w:szCs w:val="32"/>
          <w:highlight w:val="none"/>
        </w:rPr>
        <w:t>（三）国有资产占有使用情况</w:t>
      </w:r>
      <w:bookmarkEnd w:id="75"/>
      <w:bookmarkEnd w:id="76"/>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广元市中心血站</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w:t>
      </w:r>
      <w:r>
        <w:rPr>
          <w:rFonts w:hint="eastAsia" w:ascii="仿宋_GB2312" w:eastAsia="仿宋_GB2312"/>
          <w:color w:val="auto"/>
          <w:sz w:val="32"/>
          <w:szCs w:val="32"/>
          <w:highlight w:val="none"/>
          <w:lang w:val="en-US" w:eastAsia="zh-CN"/>
        </w:rPr>
        <w:t>公务用车1辆，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接送血和采血</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77" w:name="_Toc8507"/>
      <w:r>
        <w:rPr>
          <w:rFonts w:hint="eastAsia" w:ascii="仿宋" w:hAnsi="仿宋" w:eastAsia="仿宋"/>
          <w:b/>
          <w:color w:val="auto"/>
          <w:sz w:val="32"/>
          <w:szCs w:val="32"/>
          <w:highlight w:val="none"/>
        </w:rPr>
        <w:t>（四）预算绩效管理情况</w:t>
      </w:r>
      <w:bookmarkEnd w:id="77"/>
    </w:p>
    <w:p>
      <w:pPr>
        <w:pStyle w:val="2"/>
        <w:ind w:firstLine="640" w:firstLineChars="200"/>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日常采血成本支出、乡村振兴工作经费</w:t>
      </w:r>
      <w:r>
        <w:rPr>
          <w:rFonts w:hint="eastAsia" w:hAnsi="仿宋_GB2312" w:cs="仿宋_GB2312"/>
          <w:color w:val="auto"/>
          <w:sz w:val="32"/>
          <w:szCs w:val="32"/>
          <w:highlight w:val="none"/>
          <w:lang w:eastAsia="zh-CN"/>
        </w:rPr>
        <w:t>、工资性支出、其他人员支出、离退休费支出、其他公用经费（福利、工会、公车补贴、党建、退休活动）、工资性支出（事业）、传染病防控中央补助资金、办公设置购置、重大传染病防控补助资金、定额公用经费（事业）、规范后市级基础绩效奖及生活补</w:t>
      </w:r>
      <w:r>
        <w:rPr>
          <w:rFonts w:hint="eastAsia" w:hAnsi="仿宋_GB2312" w:cs="仿宋_GB2312"/>
          <w:b w:val="0"/>
          <w:bCs w:val="0"/>
          <w:color w:val="auto"/>
          <w:sz w:val="32"/>
          <w:szCs w:val="32"/>
          <w:highlight w:val="none"/>
          <w:lang w:eastAsia="zh-CN"/>
        </w:rPr>
        <w:t>助</w:t>
      </w:r>
      <w:r>
        <w:rPr>
          <w:rFonts w:hint="eastAsia" w:ascii="仿宋_GB2312" w:hAnsi="仿宋_GB2312" w:eastAsia="仿宋_GB2312" w:cs="仿宋_GB2312"/>
          <w:b w:val="0"/>
          <w:bCs w:val="0"/>
          <w:color w:val="auto"/>
          <w:sz w:val="32"/>
          <w:szCs w:val="32"/>
          <w:highlight w:val="none"/>
        </w:rPr>
        <w:t>等</w:t>
      </w:r>
      <w:r>
        <w:rPr>
          <w:rFonts w:hint="eastAsia" w:hAnsi="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个项目开展了预算事前绩效评估，对</w:t>
      </w:r>
      <w:r>
        <w:rPr>
          <w:rFonts w:hint="eastAsia" w:hAnsi="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个项目编制了绩效目标，预算执行过程中，选取</w:t>
      </w:r>
      <w:r>
        <w:rPr>
          <w:rFonts w:hint="eastAsia" w:hAnsi="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个项目开展绩效监控，组织对</w:t>
      </w:r>
      <w:r>
        <w:rPr>
          <w:rFonts w:hint="eastAsia" w:hAnsi="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个项目开展绩效自评，绩效自评表详见</w:t>
      </w:r>
      <w:r>
        <w:rPr>
          <w:rFonts w:hint="eastAsia" w:hAnsi="仿宋_GB2312" w:cs="仿宋_GB2312"/>
          <w:b w:val="0"/>
          <w:bCs w:val="0"/>
          <w:color w:val="auto"/>
          <w:sz w:val="32"/>
          <w:szCs w:val="32"/>
          <w:highlight w:val="none"/>
          <w:lang w:eastAsia="zh-CN"/>
        </w:rPr>
        <w:t>第四部分</w:t>
      </w:r>
      <w:r>
        <w:rPr>
          <w:rFonts w:hint="eastAsia" w:ascii="仿宋_GB2312" w:hAnsi="仿宋_GB2312" w:eastAsia="仿宋_GB2312" w:cs="仿宋_GB2312"/>
          <w:b w:val="0"/>
          <w:bCs w:val="0"/>
          <w:color w:val="auto"/>
          <w:sz w:val="32"/>
          <w:szCs w:val="32"/>
          <w:highlight w:val="none"/>
        </w:rPr>
        <w:t>附件</w:t>
      </w:r>
      <w:r>
        <w:rPr>
          <w:rFonts w:hint="eastAsia" w:ascii="仿宋_GB2312" w:hAnsi="仿宋_GB2312" w:eastAsia="仿宋_GB2312" w:cs="仿宋_GB2312"/>
          <w:color w:val="auto"/>
          <w:sz w:val="32"/>
          <w:szCs w:val="32"/>
          <w:highlight w:val="none"/>
        </w:rPr>
        <w:t>。</w:t>
      </w:r>
    </w:p>
    <w:p>
      <w:pPr>
        <w:widowControl/>
        <w:jc w:val="left"/>
        <w:rPr>
          <w:rFonts w:ascii="仿宋_GB2312" w:eastAsia="仿宋_GB2312"/>
          <w:b/>
          <w:color w:val="0000FF"/>
          <w:sz w:val="32"/>
          <w:szCs w:val="32"/>
          <w:highlight w:val="none"/>
        </w:rPr>
      </w:pPr>
      <w:r>
        <w:rPr>
          <w:rFonts w:ascii="仿宋_GB2312" w:eastAsia="仿宋_GB2312"/>
          <w:b/>
          <w:color w:val="0000FF"/>
          <w:sz w:val="32"/>
          <w:szCs w:val="32"/>
          <w:highlight w:val="none"/>
        </w:rPr>
        <w:br w:type="page"/>
      </w:r>
    </w:p>
    <w:p>
      <w:pPr>
        <w:numPr>
          <w:ilvl w:val="0"/>
          <w:numId w:val="5"/>
        </w:numPr>
        <w:spacing w:line="600" w:lineRule="exact"/>
        <w:ind w:firstLine="660" w:firstLineChars="150"/>
        <w:jc w:val="center"/>
        <w:outlineLvl w:val="0"/>
        <w:rPr>
          <w:rStyle w:val="31"/>
          <w:rFonts w:ascii="黑体" w:hAnsi="黑体" w:eastAsia="黑体"/>
          <w:b w:val="0"/>
          <w:color w:val="auto"/>
          <w:highlight w:val="none"/>
        </w:rPr>
      </w:pPr>
      <w:bookmarkStart w:id="78" w:name="_Toc15377225"/>
      <w:bookmarkStart w:id="79" w:name="_Toc7872"/>
      <w:bookmarkStart w:id="80" w:name="_Toc15396613"/>
      <w:r>
        <w:rPr>
          <w:rFonts w:hint="eastAsia" w:ascii="黑体" w:hAnsi="黑体" w:eastAsia="黑体"/>
          <w:color w:val="auto"/>
          <w:sz w:val="44"/>
          <w:szCs w:val="44"/>
          <w:highlight w:val="none"/>
        </w:rPr>
        <w:t>名</w:t>
      </w:r>
      <w:r>
        <w:rPr>
          <w:rStyle w:val="31"/>
          <w:rFonts w:hint="eastAsia" w:ascii="黑体" w:hAnsi="黑体" w:eastAsia="黑体"/>
          <w:b w:val="0"/>
          <w:color w:val="auto"/>
          <w:highlight w:val="none"/>
        </w:rPr>
        <w:t>词解释</w:t>
      </w:r>
      <w:bookmarkEnd w:id="78"/>
      <w:bookmarkEnd w:id="79"/>
      <w:bookmarkEnd w:id="80"/>
    </w:p>
    <w:p>
      <w:pPr>
        <w:spacing w:line="600" w:lineRule="exact"/>
        <w:jc w:val="left"/>
        <w:rPr>
          <w:rFonts w:ascii="宋体"/>
          <w:b/>
          <w:color w:val="auto"/>
          <w:sz w:val="44"/>
          <w:szCs w:val="44"/>
          <w:highlight w:val="none"/>
        </w:rPr>
      </w:pPr>
    </w:p>
    <w:p>
      <w:pPr>
        <w:pStyle w:val="29"/>
        <w:numPr>
          <w:ilvl w:val="0"/>
          <w:numId w:val="0"/>
        </w:numP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财政拨款收入：指单位从同级财政部门取得的财政预算资金。</w:t>
      </w:r>
    </w:p>
    <w:p>
      <w:pPr>
        <w:pStyle w:val="29"/>
        <w:numPr>
          <w:ilvl w:val="0"/>
          <w:numId w:val="0"/>
        </w:numPr>
        <w:tabs>
          <w:tab w:val="left" w:pos="420"/>
        </w:tabs>
        <w:spacing w:line="560" w:lineRule="exact"/>
        <w:ind w:left="0" w:leftChars="0" w:firstLine="739" w:firstLineChars="231"/>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年初结转和结余：指以前年度尚未完成、结转到本</w:t>
      </w:r>
      <w:r>
        <w:rPr>
          <w:rFonts w:hint="eastAsia" w:ascii="仿宋_GB2312" w:eastAsia="仿宋_GB2312"/>
          <w:color w:val="auto"/>
          <w:sz w:val="32"/>
          <w:szCs w:val="32"/>
          <w:highlight w:val="none"/>
          <w:lang w:val="en-US" w:eastAsia="zh-CN"/>
        </w:rPr>
        <w:t>年</w:t>
      </w:r>
      <w:r>
        <w:rPr>
          <w:rFonts w:hint="eastAsia" w:ascii="仿宋_GB2312" w:eastAsia="仿宋_GB2312"/>
          <w:color w:val="auto"/>
          <w:sz w:val="32"/>
          <w:szCs w:val="32"/>
          <w:highlight w:val="none"/>
        </w:rPr>
        <w:t>按有关规定继续使用的资金。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w:t>
      </w:r>
      <w:r>
        <w:rPr>
          <w:rFonts w:hint="default" w:ascii="仿宋_GB2312" w:hAnsi="仿宋_GB2312" w:eastAsia="仿宋_GB2312" w:cs="仿宋_GB2312"/>
          <w:sz w:val="32"/>
          <w:szCs w:val="32"/>
        </w:rPr>
        <w:t>行政事业单位养老支出</w:t>
      </w:r>
      <w:r>
        <w:rPr>
          <w:rFonts w:hint="eastAsia" w:ascii="仿宋_GB2312" w:hAnsi="仿宋_GB2312" w:eastAsia="仿宋_GB2312" w:cs="仿宋_GB2312"/>
          <w:sz w:val="32"/>
          <w:szCs w:val="32"/>
        </w:rPr>
        <w:t>（款）机关事业单位基本养老保险缴费支出（项）20805</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：指反映机关事业单位实施养老保险制度由单位缴纳的基本养老保险费支出。</w:t>
      </w:r>
    </w:p>
    <w:p>
      <w:pPr>
        <w:pStyle w:val="29"/>
        <w:spacing w:line="560" w:lineRule="exact"/>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eastAsia="仿宋_GB2312" w:cs="仿宋_GB2312"/>
          <w:sz w:val="32"/>
          <w:szCs w:val="32"/>
          <w:lang w:val="en-US" w:eastAsia="zh-CN" w:bidi="ar-SA"/>
        </w:rPr>
        <w:t>4</w:t>
      </w:r>
      <w:r>
        <w:rPr>
          <w:rFonts w:hint="eastAsia" w:ascii="仿宋_GB2312" w:eastAsia="仿宋_GB2312" w:cs="仿宋_GB2312"/>
          <w:sz w:val="32"/>
          <w:szCs w:val="32"/>
          <w:lang w:bidi="ar-SA"/>
        </w:rPr>
        <w:t>.社会保障和就业支出（类）</w:t>
      </w:r>
      <w:r>
        <w:rPr>
          <w:rFonts w:hint="default" w:ascii="仿宋_GB2312" w:eastAsia="仿宋_GB2312" w:cs="仿宋_GB2312"/>
          <w:sz w:val="32"/>
          <w:szCs w:val="32"/>
          <w:lang w:bidi="ar-SA"/>
        </w:rPr>
        <w:t>行政事业单位养老支出</w:t>
      </w:r>
      <w:r>
        <w:rPr>
          <w:rFonts w:hint="eastAsia" w:ascii="仿宋_GB2312" w:eastAsia="仿宋_GB2312" w:cs="仿宋_GB2312"/>
          <w:sz w:val="32"/>
          <w:szCs w:val="32"/>
          <w:lang w:bidi="ar-SA"/>
        </w:rPr>
        <w:t>（款）机关事业单位职业年金缴费支出（项）2080506：指反映机关事业单位实施养老保险制度由单位实际缴纳的职业年金支出。</w:t>
      </w:r>
    </w:p>
    <w:p>
      <w:pPr>
        <w:pStyle w:val="29"/>
        <w:spacing w:line="560" w:lineRule="exact"/>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eastAsia="仿宋_GB2312" w:cs="仿宋_GB2312"/>
          <w:sz w:val="32"/>
          <w:szCs w:val="32"/>
          <w:lang w:val="en-US" w:eastAsia="zh-CN" w:bidi="ar-SA"/>
        </w:rPr>
        <w:t>5</w:t>
      </w:r>
      <w:r>
        <w:rPr>
          <w:rFonts w:hint="eastAsia" w:ascii="仿宋_GB2312" w:eastAsia="仿宋_GB2312" w:cs="仿宋_GB2312"/>
          <w:sz w:val="32"/>
          <w:szCs w:val="32"/>
          <w:lang w:bidi="ar-SA"/>
        </w:rPr>
        <w:t>.卫生健康支出（类）公共卫生（款）采供血机构（项）2100406：指反映卫生健康部门所属采供血机构的支出。</w:t>
      </w:r>
    </w:p>
    <w:p>
      <w:pPr>
        <w:pStyle w:val="29"/>
        <w:spacing w:line="560" w:lineRule="exact"/>
        <w:ind w:firstLine="640" w:firstLineChars="200"/>
        <w:rPr>
          <w:rFonts w:hint="eastAsia" w:ascii="仿宋_GB2312" w:eastAsia="仿宋_GB2312" w:cs="仿宋_GB2312"/>
          <w:sz w:val="32"/>
          <w:szCs w:val="32"/>
          <w:lang w:eastAsia="zh-CN" w:bidi="ar-SA"/>
        </w:rPr>
      </w:pPr>
      <w:r>
        <w:rPr>
          <w:rFonts w:hint="eastAsia" w:ascii="仿宋_GB2312" w:eastAsia="仿宋_GB2312" w:cs="仿宋_GB2312"/>
          <w:sz w:val="32"/>
          <w:szCs w:val="32"/>
          <w:lang w:val="en-US" w:eastAsia="zh-CN" w:bidi="ar-SA"/>
        </w:rPr>
        <w:t>6</w:t>
      </w:r>
      <w:r>
        <w:rPr>
          <w:rFonts w:hint="eastAsia" w:ascii="仿宋_GB2312" w:eastAsia="仿宋_GB2312" w:cs="仿宋_GB2312"/>
          <w:sz w:val="32"/>
          <w:szCs w:val="32"/>
          <w:lang w:bidi="ar-SA"/>
        </w:rPr>
        <w:t>.卫生健康支出（类）公共卫生（款）其他公共卫生支出（项）2100499：指反映除上述项目以外的其他用于公共卫生方面的支出</w:t>
      </w:r>
      <w:r>
        <w:rPr>
          <w:rFonts w:hint="eastAsia" w:ascii="仿宋_GB2312" w:eastAsia="仿宋_GB2312" w:cs="仿宋_GB2312"/>
          <w:sz w:val="32"/>
          <w:szCs w:val="32"/>
          <w:lang w:eastAsia="zh-CN" w:bidi="ar-SA"/>
        </w:rPr>
        <w:t>。</w:t>
      </w:r>
    </w:p>
    <w:p>
      <w:pPr>
        <w:ind w:firstLine="640" w:firstLineChars="200"/>
        <w:rPr>
          <w:rFonts w:hint="eastAsia" w:ascii="仿宋_GB2312" w:eastAsia="仿宋_GB2312" w:cs="仿宋_GB2312"/>
          <w:sz w:val="32"/>
          <w:szCs w:val="32"/>
          <w:lang w:bidi="ar-SA"/>
        </w:rPr>
      </w:pPr>
      <w:r>
        <w:rPr>
          <w:rFonts w:hint="eastAsia" w:ascii="仿宋_GB2312" w:eastAsia="仿宋_GB2312" w:cs="仿宋_GB2312"/>
          <w:sz w:val="32"/>
          <w:szCs w:val="32"/>
          <w:lang w:val="en-US" w:eastAsia="zh-CN" w:bidi="ar-SA"/>
        </w:rPr>
        <w:t>7</w:t>
      </w:r>
      <w:r>
        <w:rPr>
          <w:rFonts w:hint="eastAsia" w:ascii="仿宋_GB2312" w:eastAsia="仿宋_GB2312" w:cs="仿宋_GB2312"/>
          <w:sz w:val="32"/>
          <w:szCs w:val="32"/>
          <w:lang w:bidi="ar-SA"/>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ind w:firstLine="640" w:firstLineChars="200"/>
        <w:rPr>
          <w:rFonts w:hint="eastAsia"/>
        </w:rPr>
      </w:pPr>
      <w:r>
        <w:rPr>
          <w:rFonts w:hint="eastAsia" w:ascii="仿宋_GB2312" w:eastAsia="仿宋_GB2312" w:cs="仿宋_GB2312"/>
          <w:sz w:val="32"/>
          <w:szCs w:val="32"/>
          <w:lang w:val="en-US" w:eastAsia="zh-CN" w:bidi="ar-SA"/>
        </w:rPr>
        <w:t>8</w:t>
      </w:r>
      <w:r>
        <w:rPr>
          <w:rFonts w:hint="eastAsia" w:ascii="仿宋_GB2312" w:eastAsia="仿宋_GB2312" w:cs="仿宋_GB2312"/>
          <w:sz w:val="32"/>
          <w:szCs w:val="32"/>
          <w:lang w:bidi="ar-SA"/>
        </w:rPr>
        <w:t>.住房保障支出（类）住房改革支出（款）住房公积金（项）2210201：指反映行政事业单位按人力资源和社会保障部、财政部规定的基本工资和津贴补贴以及规定比例为职工缴纳的住房公积金。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pStyle w:val="29"/>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31"/>
          <w:rFonts w:ascii="黑体" w:hAnsi="黑体" w:eastAsia="黑体"/>
          <w:b w:val="0"/>
          <w:color w:val="auto"/>
          <w:highlight w:val="none"/>
        </w:rPr>
      </w:pPr>
      <w:bookmarkStart w:id="81" w:name="_Toc15377226"/>
      <w:r>
        <w:rPr>
          <w:rFonts w:ascii="宋体"/>
          <w:b/>
          <w:color w:val="auto"/>
          <w:sz w:val="44"/>
          <w:szCs w:val="44"/>
          <w:highlight w:val="none"/>
        </w:rPr>
        <w:br w:type="page"/>
      </w:r>
      <w:bookmarkStart w:id="82" w:name="_Toc25521"/>
      <w:bookmarkStart w:id="83" w:name="_Toc15396614"/>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四部分 附件</w:t>
      </w:r>
      <w:bookmarkEnd w:id="82"/>
      <w:bookmarkEnd w:id="83"/>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bookmarkStart w:id="84" w:name="_Toc9614"/>
      <w:bookmarkStart w:id="85"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84"/>
    </w:p>
    <w:tbl>
      <w:tblPr>
        <w:tblStyle w:val="18"/>
        <w:tblW w:w="79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92"/>
        <w:gridCol w:w="109"/>
        <w:gridCol w:w="30"/>
        <w:gridCol w:w="30"/>
        <w:gridCol w:w="15"/>
        <w:gridCol w:w="690"/>
        <w:gridCol w:w="285"/>
        <w:gridCol w:w="548"/>
        <w:gridCol w:w="1071"/>
        <w:gridCol w:w="304"/>
        <w:gridCol w:w="743"/>
        <w:gridCol w:w="670"/>
        <w:gridCol w:w="662"/>
        <w:gridCol w:w="142"/>
        <w:gridCol w:w="250"/>
        <w:gridCol w:w="65"/>
        <w:gridCol w:w="15"/>
        <w:gridCol w:w="312"/>
        <w:gridCol w:w="78"/>
        <w:gridCol w:w="45"/>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2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7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在项目实施过程中，严格执行相关政策，保障工资及时发放、足额发放，财政按照人员情况年初下达预算指标，无结余。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57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242.13</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247.07</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247.07</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242.13</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247.07</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247.07</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57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5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41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按照财政下达的指标，依据相关政策，工资及时、足额发放，无结余资金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5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41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5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41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严格执行相关政策，保障其他人员支出足额发放，预算编制科学合理，减少结余资金</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依据相关政策，保障人员支出足额发放，无结余资金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在项目实施过程中，严格执行相关政策，保障其他人员支出足额发放，财政按照人员情况年初下达预算指标，无结余。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5.68</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5.68</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数量指标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足额保障率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kern w:val="2"/>
                <w:sz w:val="16"/>
                <w:szCs w:val="16"/>
                <w:u w:val="none"/>
                <w:lang w:val="en-US" w:eastAsia="zh-CN" w:bidi="ar-SA"/>
              </w:rPr>
            </w:pPr>
            <w:r>
              <w:rPr>
                <w:rFonts w:hint="eastAsia" w:ascii="微软雅黑" w:hAnsi="微软雅黑" w:eastAsia="微软雅黑" w:cs="微软雅黑"/>
                <w:i/>
                <w:color w:val="000000"/>
                <w:kern w:val="0"/>
                <w:sz w:val="16"/>
                <w:szCs w:val="16"/>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按照财政下达的指标，依据相关政策，保障人员支出足额发放，无结余资金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在项目实施过程中，严格执行相关政策，保障离退休费及时发放、足额发放，财政按照人员情况年初下达预算指标，无结余。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485"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按照财政下达的指标，依据相关政策，离退休费及时、足额发放，无结余资金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5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485"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5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485"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72.97%</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在项目实施过程中，严格执行相关政策，保障工资及时发放、足额发放，预算编制科学合理，无结余。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343.83</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381.13</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381.13</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343.83</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381.13</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381.13</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按照财政下达的指标，依据相关政策，离退休费及时、足额发放，无结余资金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51080022T000004936551-日常采血成本支出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提供安全有效的血液、保障全市医疗机构临床用血</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供给医疗机构临床用血共计88133.8U，其中红细胞55084U，血浆2487.8U,冷沉淀5402U。有效保障了临床血液供应。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围绕省卫健委下达的无偿献血核心指标，开展宣传招募，持续改进完善质量管理体系，提高血液检测能力，持续改进提高服务能力和水平，保障血液供应有效。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由于政府采购新系统上线较晚以及疫情等原因，导致采购流程时间较长，影响资金支付进度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1,425.00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保障全市医疗机构临床用血</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34000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34921人次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保障安全有效的血液</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比上年略有增加</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保障全市医疗机构临床用血</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34000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34921人次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保障全市医疗机构临床用血</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提高献血者和医疗机构满意度</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99%</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我站按照国家政策法规规定，结合本单位工作实际，健全了财务管理制度和约束机制，依法、有效、合理地使用财政资金，完成了年初设定的绩效目标，实现了较高的工作效率和财政资金支出绩效，保障了项目工作有序开展，顺利完成了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1.项目的资金执行进度还有待加强。   2.资金方面由于财政统筹有一定的缺口，血站是不营利的，所有上缴的非税收入都是采血成本，而血液制品价格还是依据2006年省物价局文件的定价标准，为了提升血站的各项指标必须要加大相关的投入。   3.全年采血量完成省下达核心指标12.6吨的90.7%，虽未完成省上下达的核心指标，但有效保障了医疗机构临床用血。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1、加强与相关科室的联系，保证资金支付进度。  2、加强无偿献血宣传，尽力完成下达的核心指标，但不能单纯的用省上下达的采血量这个核心指标来对血站进行考核，保障人民身体健康提供安全有效血液，保证医疗机构临床用血需求，实现供需平衡才是我站的职责职能。  3、针对血站的性质和职能，不能将血站的日常采血成本支出项目与其他的项目一概而论，不能与经济效益挂勾，所有的经济投入都只是采血成本的支出，而为了更好的为人民提供安全有效的血液，财政投入和政府支持将是对无偿献血事业科学发展的最大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5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4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51080022T000004936720-乡村振兴工作经费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5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0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有效巩固脱贫攻坚成果，衔接乡村振兴工作。</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有效防止致贫返贫，巩固脱贫攻坚成果，扎实推动集体经济发展，带动产业兴旺。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4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围绕“建强村党组织，推进强村富民，提升治理水平，为民办事服务”四项职责，完善管理制度，坚持真帮实扶，推动产业提升，保障帮扶村稳定增收。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5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5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乡村振兴</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乡村振兴</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84%</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受疫情影响，特色产品宣传渠道减少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提高满意度</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90%</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坚持以法规政策为导向，创新发展为动力，结合单位与村情实际，合理利用财政资金，以良好的工作态度保证项目顺利推进，高效完成年初目标。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1.资金存在一定缺口，项目推进存在一定困难。 2.受疫情影响，特色产品宣传渠道减少,村特色产业知名度打造进度受到影响。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1.希望加大乡村振兴资金投入    2.拓宽宣传渠道，打造特色产业。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51080022T000005698080-传染病防控中央补助资金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提供安全有效的血液 ，保障全市医疗机构临床用血</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在项目实施过程中，建立健全了质量管理体系，完善了血液检测流程和实验室管理制度，确保血液检测质量安全，保障了全市医疗机构临床安全用血。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数量指标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足额保障率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kern w:val="2"/>
                <w:sz w:val="16"/>
                <w:szCs w:val="16"/>
                <w:u w:val="none"/>
                <w:lang w:val="en-US" w:eastAsia="zh-CN" w:bidi="ar-SA"/>
              </w:rPr>
            </w:pPr>
            <w:r>
              <w:rPr>
                <w:rFonts w:hint="eastAsia" w:ascii="微软雅黑" w:hAnsi="微软雅黑" w:eastAsia="微软雅黑" w:cs="微软雅黑"/>
                <w:i/>
                <w:color w:val="000000"/>
                <w:kern w:val="0"/>
                <w:sz w:val="16"/>
                <w:szCs w:val="16"/>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sz w:val="18"/>
                <w:szCs w:val="18"/>
                <w:u w:val="none"/>
                <w:lang w:val="en-US" w:eastAsia="zh-CN"/>
              </w:rPr>
              <w:t>90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51080022T000005698251-办公设置购置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按照相关政策购置办公设备，保障单位日常运转</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按照相关政策购置了办公设备，保障了单位日常运转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在项目实施过程中，按照相关政策购置办公设备，保障单位日常运转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0.19</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数量指标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足额保障率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kern w:val="2"/>
                <w:sz w:val="16"/>
                <w:szCs w:val="16"/>
                <w:u w:val="none"/>
                <w:lang w:val="en-US" w:eastAsia="zh-CN" w:bidi="ar-SA"/>
              </w:rPr>
            </w:pPr>
            <w:r>
              <w:rPr>
                <w:rFonts w:hint="eastAsia" w:ascii="微软雅黑" w:hAnsi="微软雅黑" w:eastAsia="微软雅黑" w:cs="微软雅黑"/>
                <w:i/>
                <w:color w:val="000000"/>
                <w:kern w:val="0"/>
                <w:sz w:val="16"/>
                <w:szCs w:val="16"/>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sz w:val="18"/>
                <w:szCs w:val="18"/>
                <w:u w:val="none"/>
                <w:lang w:val="en-US" w:eastAsia="zh-CN"/>
              </w:rPr>
              <w:t>90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按照相关政策购置了办公设备，保障了单位日常运转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51080022T000006688445-重大传染病防控补助资金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提供安全有效的血液 ，保障全市医疗机构临床用血</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在项目实施过程中，建立健全了质量管理体系，完善了血液检测流程和实验室管理制度，确保血液检测质量安全，保障了全市医疗机构临床安全用血。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81.01</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81.01</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81.01</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81.01</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数量指标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足额保障率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kern w:val="2"/>
                <w:sz w:val="16"/>
                <w:szCs w:val="16"/>
                <w:u w:val="none"/>
                <w:lang w:val="en-US" w:eastAsia="zh-CN" w:bidi="ar-SA"/>
              </w:rPr>
            </w:pPr>
            <w:r>
              <w:rPr>
                <w:rFonts w:hint="eastAsia" w:ascii="微软雅黑" w:hAnsi="微软雅黑" w:eastAsia="微软雅黑" w:cs="微软雅黑"/>
                <w:i/>
                <w:color w:val="000000"/>
                <w:kern w:val="0"/>
                <w:sz w:val="16"/>
                <w:szCs w:val="16"/>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sz w:val="18"/>
                <w:szCs w:val="18"/>
                <w:u w:val="none"/>
                <w:lang w:val="en-US" w:eastAsia="zh-CN"/>
              </w:rPr>
              <w:t>90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56.40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54.73</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54.73</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56.40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54.73</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54.73</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72.97%</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9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70"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4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7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严格执行相关政策，保障基础绩效及生活补助及时发放、足额发放，预算编制科学合理，减少结余资金</w:t>
            </w:r>
          </w:p>
        </w:tc>
        <w:tc>
          <w:tcPr>
            <w:tcW w:w="30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依据相关政策，基础绩效及生活补助及时、足额发放，无结余资金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72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在项目实施过程中，严格执行相关政策，保障基础绩效及生活补助及时发放、足额发放，预算编制科学合理，减少结余资金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4.62</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4.62</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4.62</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4.62</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数量指标</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足额保障率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color w:val="000000"/>
                <w:kern w:val="2"/>
                <w:sz w:val="16"/>
                <w:szCs w:val="16"/>
                <w:u w:val="none"/>
                <w:lang w:val="en-US" w:eastAsia="zh-CN" w:bidi="ar-SA"/>
              </w:rPr>
            </w:pPr>
            <w:r>
              <w:rPr>
                <w:rFonts w:hint="eastAsia" w:ascii="微软雅黑" w:hAnsi="微软雅黑" w:eastAsia="微软雅黑" w:cs="微软雅黑"/>
                <w:i/>
                <w:color w:val="000000"/>
                <w:kern w:val="0"/>
                <w:sz w:val="16"/>
                <w:szCs w:val="16"/>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sz w:val="18"/>
                <w:szCs w:val="18"/>
                <w:u w:val="none"/>
                <w:lang w:val="en-US" w:eastAsia="zh-CN"/>
              </w:rPr>
              <w:t>90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54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6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42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依据相关政策，基础绩效及生活补助及时、足额发放，无结余资金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4" w:hRule="atLeast"/>
        </w:trPr>
        <w:tc>
          <w:tcPr>
            <w:tcW w:w="5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42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 xml:space="preserve">       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0" w:hRule="atLeast"/>
        </w:trPr>
        <w:tc>
          <w:tcPr>
            <w:tcW w:w="5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42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798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line="600" w:lineRule="exact"/>
        <w:jc w:val="left"/>
        <w:outlineLvl w:val="0"/>
        <w:rPr>
          <w:rFonts w:hint="eastAsia" w:ascii="仿宋_GB2312" w:hAnsi="Calibri" w:eastAsia="仿宋_GB2312" w:cs="仿宋"/>
          <w:color w:val="auto"/>
          <w:kern w:val="0"/>
          <w:sz w:val="32"/>
          <w:szCs w:val="32"/>
          <w:highlight w:val="none"/>
          <w:lang w:val="en-US" w:eastAsia="zh-CN" w:bidi="ar-SA"/>
        </w:rPr>
      </w:pPr>
    </w:p>
    <w:p>
      <w:pPr>
        <w:pStyle w:val="22"/>
        <w:rPr>
          <w:rFonts w:hint="eastAsia"/>
          <w:lang w:val="en-US" w:eastAsia="zh-CN"/>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86" w:name="_Toc18295"/>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五部分 附表</w:t>
      </w:r>
      <w:bookmarkEnd w:id="81"/>
      <w:bookmarkEnd w:id="85"/>
      <w:bookmarkEnd w:id="86"/>
      <w:bookmarkStart w:id="87" w:name="_Toc15396619"/>
    </w:p>
    <w:p>
      <w:pPr>
        <w:pStyle w:val="4"/>
        <w:rPr>
          <w:rFonts w:ascii="仿宋" w:hAnsi="仿宋" w:eastAsia="仿宋"/>
          <w:color w:val="auto"/>
          <w:highlight w:val="none"/>
        </w:rPr>
      </w:pPr>
      <w:bookmarkStart w:id="88" w:name="_Toc15757"/>
      <w:r>
        <w:rPr>
          <w:rFonts w:hint="eastAsia" w:ascii="仿宋" w:hAnsi="仿宋" w:eastAsia="仿宋"/>
          <w:b w:val="0"/>
          <w:color w:val="auto"/>
          <w:highlight w:val="none"/>
        </w:rPr>
        <w:t>一、收</w:t>
      </w:r>
      <w:r>
        <w:rPr>
          <w:rStyle w:val="32"/>
          <w:rFonts w:hint="eastAsia" w:ascii="仿宋" w:hAnsi="仿宋" w:eastAsia="仿宋"/>
          <w:b w:val="0"/>
          <w:bCs w:val="0"/>
          <w:color w:val="auto"/>
          <w:highlight w:val="none"/>
        </w:rPr>
        <w:t>入支出决算总表</w:t>
      </w:r>
      <w:bookmarkEnd w:id="87"/>
      <w:bookmarkEnd w:id="88"/>
    </w:p>
    <w:p>
      <w:pPr>
        <w:pStyle w:val="4"/>
        <w:rPr>
          <w:rFonts w:ascii="仿宋" w:hAnsi="仿宋" w:eastAsia="仿宋"/>
          <w:color w:val="auto"/>
          <w:highlight w:val="none"/>
        </w:rPr>
      </w:pPr>
      <w:bookmarkStart w:id="89" w:name="_Toc15396620"/>
      <w:bookmarkStart w:id="90" w:name="_Toc17208"/>
      <w:r>
        <w:rPr>
          <w:rFonts w:hint="eastAsia" w:ascii="仿宋" w:hAnsi="仿宋" w:eastAsia="仿宋"/>
          <w:b w:val="0"/>
          <w:color w:val="auto"/>
          <w:highlight w:val="none"/>
        </w:rPr>
        <w:t>二、收</w:t>
      </w:r>
      <w:r>
        <w:rPr>
          <w:rStyle w:val="32"/>
          <w:rFonts w:hint="eastAsia" w:ascii="仿宋" w:hAnsi="仿宋" w:eastAsia="仿宋"/>
          <w:b w:val="0"/>
          <w:bCs w:val="0"/>
          <w:color w:val="auto"/>
          <w:highlight w:val="none"/>
        </w:rPr>
        <w:t>入决算表</w:t>
      </w:r>
      <w:bookmarkEnd w:id="89"/>
      <w:bookmarkEnd w:id="90"/>
    </w:p>
    <w:p>
      <w:pPr>
        <w:pStyle w:val="4"/>
        <w:rPr>
          <w:rFonts w:ascii="仿宋" w:hAnsi="仿宋" w:eastAsia="仿宋"/>
          <w:color w:val="auto"/>
          <w:highlight w:val="none"/>
        </w:rPr>
      </w:pPr>
      <w:bookmarkStart w:id="91" w:name="_Toc15396621"/>
      <w:bookmarkStart w:id="92" w:name="_Toc16870"/>
      <w:r>
        <w:rPr>
          <w:rStyle w:val="3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2"/>
          <w:rFonts w:hint="eastAsia" w:ascii="仿宋" w:hAnsi="仿宋" w:eastAsia="仿宋"/>
          <w:b w:val="0"/>
          <w:bCs w:val="0"/>
          <w:color w:val="auto"/>
          <w:highlight w:val="none"/>
        </w:rPr>
        <w:t>出决算表</w:t>
      </w:r>
      <w:bookmarkEnd w:id="91"/>
      <w:bookmarkEnd w:id="92"/>
    </w:p>
    <w:p>
      <w:pPr>
        <w:pStyle w:val="4"/>
        <w:rPr>
          <w:rFonts w:ascii="仿宋" w:hAnsi="仿宋" w:eastAsia="仿宋"/>
          <w:b w:val="0"/>
          <w:color w:val="auto"/>
          <w:highlight w:val="none"/>
        </w:rPr>
      </w:pPr>
      <w:bookmarkStart w:id="93" w:name="_Toc128"/>
      <w:bookmarkStart w:id="94" w:name="_Toc15396622"/>
      <w:r>
        <w:rPr>
          <w:rStyle w:val="3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政拨款收入支出决算总表</w:t>
      </w:r>
      <w:bookmarkEnd w:id="93"/>
      <w:bookmarkEnd w:id="94"/>
    </w:p>
    <w:p>
      <w:pPr>
        <w:pStyle w:val="4"/>
        <w:rPr>
          <w:rStyle w:val="32"/>
          <w:rFonts w:ascii="仿宋" w:hAnsi="仿宋" w:eastAsia="仿宋"/>
          <w:b w:val="0"/>
          <w:bCs w:val="0"/>
          <w:color w:val="auto"/>
          <w:highlight w:val="none"/>
        </w:rPr>
      </w:pPr>
      <w:bookmarkStart w:id="95" w:name="_Toc6070"/>
      <w:bookmarkStart w:id="96" w:name="_Toc15396623"/>
      <w:r>
        <w:rPr>
          <w:rStyle w:val="3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政拨款支出决算明细表</w:t>
      </w:r>
      <w:bookmarkEnd w:id="95"/>
      <w:bookmarkEnd w:id="96"/>
      <w:bookmarkStart w:id="97" w:name="_Toc15396624"/>
    </w:p>
    <w:p>
      <w:pPr>
        <w:pStyle w:val="4"/>
        <w:rPr>
          <w:rFonts w:ascii="仿宋" w:hAnsi="仿宋" w:eastAsia="仿宋"/>
          <w:color w:val="auto"/>
          <w:highlight w:val="none"/>
        </w:rPr>
      </w:pPr>
      <w:bookmarkStart w:id="98" w:name="_Toc4151"/>
      <w:r>
        <w:rPr>
          <w:rStyle w:val="3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般公共预算财政拨款支出决算表</w:t>
      </w:r>
      <w:bookmarkEnd w:id="97"/>
      <w:bookmarkEnd w:id="98"/>
    </w:p>
    <w:p>
      <w:pPr>
        <w:pStyle w:val="4"/>
        <w:rPr>
          <w:rFonts w:ascii="仿宋" w:hAnsi="仿宋" w:eastAsia="仿宋"/>
          <w:color w:val="auto"/>
          <w:highlight w:val="none"/>
        </w:rPr>
      </w:pPr>
      <w:bookmarkStart w:id="99" w:name="_Toc1719"/>
      <w:bookmarkStart w:id="100" w:name="_Toc15396625"/>
      <w:r>
        <w:rPr>
          <w:rStyle w:val="3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般公共预算财政拨款支出决算明细表</w:t>
      </w:r>
      <w:bookmarkEnd w:id="99"/>
      <w:bookmarkEnd w:id="100"/>
    </w:p>
    <w:p>
      <w:pPr>
        <w:pStyle w:val="4"/>
        <w:rPr>
          <w:rFonts w:ascii="仿宋" w:hAnsi="仿宋" w:eastAsia="仿宋"/>
          <w:color w:val="auto"/>
          <w:highlight w:val="none"/>
        </w:rPr>
      </w:pPr>
      <w:bookmarkStart w:id="101" w:name="_Toc15396626"/>
      <w:bookmarkStart w:id="102" w:name="_Toc29658"/>
      <w:r>
        <w:rPr>
          <w:rStyle w:val="3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般公共预算财政拨款基本支出决算表</w:t>
      </w:r>
      <w:bookmarkEnd w:id="101"/>
      <w:bookmarkEnd w:id="102"/>
    </w:p>
    <w:p>
      <w:pPr>
        <w:pStyle w:val="4"/>
        <w:rPr>
          <w:rFonts w:ascii="仿宋" w:hAnsi="仿宋" w:eastAsia="仿宋"/>
          <w:color w:val="auto"/>
          <w:highlight w:val="none"/>
        </w:rPr>
      </w:pPr>
      <w:bookmarkStart w:id="103" w:name="_Toc10361"/>
      <w:bookmarkStart w:id="104" w:name="_Toc15396627"/>
      <w:r>
        <w:rPr>
          <w:rStyle w:val="3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般公共预算财政拨款项目支出决算表</w:t>
      </w:r>
      <w:bookmarkEnd w:id="103"/>
      <w:bookmarkEnd w:id="104"/>
    </w:p>
    <w:p>
      <w:pPr>
        <w:pStyle w:val="4"/>
        <w:rPr>
          <w:rFonts w:ascii="仿宋" w:hAnsi="仿宋" w:eastAsia="仿宋"/>
          <w:color w:val="auto"/>
          <w:highlight w:val="none"/>
        </w:rPr>
      </w:pPr>
      <w:bookmarkStart w:id="105" w:name="_Toc15396628"/>
      <w:bookmarkStart w:id="106" w:name="_Toc3253"/>
      <w:r>
        <w:rPr>
          <w:rStyle w:val="32"/>
          <w:rFonts w:hint="eastAsia" w:ascii="仿宋" w:hAnsi="仿宋" w:eastAsia="仿宋"/>
          <w:b w:val="0"/>
          <w:bCs w:val="0"/>
          <w:color w:val="auto"/>
          <w:highlight w:val="none"/>
        </w:rPr>
        <w:t>十、</w:t>
      </w:r>
      <w:bookmarkEnd w:id="105"/>
      <w:r>
        <w:rPr>
          <w:rFonts w:hint="eastAsia" w:ascii="仿宋" w:hAnsi="仿宋" w:eastAsia="仿宋"/>
          <w:b w:val="0"/>
          <w:color w:val="auto"/>
          <w:highlight w:val="none"/>
        </w:rPr>
        <w:t>政</w:t>
      </w:r>
      <w:r>
        <w:rPr>
          <w:rStyle w:val="32"/>
          <w:rFonts w:hint="eastAsia" w:ascii="仿宋" w:hAnsi="仿宋" w:eastAsia="仿宋"/>
          <w:b w:val="0"/>
          <w:bCs w:val="0"/>
          <w:color w:val="auto"/>
          <w:highlight w:val="none"/>
        </w:rPr>
        <w:t>府性基金预算财政拨款收入支出决算表</w:t>
      </w:r>
      <w:bookmarkEnd w:id="106"/>
    </w:p>
    <w:p>
      <w:pPr>
        <w:pStyle w:val="4"/>
        <w:rPr>
          <w:rFonts w:ascii="仿宋" w:hAnsi="仿宋" w:eastAsia="仿宋"/>
          <w:color w:val="auto"/>
          <w:highlight w:val="none"/>
        </w:rPr>
      </w:pPr>
      <w:bookmarkStart w:id="107" w:name="_Toc15396629"/>
      <w:bookmarkStart w:id="108" w:name="_Toc14121"/>
      <w:r>
        <w:rPr>
          <w:rStyle w:val="32"/>
          <w:rFonts w:hint="eastAsia" w:ascii="仿宋" w:hAnsi="仿宋" w:eastAsia="仿宋"/>
          <w:b w:val="0"/>
          <w:bCs w:val="0"/>
          <w:color w:val="auto"/>
          <w:highlight w:val="none"/>
        </w:rPr>
        <w:t>十一、</w:t>
      </w:r>
      <w:bookmarkEnd w:id="107"/>
      <w:r>
        <w:rPr>
          <w:rFonts w:hint="eastAsia" w:ascii="仿宋" w:hAnsi="仿宋" w:eastAsia="仿宋"/>
          <w:b w:val="0"/>
          <w:color w:val="auto"/>
          <w:highlight w:val="none"/>
        </w:rPr>
        <w:t>国</w:t>
      </w:r>
      <w:r>
        <w:rPr>
          <w:rStyle w:val="32"/>
          <w:rFonts w:hint="eastAsia" w:ascii="仿宋" w:hAnsi="仿宋" w:eastAsia="仿宋"/>
          <w:b w:val="0"/>
          <w:bCs w:val="0"/>
          <w:color w:val="auto"/>
          <w:highlight w:val="none"/>
        </w:rPr>
        <w:t>有资本经营预算</w:t>
      </w:r>
      <w:r>
        <w:rPr>
          <w:rStyle w:val="32"/>
          <w:rFonts w:hint="eastAsia" w:ascii="仿宋" w:hAnsi="仿宋" w:eastAsia="仿宋"/>
          <w:b w:val="0"/>
          <w:bCs w:val="0"/>
          <w:color w:val="auto"/>
          <w:highlight w:val="none"/>
          <w:lang w:eastAsia="zh-CN"/>
        </w:rPr>
        <w:t>财政拨款收入</w:t>
      </w:r>
      <w:r>
        <w:rPr>
          <w:rStyle w:val="32"/>
          <w:rFonts w:hint="eastAsia" w:ascii="仿宋" w:hAnsi="仿宋" w:eastAsia="仿宋"/>
          <w:b w:val="0"/>
          <w:bCs w:val="0"/>
          <w:color w:val="auto"/>
          <w:highlight w:val="none"/>
        </w:rPr>
        <w:t>支出决算表</w:t>
      </w:r>
      <w:bookmarkEnd w:id="108"/>
    </w:p>
    <w:p>
      <w:pPr>
        <w:pStyle w:val="4"/>
        <w:rPr>
          <w:rFonts w:ascii="仿宋" w:hAnsi="仿宋" w:eastAsia="仿宋"/>
          <w:color w:val="auto"/>
          <w:highlight w:val="none"/>
        </w:rPr>
      </w:pPr>
      <w:bookmarkStart w:id="109" w:name="_Toc15396630"/>
      <w:bookmarkStart w:id="110" w:name="_Toc23050"/>
      <w:r>
        <w:rPr>
          <w:rStyle w:val="32"/>
          <w:rFonts w:hint="eastAsia" w:ascii="仿宋" w:hAnsi="仿宋" w:eastAsia="仿宋"/>
          <w:b w:val="0"/>
          <w:bCs w:val="0"/>
          <w:color w:val="auto"/>
          <w:highlight w:val="none"/>
        </w:rPr>
        <w:t>十二、</w:t>
      </w:r>
      <w:bookmarkEnd w:id="109"/>
      <w:r>
        <w:rPr>
          <w:rStyle w:val="32"/>
          <w:rFonts w:hint="eastAsia" w:ascii="仿宋" w:hAnsi="仿宋" w:eastAsia="仿宋"/>
          <w:b w:val="0"/>
          <w:bCs w:val="0"/>
          <w:color w:val="auto"/>
          <w:highlight w:val="none"/>
          <w:lang w:eastAsia="zh-CN"/>
        </w:rPr>
        <w:t>国有资本经营预算财政拨款支出决算表</w:t>
      </w:r>
      <w:bookmarkEnd w:id="110"/>
    </w:p>
    <w:p>
      <w:pPr>
        <w:pStyle w:val="4"/>
        <w:rPr>
          <w:rFonts w:hint="eastAsia" w:eastAsia="仿宋"/>
          <w:color w:val="auto"/>
          <w:highlight w:val="none"/>
          <w:lang w:eastAsia="zh-CN"/>
        </w:rPr>
      </w:pPr>
      <w:bookmarkStart w:id="111" w:name="_Toc15396631"/>
      <w:bookmarkStart w:id="112" w:name="_Toc21406"/>
      <w:r>
        <w:rPr>
          <w:rStyle w:val="32"/>
          <w:rFonts w:hint="eastAsia" w:ascii="仿宋" w:hAnsi="仿宋" w:eastAsia="仿宋"/>
          <w:b w:val="0"/>
          <w:bCs w:val="0"/>
          <w:color w:val="auto"/>
          <w:highlight w:val="none"/>
        </w:rPr>
        <w:t>十三、</w:t>
      </w:r>
      <w:bookmarkEnd w:id="111"/>
      <w:r>
        <w:rPr>
          <w:rStyle w:val="32"/>
          <w:rFonts w:hint="eastAsia" w:ascii="仿宋" w:hAnsi="仿宋" w:eastAsia="仿宋"/>
          <w:b w:val="0"/>
          <w:bCs w:val="0"/>
          <w:color w:val="auto"/>
          <w:highlight w:val="none"/>
          <w:lang w:eastAsia="zh-CN"/>
        </w:rPr>
        <w:t>财政拨款“三公”经费支出决算表</w:t>
      </w:r>
      <w:bookmarkEnd w:id="112"/>
    </w:p>
    <w:sectPr>
      <w:footerReference r:id="rId12" w:type="first"/>
      <w:footerReference r:id="rId11"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snapToGrid w:val="0"/>
                      <w:rPr>
                        <w:rFonts w:hint="eastAsia" w:eastAsia="宋体"/>
                        <w:sz w:val="18"/>
                        <w:lang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abstractNum w:abstractNumId="4">
    <w:nsid w:val="651249ED"/>
    <w:multiLevelType w:val="singleLevel"/>
    <w:tmpl w:val="651249ED"/>
    <w:lvl w:ilvl="0" w:tentative="0">
      <w:start w:val="3"/>
      <w:numFmt w:val="decimal"/>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2B20FF"/>
    <w:rsid w:val="02615338"/>
    <w:rsid w:val="049C185B"/>
    <w:rsid w:val="053A62B5"/>
    <w:rsid w:val="06ED4932"/>
    <w:rsid w:val="088B70EE"/>
    <w:rsid w:val="08B52225"/>
    <w:rsid w:val="09CB6A81"/>
    <w:rsid w:val="0A2032A3"/>
    <w:rsid w:val="0A2C39C3"/>
    <w:rsid w:val="0B57767B"/>
    <w:rsid w:val="0B8A37D8"/>
    <w:rsid w:val="0C6D3E1F"/>
    <w:rsid w:val="0C851169"/>
    <w:rsid w:val="10C055FF"/>
    <w:rsid w:val="11114716"/>
    <w:rsid w:val="117B6FDE"/>
    <w:rsid w:val="118107EC"/>
    <w:rsid w:val="11DD6519"/>
    <w:rsid w:val="13AE267F"/>
    <w:rsid w:val="16BB723D"/>
    <w:rsid w:val="18015F3F"/>
    <w:rsid w:val="18826ACF"/>
    <w:rsid w:val="193A152D"/>
    <w:rsid w:val="1A8D259A"/>
    <w:rsid w:val="1AD51A6A"/>
    <w:rsid w:val="1BE8440E"/>
    <w:rsid w:val="1CCE26B8"/>
    <w:rsid w:val="1D155CEE"/>
    <w:rsid w:val="1E4E4538"/>
    <w:rsid w:val="1E8A2D57"/>
    <w:rsid w:val="1FFD6C7F"/>
    <w:rsid w:val="201D18B7"/>
    <w:rsid w:val="20F57F95"/>
    <w:rsid w:val="23691C39"/>
    <w:rsid w:val="240371BF"/>
    <w:rsid w:val="25711CC6"/>
    <w:rsid w:val="25C741E6"/>
    <w:rsid w:val="26180124"/>
    <w:rsid w:val="26584179"/>
    <w:rsid w:val="27842671"/>
    <w:rsid w:val="27D03808"/>
    <w:rsid w:val="28CD7947"/>
    <w:rsid w:val="290731DA"/>
    <w:rsid w:val="29FD04D3"/>
    <w:rsid w:val="2ABE7A3E"/>
    <w:rsid w:val="2BFE302B"/>
    <w:rsid w:val="2C7D37B8"/>
    <w:rsid w:val="2CA234A8"/>
    <w:rsid w:val="2CB02571"/>
    <w:rsid w:val="2D0C6E55"/>
    <w:rsid w:val="2DD572F8"/>
    <w:rsid w:val="2EFA178C"/>
    <w:rsid w:val="2F081A5A"/>
    <w:rsid w:val="2F913731"/>
    <w:rsid w:val="30B46D73"/>
    <w:rsid w:val="30E4590F"/>
    <w:rsid w:val="319F7F4E"/>
    <w:rsid w:val="329234F1"/>
    <w:rsid w:val="33EC689B"/>
    <w:rsid w:val="345665ED"/>
    <w:rsid w:val="36A06A1C"/>
    <w:rsid w:val="370A7882"/>
    <w:rsid w:val="383D272C"/>
    <w:rsid w:val="38DC2537"/>
    <w:rsid w:val="39485671"/>
    <w:rsid w:val="39AE70AB"/>
    <w:rsid w:val="3A737DC7"/>
    <w:rsid w:val="3C0C0783"/>
    <w:rsid w:val="3CAF785A"/>
    <w:rsid w:val="3D877383"/>
    <w:rsid w:val="3DA768E2"/>
    <w:rsid w:val="3EE53B65"/>
    <w:rsid w:val="3F9F3A96"/>
    <w:rsid w:val="401A04F9"/>
    <w:rsid w:val="41085755"/>
    <w:rsid w:val="4171485D"/>
    <w:rsid w:val="41C74E9A"/>
    <w:rsid w:val="41F20619"/>
    <w:rsid w:val="433F3783"/>
    <w:rsid w:val="438576C5"/>
    <w:rsid w:val="46FE43D4"/>
    <w:rsid w:val="473B4383"/>
    <w:rsid w:val="48BF60AB"/>
    <w:rsid w:val="490E1F0B"/>
    <w:rsid w:val="493C27E9"/>
    <w:rsid w:val="496F39ED"/>
    <w:rsid w:val="49DB1DED"/>
    <w:rsid w:val="49FF41D3"/>
    <w:rsid w:val="4A017700"/>
    <w:rsid w:val="4A0F1A96"/>
    <w:rsid w:val="4A4A5BAC"/>
    <w:rsid w:val="4BE068DB"/>
    <w:rsid w:val="4BF6002B"/>
    <w:rsid w:val="4C2F75DD"/>
    <w:rsid w:val="4E1A4EAE"/>
    <w:rsid w:val="4ECE2238"/>
    <w:rsid w:val="50F3003F"/>
    <w:rsid w:val="51726743"/>
    <w:rsid w:val="51DB4B86"/>
    <w:rsid w:val="52E91706"/>
    <w:rsid w:val="53BC372E"/>
    <w:rsid w:val="55333C3E"/>
    <w:rsid w:val="55F861CC"/>
    <w:rsid w:val="58274CEC"/>
    <w:rsid w:val="5BE50BA7"/>
    <w:rsid w:val="5D935FCB"/>
    <w:rsid w:val="5F6750F6"/>
    <w:rsid w:val="5FF7D003"/>
    <w:rsid w:val="604D1707"/>
    <w:rsid w:val="61723BAF"/>
    <w:rsid w:val="61D5060F"/>
    <w:rsid w:val="61ED495B"/>
    <w:rsid w:val="62410803"/>
    <w:rsid w:val="624D31F7"/>
    <w:rsid w:val="64CA39A1"/>
    <w:rsid w:val="66E548D8"/>
    <w:rsid w:val="67CC24C1"/>
    <w:rsid w:val="69630ADE"/>
    <w:rsid w:val="6AA73D21"/>
    <w:rsid w:val="6BBFBC04"/>
    <w:rsid w:val="6BC24763"/>
    <w:rsid w:val="6BE4292B"/>
    <w:rsid w:val="6C4A05C8"/>
    <w:rsid w:val="6D3B1A89"/>
    <w:rsid w:val="6D602DE7"/>
    <w:rsid w:val="6DD71A8E"/>
    <w:rsid w:val="6E154E81"/>
    <w:rsid w:val="6FC34F4E"/>
    <w:rsid w:val="70877CB4"/>
    <w:rsid w:val="71BF4EC2"/>
    <w:rsid w:val="72734D90"/>
    <w:rsid w:val="73CF408F"/>
    <w:rsid w:val="7412278C"/>
    <w:rsid w:val="74624B96"/>
    <w:rsid w:val="74975907"/>
    <w:rsid w:val="7544443B"/>
    <w:rsid w:val="75C22546"/>
    <w:rsid w:val="76DF40C8"/>
    <w:rsid w:val="78547655"/>
    <w:rsid w:val="7859644F"/>
    <w:rsid w:val="78E5C6AD"/>
    <w:rsid w:val="7904082E"/>
    <w:rsid w:val="792A68C8"/>
    <w:rsid w:val="79E7B28D"/>
    <w:rsid w:val="7BE074DE"/>
    <w:rsid w:val="7F1861A1"/>
    <w:rsid w:val="7F9F20EE"/>
    <w:rsid w:val="7FFE9B46"/>
    <w:rsid w:val="7FFFEE7E"/>
    <w:rsid w:val="9E3A10E2"/>
    <w:rsid w:val="C7ED2700"/>
    <w:rsid w:val="DCEEC208"/>
    <w:rsid w:val="F2E1F9D4"/>
    <w:rsid w:val="F7880819"/>
    <w:rsid w:val="FF5DD9B2"/>
    <w:rsid w:val="FFC5482F"/>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8"/>
    <w:qFormat/>
    <w:uiPriority w:val="99"/>
    <w:pPr>
      <w:spacing w:beforeLines="30"/>
    </w:pPr>
    <w:rPr>
      <w:rFonts w:ascii="仿宋_GB2312" w:eastAsia="仿宋_GB2312"/>
      <w:kern w:val="0"/>
      <w:sz w:val="30"/>
    </w:rPr>
  </w:style>
  <w:style w:type="paragraph" w:styleId="6">
    <w:name w:val="toc 7"/>
    <w:basedOn w:val="1"/>
    <w:next w:val="1"/>
    <w:unhideWhenUsed/>
    <w:qFormat/>
    <w:uiPriority w:val="39"/>
    <w:pPr>
      <w:ind w:left="2520" w:leftChars="1200"/>
    </w:pPr>
  </w:style>
  <w:style w:type="paragraph" w:styleId="7">
    <w:name w:val="toc 5"/>
    <w:basedOn w:val="1"/>
    <w:next w:val="1"/>
    <w:unhideWhenUsed/>
    <w:qFormat/>
    <w:uiPriority w:val="39"/>
    <w:pPr>
      <w:ind w:left="1680" w:leftChars="800"/>
    </w:pPr>
  </w:style>
  <w:style w:type="paragraph" w:styleId="8">
    <w:name w:val="toc 3"/>
    <w:basedOn w:val="1"/>
    <w:next w:val="1"/>
    <w:unhideWhenUsed/>
    <w:qFormat/>
    <w:uiPriority w:val="39"/>
    <w:pPr>
      <w:ind w:left="840" w:leftChars="400"/>
    </w:pPr>
  </w:style>
  <w:style w:type="paragraph" w:styleId="9">
    <w:name w:val="toc 8"/>
    <w:basedOn w:val="1"/>
    <w:next w:val="1"/>
    <w:unhideWhenUsed/>
    <w:qFormat/>
    <w:uiPriority w:val="39"/>
    <w:pPr>
      <w:ind w:left="2940" w:leftChars="1400"/>
    </w:pPr>
  </w:style>
  <w:style w:type="paragraph" w:styleId="10">
    <w:name w:val="Balloon Text"/>
    <w:basedOn w:val="1"/>
    <w:link w:val="34"/>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style>
  <w:style w:type="paragraph" w:styleId="14">
    <w:name w:val="toc 4"/>
    <w:basedOn w:val="1"/>
    <w:next w:val="1"/>
    <w:unhideWhenUsed/>
    <w:qFormat/>
    <w:uiPriority w:val="39"/>
    <w:pPr>
      <w:ind w:left="1260" w:leftChars="600"/>
    </w:pPr>
  </w:style>
  <w:style w:type="paragraph" w:styleId="15">
    <w:name w:val="toc 6"/>
    <w:basedOn w:val="1"/>
    <w:next w:val="1"/>
    <w:unhideWhenUsed/>
    <w:qFormat/>
    <w:uiPriority w:val="39"/>
    <w:pPr>
      <w:ind w:left="2100" w:leftChars="1000"/>
    </w:p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样式 行距: 固定值 28.9 磅"/>
    <w:basedOn w:val="1"/>
    <w:qFormat/>
    <w:uiPriority w:val="0"/>
    <w:pPr>
      <w:spacing w:line="578" w:lineRule="exact"/>
    </w:pPr>
    <w:rPr>
      <w:rFonts w:cs="宋体"/>
      <w:szCs w:val="20"/>
      <w:lang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0">
    <w:name w:val="List Paragraph"/>
    <w:basedOn w:val="1"/>
    <w:qFormat/>
    <w:uiPriority w:val="34"/>
    <w:pPr>
      <w:ind w:firstLine="420" w:firstLineChars="200"/>
    </w:pPr>
  </w:style>
  <w:style w:type="character" w:customStyle="1" w:styleId="31">
    <w:name w:val="标题 1 Char"/>
    <w:basedOn w:val="19"/>
    <w:link w:val="3"/>
    <w:qFormat/>
    <w:uiPriority w:val="9"/>
    <w:rPr>
      <w:rFonts w:ascii="Times New Roman" w:hAnsi="Times New Roman"/>
      <w:b/>
      <w:bCs/>
      <w:kern w:val="44"/>
      <w:sz w:val="44"/>
      <w:szCs w:val="44"/>
    </w:rPr>
  </w:style>
  <w:style w:type="character" w:customStyle="1" w:styleId="32">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0"/>
    <w:semiHidden/>
    <w:qFormat/>
    <w:uiPriority w:val="99"/>
    <w:rPr>
      <w:rFonts w:ascii="Times New Roman" w:hAnsi="Times New Roman"/>
      <w:kern w:val="2"/>
      <w:sz w:val="18"/>
      <w:szCs w:val="18"/>
    </w:rPr>
  </w:style>
  <w:style w:type="character" w:customStyle="1" w:styleId="35">
    <w:name w:val="标题 3 Char"/>
    <w:basedOn w:val="19"/>
    <w:link w:val="5"/>
    <w:qFormat/>
    <w:uiPriority w:val="9"/>
    <w:rPr>
      <w:rFonts w:ascii="Times New Roman" w:hAnsi="Times New Roman"/>
      <w:b/>
      <w:bCs/>
      <w:kern w:val="2"/>
      <w:sz w:val="32"/>
      <w:szCs w:val="32"/>
    </w:rPr>
  </w:style>
  <w:style w:type="paragraph" w:customStyle="1" w:styleId="36">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7">
    <w:name w:val="15"/>
    <w:basedOn w:val="19"/>
    <w:qFormat/>
    <w:uiPriority w:val="0"/>
    <w:rPr>
      <w:rFonts w:hint="default" w:ascii="Calibri" w:hAnsi="Calibri" w:cs="Times New Roman"/>
      <w:b/>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鲁西西</cp:lastModifiedBy>
  <cp:lastPrinted>2023-07-31T10:35:00Z</cp:lastPrinted>
  <dcterms:modified xsi:type="dcterms:W3CDTF">2023-10-18T07:45:55Z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