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AB4" w:rsidRDefault="007E4AB4">
      <w:pPr>
        <w:spacing w:line="600" w:lineRule="exact"/>
        <w:jc w:val="left"/>
        <w:rPr>
          <w:rFonts w:ascii="方正小标宋简体" w:eastAsia="方正小标宋简体" w:hAnsi="宋体"/>
          <w:szCs w:val="21"/>
        </w:rPr>
      </w:pPr>
      <w:bookmarkStart w:id="0" w:name="_Toc15306267"/>
    </w:p>
    <w:p w:rsidR="007E4AB4" w:rsidRDefault="007E4AB4">
      <w:pPr>
        <w:spacing w:line="600" w:lineRule="exact"/>
        <w:jc w:val="center"/>
        <w:rPr>
          <w:rFonts w:ascii="方正小标宋简体" w:eastAsia="方正小标宋简体" w:hAnsi="宋体"/>
          <w:sz w:val="72"/>
          <w:szCs w:val="72"/>
        </w:rPr>
      </w:pPr>
    </w:p>
    <w:p w:rsidR="007E4AB4" w:rsidRDefault="007E4AB4">
      <w:pPr>
        <w:spacing w:line="600" w:lineRule="exact"/>
        <w:jc w:val="center"/>
        <w:rPr>
          <w:rFonts w:ascii="方正小标宋简体" w:eastAsia="方正小标宋简体" w:hAnsi="宋体"/>
          <w:sz w:val="72"/>
          <w:szCs w:val="72"/>
        </w:rPr>
      </w:pPr>
    </w:p>
    <w:p w:rsidR="007E4AB4" w:rsidRDefault="00244179">
      <w:pPr>
        <w:adjustRightInd w:val="0"/>
        <w:snapToGrid w:val="0"/>
        <w:spacing w:line="360" w:lineRule="auto"/>
        <w:jc w:val="center"/>
        <w:outlineLvl w:val="0"/>
        <w:rPr>
          <w:rFonts w:ascii="方正小标宋简体" w:eastAsia="方正小标宋简体" w:hAnsi="方正小标宋简体" w:cs="方正小标宋简体"/>
          <w:sz w:val="72"/>
          <w:szCs w:val="72"/>
        </w:rPr>
      </w:pPr>
      <w:bookmarkStart w:id="1" w:name="_Toc15377425"/>
      <w:bookmarkStart w:id="2" w:name="_Toc15378441"/>
      <w:bookmarkStart w:id="3" w:name="_Toc23793"/>
      <w:bookmarkStart w:id="4" w:name="_Toc15396475"/>
      <w:bookmarkStart w:id="5" w:name="_Toc15377193"/>
      <w:bookmarkStart w:id="6" w:name="_Toc15396597"/>
      <w:r>
        <w:rPr>
          <w:rFonts w:ascii="方正小标宋简体" w:eastAsia="方正小标宋简体" w:hAnsi="方正小标宋简体" w:cs="方正小标宋简体" w:hint="eastAsia"/>
          <w:sz w:val="72"/>
          <w:szCs w:val="72"/>
        </w:rPr>
        <w:t>2022年度</w:t>
      </w:r>
      <w:bookmarkEnd w:id="1"/>
      <w:bookmarkEnd w:id="2"/>
      <w:bookmarkEnd w:id="3"/>
      <w:bookmarkEnd w:id="4"/>
      <w:bookmarkEnd w:id="5"/>
      <w:bookmarkEnd w:id="6"/>
    </w:p>
    <w:p w:rsidR="007E4AB4" w:rsidRDefault="00244179">
      <w:pPr>
        <w:adjustRightInd w:val="0"/>
        <w:snapToGrid w:val="0"/>
        <w:spacing w:line="360" w:lineRule="auto"/>
        <w:jc w:val="center"/>
        <w:outlineLvl w:val="0"/>
        <w:rPr>
          <w:rFonts w:ascii="方正小标宋简体" w:eastAsia="方正小标宋简体" w:hAnsi="方正小标宋简体" w:cs="方正小标宋简体"/>
          <w:sz w:val="72"/>
          <w:szCs w:val="72"/>
        </w:rPr>
      </w:pPr>
      <w:bookmarkStart w:id="7" w:name="_Toc9203"/>
      <w:bookmarkStart w:id="8" w:name="_Toc15306268"/>
      <w:bookmarkStart w:id="9" w:name="_Toc15396476"/>
      <w:bookmarkStart w:id="10" w:name="_Toc15377426"/>
      <w:bookmarkStart w:id="11" w:name="_Toc15377194"/>
      <w:bookmarkStart w:id="12" w:name="_Toc15396598"/>
      <w:bookmarkStart w:id="13" w:name="_Toc15378442"/>
      <w:bookmarkEnd w:id="0"/>
      <w:r>
        <w:rPr>
          <w:rFonts w:ascii="方正小标宋简体" w:eastAsia="方正小标宋简体" w:hAnsi="方正小标宋简体" w:cs="方正小标宋简体" w:hint="eastAsia"/>
          <w:sz w:val="72"/>
          <w:szCs w:val="72"/>
        </w:rPr>
        <w:t>四川省广元外国语学校</w:t>
      </w:r>
      <w:bookmarkEnd w:id="7"/>
    </w:p>
    <w:p w:rsidR="007E4AB4" w:rsidRDefault="00244179">
      <w:pPr>
        <w:adjustRightInd w:val="0"/>
        <w:snapToGrid w:val="0"/>
        <w:spacing w:line="360" w:lineRule="auto"/>
        <w:jc w:val="center"/>
        <w:outlineLvl w:val="0"/>
        <w:rPr>
          <w:rFonts w:ascii="方正小标宋简体" w:eastAsia="方正小标宋简体" w:hAnsi="方正小标宋简体" w:cs="方正小标宋简体"/>
          <w:sz w:val="72"/>
          <w:szCs w:val="72"/>
        </w:rPr>
      </w:pPr>
      <w:bookmarkStart w:id="14" w:name="_Toc2764"/>
      <w:r>
        <w:rPr>
          <w:rFonts w:ascii="方正小标宋简体" w:eastAsia="方正小标宋简体" w:hAnsi="方正小标宋简体" w:cs="方正小标宋简体" w:hint="eastAsia"/>
          <w:sz w:val="72"/>
          <w:szCs w:val="72"/>
        </w:rPr>
        <w:t>单位决算</w:t>
      </w:r>
      <w:bookmarkEnd w:id="8"/>
      <w:bookmarkEnd w:id="9"/>
      <w:bookmarkEnd w:id="10"/>
      <w:bookmarkEnd w:id="11"/>
      <w:bookmarkEnd w:id="12"/>
      <w:bookmarkEnd w:id="13"/>
      <w:bookmarkEnd w:id="14"/>
    </w:p>
    <w:p w:rsidR="007E4AB4" w:rsidRDefault="00244179">
      <w:pPr>
        <w:widowControl/>
        <w:jc w:val="center"/>
        <w:rPr>
          <w:rFonts w:ascii="黑体" w:eastAsia="黑体" w:hAnsi="黑体" w:cstheme="minorBidi"/>
          <w:sz w:val="28"/>
          <w:szCs w:val="28"/>
        </w:rPr>
      </w:pPr>
      <w:r>
        <w:rPr>
          <w:rFonts w:ascii="方正小标宋简体" w:eastAsia="方正小标宋简体" w:hAnsi="宋体"/>
          <w:sz w:val="36"/>
          <w:szCs w:val="36"/>
        </w:rPr>
        <w:br w:type="page"/>
      </w:r>
      <w:r>
        <w:rPr>
          <w:rFonts w:ascii="黑体" w:eastAsia="黑体" w:hAnsi="黑体" w:hint="eastAsia"/>
          <w:sz w:val="48"/>
          <w:szCs w:val="48"/>
        </w:rPr>
        <w:lastRenderedPageBreak/>
        <w:t>目录</w:t>
      </w:r>
    </w:p>
    <w:p w:rsidR="007E4AB4" w:rsidRDefault="00244179">
      <w:pPr>
        <w:pStyle w:val="10"/>
      </w:pPr>
      <w:r>
        <w:rPr>
          <w:rFonts w:hint="eastAsia"/>
        </w:rPr>
        <w:t>公开时间：2023年10月</w:t>
      </w:r>
      <w:r w:rsidR="00E35C15">
        <w:rPr>
          <w:rFonts w:hint="eastAsia"/>
        </w:rPr>
        <w:t>1</w:t>
      </w:r>
      <w:r w:rsidR="001C7A57">
        <w:rPr>
          <w:rFonts w:hint="eastAsia"/>
        </w:rPr>
        <w:t>9</w:t>
      </w:r>
      <w:bookmarkStart w:id="15" w:name="_GoBack"/>
      <w:bookmarkEnd w:id="15"/>
      <w:r>
        <w:rPr>
          <w:rFonts w:hint="eastAsia"/>
        </w:rPr>
        <w:t>日</w:t>
      </w:r>
    </w:p>
    <w:bookmarkStart w:id="16" w:name="_Toc15377196" w:displacedByCustomXml="next"/>
    <w:bookmarkStart w:id="17" w:name="_Toc15396599" w:displacedByCustomXml="next"/>
    <w:sdt>
      <w:sdtPr>
        <w:rPr>
          <w:rFonts w:ascii="宋体" w:hAnsi="宋体"/>
        </w:rPr>
        <w:id w:val="147459062"/>
        <w:docPartObj>
          <w:docPartGallery w:val="Table of Contents"/>
          <w:docPartUnique/>
        </w:docPartObj>
      </w:sdtPr>
      <w:sdtEndPr>
        <w:rPr>
          <w:b/>
        </w:rPr>
      </w:sdtEndPr>
      <w:sdtContent>
        <w:p w:rsidR="007E4AB4" w:rsidRDefault="00244179">
          <w:pPr>
            <w:jc w:val="center"/>
            <w:rPr>
              <w:b/>
            </w:rPr>
          </w:pPr>
          <w:r>
            <w:fldChar w:fldCharType="begin"/>
          </w:r>
          <w:r>
            <w:instrText xml:space="preserve">TOC \o "1-2" \h \u </w:instrText>
          </w:r>
          <w:r>
            <w:fldChar w:fldCharType="separate"/>
          </w:r>
        </w:p>
        <w:p w:rsidR="007E4AB4" w:rsidRDefault="002D007E">
          <w:pPr>
            <w:pStyle w:val="WPSOffice1"/>
            <w:tabs>
              <w:tab w:val="right" w:leader="dot" w:pos="8306"/>
            </w:tabs>
            <w:rPr>
              <w:b/>
            </w:rPr>
          </w:pPr>
          <w:hyperlink w:anchor="_Toc11538" w:history="1">
            <w:r w:rsidR="00244179">
              <w:rPr>
                <w:rFonts w:ascii="黑体" w:eastAsia="黑体" w:hAnsi="黑体" w:hint="eastAsia"/>
                <w:b/>
              </w:rPr>
              <w:t>第一部分单位概况</w:t>
            </w:r>
            <w:r w:rsidR="00244179">
              <w:rPr>
                <w:b/>
              </w:rPr>
              <w:tab/>
            </w:r>
            <w:r w:rsidR="00244179">
              <w:rPr>
                <w:b/>
              </w:rPr>
              <w:fldChar w:fldCharType="begin"/>
            </w:r>
            <w:r w:rsidR="00244179">
              <w:rPr>
                <w:b/>
              </w:rPr>
              <w:instrText xml:space="preserve"> PAGEREF _Toc11538 \h </w:instrText>
            </w:r>
            <w:r w:rsidR="00244179">
              <w:rPr>
                <w:b/>
              </w:rPr>
            </w:r>
            <w:r w:rsidR="00244179">
              <w:rPr>
                <w:b/>
              </w:rPr>
              <w:fldChar w:fldCharType="separate"/>
            </w:r>
            <w:r w:rsidR="00244179">
              <w:rPr>
                <w:b/>
              </w:rPr>
              <w:t>1</w:t>
            </w:r>
            <w:r w:rsidR="00244179">
              <w:rPr>
                <w:b/>
              </w:rPr>
              <w:fldChar w:fldCharType="end"/>
            </w:r>
          </w:hyperlink>
        </w:p>
        <w:p w:rsidR="007E4AB4" w:rsidRDefault="002D007E" w:rsidP="00E35C15">
          <w:pPr>
            <w:pStyle w:val="WPSOffice2"/>
            <w:tabs>
              <w:tab w:val="right" w:leader="dot" w:pos="8306"/>
            </w:tabs>
            <w:ind w:left="420"/>
          </w:pPr>
          <w:hyperlink w:anchor="_Toc25214" w:history="1">
            <w:r w:rsidR="00244179">
              <w:rPr>
                <w:rFonts w:ascii="黑体" w:eastAsia="黑体" w:hAnsi="黑体" w:hint="eastAsia"/>
              </w:rPr>
              <w:t>一、主要职责</w:t>
            </w:r>
            <w:r w:rsidR="00244179">
              <w:tab/>
            </w:r>
            <w:r w:rsidR="00244179">
              <w:fldChar w:fldCharType="begin"/>
            </w:r>
            <w:r w:rsidR="00244179">
              <w:instrText xml:space="preserve"> PAGEREF _Toc25214 \h </w:instrText>
            </w:r>
            <w:r w:rsidR="00244179">
              <w:fldChar w:fldCharType="separate"/>
            </w:r>
            <w:r w:rsidR="00244179">
              <w:t>1</w:t>
            </w:r>
            <w:r w:rsidR="00244179">
              <w:fldChar w:fldCharType="end"/>
            </w:r>
          </w:hyperlink>
        </w:p>
        <w:p w:rsidR="007E4AB4" w:rsidRDefault="002D007E" w:rsidP="00E35C15">
          <w:pPr>
            <w:pStyle w:val="WPSOffice2"/>
            <w:tabs>
              <w:tab w:val="right" w:leader="dot" w:pos="8306"/>
            </w:tabs>
            <w:ind w:left="420"/>
          </w:pPr>
          <w:hyperlink w:anchor="_Toc19309" w:history="1">
            <w:r w:rsidR="00244179">
              <w:rPr>
                <w:rFonts w:ascii="黑体" w:eastAsia="黑体" w:hAnsi="黑体" w:hint="eastAsia"/>
              </w:rPr>
              <w:t>二、机构设置</w:t>
            </w:r>
            <w:r w:rsidR="00244179">
              <w:tab/>
            </w:r>
            <w:r w:rsidR="00244179">
              <w:fldChar w:fldCharType="begin"/>
            </w:r>
            <w:r w:rsidR="00244179">
              <w:instrText xml:space="preserve"> PAGEREF _Toc19309 \h </w:instrText>
            </w:r>
            <w:r w:rsidR="00244179">
              <w:fldChar w:fldCharType="separate"/>
            </w:r>
            <w:r w:rsidR="00244179">
              <w:t>1</w:t>
            </w:r>
            <w:r w:rsidR="00244179">
              <w:fldChar w:fldCharType="end"/>
            </w:r>
          </w:hyperlink>
        </w:p>
        <w:p w:rsidR="007E4AB4" w:rsidRDefault="002D007E">
          <w:pPr>
            <w:pStyle w:val="WPSOffice1"/>
            <w:tabs>
              <w:tab w:val="right" w:leader="dot" w:pos="8306"/>
            </w:tabs>
            <w:rPr>
              <w:b/>
            </w:rPr>
          </w:pPr>
          <w:hyperlink w:anchor="_Toc6965" w:history="1">
            <w:r w:rsidR="00244179">
              <w:rPr>
                <w:rFonts w:ascii="黑体" w:eastAsia="黑体" w:hAnsi="黑体" w:hint="eastAsia"/>
                <w:b/>
              </w:rPr>
              <w:t>第二部分2022年度</w:t>
            </w:r>
            <w:r w:rsidR="00244179">
              <w:rPr>
                <w:rFonts w:ascii="黑体" w:eastAsia="黑体" w:hAnsi="黑体" w:hint="eastAsia"/>
                <w:b/>
                <w:bCs/>
              </w:rPr>
              <w:t>单位决算情况说明</w:t>
            </w:r>
            <w:r w:rsidR="00244179">
              <w:rPr>
                <w:b/>
              </w:rPr>
              <w:tab/>
            </w:r>
            <w:r w:rsidR="00244179">
              <w:rPr>
                <w:b/>
              </w:rPr>
              <w:fldChar w:fldCharType="begin"/>
            </w:r>
            <w:r w:rsidR="00244179">
              <w:rPr>
                <w:b/>
              </w:rPr>
              <w:instrText xml:space="preserve"> PAGEREF _Toc6965 \h </w:instrText>
            </w:r>
            <w:r w:rsidR="00244179">
              <w:rPr>
                <w:b/>
              </w:rPr>
            </w:r>
            <w:r w:rsidR="00244179">
              <w:rPr>
                <w:b/>
              </w:rPr>
              <w:fldChar w:fldCharType="separate"/>
            </w:r>
            <w:r w:rsidR="00244179">
              <w:rPr>
                <w:b/>
              </w:rPr>
              <w:t>2</w:t>
            </w:r>
            <w:r w:rsidR="00244179">
              <w:rPr>
                <w:b/>
              </w:rPr>
              <w:fldChar w:fldCharType="end"/>
            </w:r>
          </w:hyperlink>
        </w:p>
        <w:p w:rsidR="007E4AB4" w:rsidRDefault="002D007E" w:rsidP="00E35C15">
          <w:pPr>
            <w:pStyle w:val="WPSOffice2"/>
            <w:tabs>
              <w:tab w:val="right" w:leader="dot" w:pos="8306"/>
            </w:tabs>
            <w:ind w:left="420"/>
          </w:pPr>
          <w:hyperlink w:anchor="_Toc22928" w:history="1">
            <w:r w:rsidR="00244179">
              <w:rPr>
                <w:rFonts w:ascii="黑体" w:eastAsia="黑体" w:hAnsi="黑体"/>
              </w:rPr>
              <w:t>一、</w:t>
            </w:r>
            <w:r w:rsidR="00244179">
              <w:rPr>
                <w:rFonts w:ascii="黑体" w:eastAsia="黑体" w:hAnsi="黑体" w:hint="eastAsia"/>
                <w:szCs w:val="32"/>
              </w:rPr>
              <w:t>收</w:t>
            </w:r>
            <w:r w:rsidR="00244179">
              <w:rPr>
                <w:rFonts w:ascii="黑体" w:eastAsia="黑体" w:hAnsi="黑体" w:hint="eastAsia"/>
              </w:rPr>
              <w:t>入支出决算总体情况说明</w:t>
            </w:r>
            <w:r w:rsidR="00244179">
              <w:tab/>
            </w:r>
            <w:r w:rsidR="00244179">
              <w:fldChar w:fldCharType="begin"/>
            </w:r>
            <w:r w:rsidR="00244179">
              <w:instrText xml:space="preserve"> PAGEREF _Toc22928 \h </w:instrText>
            </w:r>
            <w:r w:rsidR="00244179">
              <w:fldChar w:fldCharType="separate"/>
            </w:r>
            <w:r w:rsidR="00244179">
              <w:t>2</w:t>
            </w:r>
            <w:r w:rsidR="00244179">
              <w:fldChar w:fldCharType="end"/>
            </w:r>
          </w:hyperlink>
        </w:p>
        <w:p w:rsidR="007E4AB4" w:rsidRDefault="002D007E" w:rsidP="00E35C15">
          <w:pPr>
            <w:pStyle w:val="WPSOffice2"/>
            <w:tabs>
              <w:tab w:val="right" w:leader="dot" w:pos="8306"/>
            </w:tabs>
            <w:ind w:left="420"/>
          </w:pPr>
          <w:hyperlink w:anchor="_Toc27927" w:history="1">
            <w:r w:rsidR="00244179">
              <w:rPr>
                <w:rFonts w:ascii="黑体" w:eastAsia="黑体" w:hAnsi="黑体"/>
              </w:rPr>
              <w:t>二、</w:t>
            </w:r>
            <w:r w:rsidR="00244179">
              <w:rPr>
                <w:rFonts w:ascii="黑体" w:eastAsia="黑体" w:hAnsi="黑体" w:hint="eastAsia"/>
                <w:szCs w:val="32"/>
              </w:rPr>
              <w:t>收</w:t>
            </w:r>
            <w:r w:rsidR="00244179">
              <w:rPr>
                <w:rFonts w:ascii="黑体" w:eastAsia="黑体" w:hAnsi="黑体" w:hint="eastAsia"/>
              </w:rPr>
              <w:t>入决算情况说明</w:t>
            </w:r>
            <w:r w:rsidR="00244179">
              <w:tab/>
            </w:r>
            <w:r w:rsidR="00244179">
              <w:fldChar w:fldCharType="begin"/>
            </w:r>
            <w:r w:rsidR="00244179">
              <w:instrText xml:space="preserve"> PAGEREF _Toc27927 \h </w:instrText>
            </w:r>
            <w:r w:rsidR="00244179">
              <w:fldChar w:fldCharType="separate"/>
            </w:r>
            <w:r w:rsidR="00244179">
              <w:t>2</w:t>
            </w:r>
            <w:r w:rsidR="00244179">
              <w:fldChar w:fldCharType="end"/>
            </w:r>
          </w:hyperlink>
        </w:p>
        <w:p w:rsidR="007E4AB4" w:rsidRDefault="002D007E" w:rsidP="00E35C15">
          <w:pPr>
            <w:pStyle w:val="WPSOffice2"/>
            <w:tabs>
              <w:tab w:val="right" w:leader="dot" w:pos="8306"/>
            </w:tabs>
            <w:ind w:left="420"/>
          </w:pPr>
          <w:hyperlink w:anchor="_Toc30144" w:history="1">
            <w:r w:rsidR="00244179">
              <w:rPr>
                <w:rFonts w:ascii="黑体" w:eastAsia="黑体" w:hAnsi="黑体"/>
              </w:rPr>
              <w:t>三、</w:t>
            </w:r>
            <w:r w:rsidR="00244179">
              <w:rPr>
                <w:rFonts w:ascii="黑体" w:eastAsia="黑体" w:hAnsi="黑体" w:hint="eastAsia"/>
                <w:szCs w:val="32"/>
              </w:rPr>
              <w:t>支</w:t>
            </w:r>
            <w:r w:rsidR="00244179">
              <w:rPr>
                <w:rFonts w:ascii="黑体" w:eastAsia="黑体" w:hAnsi="黑体" w:hint="eastAsia"/>
              </w:rPr>
              <w:t>出决算情况说明</w:t>
            </w:r>
            <w:r w:rsidR="00244179">
              <w:tab/>
            </w:r>
            <w:r w:rsidR="00244179">
              <w:fldChar w:fldCharType="begin"/>
            </w:r>
            <w:r w:rsidR="00244179">
              <w:instrText xml:space="preserve"> PAGEREF _Toc30144 \h </w:instrText>
            </w:r>
            <w:r w:rsidR="00244179">
              <w:fldChar w:fldCharType="separate"/>
            </w:r>
            <w:r w:rsidR="00244179">
              <w:t>3</w:t>
            </w:r>
            <w:r w:rsidR="00244179">
              <w:fldChar w:fldCharType="end"/>
            </w:r>
          </w:hyperlink>
        </w:p>
        <w:p w:rsidR="007E4AB4" w:rsidRDefault="002D007E" w:rsidP="00E35C15">
          <w:pPr>
            <w:pStyle w:val="WPSOffice2"/>
            <w:tabs>
              <w:tab w:val="right" w:leader="dot" w:pos="8306"/>
            </w:tabs>
            <w:ind w:left="420"/>
          </w:pPr>
          <w:hyperlink w:anchor="_Toc9577" w:history="1">
            <w:r w:rsidR="00244179">
              <w:rPr>
                <w:rFonts w:ascii="黑体" w:eastAsia="黑体" w:hAnsi="黑体" w:hint="eastAsia"/>
                <w:szCs w:val="32"/>
              </w:rPr>
              <w:t>四、财</w:t>
            </w:r>
            <w:r w:rsidR="00244179">
              <w:rPr>
                <w:rFonts w:ascii="黑体" w:eastAsia="黑体" w:hAnsi="黑体" w:hint="eastAsia"/>
              </w:rPr>
              <w:t>政拨款收入支出决算总体情况说明</w:t>
            </w:r>
            <w:r w:rsidR="00244179">
              <w:tab/>
            </w:r>
            <w:r w:rsidR="00244179">
              <w:fldChar w:fldCharType="begin"/>
            </w:r>
            <w:r w:rsidR="00244179">
              <w:instrText xml:space="preserve"> PAGEREF _Toc9577 \h </w:instrText>
            </w:r>
            <w:r w:rsidR="00244179">
              <w:fldChar w:fldCharType="separate"/>
            </w:r>
            <w:r w:rsidR="00244179">
              <w:t>3</w:t>
            </w:r>
            <w:r w:rsidR="00244179">
              <w:fldChar w:fldCharType="end"/>
            </w:r>
          </w:hyperlink>
        </w:p>
        <w:p w:rsidR="007E4AB4" w:rsidRDefault="002D007E" w:rsidP="00E35C15">
          <w:pPr>
            <w:pStyle w:val="WPSOffice2"/>
            <w:tabs>
              <w:tab w:val="right" w:leader="dot" w:pos="8306"/>
            </w:tabs>
            <w:ind w:left="420"/>
          </w:pPr>
          <w:hyperlink w:anchor="_Toc19685" w:history="1">
            <w:r w:rsidR="00244179">
              <w:rPr>
                <w:rFonts w:ascii="黑体" w:eastAsia="黑体" w:hAnsi="黑体" w:hint="eastAsia"/>
                <w:szCs w:val="32"/>
              </w:rPr>
              <w:t>五、一</w:t>
            </w:r>
            <w:r w:rsidR="00244179">
              <w:rPr>
                <w:rFonts w:ascii="黑体" w:eastAsia="黑体" w:hAnsi="黑体" w:hint="eastAsia"/>
              </w:rPr>
              <w:t>般公共预算财政拨款支出决算情况说明</w:t>
            </w:r>
            <w:r w:rsidR="00244179">
              <w:tab/>
            </w:r>
            <w:r w:rsidR="00244179">
              <w:fldChar w:fldCharType="begin"/>
            </w:r>
            <w:r w:rsidR="00244179">
              <w:instrText xml:space="preserve"> PAGEREF _Toc19685 \h </w:instrText>
            </w:r>
            <w:r w:rsidR="00244179">
              <w:fldChar w:fldCharType="separate"/>
            </w:r>
            <w:r w:rsidR="00244179">
              <w:t>4</w:t>
            </w:r>
            <w:r w:rsidR="00244179">
              <w:fldChar w:fldCharType="end"/>
            </w:r>
          </w:hyperlink>
        </w:p>
        <w:p w:rsidR="007E4AB4" w:rsidRDefault="002D007E" w:rsidP="00E35C15">
          <w:pPr>
            <w:pStyle w:val="WPSOffice2"/>
            <w:tabs>
              <w:tab w:val="right" w:leader="dot" w:pos="8306"/>
            </w:tabs>
            <w:ind w:left="420"/>
          </w:pPr>
          <w:hyperlink w:anchor="_Toc24641" w:history="1">
            <w:r w:rsidR="00244179">
              <w:rPr>
                <w:rFonts w:ascii="黑体" w:eastAsia="黑体" w:hint="eastAsia"/>
                <w:szCs w:val="32"/>
              </w:rPr>
              <w:t>六、</w:t>
            </w:r>
            <w:r w:rsidR="00244179">
              <w:rPr>
                <w:rFonts w:ascii="黑体" w:eastAsia="黑体" w:hAnsi="黑体" w:hint="eastAsia"/>
                <w:szCs w:val="32"/>
              </w:rPr>
              <w:t>一</w:t>
            </w:r>
            <w:r w:rsidR="00244179">
              <w:rPr>
                <w:rFonts w:ascii="黑体" w:eastAsia="黑体" w:hAnsi="黑体" w:hint="eastAsia"/>
              </w:rPr>
              <w:t>般公共预算财政拨款基本支出决算情况说明</w:t>
            </w:r>
            <w:r w:rsidR="00244179">
              <w:tab/>
            </w:r>
            <w:r w:rsidR="00244179">
              <w:fldChar w:fldCharType="begin"/>
            </w:r>
            <w:r w:rsidR="00244179">
              <w:instrText xml:space="preserve"> PAGEREF _Toc24641 \h </w:instrText>
            </w:r>
            <w:r w:rsidR="00244179">
              <w:fldChar w:fldCharType="separate"/>
            </w:r>
            <w:r w:rsidR="00244179">
              <w:t>7</w:t>
            </w:r>
            <w:r w:rsidR="00244179">
              <w:fldChar w:fldCharType="end"/>
            </w:r>
          </w:hyperlink>
        </w:p>
        <w:p w:rsidR="007E4AB4" w:rsidRDefault="002D007E" w:rsidP="00E35C15">
          <w:pPr>
            <w:pStyle w:val="WPSOffice2"/>
            <w:tabs>
              <w:tab w:val="right" w:leader="dot" w:pos="8306"/>
            </w:tabs>
            <w:ind w:left="420"/>
          </w:pPr>
          <w:hyperlink w:anchor="_Toc16524" w:history="1">
            <w:r w:rsidR="00244179">
              <w:rPr>
                <w:rFonts w:ascii="黑体" w:eastAsia="黑体" w:hint="eastAsia"/>
                <w:szCs w:val="32"/>
              </w:rPr>
              <w:t>七、</w:t>
            </w:r>
            <w:r w:rsidR="00244179">
              <w:rPr>
                <w:rFonts w:ascii="黑体" w:eastAsia="黑体" w:hAnsi="黑体" w:hint="eastAsia"/>
              </w:rPr>
              <w:t>财政拨款“三公”经费支出决算情况说明</w:t>
            </w:r>
            <w:r w:rsidR="00244179">
              <w:tab/>
            </w:r>
            <w:r w:rsidR="00244179">
              <w:fldChar w:fldCharType="begin"/>
            </w:r>
            <w:r w:rsidR="00244179">
              <w:instrText xml:space="preserve"> PAGEREF _Toc16524 \h </w:instrText>
            </w:r>
            <w:r w:rsidR="00244179">
              <w:fldChar w:fldCharType="separate"/>
            </w:r>
            <w:r w:rsidR="00244179">
              <w:t>7</w:t>
            </w:r>
            <w:r w:rsidR="00244179">
              <w:fldChar w:fldCharType="end"/>
            </w:r>
          </w:hyperlink>
        </w:p>
        <w:p w:rsidR="007E4AB4" w:rsidRDefault="002D007E" w:rsidP="00E35C15">
          <w:pPr>
            <w:pStyle w:val="WPSOffice2"/>
            <w:tabs>
              <w:tab w:val="right" w:leader="dot" w:pos="8306"/>
            </w:tabs>
            <w:ind w:left="420"/>
          </w:pPr>
          <w:hyperlink w:anchor="_Toc4916" w:history="1">
            <w:r w:rsidR="00244179">
              <w:rPr>
                <w:rFonts w:ascii="黑体" w:eastAsia="黑体" w:hint="eastAsia"/>
                <w:szCs w:val="32"/>
              </w:rPr>
              <w:t>八、</w:t>
            </w:r>
            <w:r w:rsidR="00244179">
              <w:rPr>
                <w:rFonts w:ascii="黑体" w:eastAsia="黑体" w:hAnsi="黑体" w:hint="eastAsia"/>
              </w:rPr>
              <w:t>政府性基金预算支出决算情况说明</w:t>
            </w:r>
            <w:r w:rsidR="00244179">
              <w:tab/>
            </w:r>
            <w:r w:rsidR="00244179">
              <w:fldChar w:fldCharType="begin"/>
            </w:r>
            <w:r w:rsidR="00244179">
              <w:instrText xml:space="preserve"> PAGEREF _Toc4916 \h </w:instrText>
            </w:r>
            <w:r w:rsidR="00244179">
              <w:fldChar w:fldCharType="separate"/>
            </w:r>
            <w:r w:rsidR="00244179">
              <w:t>8</w:t>
            </w:r>
            <w:r w:rsidR="00244179">
              <w:fldChar w:fldCharType="end"/>
            </w:r>
          </w:hyperlink>
        </w:p>
        <w:p w:rsidR="007E4AB4" w:rsidRDefault="002D007E" w:rsidP="00E35C15">
          <w:pPr>
            <w:pStyle w:val="WPSOffice2"/>
            <w:tabs>
              <w:tab w:val="right" w:leader="dot" w:pos="8306"/>
            </w:tabs>
            <w:ind w:left="420"/>
          </w:pPr>
          <w:hyperlink w:anchor="_Toc17366" w:history="1">
            <w:r w:rsidR="00244179">
              <w:rPr>
                <w:rFonts w:ascii="黑体" w:eastAsia="黑体" w:hAnsi="黑体" w:hint="eastAsia"/>
              </w:rPr>
              <w:t>九、国有资本经营预算支出决算情况说明</w:t>
            </w:r>
            <w:r w:rsidR="00244179">
              <w:tab/>
            </w:r>
            <w:r w:rsidR="00244179">
              <w:fldChar w:fldCharType="begin"/>
            </w:r>
            <w:r w:rsidR="00244179">
              <w:instrText xml:space="preserve"> PAGEREF _Toc17366 \h </w:instrText>
            </w:r>
            <w:r w:rsidR="00244179">
              <w:fldChar w:fldCharType="separate"/>
            </w:r>
            <w:r w:rsidR="00244179">
              <w:t>8</w:t>
            </w:r>
            <w:r w:rsidR="00244179">
              <w:fldChar w:fldCharType="end"/>
            </w:r>
          </w:hyperlink>
        </w:p>
        <w:p w:rsidR="007E4AB4" w:rsidRDefault="002D007E" w:rsidP="00E35C15">
          <w:pPr>
            <w:pStyle w:val="WPSOffice2"/>
            <w:tabs>
              <w:tab w:val="right" w:leader="dot" w:pos="8306"/>
            </w:tabs>
            <w:ind w:left="420"/>
          </w:pPr>
          <w:hyperlink w:anchor="_Toc28304" w:history="1">
            <w:r w:rsidR="00244179">
              <w:rPr>
                <w:rFonts w:ascii="黑体" w:eastAsia="黑体" w:hAnsi="黑体" w:hint="eastAsia"/>
              </w:rPr>
              <w:t>十、其他重要事项的情况说明</w:t>
            </w:r>
            <w:r w:rsidR="00244179">
              <w:tab/>
            </w:r>
            <w:r w:rsidR="00244179">
              <w:fldChar w:fldCharType="begin"/>
            </w:r>
            <w:r w:rsidR="00244179">
              <w:instrText xml:space="preserve"> PAGEREF _Toc28304 \h </w:instrText>
            </w:r>
            <w:r w:rsidR="00244179">
              <w:fldChar w:fldCharType="separate"/>
            </w:r>
            <w:r w:rsidR="00244179">
              <w:t>8</w:t>
            </w:r>
            <w:r w:rsidR="00244179">
              <w:fldChar w:fldCharType="end"/>
            </w:r>
          </w:hyperlink>
        </w:p>
        <w:p w:rsidR="007E4AB4" w:rsidRDefault="002D007E">
          <w:pPr>
            <w:pStyle w:val="WPSOffice1"/>
            <w:tabs>
              <w:tab w:val="right" w:leader="dot" w:pos="8306"/>
            </w:tabs>
            <w:rPr>
              <w:b/>
            </w:rPr>
          </w:pPr>
          <w:hyperlink w:anchor="_Toc21812" w:history="1">
            <w:r w:rsidR="00244179">
              <w:rPr>
                <w:rFonts w:ascii="黑体" w:eastAsia="黑体" w:hAnsi="黑体" w:cs="黑体" w:hint="eastAsia"/>
                <w:b/>
                <w:bCs/>
                <w:kern w:val="44"/>
                <w:szCs w:val="44"/>
              </w:rPr>
              <w:t>第三部分</w:t>
            </w:r>
            <w:r w:rsidR="00244179">
              <w:rPr>
                <w:rFonts w:ascii="黑体" w:eastAsia="黑体" w:hAnsi="黑体" w:hint="eastAsia"/>
                <w:b/>
                <w:szCs w:val="44"/>
              </w:rPr>
              <w:t>名</w:t>
            </w:r>
            <w:r w:rsidR="00244179">
              <w:rPr>
                <w:rFonts w:ascii="黑体" w:eastAsia="黑体" w:hAnsi="黑体" w:hint="eastAsia"/>
                <w:b/>
              </w:rPr>
              <w:t>词解释</w:t>
            </w:r>
            <w:r w:rsidR="00244179">
              <w:rPr>
                <w:b/>
              </w:rPr>
              <w:tab/>
            </w:r>
            <w:r w:rsidR="00244179">
              <w:rPr>
                <w:b/>
              </w:rPr>
              <w:fldChar w:fldCharType="begin"/>
            </w:r>
            <w:r w:rsidR="00244179">
              <w:rPr>
                <w:b/>
              </w:rPr>
              <w:instrText xml:space="preserve"> PAGEREF _Toc21812 \h </w:instrText>
            </w:r>
            <w:r w:rsidR="00244179">
              <w:rPr>
                <w:b/>
              </w:rPr>
            </w:r>
            <w:r w:rsidR="00244179">
              <w:rPr>
                <w:b/>
              </w:rPr>
              <w:fldChar w:fldCharType="separate"/>
            </w:r>
            <w:r w:rsidR="00244179">
              <w:rPr>
                <w:b/>
              </w:rPr>
              <w:t>9</w:t>
            </w:r>
            <w:r w:rsidR="00244179">
              <w:rPr>
                <w:b/>
              </w:rPr>
              <w:fldChar w:fldCharType="end"/>
            </w:r>
          </w:hyperlink>
        </w:p>
        <w:p w:rsidR="007E4AB4" w:rsidRDefault="002D007E">
          <w:pPr>
            <w:pStyle w:val="WPSOffice1"/>
            <w:tabs>
              <w:tab w:val="right" w:leader="dot" w:pos="8306"/>
            </w:tabs>
            <w:rPr>
              <w:b/>
            </w:rPr>
          </w:pPr>
          <w:hyperlink w:anchor="_Toc12480" w:history="1">
            <w:r w:rsidR="00244179">
              <w:rPr>
                <w:rFonts w:ascii="黑体" w:eastAsia="黑体" w:hAnsi="黑体" w:hint="eastAsia"/>
                <w:b/>
                <w:szCs w:val="44"/>
              </w:rPr>
              <w:t>第</w:t>
            </w:r>
            <w:r w:rsidR="00244179">
              <w:rPr>
                <w:rFonts w:ascii="黑体" w:eastAsia="黑体" w:hAnsi="黑体" w:hint="eastAsia"/>
                <w:b/>
              </w:rPr>
              <w:t>四部分附件</w:t>
            </w:r>
            <w:r w:rsidR="00244179">
              <w:rPr>
                <w:b/>
              </w:rPr>
              <w:tab/>
            </w:r>
            <w:r w:rsidR="00244179">
              <w:rPr>
                <w:b/>
              </w:rPr>
              <w:fldChar w:fldCharType="begin"/>
            </w:r>
            <w:r w:rsidR="00244179">
              <w:rPr>
                <w:b/>
              </w:rPr>
              <w:instrText xml:space="preserve"> PAGEREF _Toc12480 \h </w:instrText>
            </w:r>
            <w:r w:rsidR="00244179">
              <w:rPr>
                <w:b/>
              </w:rPr>
            </w:r>
            <w:r w:rsidR="00244179">
              <w:rPr>
                <w:b/>
              </w:rPr>
              <w:fldChar w:fldCharType="separate"/>
            </w:r>
            <w:r w:rsidR="00244179">
              <w:rPr>
                <w:b/>
              </w:rPr>
              <w:t>12</w:t>
            </w:r>
            <w:r w:rsidR="00244179">
              <w:rPr>
                <w:b/>
              </w:rPr>
              <w:fldChar w:fldCharType="end"/>
            </w:r>
          </w:hyperlink>
        </w:p>
        <w:p w:rsidR="007E4AB4" w:rsidRDefault="002D007E">
          <w:pPr>
            <w:pStyle w:val="WPSOffice1"/>
            <w:tabs>
              <w:tab w:val="right" w:leader="dot" w:pos="8306"/>
            </w:tabs>
            <w:rPr>
              <w:b/>
            </w:rPr>
          </w:pPr>
          <w:hyperlink w:anchor="_Toc28548" w:history="1">
            <w:r w:rsidR="00244179">
              <w:rPr>
                <w:rFonts w:ascii="黑体" w:eastAsia="黑体" w:hAnsi="黑体" w:hint="eastAsia"/>
                <w:b/>
                <w:szCs w:val="44"/>
              </w:rPr>
              <w:t>第</w:t>
            </w:r>
            <w:r w:rsidR="00244179">
              <w:rPr>
                <w:rFonts w:ascii="黑体" w:eastAsia="黑体" w:hAnsi="黑体" w:hint="eastAsia"/>
                <w:b/>
              </w:rPr>
              <w:t>五部分附表</w:t>
            </w:r>
            <w:r w:rsidR="00244179">
              <w:rPr>
                <w:b/>
              </w:rPr>
              <w:tab/>
            </w:r>
            <w:r w:rsidR="00244179">
              <w:rPr>
                <w:b/>
              </w:rPr>
              <w:fldChar w:fldCharType="begin"/>
            </w:r>
            <w:r w:rsidR="00244179">
              <w:rPr>
                <w:b/>
              </w:rPr>
              <w:instrText xml:space="preserve"> PAGEREF _Toc28548 \h </w:instrText>
            </w:r>
            <w:r w:rsidR="00244179">
              <w:rPr>
                <w:b/>
              </w:rPr>
            </w:r>
            <w:r w:rsidR="00244179">
              <w:rPr>
                <w:b/>
              </w:rPr>
              <w:fldChar w:fldCharType="separate"/>
            </w:r>
            <w:r w:rsidR="00244179">
              <w:rPr>
                <w:b/>
              </w:rPr>
              <w:t>13</w:t>
            </w:r>
            <w:r w:rsidR="00244179">
              <w:rPr>
                <w:b/>
              </w:rPr>
              <w:fldChar w:fldCharType="end"/>
            </w:r>
          </w:hyperlink>
        </w:p>
        <w:p w:rsidR="007E4AB4" w:rsidRDefault="002D007E" w:rsidP="00E35C15">
          <w:pPr>
            <w:pStyle w:val="WPSOffice2"/>
            <w:tabs>
              <w:tab w:val="right" w:leader="dot" w:pos="8306"/>
            </w:tabs>
            <w:ind w:left="420"/>
          </w:pPr>
          <w:hyperlink w:anchor="_Toc1754" w:history="1">
            <w:r w:rsidR="00244179">
              <w:rPr>
                <w:rFonts w:ascii="仿宋" w:eastAsia="仿宋" w:hAnsi="仿宋" w:hint="eastAsia"/>
              </w:rPr>
              <w:t>一、收入支出决算总表</w:t>
            </w:r>
            <w:r w:rsidR="00244179">
              <w:tab/>
            </w:r>
            <w:r w:rsidR="00244179">
              <w:fldChar w:fldCharType="begin"/>
            </w:r>
            <w:r w:rsidR="00244179">
              <w:instrText xml:space="preserve"> PAGEREF _Toc1754 \h </w:instrText>
            </w:r>
            <w:r w:rsidR="00244179">
              <w:fldChar w:fldCharType="separate"/>
            </w:r>
            <w:r w:rsidR="00244179">
              <w:t>13</w:t>
            </w:r>
            <w:r w:rsidR="00244179">
              <w:fldChar w:fldCharType="end"/>
            </w:r>
          </w:hyperlink>
        </w:p>
        <w:p w:rsidR="007E4AB4" w:rsidRDefault="002D007E" w:rsidP="00E35C15">
          <w:pPr>
            <w:pStyle w:val="WPSOffice2"/>
            <w:tabs>
              <w:tab w:val="right" w:leader="dot" w:pos="8306"/>
            </w:tabs>
            <w:ind w:left="420"/>
          </w:pPr>
          <w:hyperlink w:anchor="_Toc22057" w:history="1">
            <w:r w:rsidR="00244179">
              <w:rPr>
                <w:rFonts w:ascii="仿宋" w:eastAsia="仿宋" w:hAnsi="仿宋" w:hint="eastAsia"/>
              </w:rPr>
              <w:t>二、收入决算表</w:t>
            </w:r>
            <w:r w:rsidR="00244179">
              <w:tab/>
            </w:r>
            <w:r w:rsidR="00244179">
              <w:fldChar w:fldCharType="begin"/>
            </w:r>
            <w:r w:rsidR="00244179">
              <w:instrText xml:space="preserve"> PAGEREF _Toc22057 \h </w:instrText>
            </w:r>
            <w:r w:rsidR="00244179">
              <w:fldChar w:fldCharType="separate"/>
            </w:r>
            <w:r w:rsidR="00244179">
              <w:t>13</w:t>
            </w:r>
            <w:r w:rsidR="00244179">
              <w:fldChar w:fldCharType="end"/>
            </w:r>
          </w:hyperlink>
        </w:p>
        <w:p w:rsidR="007E4AB4" w:rsidRDefault="002D007E" w:rsidP="00E35C15">
          <w:pPr>
            <w:pStyle w:val="WPSOffice2"/>
            <w:tabs>
              <w:tab w:val="right" w:leader="dot" w:pos="8306"/>
            </w:tabs>
            <w:ind w:left="420"/>
          </w:pPr>
          <w:hyperlink w:anchor="_Toc25343" w:history="1">
            <w:r w:rsidR="00244179">
              <w:rPr>
                <w:rFonts w:ascii="仿宋" w:eastAsia="仿宋" w:hAnsi="仿宋" w:hint="eastAsia"/>
              </w:rPr>
              <w:t>三、支出决算表</w:t>
            </w:r>
            <w:r w:rsidR="00244179">
              <w:tab/>
            </w:r>
            <w:r w:rsidR="00244179">
              <w:fldChar w:fldCharType="begin"/>
            </w:r>
            <w:r w:rsidR="00244179">
              <w:instrText xml:space="preserve"> PAGEREF _Toc25343 \h </w:instrText>
            </w:r>
            <w:r w:rsidR="00244179">
              <w:fldChar w:fldCharType="separate"/>
            </w:r>
            <w:r w:rsidR="00244179">
              <w:t>13</w:t>
            </w:r>
            <w:r w:rsidR="00244179">
              <w:fldChar w:fldCharType="end"/>
            </w:r>
          </w:hyperlink>
        </w:p>
        <w:p w:rsidR="007E4AB4" w:rsidRDefault="002D007E" w:rsidP="00E35C15">
          <w:pPr>
            <w:pStyle w:val="WPSOffice2"/>
            <w:tabs>
              <w:tab w:val="right" w:leader="dot" w:pos="8306"/>
            </w:tabs>
            <w:ind w:left="420"/>
          </w:pPr>
          <w:hyperlink w:anchor="_Toc23586" w:history="1">
            <w:r w:rsidR="00244179">
              <w:rPr>
                <w:rFonts w:ascii="仿宋" w:eastAsia="仿宋" w:hAnsi="仿宋" w:hint="eastAsia"/>
              </w:rPr>
              <w:t>四、财政拨款收入支出决算总表</w:t>
            </w:r>
            <w:r w:rsidR="00244179">
              <w:tab/>
            </w:r>
            <w:r w:rsidR="00244179">
              <w:fldChar w:fldCharType="begin"/>
            </w:r>
            <w:r w:rsidR="00244179">
              <w:instrText xml:space="preserve"> PAGEREF _Toc23586 \h </w:instrText>
            </w:r>
            <w:r w:rsidR="00244179">
              <w:fldChar w:fldCharType="separate"/>
            </w:r>
            <w:r w:rsidR="00244179">
              <w:t>13</w:t>
            </w:r>
            <w:r w:rsidR="00244179">
              <w:fldChar w:fldCharType="end"/>
            </w:r>
          </w:hyperlink>
        </w:p>
        <w:p w:rsidR="007E4AB4" w:rsidRDefault="002D007E" w:rsidP="00E35C15">
          <w:pPr>
            <w:pStyle w:val="WPSOffice2"/>
            <w:tabs>
              <w:tab w:val="right" w:leader="dot" w:pos="8306"/>
            </w:tabs>
            <w:ind w:left="420"/>
          </w:pPr>
          <w:hyperlink w:anchor="_Toc8693" w:history="1">
            <w:r w:rsidR="00244179">
              <w:rPr>
                <w:rFonts w:ascii="仿宋" w:eastAsia="仿宋" w:hAnsi="仿宋" w:hint="eastAsia"/>
              </w:rPr>
              <w:t>五、财政拨款支出决算明细表</w:t>
            </w:r>
            <w:r w:rsidR="00244179">
              <w:tab/>
            </w:r>
            <w:r w:rsidR="00244179">
              <w:fldChar w:fldCharType="begin"/>
            </w:r>
            <w:r w:rsidR="00244179">
              <w:instrText xml:space="preserve"> PAGEREF _Toc8693 \h </w:instrText>
            </w:r>
            <w:r w:rsidR="00244179">
              <w:fldChar w:fldCharType="separate"/>
            </w:r>
            <w:r w:rsidR="00244179">
              <w:t>13</w:t>
            </w:r>
            <w:r w:rsidR="00244179">
              <w:fldChar w:fldCharType="end"/>
            </w:r>
          </w:hyperlink>
        </w:p>
        <w:p w:rsidR="007E4AB4" w:rsidRDefault="002D007E" w:rsidP="00E35C15">
          <w:pPr>
            <w:pStyle w:val="WPSOffice2"/>
            <w:tabs>
              <w:tab w:val="right" w:leader="dot" w:pos="8306"/>
            </w:tabs>
            <w:ind w:left="420"/>
          </w:pPr>
          <w:hyperlink w:anchor="_Toc19510" w:history="1">
            <w:r w:rsidR="00244179">
              <w:rPr>
                <w:rFonts w:ascii="仿宋" w:eastAsia="仿宋" w:hAnsi="仿宋" w:hint="eastAsia"/>
              </w:rPr>
              <w:t>六、一般公共预算财政拨款支出决算表</w:t>
            </w:r>
            <w:r w:rsidR="00244179">
              <w:tab/>
            </w:r>
            <w:r w:rsidR="00244179">
              <w:fldChar w:fldCharType="begin"/>
            </w:r>
            <w:r w:rsidR="00244179">
              <w:instrText xml:space="preserve"> PAGEREF _Toc19510 \h </w:instrText>
            </w:r>
            <w:r w:rsidR="00244179">
              <w:fldChar w:fldCharType="separate"/>
            </w:r>
            <w:r w:rsidR="00244179">
              <w:t>13</w:t>
            </w:r>
            <w:r w:rsidR="00244179">
              <w:fldChar w:fldCharType="end"/>
            </w:r>
          </w:hyperlink>
        </w:p>
        <w:p w:rsidR="007E4AB4" w:rsidRDefault="002D007E" w:rsidP="00E35C15">
          <w:pPr>
            <w:pStyle w:val="WPSOffice2"/>
            <w:tabs>
              <w:tab w:val="right" w:leader="dot" w:pos="8306"/>
            </w:tabs>
            <w:ind w:left="420"/>
          </w:pPr>
          <w:hyperlink w:anchor="_Toc27640" w:history="1">
            <w:r w:rsidR="00244179">
              <w:rPr>
                <w:rFonts w:ascii="仿宋" w:eastAsia="仿宋" w:hAnsi="仿宋" w:hint="eastAsia"/>
              </w:rPr>
              <w:t>七、一般公共预算财政拨款支出决算明细表</w:t>
            </w:r>
            <w:r w:rsidR="00244179">
              <w:tab/>
            </w:r>
            <w:r w:rsidR="00244179">
              <w:fldChar w:fldCharType="begin"/>
            </w:r>
            <w:r w:rsidR="00244179">
              <w:instrText xml:space="preserve"> PAGEREF _Toc27640 \h </w:instrText>
            </w:r>
            <w:r w:rsidR="00244179">
              <w:fldChar w:fldCharType="separate"/>
            </w:r>
            <w:r w:rsidR="00244179">
              <w:t>13</w:t>
            </w:r>
            <w:r w:rsidR="00244179">
              <w:fldChar w:fldCharType="end"/>
            </w:r>
          </w:hyperlink>
        </w:p>
        <w:p w:rsidR="007E4AB4" w:rsidRDefault="002D007E" w:rsidP="00E35C15">
          <w:pPr>
            <w:pStyle w:val="WPSOffice2"/>
            <w:tabs>
              <w:tab w:val="right" w:leader="dot" w:pos="8306"/>
            </w:tabs>
            <w:ind w:left="420"/>
          </w:pPr>
          <w:hyperlink w:anchor="_Toc15378" w:history="1">
            <w:r w:rsidR="00244179">
              <w:rPr>
                <w:rFonts w:ascii="仿宋" w:eastAsia="仿宋" w:hAnsi="仿宋" w:hint="eastAsia"/>
              </w:rPr>
              <w:t>八、一般公共预算财政拨款基本支出决算表</w:t>
            </w:r>
            <w:r w:rsidR="00244179">
              <w:tab/>
            </w:r>
            <w:r w:rsidR="00244179">
              <w:fldChar w:fldCharType="begin"/>
            </w:r>
            <w:r w:rsidR="00244179">
              <w:instrText xml:space="preserve"> PAGEREF _Toc15378 \h </w:instrText>
            </w:r>
            <w:r w:rsidR="00244179">
              <w:fldChar w:fldCharType="separate"/>
            </w:r>
            <w:r w:rsidR="00244179">
              <w:t>13</w:t>
            </w:r>
            <w:r w:rsidR="00244179">
              <w:fldChar w:fldCharType="end"/>
            </w:r>
          </w:hyperlink>
        </w:p>
        <w:p w:rsidR="007E4AB4" w:rsidRDefault="002D007E" w:rsidP="00E35C15">
          <w:pPr>
            <w:pStyle w:val="WPSOffice2"/>
            <w:tabs>
              <w:tab w:val="right" w:leader="dot" w:pos="8306"/>
            </w:tabs>
            <w:ind w:left="420"/>
          </w:pPr>
          <w:hyperlink w:anchor="_Toc23769" w:history="1">
            <w:r w:rsidR="00244179">
              <w:rPr>
                <w:rFonts w:ascii="仿宋" w:eastAsia="仿宋" w:hAnsi="仿宋" w:hint="eastAsia"/>
              </w:rPr>
              <w:t>九、一般公共预算财政拨款项目支出决算表</w:t>
            </w:r>
            <w:r w:rsidR="00244179">
              <w:tab/>
            </w:r>
            <w:r w:rsidR="00244179">
              <w:fldChar w:fldCharType="begin"/>
            </w:r>
            <w:r w:rsidR="00244179">
              <w:instrText xml:space="preserve"> PAGEREF _Toc23769 \h </w:instrText>
            </w:r>
            <w:r w:rsidR="00244179">
              <w:fldChar w:fldCharType="separate"/>
            </w:r>
            <w:r w:rsidR="00244179">
              <w:t>13</w:t>
            </w:r>
            <w:r w:rsidR="00244179">
              <w:fldChar w:fldCharType="end"/>
            </w:r>
          </w:hyperlink>
        </w:p>
        <w:p w:rsidR="007E4AB4" w:rsidRDefault="002D007E" w:rsidP="00E35C15">
          <w:pPr>
            <w:pStyle w:val="WPSOffice2"/>
            <w:tabs>
              <w:tab w:val="right" w:leader="dot" w:pos="8306"/>
            </w:tabs>
            <w:ind w:left="420"/>
          </w:pPr>
          <w:hyperlink w:anchor="_Toc10674" w:history="1">
            <w:r w:rsidR="00244179">
              <w:rPr>
                <w:rFonts w:ascii="仿宋" w:eastAsia="仿宋" w:hAnsi="仿宋" w:hint="eastAsia"/>
              </w:rPr>
              <w:t>十、政府性基金预算财政拨款收入支出决算表</w:t>
            </w:r>
            <w:r w:rsidR="00244179">
              <w:tab/>
            </w:r>
            <w:r w:rsidR="00244179">
              <w:fldChar w:fldCharType="begin"/>
            </w:r>
            <w:r w:rsidR="00244179">
              <w:instrText xml:space="preserve"> PAGEREF _Toc10674 \h </w:instrText>
            </w:r>
            <w:r w:rsidR="00244179">
              <w:fldChar w:fldCharType="separate"/>
            </w:r>
            <w:r w:rsidR="00244179">
              <w:t>13</w:t>
            </w:r>
            <w:r w:rsidR="00244179">
              <w:fldChar w:fldCharType="end"/>
            </w:r>
          </w:hyperlink>
        </w:p>
        <w:p w:rsidR="007E4AB4" w:rsidRDefault="002D007E" w:rsidP="00E35C15">
          <w:pPr>
            <w:pStyle w:val="WPSOffice2"/>
            <w:tabs>
              <w:tab w:val="right" w:leader="dot" w:pos="8306"/>
            </w:tabs>
            <w:ind w:left="420"/>
          </w:pPr>
          <w:hyperlink w:anchor="_Toc20044" w:history="1">
            <w:r w:rsidR="00244179">
              <w:rPr>
                <w:rFonts w:ascii="仿宋" w:eastAsia="仿宋" w:hAnsi="仿宋" w:hint="eastAsia"/>
              </w:rPr>
              <w:t>十一、国有资本经营预算财政拨款收入支出决算表</w:t>
            </w:r>
            <w:r w:rsidR="00244179">
              <w:tab/>
            </w:r>
            <w:r w:rsidR="00244179">
              <w:fldChar w:fldCharType="begin"/>
            </w:r>
            <w:r w:rsidR="00244179">
              <w:instrText xml:space="preserve"> PAGEREF _Toc20044 \h </w:instrText>
            </w:r>
            <w:r w:rsidR="00244179">
              <w:fldChar w:fldCharType="separate"/>
            </w:r>
            <w:r w:rsidR="00244179">
              <w:t>13</w:t>
            </w:r>
            <w:r w:rsidR="00244179">
              <w:fldChar w:fldCharType="end"/>
            </w:r>
          </w:hyperlink>
        </w:p>
        <w:p w:rsidR="007E4AB4" w:rsidRDefault="002D007E" w:rsidP="00E35C15">
          <w:pPr>
            <w:pStyle w:val="WPSOffice2"/>
            <w:tabs>
              <w:tab w:val="right" w:leader="dot" w:pos="8306"/>
            </w:tabs>
            <w:ind w:left="420"/>
          </w:pPr>
          <w:hyperlink w:anchor="_Toc13566" w:history="1">
            <w:r w:rsidR="00244179">
              <w:rPr>
                <w:rFonts w:ascii="仿宋" w:eastAsia="仿宋" w:hAnsi="仿宋" w:hint="eastAsia"/>
              </w:rPr>
              <w:t>十二、国有资本经营预算财政拨款支出决算表</w:t>
            </w:r>
            <w:r w:rsidR="00244179">
              <w:tab/>
            </w:r>
            <w:r w:rsidR="00244179">
              <w:fldChar w:fldCharType="begin"/>
            </w:r>
            <w:r w:rsidR="00244179">
              <w:instrText xml:space="preserve"> PAGEREF _Toc13566 \h </w:instrText>
            </w:r>
            <w:r w:rsidR="00244179">
              <w:fldChar w:fldCharType="separate"/>
            </w:r>
            <w:r w:rsidR="00244179">
              <w:t>13</w:t>
            </w:r>
            <w:r w:rsidR="00244179">
              <w:fldChar w:fldCharType="end"/>
            </w:r>
          </w:hyperlink>
        </w:p>
        <w:p w:rsidR="007E4AB4" w:rsidRDefault="002D007E" w:rsidP="00E35C15">
          <w:pPr>
            <w:pStyle w:val="WPSOffice2"/>
            <w:tabs>
              <w:tab w:val="right" w:leader="dot" w:pos="8306"/>
            </w:tabs>
            <w:ind w:left="420"/>
          </w:pPr>
          <w:hyperlink w:anchor="_Toc24980" w:history="1">
            <w:r w:rsidR="00244179">
              <w:rPr>
                <w:rFonts w:ascii="仿宋" w:eastAsia="仿宋" w:hAnsi="仿宋" w:hint="eastAsia"/>
              </w:rPr>
              <w:t>十三、财政拨款“三公”经费支出决算表</w:t>
            </w:r>
            <w:r w:rsidR="00244179">
              <w:tab/>
            </w:r>
            <w:r w:rsidR="00244179">
              <w:fldChar w:fldCharType="begin"/>
            </w:r>
            <w:r w:rsidR="00244179">
              <w:instrText xml:space="preserve"> PAGEREF _Toc24980 \h </w:instrText>
            </w:r>
            <w:r w:rsidR="00244179">
              <w:fldChar w:fldCharType="separate"/>
            </w:r>
            <w:r w:rsidR="00244179">
              <w:t>13</w:t>
            </w:r>
            <w:r w:rsidR="00244179">
              <w:fldChar w:fldCharType="end"/>
            </w:r>
          </w:hyperlink>
        </w:p>
        <w:p w:rsidR="007E4AB4" w:rsidRDefault="00244179">
          <w:r>
            <w:rPr>
              <w:b/>
            </w:rPr>
            <w:fldChar w:fldCharType="end"/>
          </w:r>
        </w:p>
      </w:sdtContent>
    </w:sdt>
    <w:p w:rsidR="007E4AB4" w:rsidRDefault="007E4AB4">
      <w:pPr>
        <w:pStyle w:val="1"/>
        <w:jc w:val="center"/>
        <w:rPr>
          <w:rFonts w:ascii="黑体" w:eastAsia="黑体" w:hAnsi="黑体"/>
          <w:b w:val="0"/>
        </w:rPr>
        <w:sectPr w:rsidR="007E4AB4">
          <w:headerReference w:type="default" r:id="rId9"/>
          <w:pgSz w:w="11906" w:h="16838"/>
          <w:pgMar w:top="1440" w:right="1800" w:bottom="1440" w:left="1800" w:header="851" w:footer="992" w:gutter="0"/>
          <w:pgNumType w:start="1"/>
          <w:cols w:space="425"/>
          <w:titlePg/>
          <w:docGrid w:type="lines" w:linePitch="312"/>
        </w:sectPr>
      </w:pPr>
      <w:bookmarkStart w:id="18" w:name="_Toc11538"/>
    </w:p>
    <w:p w:rsidR="007E4AB4" w:rsidRDefault="00244179">
      <w:pPr>
        <w:pStyle w:val="1"/>
        <w:jc w:val="center"/>
        <w:rPr>
          <w:rStyle w:val="1Char"/>
          <w:rFonts w:ascii="黑体" w:eastAsia="黑体" w:hAnsi="黑体"/>
          <w:b/>
        </w:rPr>
      </w:pPr>
      <w:r>
        <w:rPr>
          <w:rFonts w:ascii="黑体" w:eastAsia="黑体" w:hAnsi="黑体" w:hint="eastAsia"/>
          <w:b w:val="0"/>
        </w:rPr>
        <w:lastRenderedPageBreak/>
        <w:t>第一部分单位</w:t>
      </w:r>
      <w:r>
        <w:rPr>
          <w:rStyle w:val="1Char"/>
          <w:rFonts w:ascii="黑体" w:eastAsia="黑体" w:hAnsi="黑体" w:hint="eastAsia"/>
        </w:rPr>
        <w:t>概况</w:t>
      </w:r>
      <w:bookmarkEnd w:id="17"/>
      <w:bookmarkEnd w:id="16"/>
      <w:bookmarkEnd w:id="18"/>
    </w:p>
    <w:p w:rsidR="007E4AB4" w:rsidRDefault="007E4AB4">
      <w:pPr>
        <w:widowControl/>
        <w:jc w:val="left"/>
        <w:rPr>
          <w:rFonts w:ascii="黑体" w:eastAsia="黑体"/>
          <w:sz w:val="32"/>
          <w:szCs w:val="32"/>
        </w:rPr>
      </w:pPr>
    </w:p>
    <w:p w:rsidR="007E4AB4" w:rsidRDefault="00244179">
      <w:pPr>
        <w:pStyle w:val="2"/>
        <w:numPr>
          <w:ilvl w:val="0"/>
          <w:numId w:val="1"/>
        </w:numPr>
        <w:rPr>
          <w:rStyle w:val="2Char"/>
          <w:rFonts w:ascii="黑体" w:eastAsia="黑体" w:hAnsi="黑体"/>
        </w:rPr>
      </w:pPr>
      <w:bookmarkStart w:id="19" w:name="_Toc25214"/>
      <w:bookmarkStart w:id="20" w:name="_Toc15396600"/>
      <w:bookmarkStart w:id="21" w:name="_Toc15377197"/>
      <w:r>
        <w:rPr>
          <w:rStyle w:val="2Char"/>
          <w:rFonts w:ascii="黑体" w:eastAsia="黑体" w:hAnsi="黑体" w:hint="eastAsia"/>
        </w:rPr>
        <w:t>主要职责</w:t>
      </w:r>
      <w:bookmarkEnd w:id="19"/>
    </w:p>
    <w:p w:rsidR="007E4AB4" w:rsidRDefault="00244179">
      <w:r>
        <w:rPr>
          <w:rFonts w:hint="eastAsia"/>
          <w:sz w:val="24"/>
        </w:rPr>
        <w:t>实施小学、初中义务教育以及高中教育，促进基础教育发展。</w:t>
      </w:r>
    </w:p>
    <w:p w:rsidR="007E4AB4" w:rsidRDefault="00244179">
      <w:pPr>
        <w:pStyle w:val="2"/>
        <w:rPr>
          <w:rFonts w:ascii="黑体" w:eastAsia="黑体" w:hAnsi="黑体"/>
          <w:b w:val="0"/>
        </w:rPr>
      </w:pPr>
      <w:bookmarkStart w:id="22" w:name="_Toc19309"/>
      <w:r>
        <w:rPr>
          <w:rFonts w:ascii="黑体" w:eastAsia="黑体" w:hAnsi="黑体" w:hint="eastAsia"/>
          <w:b w:val="0"/>
        </w:rPr>
        <w:t>二、机构设置</w:t>
      </w:r>
      <w:bookmarkEnd w:id="22"/>
    </w:p>
    <w:p w:rsidR="007E4AB4" w:rsidRDefault="00244179">
      <w:pPr>
        <w:rPr>
          <w:sz w:val="24"/>
        </w:rPr>
      </w:pPr>
      <w:r>
        <w:rPr>
          <w:rFonts w:hint="eastAsia"/>
          <w:sz w:val="24"/>
        </w:rPr>
        <w:t>四川省广元外国语学校属于广元市教育局下属的二级预算单位，下设独立编制机构</w:t>
      </w:r>
      <w:r>
        <w:rPr>
          <w:rFonts w:hint="eastAsia"/>
          <w:sz w:val="24"/>
        </w:rPr>
        <w:t>1</w:t>
      </w:r>
      <w:r>
        <w:rPr>
          <w:rFonts w:hint="eastAsia"/>
          <w:sz w:val="24"/>
        </w:rPr>
        <w:t>个，其中行政机构</w:t>
      </w:r>
      <w:r>
        <w:rPr>
          <w:rFonts w:hint="eastAsia"/>
          <w:sz w:val="24"/>
        </w:rPr>
        <w:t>0</w:t>
      </w:r>
      <w:r>
        <w:rPr>
          <w:rFonts w:hint="eastAsia"/>
          <w:sz w:val="24"/>
        </w:rPr>
        <w:t>个，参照公务员法管理的事业机构</w:t>
      </w:r>
      <w:r>
        <w:rPr>
          <w:rFonts w:hint="eastAsia"/>
          <w:sz w:val="24"/>
        </w:rPr>
        <w:t>0</w:t>
      </w:r>
      <w:r>
        <w:rPr>
          <w:rFonts w:hint="eastAsia"/>
          <w:sz w:val="24"/>
        </w:rPr>
        <w:t>个，其他事业机构</w:t>
      </w:r>
      <w:r>
        <w:rPr>
          <w:rFonts w:hint="eastAsia"/>
          <w:sz w:val="24"/>
        </w:rPr>
        <w:t>1</w:t>
      </w:r>
      <w:r>
        <w:rPr>
          <w:rFonts w:hint="eastAsia"/>
          <w:sz w:val="24"/>
        </w:rPr>
        <w:t>个。属于民办公助事业单位。</w:t>
      </w:r>
    </w:p>
    <w:bookmarkEnd w:id="20"/>
    <w:bookmarkEnd w:id="21"/>
    <w:p w:rsidR="007E4AB4" w:rsidRDefault="00244179">
      <w:pPr>
        <w:widowControl/>
        <w:jc w:val="left"/>
        <w:rPr>
          <w:sz w:val="24"/>
        </w:rPr>
      </w:pPr>
      <w:r>
        <w:rPr>
          <w:sz w:val="24"/>
        </w:rPr>
        <w:br w:type="page"/>
      </w:r>
    </w:p>
    <w:p w:rsidR="007E4AB4" w:rsidRDefault="00244179">
      <w:pPr>
        <w:pStyle w:val="1"/>
        <w:ind w:right="440"/>
        <w:jc w:val="center"/>
        <w:rPr>
          <w:rStyle w:val="1Char"/>
          <w:rFonts w:ascii="黑体" w:eastAsia="黑体" w:hAnsi="黑体"/>
          <w:bCs/>
        </w:rPr>
      </w:pPr>
      <w:bookmarkStart w:id="23" w:name="_Toc15396602"/>
      <w:bookmarkStart w:id="24" w:name="_Toc6965"/>
      <w:bookmarkStart w:id="25" w:name="_Toc15377204"/>
      <w:r>
        <w:rPr>
          <w:rFonts w:ascii="黑体" w:eastAsia="黑体" w:hAnsi="黑体" w:hint="eastAsia"/>
          <w:b w:val="0"/>
        </w:rPr>
        <w:lastRenderedPageBreak/>
        <w:t>第二部分2022年度</w:t>
      </w:r>
      <w:r>
        <w:rPr>
          <w:rStyle w:val="1Char"/>
          <w:rFonts w:ascii="黑体" w:eastAsia="黑体" w:hAnsi="黑体" w:hint="eastAsia"/>
          <w:bCs/>
        </w:rPr>
        <w:t>单位决算情况说明</w:t>
      </w:r>
      <w:bookmarkEnd w:id="23"/>
      <w:bookmarkEnd w:id="24"/>
      <w:bookmarkEnd w:id="25"/>
    </w:p>
    <w:p w:rsidR="007E4AB4" w:rsidRDefault="007E4AB4"/>
    <w:p w:rsidR="007E4AB4" w:rsidRDefault="00244179">
      <w:pPr>
        <w:pStyle w:val="a9"/>
        <w:numPr>
          <w:ilvl w:val="0"/>
          <w:numId w:val="2"/>
        </w:numPr>
        <w:spacing w:line="600" w:lineRule="exact"/>
        <w:ind w:firstLineChars="0"/>
        <w:outlineLvl w:val="1"/>
        <w:rPr>
          <w:rStyle w:val="2Char"/>
          <w:rFonts w:ascii="黑体" w:eastAsia="黑体" w:hAnsi="黑体"/>
          <w:b w:val="0"/>
        </w:rPr>
      </w:pPr>
      <w:bookmarkStart w:id="26" w:name="_Toc15396603"/>
      <w:bookmarkStart w:id="27" w:name="_Toc22928"/>
      <w:bookmarkStart w:id="28" w:name="_Toc15377205"/>
      <w:r>
        <w:rPr>
          <w:rFonts w:ascii="黑体" w:eastAsia="黑体" w:hAnsi="黑体" w:hint="eastAsia"/>
          <w:sz w:val="32"/>
          <w:szCs w:val="32"/>
        </w:rPr>
        <w:t>收</w:t>
      </w:r>
      <w:r>
        <w:rPr>
          <w:rStyle w:val="2Char"/>
          <w:rFonts w:ascii="黑体" w:eastAsia="黑体" w:hAnsi="黑体" w:hint="eastAsia"/>
          <w:b w:val="0"/>
        </w:rPr>
        <w:t>入支出决算总体情况说明</w:t>
      </w:r>
      <w:bookmarkEnd w:id="26"/>
      <w:bookmarkEnd w:id="27"/>
      <w:bookmarkEnd w:id="28"/>
    </w:p>
    <w:p w:rsidR="007E4AB4" w:rsidRDefault="00244179">
      <w:pPr>
        <w:spacing w:line="600" w:lineRule="exact"/>
        <w:ind w:firstLineChars="200" w:firstLine="640"/>
        <w:rPr>
          <w:rFonts w:ascii="仿宋" w:eastAsia="仿宋" w:hAnsi="仿宋"/>
          <w:sz w:val="32"/>
          <w:szCs w:val="32"/>
        </w:rPr>
      </w:pPr>
      <w:r>
        <w:rPr>
          <w:rFonts w:ascii="仿宋" w:eastAsia="仿宋" w:hAnsi="仿宋" w:hint="eastAsia"/>
          <w:sz w:val="32"/>
          <w:szCs w:val="32"/>
        </w:rPr>
        <w:t>2022年度收、支总计</w:t>
      </w:r>
      <w:r>
        <w:rPr>
          <w:rFonts w:ascii="仿宋" w:eastAsia="仿宋" w:hAnsi="仿宋"/>
          <w:sz w:val="32"/>
          <w:szCs w:val="32"/>
        </w:rPr>
        <w:t>1153.69</w:t>
      </w:r>
      <w:r>
        <w:rPr>
          <w:rFonts w:ascii="仿宋" w:eastAsia="仿宋" w:hAnsi="仿宋" w:hint="eastAsia"/>
          <w:sz w:val="32"/>
          <w:szCs w:val="32"/>
        </w:rPr>
        <w:t>万元。与2021年相比，收、支总计各增加</w:t>
      </w:r>
      <w:r>
        <w:rPr>
          <w:rFonts w:ascii="仿宋" w:eastAsia="仿宋" w:hAnsi="仿宋"/>
          <w:sz w:val="32"/>
          <w:szCs w:val="32"/>
        </w:rPr>
        <w:t>148.47</w:t>
      </w:r>
      <w:r>
        <w:rPr>
          <w:rFonts w:ascii="仿宋" w:eastAsia="仿宋" w:hAnsi="仿宋" w:hint="eastAsia"/>
          <w:sz w:val="32"/>
          <w:szCs w:val="32"/>
        </w:rPr>
        <w:t>万元，增长</w:t>
      </w:r>
      <w:r>
        <w:rPr>
          <w:rFonts w:ascii="仿宋" w:eastAsia="仿宋" w:hAnsi="仿宋"/>
          <w:sz w:val="32"/>
          <w:szCs w:val="32"/>
        </w:rPr>
        <w:t>14.8%</w:t>
      </w:r>
      <w:r>
        <w:rPr>
          <w:rFonts w:ascii="仿宋" w:eastAsia="仿宋" w:hAnsi="仿宋" w:hint="eastAsia"/>
          <w:sz w:val="32"/>
          <w:szCs w:val="32"/>
        </w:rPr>
        <w:t>。主要变动原因是：人员经费中工资福利社保逐年增长。</w:t>
      </w:r>
    </w:p>
    <w:p w:rsidR="007E4AB4" w:rsidRDefault="00244179">
      <w:pPr>
        <w:pStyle w:val="a0"/>
        <w:spacing w:before="93"/>
      </w:pPr>
      <w:r>
        <w:rPr>
          <w:noProof/>
        </w:rPr>
        <w:drawing>
          <wp:inline distT="0" distB="0" distL="0" distR="0">
            <wp:extent cx="5124450" cy="3943350"/>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E4AB4" w:rsidRDefault="00244179">
      <w:pPr>
        <w:spacing w:line="600" w:lineRule="exact"/>
        <w:ind w:firstLineChars="200" w:firstLine="640"/>
        <w:rPr>
          <w:rFonts w:ascii="仿宋" w:eastAsia="仿宋" w:hAnsi="仿宋"/>
          <w:sz w:val="32"/>
          <w:szCs w:val="32"/>
        </w:rPr>
      </w:pPr>
      <w:r>
        <w:rPr>
          <w:rFonts w:ascii="仿宋" w:eastAsia="仿宋" w:hAnsi="仿宋" w:hint="eastAsia"/>
          <w:sz w:val="32"/>
          <w:szCs w:val="32"/>
        </w:rPr>
        <w:t>（图</w:t>
      </w:r>
      <w:r>
        <w:rPr>
          <w:rFonts w:ascii="仿宋" w:eastAsia="仿宋" w:hAnsi="仿宋"/>
          <w:sz w:val="32"/>
          <w:szCs w:val="32"/>
        </w:rPr>
        <w:t>1</w:t>
      </w:r>
      <w:r>
        <w:rPr>
          <w:rFonts w:ascii="仿宋" w:eastAsia="仿宋" w:hAnsi="仿宋" w:hint="eastAsia"/>
          <w:sz w:val="32"/>
          <w:szCs w:val="32"/>
        </w:rPr>
        <w:t>：收、支决算总计变动情况图）（柱状图）</w:t>
      </w:r>
    </w:p>
    <w:p w:rsidR="007E4AB4" w:rsidRDefault="00244179">
      <w:pPr>
        <w:pStyle w:val="a9"/>
        <w:numPr>
          <w:ilvl w:val="0"/>
          <w:numId w:val="2"/>
        </w:numPr>
        <w:spacing w:line="600" w:lineRule="exact"/>
        <w:ind w:firstLineChars="0"/>
        <w:outlineLvl w:val="1"/>
        <w:rPr>
          <w:rStyle w:val="2Char"/>
          <w:rFonts w:ascii="黑体" w:eastAsia="黑体" w:hAnsi="黑体"/>
          <w:b w:val="0"/>
        </w:rPr>
      </w:pPr>
      <w:bookmarkStart w:id="29" w:name="_Toc15396604"/>
      <w:bookmarkStart w:id="30" w:name="_Toc27927"/>
      <w:bookmarkStart w:id="31" w:name="_Toc15377206"/>
      <w:r>
        <w:rPr>
          <w:rFonts w:ascii="黑体" w:eastAsia="黑体" w:hAnsi="黑体" w:hint="eastAsia"/>
          <w:sz w:val="32"/>
          <w:szCs w:val="32"/>
        </w:rPr>
        <w:t>收</w:t>
      </w:r>
      <w:r>
        <w:rPr>
          <w:rStyle w:val="2Char"/>
          <w:rFonts w:ascii="黑体" w:eastAsia="黑体" w:hAnsi="黑体" w:hint="eastAsia"/>
          <w:b w:val="0"/>
        </w:rPr>
        <w:t>入决算情况说明</w:t>
      </w:r>
      <w:bookmarkEnd w:id="29"/>
      <w:bookmarkEnd w:id="30"/>
      <w:bookmarkEnd w:id="31"/>
    </w:p>
    <w:p w:rsidR="007E4AB4" w:rsidRDefault="00244179">
      <w:pPr>
        <w:spacing w:line="600" w:lineRule="exact"/>
        <w:ind w:firstLineChars="200" w:firstLine="640"/>
        <w:outlineLvl w:val="1"/>
        <w:rPr>
          <w:rFonts w:ascii="仿宋" w:eastAsia="仿宋" w:hAnsi="仿宋"/>
          <w:sz w:val="32"/>
          <w:szCs w:val="32"/>
        </w:rPr>
      </w:pPr>
      <w:bookmarkStart w:id="32" w:name="_Toc32678"/>
      <w:r>
        <w:rPr>
          <w:rFonts w:ascii="仿宋" w:eastAsia="仿宋" w:hAnsi="仿宋"/>
          <w:sz w:val="32"/>
          <w:szCs w:val="32"/>
        </w:rPr>
        <w:t>20</w:t>
      </w:r>
      <w:r>
        <w:rPr>
          <w:rFonts w:ascii="仿宋" w:eastAsia="仿宋" w:hAnsi="仿宋" w:hint="eastAsia"/>
          <w:sz w:val="32"/>
          <w:szCs w:val="32"/>
        </w:rPr>
        <w:t>22年本年收入合计</w:t>
      </w:r>
      <w:r>
        <w:rPr>
          <w:rFonts w:ascii="仿宋" w:eastAsia="仿宋" w:hAnsi="仿宋"/>
          <w:sz w:val="32"/>
          <w:szCs w:val="32"/>
        </w:rPr>
        <w:t>1153.69</w:t>
      </w:r>
      <w:r>
        <w:rPr>
          <w:rFonts w:ascii="仿宋" w:eastAsia="仿宋" w:hAnsi="仿宋" w:hint="eastAsia"/>
          <w:sz w:val="32"/>
          <w:szCs w:val="32"/>
        </w:rPr>
        <w:t>万元，其中：一般公共预算财政拨款收入</w:t>
      </w:r>
      <w:r>
        <w:rPr>
          <w:rFonts w:ascii="仿宋" w:eastAsia="仿宋" w:hAnsi="仿宋"/>
          <w:sz w:val="32"/>
          <w:szCs w:val="32"/>
        </w:rPr>
        <w:t>1153.69</w:t>
      </w:r>
      <w:r>
        <w:rPr>
          <w:rFonts w:ascii="仿宋" w:eastAsia="仿宋" w:hAnsi="仿宋" w:hint="eastAsia"/>
          <w:sz w:val="32"/>
          <w:szCs w:val="32"/>
        </w:rPr>
        <w:t>万元，占</w:t>
      </w:r>
      <w:r>
        <w:rPr>
          <w:rFonts w:ascii="仿宋" w:eastAsia="仿宋" w:hAnsi="仿宋"/>
          <w:sz w:val="32"/>
          <w:szCs w:val="32"/>
        </w:rPr>
        <w:t>100%</w:t>
      </w:r>
      <w:r>
        <w:rPr>
          <w:rFonts w:ascii="仿宋" w:eastAsia="仿宋" w:hAnsi="仿宋" w:hint="eastAsia"/>
          <w:sz w:val="32"/>
          <w:szCs w:val="32"/>
        </w:rPr>
        <w:t>；</w:t>
      </w:r>
      <w:bookmarkEnd w:id="32"/>
    </w:p>
    <w:p w:rsidR="007E4AB4" w:rsidRDefault="00244179">
      <w:pPr>
        <w:pStyle w:val="a0"/>
        <w:spacing w:before="93"/>
      </w:pPr>
      <w:r>
        <w:rPr>
          <w:noProof/>
        </w:rPr>
        <w:lastRenderedPageBreak/>
        <w:drawing>
          <wp:inline distT="0" distB="0" distL="0" distR="0">
            <wp:extent cx="5210175" cy="2847975"/>
            <wp:effectExtent l="0" t="0" r="9525" b="952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E4AB4" w:rsidRDefault="00244179">
      <w:pPr>
        <w:spacing w:line="600" w:lineRule="exact"/>
        <w:ind w:firstLineChars="200" w:firstLine="640"/>
        <w:rPr>
          <w:rFonts w:ascii="仿宋" w:eastAsia="仿宋" w:hAnsi="仿宋"/>
          <w:sz w:val="32"/>
          <w:szCs w:val="32"/>
        </w:rPr>
      </w:pPr>
      <w:r>
        <w:rPr>
          <w:rFonts w:ascii="仿宋" w:eastAsia="仿宋" w:hAnsi="仿宋" w:hint="eastAsia"/>
          <w:sz w:val="32"/>
          <w:szCs w:val="32"/>
        </w:rPr>
        <w:t>（图2：收入决算结构图）（饼状图）</w:t>
      </w:r>
    </w:p>
    <w:p w:rsidR="007E4AB4" w:rsidRDefault="00244179">
      <w:pPr>
        <w:pStyle w:val="a9"/>
        <w:numPr>
          <w:ilvl w:val="0"/>
          <w:numId w:val="2"/>
        </w:numPr>
        <w:spacing w:line="600" w:lineRule="exact"/>
        <w:ind w:firstLineChars="0"/>
        <w:outlineLvl w:val="1"/>
        <w:rPr>
          <w:rStyle w:val="2Char"/>
          <w:rFonts w:ascii="黑体" w:eastAsia="黑体" w:hAnsi="黑体"/>
          <w:b w:val="0"/>
        </w:rPr>
      </w:pPr>
      <w:bookmarkStart w:id="33" w:name="_Toc15396605"/>
      <w:bookmarkStart w:id="34" w:name="_Toc15377207"/>
      <w:bookmarkStart w:id="35" w:name="_Toc30144"/>
      <w:r>
        <w:rPr>
          <w:rFonts w:ascii="黑体" w:eastAsia="黑体" w:hAnsi="黑体" w:hint="eastAsia"/>
          <w:sz w:val="32"/>
          <w:szCs w:val="32"/>
        </w:rPr>
        <w:t>支</w:t>
      </w:r>
      <w:r>
        <w:rPr>
          <w:rStyle w:val="2Char"/>
          <w:rFonts w:ascii="黑体" w:eastAsia="黑体" w:hAnsi="黑体" w:hint="eastAsia"/>
          <w:b w:val="0"/>
        </w:rPr>
        <w:t>出决算情况说明</w:t>
      </w:r>
      <w:bookmarkEnd w:id="33"/>
      <w:bookmarkEnd w:id="34"/>
      <w:bookmarkEnd w:id="35"/>
    </w:p>
    <w:p w:rsidR="007E4AB4" w:rsidRDefault="00244179">
      <w:pPr>
        <w:spacing w:line="600" w:lineRule="exact"/>
        <w:ind w:firstLineChars="200" w:firstLine="640"/>
        <w:outlineLvl w:val="1"/>
        <w:rPr>
          <w:rFonts w:ascii="仿宋" w:eastAsia="仿宋" w:hAnsi="仿宋"/>
          <w:b/>
          <w:sz w:val="32"/>
          <w:szCs w:val="32"/>
        </w:rPr>
      </w:pPr>
      <w:bookmarkStart w:id="36" w:name="_Toc2707"/>
      <w:r>
        <w:rPr>
          <w:rFonts w:ascii="仿宋" w:eastAsia="仿宋" w:hAnsi="仿宋"/>
          <w:sz w:val="32"/>
          <w:szCs w:val="32"/>
        </w:rPr>
        <w:t>20</w:t>
      </w:r>
      <w:r>
        <w:rPr>
          <w:rFonts w:ascii="仿宋" w:eastAsia="仿宋" w:hAnsi="仿宋" w:hint="eastAsia"/>
          <w:sz w:val="32"/>
          <w:szCs w:val="32"/>
        </w:rPr>
        <w:t>22年本年支出合计</w:t>
      </w:r>
      <w:r>
        <w:rPr>
          <w:rFonts w:ascii="仿宋" w:eastAsia="仿宋" w:hAnsi="仿宋"/>
          <w:sz w:val="32"/>
          <w:szCs w:val="32"/>
        </w:rPr>
        <w:t>1153.69</w:t>
      </w:r>
      <w:r>
        <w:rPr>
          <w:rFonts w:ascii="仿宋" w:eastAsia="仿宋" w:hAnsi="仿宋" w:hint="eastAsia"/>
          <w:sz w:val="32"/>
          <w:szCs w:val="32"/>
        </w:rPr>
        <w:t>万元，其中：基本支出</w:t>
      </w:r>
      <w:r>
        <w:rPr>
          <w:rFonts w:ascii="仿宋" w:eastAsia="仿宋" w:hAnsi="仿宋"/>
          <w:sz w:val="32"/>
          <w:szCs w:val="32"/>
        </w:rPr>
        <w:t>1153.69</w:t>
      </w:r>
      <w:r>
        <w:rPr>
          <w:rFonts w:ascii="仿宋" w:eastAsia="仿宋" w:hAnsi="仿宋" w:hint="eastAsia"/>
          <w:sz w:val="32"/>
          <w:szCs w:val="32"/>
        </w:rPr>
        <w:t>万元，占</w:t>
      </w:r>
      <w:r>
        <w:rPr>
          <w:rFonts w:ascii="仿宋" w:eastAsia="仿宋" w:hAnsi="仿宋"/>
          <w:sz w:val="32"/>
          <w:szCs w:val="32"/>
        </w:rPr>
        <w:t>100%</w:t>
      </w:r>
      <w:r>
        <w:rPr>
          <w:rFonts w:ascii="仿宋" w:eastAsia="仿宋" w:hAnsi="仿宋" w:hint="eastAsia"/>
          <w:sz w:val="32"/>
          <w:szCs w:val="32"/>
        </w:rPr>
        <w:t>。</w:t>
      </w:r>
      <w:bookmarkEnd w:id="36"/>
    </w:p>
    <w:p w:rsidR="007E4AB4" w:rsidRDefault="00244179">
      <w:pPr>
        <w:pStyle w:val="a0"/>
        <w:spacing w:before="93"/>
      </w:pPr>
      <w:r>
        <w:rPr>
          <w:noProof/>
        </w:rPr>
        <w:drawing>
          <wp:inline distT="0" distB="0" distL="0" distR="0">
            <wp:extent cx="5267325" cy="2876550"/>
            <wp:effectExtent l="0" t="0" r="9525" b="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7E4AB4" w:rsidRDefault="00244179">
      <w:pPr>
        <w:spacing w:line="600" w:lineRule="exact"/>
        <w:ind w:firstLineChars="200" w:firstLine="640"/>
        <w:rPr>
          <w:rFonts w:ascii="仿宋" w:eastAsia="仿宋" w:hAnsi="仿宋"/>
          <w:sz w:val="32"/>
          <w:szCs w:val="32"/>
        </w:rPr>
      </w:pPr>
      <w:r>
        <w:rPr>
          <w:rFonts w:ascii="仿宋" w:eastAsia="仿宋" w:hAnsi="仿宋" w:hint="eastAsia"/>
          <w:sz w:val="32"/>
          <w:szCs w:val="32"/>
        </w:rPr>
        <w:t>（图3：支出决算结构图）（饼状图）</w:t>
      </w:r>
    </w:p>
    <w:p w:rsidR="007E4AB4" w:rsidRDefault="00244179">
      <w:pPr>
        <w:spacing w:line="600" w:lineRule="exact"/>
        <w:ind w:firstLineChars="200" w:firstLine="640"/>
        <w:outlineLvl w:val="1"/>
        <w:rPr>
          <w:rStyle w:val="2Char"/>
          <w:rFonts w:ascii="黑体" w:eastAsia="黑体" w:hAnsi="黑体"/>
          <w:b w:val="0"/>
        </w:rPr>
      </w:pPr>
      <w:bookmarkStart w:id="37" w:name="_Toc15396606"/>
      <w:bookmarkStart w:id="38" w:name="_Toc9577"/>
      <w:bookmarkStart w:id="39" w:name="_Toc15377208"/>
      <w:r>
        <w:rPr>
          <w:rFonts w:ascii="黑体" w:eastAsia="黑体" w:hAnsi="黑体" w:hint="eastAsia"/>
          <w:sz w:val="32"/>
          <w:szCs w:val="32"/>
        </w:rPr>
        <w:t>四、财</w:t>
      </w:r>
      <w:r>
        <w:rPr>
          <w:rStyle w:val="2Char"/>
          <w:rFonts w:ascii="黑体" w:eastAsia="黑体" w:hAnsi="黑体" w:hint="eastAsia"/>
          <w:b w:val="0"/>
        </w:rPr>
        <w:t>政拨款收入支出决算总体情况说明</w:t>
      </w:r>
      <w:bookmarkEnd w:id="37"/>
      <w:bookmarkEnd w:id="38"/>
      <w:bookmarkEnd w:id="39"/>
    </w:p>
    <w:p w:rsidR="007E4AB4" w:rsidRDefault="00244179">
      <w:pPr>
        <w:spacing w:line="600" w:lineRule="exact"/>
        <w:ind w:firstLine="640"/>
        <w:rPr>
          <w:rFonts w:ascii="仿宋" w:eastAsia="仿宋" w:hAnsi="仿宋"/>
          <w:b/>
          <w:sz w:val="32"/>
          <w:szCs w:val="32"/>
        </w:rPr>
      </w:pPr>
      <w:r>
        <w:rPr>
          <w:rFonts w:ascii="仿宋" w:eastAsia="仿宋" w:hAnsi="仿宋"/>
          <w:sz w:val="32"/>
          <w:szCs w:val="32"/>
        </w:rPr>
        <w:t>20</w:t>
      </w:r>
      <w:r>
        <w:rPr>
          <w:rFonts w:ascii="仿宋" w:eastAsia="仿宋" w:hAnsi="仿宋" w:hint="eastAsia"/>
          <w:sz w:val="32"/>
          <w:szCs w:val="32"/>
        </w:rPr>
        <w:t>22年财政拨款收、支总计</w:t>
      </w:r>
      <w:r>
        <w:rPr>
          <w:rFonts w:ascii="仿宋" w:eastAsia="仿宋" w:hAnsi="仿宋"/>
          <w:sz w:val="32"/>
          <w:szCs w:val="32"/>
        </w:rPr>
        <w:t>1153.69</w:t>
      </w:r>
      <w:r>
        <w:rPr>
          <w:rFonts w:ascii="仿宋" w:eastAsia="仿宋" w:hAnsi="仿宋" w:hint="eastAsia"/>
          <w:sz w:val="32"/>
          <w:szCs w:val="32"/>
        </w:rPr>
        <w:t>万元。与</w:t>
      </w:r>
      <w:r>
        <w:rPr>
          <w:rFonts w:ascii="仿宋" w:eastAsia="仿宋" w:hAnsi="仿宋"/>
          <w:sz w:val="32"/>
          <w:szCs w:val="32"/>
        </w:rPr>
        <w:t>20</w:t>
      </w:r>
      <w:r>
        <w:rPr>
          <w:rFonts w:ascii="仿宋" w:eastAsia="仿宋" w:hAnsi="仿宋" w:hint="eastAsia"/>
          <w:sz w:val="32"/>
          <w:szCs w:val="32"/>
        </w:rPr>
        <w:t>21年</w:t>
      </w:r>
      <w:r>
        <w:rPr>
          <w:rFonts w:ascii="仿宋" w:eastAsia="仿宋" w:hAnsi="仿宋" w:hint="eastAsia"/>
          <w:sz w:val="32"/>
          <w:szCs w:val="32"/>
        </w:rPr>
        <w:lastRenderedPageBreak/>
        <w:t>相比，财政拨款收、支总计各增加</w:t>
      </w:r>
      <w:r>
        <w:rPr>
          <w:rFonts w:ascii="仿宋" w:eastAsia="仿宋" w:hAnsi="仿宋"/>
          <w:sz w:val="32"/>
          <w:szCs w:val="32"/>
        </w:rPr>
        <w:t>148.47</w:t>
      </w:r>
      <w:r>
        <w:rPr>
          <w:rFonts w:ascii="仿宋" w:eastAsia="仿宋" w:hAnsi="仿宋" w:hint="eastAsia"/>
          <w:sz w:val="32"/>
          <w:szCs w:val="32"/>
        </w:rPr>
        <w:t>万元，增长</w:t>
      </w:r>
      <w:r>
        <w:rPr>
          <w:rFonts w:ascii="仿宋" w:eastAsia="仿宋" w:hAnsi="仿宋"/>
          <w:sz w:val="32"/>
          <w:szCs w:val="32"/>
        </w:rPr>
        <w:t>14.8%</w:t>
      </w:r>
      <w:r>
        <w:rPr>
          <w:rFonts w:ascii="仿宋" w:eastAsia="仿宋" w:hAnsi="仿宋" w:hint="eastAsia"/>
          <w:sz w:val="32"/>
          <w:szCs w:val="32"/>
        </w:rPr>
        <w:t>。主要变动原因是：人员经费中工资福利社保逐年增长。</w:t>
      </w:r>
    </w:p>
    <w:p w:rsidR="007E4AB4" w:rsidRDefault="00244179">
      <w:pPr>
        <w:pStyle w:val="a0"/>
        <w:spacing w:before="93"/>
      </w:pPr>
      <w:r>
        <w:rPr>
          <w:noProof/>
        </w:rPr>
        <w:drawing>
          <wp:inline distT="0" distB="0" distL="0" distR="0">
            <wp:extent cx="5429250" cy="3581400"/>
            <wp:effectExtent l="0" t="0" r="0" b="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E4AB4" w:rsidRDefault="00244179">
      <w:pPr>
        <w:spacing w:line="600" w:lineRule="exact"/>
        <w:ind w:firstLineChars="200" w:firstLine="640"/>
        <w:rPr>
          <w:rFonts w:ascii="仿宋" w:eastAsia="仿宋" w:hAnsi="仿宋"/>
          <w:sz w:val="32"/>
          <w:szCs w:val="32"/>
        </w:rPr>
      </w:pPr>
      <w:r>
        <w:rPr>
          <w:rFonts w:ascii="仿宋" w:eastAsia="仿宋" w:hAnsi="仿宋" w:hint="eastAsia"/>
          <w:sz w:val="32"/>
          <w:szCs w:val="32"/>
        </w:rPr>
        <w:t>（图4：财政拨款收、支决算总计变动情况）（柱状图）</w:t>
      </w:r>
    </w:p>
    <w:p w:rsidR="007E4AB4" w:rsidRDefault="00244179">
      <w:pPr>
        <w:spacing w:line="600" w:lineRule="exact"/>
        <w:ind w:firstLineChars="200" w:firstLine="640"/>
        <w:outlineLvl w:val="1"/>
        <w:rPr>
          <w:rStyle w:val="2Char"/>
          <w:rFonts w:ascii="黑体" w:eastAsia="黑体" w:hAnsi="黑体"/>
          <w:b w:val="0"/>
        </w:rPr>
      </w:pPr>
      <w:bookmarkStart w:id="40" w:name="_Toc15377209"/>
      <w:bookmarkStart w:id="41" w:name="_Toc19685"/>
      <w:bookmarkStart w:id="42" w:name="_Toc15396607"/>
      <w:r>
        <w:rPr>
          <w:rFonts w:ascii="黑体" w:eastAsia="黑体" w:hAnsi="黑体" w:hint="eastAsia"/>
          <w:sz w:val="32"/>
          <w:szCs w:val="32"/>
        </w:rPr>
        <w:t>五、</w:t>
      </w:r>
      <w:r>
        <w:rPr>
          <w:rFonts w:ascii="黑体" w:eastAsia="黑体" w:hAnsi="黑体" w:hint="eastAsia"/>
          <w:b/>
          <w:sz w:val="32"/>
          <w:szCs w:val="32"/>
        </w:rPr>
        <w:t>一</w:t>
      </w:r>
      <w:r>
        <w:rPr>
          <w:rStyle w:val="2Char"/>
          <w:rFonts w:ascii="黑体" w:eastAsia="黑体" w:hAnsi="黑体" w:hint="eastAsia"/>
          <w:b w:val="0"/>
        </w:rPr>
        <w:t>般公共预算财政拨款支出决算情况说明</w:t>
      </w:r>
      <w:bookmarkEnd w:id="40"/>
      <w:bookmarkEnd w:id="41"/>
      <w:bookmarkEnd w:id="42"/>
    </w:p>
    <w:p w:rsidR="007E4AB4" w:rsidRDefault="00244179" w:rsidP="00E35C15">
      <w:pPr>
        <w:spacing w:line="600" w:lineRule="exact"/>
        <w:ind w:firstLineChars="200" w:firstLine="643"/>
        <w:outlineLvl w:val="2"/>
        <w:rPr>
          <w:rFonts w:ascii="仿宋" w:eastAsia="仿宋" w:hAnsi="仿宋"/>
          <w:b/>
          <w:sz w:val="32"/>
          <w:szCs w:val="32"/>
        </w:rPr>
      </w:pPr>
      <w:bookmarkStart w:id="43" w:name="_Toc15377210"/>
      <w:r>
        <w:rPr>
          <w:rFonts w:ascii="仿宋" w:eastAsia="仿宋" w:hAnsi="仿宋" w:hint="eastAsia"/>
          <w:b/>
          <w:sz w:val="32"/>
          <w:szCs w:val="32"/>
        </w:rPr>
        <w:t>（一）一般公共预算财政拨款支出决算总体情况</w:t>
      </w:r>
      <w:bookmarkEnd w:id="43"/>
    </w:p>
    <w:p w:rsidR="007E4AB4" w:rsidRDefault="00244179">
      <w:pPr>
        <w:spacing w:line="600" w:lineRule="exact"/>
        <w:ind w:firstLineChars="200"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22年一般公共预算财政拨款支出</w:t>
      </w:r>
      <w:r>
        <w:rPr>
          <w:rFonts w:ascii="仿宋" w:eastAsia="仿宋" w:hAnsi="仿宋"/>
          <w:sz w:val="32"/>
          <w:szCs w:val="32"/>
        </w:rPr>
        <w:t>1153.69</w:t>
      </w:r>
      <w:r>
        <w:rPr>
          <w:rFonts w:ascii="仿宋" w:eastAsia="仿宋" w:hAnsi="仿宋" w:hint="eastAsia"/>
          <w:sz w:val="32"/>
          <w:szCs w:val="32"/>
        </w:rPr>
        <w:t>万元，占本年支出合计的</w:t>
      </w:r>
      <w:r>
        <w:rPr>
          <w:rFonts w:ascii="仿宋" w:eastAsia="仿宋" w:hAnsi="仿宋"/>
          <w:sz w:val="32"/>
          <w:szCs w:val="32"/>
        </w:rPr>
        <w:t>100%</w:t>
      </w:r>
      <w:r>
        <w:rPr>
          <w:rFonts w:ascii="仿宋" w:eastAsia="仿宋" w:hAnsi="仿宋" w:hint="eastAsia"/>
          <w:sz w:val="32"/>
          <w:szCs w:val="32"/>
        </w:rPr>
        <w:t>。与</w:t>
      </w:r>
      <w:r>
        <w:rPr>
          <w:rFonts w:ascii="仿宋" w:eastAsia="仿宋" w:hAnsi="仿宋"/>
          <w:sz w:val="32"/>
          <w:szCs w:val="32"/>
        </w:rPr>
        <w:t>20</w:t>
      </w:r>
      <w:r>
        <w:rPr>
          <w:rFonts w:ascii="仿宋" w:eastAsia="仿宋" w:hAnsi="仿宋" w:hint="eastAsia"/>
          <w:sz w:val="32"/>
          <w:szCs w:val="32"/>
        </w:rPr>
        <w:t>21年相比，一般公共预算财政拨款支出增加</w:t>
      </w:r>
      <w:r>
        <w:rPr>
          <w:rFonts w:ascii="仿宋" w:eastAsia="仿宋" w:hAnsi="仿宋"/>
          <w:sz w:val="32"/>
          <w:szCs w:val="32"/>
        </w:rPr>
        <w:t>148.47</w:t>
      </w:r>
      <w:r>
        <w:rPr>
          <w:rFonts w:ascii="仿宋" w:eastAsia="仿宋" w:hAnsi="仿宋" w:hint="eastAsia"/>
          <w:sz w:val="32"/>
          <w:szCs w:val="32"/>
        </w:rPr>
        <w:t>万元，增长</w:t>
      </w:r>
      <w:r>
        <w:rPr>
          <w:rFonts w:ascii="仿宋" w:eastAsia="仿宋" w:hAnsi="仿宋"/>
          <w:sz w:val="32"/>
          <w:szCs w:val="32"/>
        </w:rPr>
        <w:t>14.8%</w:t>
      </w:r>
      <w:r>
        <w:rPr>
          <w:rFonts w:ascii="仿宋" w:eastAsia="仿宋" w:hAnsi="仿宋" w:hint="eastAsia"/>
          <w:sz w:val="32"/>
          <w:szCs w:val="32"/>
        </w:rPr>
        <w:t>。主要变动原因是：人员经费中工资福利社保逐年增长。</w:t>
      </w:r>
    </w:p>
    <w:p w:rsidR="007E4AB4" w:rsidRDefault="007E4AB4">
      <w:pPr>
        <w:pStyle w:val="a0"/>
        <w:spacing w:before="93"/>
      </w:pPr>
    </w:p>
    <w:p w:rsidR="007E4AB4" w:rsidRDefault="00244179">
      <w:pPr>
        <w:pStyle w:val="a0"/>
        <w:spacing w:before="93"/>
      </w:pPr>
      <w:r>
        <w:rPr>
          <w:noProof/>
        </w:rPr>
        <w:lastRenderedPageBreak/>
        <w:drawing>
          <wp:inline distT="0" distB="0" distL="0" distR="0">
            <wp:extent cx="5267325" cy="3457575"/>
            <wp:effectExtent l="0" t="0" r="9525" b="952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E4AB4" w:rsidRDefault="00244179">
      <w:pPr>
        <w:spacing w:line="600" w:lineRule="exact"/>
        <w:ind w:firstLineChars="200" w:firstLine="640"/>
        <w:rPr>
          <w:rFonts w:ascii="仿宋" w:eastAsia="仿宋" w:hAnsi="仿宋"/>
          <w:sz w:val="32"/>
          <w:szCs w:val="32"/>
        </w:rPr>
      </w:pPr>
      <w:r>
        <w:rPr>
          <w:rFonts w:ascii="仿宋" w:eastAsia="仿宋" w:hAnsi="仿宋" w:hint="eastAsia"/>
          <w:sz w:val="32"/>
          <w:szCs w:val="32"/>
        </w:rPr>
        <w:t>（图5：一般公共预算财政拨款支出决算变动情况）（柱状图）</w:t>
      </w:r>
    </w:p>
    <w:p w:rsidR="007E4AB4" w:rsidRDefault="00244179" w:rsidP="00E35C15">
      <w:pPr>
        <w:spacing w:line="600" w:lineRule="exact"/>
        <w:ind w:firstLineChars="200" w:firstLine="643"/>
        <w:outlineLvl w:val="2"/>
        <w:rPr>
          <w:rFonts w:ascii="仿宋" w:eastAsia="仿宋" w:hAnsi="仿宋"/>
          <w:b/>
          <w:sz w:val="32"/>
          <w:szCs w:val="32"/>
        </w:rPr>
      </w:pPr>
      <w:bookmarkStart w:id="44" w:name="_Toc15377211"/>
      <w:r>
        <w:rPr>
          <w:rFonts w:ascii="仿宋" w:eastAsia="仿宋" w:hAnsi="仿宋" w:hint="eastAsia"/>
          <w:b/>
          <w:sz w:val="32"/>
          <w:szCs w:val="32"/>
        </w:rPr>
        <w:t>（二）一般公共预算财政拨款支出决算结构情况</w:t>
      </w:r>
      <w:bookmarkEnd w:id="44"/>
    </w:p>
    <w:p w:rsidR="007E4AB4" w:rsidRDefault="00244179">
      <w:pPr>
        <w:spacing w:line="600" w:lineRule="exact"/>
        <w:ind w:firstLine="640"/>
        <w:rPr>
          <w:rFonts w:ascii="仿宋" w:eastAsia="仿宋" w:hAnsi="仿宋"/>
          <w:b/>
          <w:sz w:val="32"/>
          <w:szCs w:val="32"/>
        </w:rPr>
      </w:pPr>
      <w:r>
        <w:rPr>
          <w:rFonts w:ascii="仿宋" w:eastAsia="仿宋" w:hAnsi="仿宋"/>
          <w:sz w:val="32"/>
          <w:szCs w:val="32"/>
        </w:rPr>
        <w:t>20</w:t>
      </w:r>
      <w:r>
        <w:rPr>
          <w:rFonts w:ascii="仿宋" w:eastAsia="仿宋" w:hAnsi="仿宋" w:hint="eastAsia"/>
          <w:sz w:val="32"/>
          <w:szCs w:val="32"/>
        </w:rPr>
        <w:t>22年一般公共预算财政拨款支出</w:t>
      </w:r>
      <w:r>
        <w:rPr>
          <w:rFonts w:ascii="仿宋" w:eastAsia="仿宋" w:hAnsi="仿宋"/>
          <w:sz w:val="32"/>
          <w:szCs w:val="32"/>
        </w:rPr>
        <w:t>1153.69</w:t>
      </w:r>
      <w:r>
        <w:rPr>
          <w:rFonts w:ascii="仿宋" w:eastAsia="仿宋" w:hAnsi="仿宋" w:hint="eastAsia"/>
          <w:sz w:val="32"/>
          <w:szCs w:val="32"/>
        </w:rPr>
        <w:t>万元，主要用于以下方面</w:t>
      </w:r>
      <w:r>
        <w:rPr>
          <w:rFonts w:ascii="仿宋" w:eastAsia="仿宋" w:hAnsi="仿宋"/>
          <w:sz w:val="32"/>
          <w:szCs w:val="32"/>
        </w:rPr>
        <w:t>:</w:t>
      </w:r>
      <w:r>
        <w:rPr>
          <w:rFonts w:ascii="仿宋" w:eastAsia="仿宋" w:hAnsi="仿宋" w:hint="eastAsia"/>
          <w:b/>
          <w:sz w:val="32"/>
          <w:szCs w:val="32"/>
        </w:rPr>
        <w:t>教育支出（类）</w:t>
      </w:r>
      <w:r>
        <w:rPr>
          <w:rFonts w:ascii="仿宋" w:eastAsia="仿宋" w:hAnsi="仿宋" w:hint="eastAsia"/>
          <w:sz w:val="32"/>
          <w:szCs w:val="32"/>
        </w:rPr>
        <w:t>1</w:t>
      </w:r>
      <w:r>
        <w:rPr>
          <w:rFonts w:ascii="仿宋" w:eastAsia="仿宋" w:hAnsi="仿宋"/>
          <w:sz w:val="32"/>
          <w:szCs w:val="32"/>
        </w:rPr>
        <w:t>032.71</w:t>
      </w:r>
      <w:r>
        <w:rPr>
          <w:rFonts w:ascii="仿宋" w:eastAsia="仿宋" w:hAnsi="仿宋" w:hint="eastAsia"/>
          <w:sz w:val="32"/>
          <w:szCs w:val="32"/>
        </w:rPr>
        <w:t>万元，占</w:t>
      </w:r>
      <w:r>
        <w:rPr>
          <w:rFonts w:ascii="仿宋" w:eastAsia="仿宋" w:hAnsi="仿宋"/>
          <w:sz w:val="32"/>
          <w:szCs w:val="32"/>
        </w:rPr>
        <w:t>90%</w:t>
      </w:r>
      <w:r>
        <w:rPr>
          <w:rFonts w:ascii="仿宋" w:eastAsia="仿宋" w:hAnsi="仿宋" w:hint="eastAsia"/>
          <w:sz w:val="32"/>
          <w:szCs w:val="32"/>
        </w:rPr>
        <w:t>；</w:t>
      </w:r>
      <w:r>
        <w:rPr>
          <w:rFonts w:ascii="仿宋" w:eastAsia="仿宋" w:hAnsi="仿宋" w:hint="eastAsia"/>
          <w:b/>
          <w:sz w:val="32"/>
          <w:szCs w:val="32"/>
        </w:rPr>
        <w:t>社会保障和就业（类）</w:t>
      </w:r>
      <w:r>
        <w:rPr>
          <w:rFonts w:ascii="仿宋" w:eastAsia="仿宋" w:hAnsi="仿宋" w:hint="eastAsia"/>
          <w:sz w:val="32"/>
          <w:szCs w:val="32"/>
        </w:rPr>
        <w:t>支出</w:t>
      </w:r>
      <w:r>
        <w:rPr>
          <w:rFonts w:ascii="仿宋" w:eastAsia="仿宋" w:hAnsi="仿宋"/>
          <w:sz w:val="32"/>
          <w:szCs w:val="32"/>
        </w:rPr>
        <w:t>52.8</w:t>
      </w:r>
      <w:r>
        <w:rPr>
          <w:rFonts w:ascii="仿宋" w:eastAsia="仿宋" w:hAnsi="仿宋" w:hint="eastAsia"/>
          <w:sz w:val="32"/>
          <w:szCs w:val="32"/>
        </w:rPr>
        <w:t>万元，占</w:t>
      </w:r>
      <w:r>
        <w:rPr>
          <w:rFonts w:ascii="仿宋" w:eastAsia="仿宋" w:hAnsi="仿宋"/>
          <w:sz w:val="32"/>
          <w:szCs w:val="32"/>
        </w:rPr>
        <w:t>4.5%</w:t>
      </w:r>
      <w:r>
        <w:rPr>
          <w:rFonts w:ascii="仿宋" w:eastAsia="仿宋" w:hAnsi="仿宋" w:hint="eastAsia"/>
          <w:sz w:val="32"/>
          <w:szCs w:val="32"/>
        </w:rPr>
        <w:t>；</w:t>
      </w:r>
      <w:r>
        <w:rPr>
          <w:rFonts w:ascii="仿宋" w:eastAsia="仿宋" w:hAnsi="仿宋" w:hint="eastAsia"/>
          <w:b/>
          <w:bCs/>
          <w:sz w:val="32"/>
          <w:szCs w:val="32"/>
        </w:rPr>
        <w:t>卫生健康支出</w:t>
      </w:r>
      <w:r>
        <w:rPr>
          <w:rFonts w:ascii="仿宋" w:eastAsia="仿宋" w:hAnsi="仿宋"/>
          <w:sz w:val="32"/>
          <w:szCs w:val="32"/>
        </w:rPr>
        <w:t>22.75</w:t>
      </w:r>
      <w:r>
        <w:rPr>
          <w:rFonts w:ascii="仿宋" w:eastAsia="仿宋" w:hAnsi="仿宋" w:hint="eastAsia"/>
          <w:sz w:val="32"/>
          <w:szCs w:val="32"/>
        </w:rPr>
        <w:t>万元，占</w:t>
      </w:r>
      <w:r>
        <w:rPr>
          <w:rFonts w:ascii="仿宋" w:eastAsia="仿宋" w:hAnsi="仿宋"/>
          <w:sz w:val="32"/>
          <w:szCs w:val="32"/>
        </w:rPr>
        <w:t>1.97%</w:t>
      </w:r>
      <w:r>
        <w:rPr>
          <w:rFonts w:ascii="仿宋" w:eastAsia="仿宋" w:hAnsi="仿宋" w:hint="eastAsia"/>
          <w:sz w:val="32"/>
          <w:szCs w:val="32"/>
        </w:rPr>
        <w:t>；</w:t>
      </w:r>
      <w:r>
        <w:rPr>
          <w:rFonts w:ascii="仿宋" w:eastAsia="仿宋" w:hAnsi="仿宋" w:hint="eastAsia"/>
          <w:b/>
          <w:bCs/>
          <w:sz w:val="32"/>
          <w:szCs w:val="32"/>
        </w:rPr>
        <w:t>住房保障支出</w:t>
      </w:r>
      <w:r>
        <w:rPr>
          <w:rFonts w:ascii="仿宋" w:eastAsia="仿宋" w:hAnsi="仿宋"/>
          <w:sz w:val="32"/>
          <w:szCs w:val="32"/>
        </w:rPr>
        <w:t>45.44</w:t>
      </w:r>
      <w:r>
        <w:rPr>
          <w:rFonts w:ascii="仿宋" w:eastAsia="仿宋" w:hAnsi="仿宋" w:hint="eastAsia"/>
          <w:sz w:val="32"/>
          <w:szCs w:val="32"/>
        </w:rPr>
        <w:t>万元，占3.</w:t>
      </w:r>
      <w:r>
        <w:rPr>
          <w:rFonts w:ascii="仿宋" w:eastAsia="仿宋" w:hAnsi="仿宋"/>
          <w:sz w:val="32"/>
          <w:szCs w:val="32"/>
        </w:rPr>
        <w:t>53%</w:t>
      </w:r>
      <w:r>
        <w:rPr>
          <w:rFonts w:ascii="仿宋" w:eastAsia="仿宋" w:hAnsi="仿宋" w:hint="eastAsia"/>
          <w:sz w:val="32"/>
          <w:szCs w:val="32"/>
        </w:rPr>
        <w:t>。</w:t>
      </w:r>
    </w:p>
    <w:p w:rsidR="007E4AB4" w:rsidRDefault="00244179">
      <w:pPr>
        <w:pStyle w:val="a0"/>
        <w:spacing w:before="93"/>
      </w:pPr>
      <w:r>
        <w:rPr>
          <w:noProof/>
        </w:rPr>
        <w:drawing>
          <wp:inline distT="0" distB="0" distL="0" distR="0">
            <wp:extent cx="5334000" cy="2400300"/>
            <wp:effectExtent l="0" t="0" r="0" b="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E4AB4" w:rsidRDefault="00244179">
      <w:pPr>
        <w:spacing w:line="600" w:lineRule="exact"/>
        <w:ind w:firstLineChars="200" w:firstLine="640"/>
        <w:rPr>
          <w:rFonts w:ascii="仿宋" w:eastAsia="仿宋" w:hAnsi="仿宋"/>
          <w:sz w:val="32"/>
          <w:szCs w:val="32"/>
        </w:rPr>
      </w:pPr>
      <w:r>
        <w:rPr>
          <w:rFonts w:ascii="仿宋" w:eastAsia="仿宋" w:hAnsi="仿宋" w:hint="eastAsia"/>
          <w:sz w:val="32"/>
          <w:szCs w:val="32"/>
        </w:rPr>
        <w:lastRenderedPageBreak/>
        <w:t>（图6：一般公共预算财政拨款支出决算结构）（饼状图）</w:t>
      </w:r>
    </w:p>
    <w:p w:rsidR="007E4AB4" w:rsidRDefault="00244179" w:rsidP="00E35C15">
      <w:pPr>
        <w:spacing w:line="600" w:lineRule="exact"/>
        <w:ind w:firstLineChars="200" w:firstLine="643"/>
        <w:outlineLvl w:val="2"/>
        <w:rPr>
          <w:rFonts w:ascii="仿宋" w:eastAsia="仿宋" w:hAnsi="仿宋"/>
          <w:b/>
          <w:sz w:val="32"/>
          <w:szCs w:val="32"/>
        </w:rPr>
      </w:pPr>
      <w:bookmarkStart w:id="45" w:name="_Toc15377212"/>
      <w:r>
        <w:rPr>
          <w:rFonts w:ascii="仿宋" w:eastAsia="仿宋" w:hAnsi="仿宋" w:hint="eastAsia"/>
          <w:b/>
          <w:sz w:val="32"/>
          <w:szCs w:val="32"/>
        </w:rPr>
        <w:t>（三）一般公共预算财政拨款支出决算具体情况</w:t>
      </w:r>
      <w:bookmarkEnd w:id="45"/>
    </w:p>
    <w:p w:rsidR="007E4AB4" w:rsidRDefault="00244179" w:rsidP="00E35C15">
      <w:pPr>
        <w:spacing w:line="600" w:lineRule="exact"/>
        <w:ind w:firstLineChars="200" w:firstLine="643"/>
        <w:outlineLvl w:val="1"/>
        <w:rPr>
          <w:rStyle w:val="a7"/>
          <w:rFonts w:ascii="仿宋" w:eastAsia="仿宋" w:hAnsi="仿宋"/>
          <w:bCs/>
          <w:sz w:val="32"/>
          <w:szCs w:val="32"/>
        </w:rPr>
      </w:pPr>
      <w:bookmarkStart w:id="46" w:name="_Toc8868"/>
      <w:bookmarkStart w:id="47" w:name="_Toc15377213"/>
      <w:bookmarkStart w:id="48" w:name="_Toc15378460"/>
      <w:bookmarkStart w:id="49" w:name="_Toc15377444"/>
      <w:r>
        <w:rPr>
          <w:rFonts w:ascii="仿宋" w:eastAsia="仿宋" w:hAnsi="仿宋" w:hint="eastAsia"/>
          <w:b/>
          <w:sz w:val="32"/>
          <w:szCs w:val="32"/>
        </w:rPr>
        <w:t>2022年一般公共预算支出决算数为</w:t>
      </w:r>
      <w:r>
        <w:rPr>
          <w:rFonts w:ascii="仿宋" w:eastAsia="仿宋" w:hAnsi="仿宋"/>
          <w:b/>
          <w:sz w:val="32"/>
          <w:szCs w:val="32"/>
        </w:rPr>
        <w:t>1153.69</w:t>
      </w:r>
      <w:r>
        <w:rPr>
          <w:rFonts w:ascii="仿宋" w:eastAsia="仿宋" w:hAnsi="仿宋" w:hint="eastAsia"/>
          <w:sz w:val="32"/>
          <w:szCs w:val="32"/>
        </w:rPr>
        <w:t>，</w:t>
      </w:r>
      <w:r>
        <w:rPr>
          <w:rStyle w:val="a7"/>
          <w:rFonts w:ascii="仿宋" w:eastAsia="仿宋" w:hAnsi="仿宋" w:hint="eastAsia"/>
          <w:bCs/>
          <w:sz w:val="32"/>
          <w:szCs w:val="32"/>
        </w:rPr>
        <w:t>完成预算</w:t>
      </w:r>
      <w:r>
        <w:rPr>
          <w:rStyle w:val="a7"/>
          <w:rFonts w:ascii="仿宋" w:eastAsia="仿宋" w:hAnsi="仿宋"/>
          <w:bCs/>
          <w:sz w:val="32"/>
          <w:szCs w:val="32"/>
        </w:rPr>
        <w:t>100%</w:t>
      </w:r>
      <w:r>
        <w:rPr>
          <w:rStyle w:val="a7"/>
          <w:rFonts w:ascii="仿宋" w:eastAsia="仿宋" w:hAnsi="仿宋" w:hint="eastAsia"/>
          <w:bCs/>
          <w:sz w:val="32"/>
          <w:szCs w:val="32"/>
        </w:rPr>
        <w:t>。其中：</w:t>
      </w:r>
      <w:bookmarkEnd w:id="46"/>
      <w:bookmarkEnd w:id="47"/>
      <w:bookmarkEnd w:id="48"/>
      <w:bookmarkEnd w:id="49"/>
    </w:p>
    <w:p w:rsidR="007E4AB4" w:rsidRDefault="00244179" w:rsidP="00E35C15">
      <w:pPr>
        <w:spacing w:line="600" w:lineRule="exact"/>
        <w:ind w:firstLineChars="200" w:firstLine="643"/>
        <w:rPr>
          <w:rStyle w:val="a7"/>
          <w:rFonts w:ascii="仿宋" w:eastAsia="仿宋" w:hAnsi="仿宋"/>
          <w:b w:val="0"/>
          <w:bCs/>
          <w:sz w:val="32"/>
          <w:szCs w:val="32"/>
        </w:rPr>
      </w:pPr>
      <w:r>
        <w:rPr>
          <w:rStyle w:val="a7"/>
          <w:rFonts w:ascii="仿宋" w:eastAsia="仿宋" w:hAnsi="仿宋" w:hint="eastAsia"/>
          <w:bCs/>
          <w:sz w:val="32"/>
          <w:szCs w:val="32"/>
        </w:rPr>
        <w:t>1</w:t>
      </w:r>
      <w:r>
        <w:rPr>
          <w:rStyle w:val="a7"/>
          <w:rFonts w:ascii="仿宋" w:eastAsia="仿宋" w:hAnsi="仿宋"/>
          <w:bCs/>
          <w:sz w:val="32"/>
          <w:szCs w:val="32"/>
        </w:rPr>
        <w:t>.</w:t>
      </w:r>
      <w:r>
        <w:rPr>
          <w:rStyle w:val="a7"/>
          <w:rFonts w:ascii="仿宋" w:eastAsia="仿宋" w:hAnsi="仿宋" w:hint="eastAsia"/>
          <w:bCs/>
          <w:sz w:val="32"/>
          <w:szCs w:val="32"/>
        </w:rPr>
        <w:t>教育支出（类）普通教育（款）小学教育（项）</w:t>
      </w:r>
      <w:r>
        <w:rPr>
          <w:rStyle w:val="a7"/>
          <w:rFonts w:ascii="仿宋" w:eastAsia="仿宋" w:hAnsi="仿宋"/>
          <w:bCs/>
          <w:sz w:val="32"/>
          <w:szCs w:val="32"/>
        </w:rPr>
        <w:t>:</w:t>
      </w:r>
      <w:r>
        <w:rPr>
          <w:rStyle w:val="a7"/>
          <w:rFonts w:ascii="仿宋" w:eastAsia="仿宋" w:hAnsi="仿宋" w:hint="eastAsia"/>
          <w:b w:val="0"/>
          <w:bCs/>
          <w:sz w:val="32"/>
          <w:szCs w:val="32"/>
        </w:rPr>
        <w:t>支出决算为</w:t>
      </w:r>
      <w:r>
        <w:rPr>
          <w:rStyle w:val="a7"/>
          <w:rFonts w:ascii="仿宋" w:eastAsia="仿宋" w:hAnsi="仿宋"/>
          <w:b w:val="0"/>
          <w:bCs/>
          <w:sz w:val="32"/>
          <w:szCs w:val="32"/>
        </w:rPr>
        <w:t>16.17</w:t>
      </w:r>
      <w:r>
        <w:rPr>
          <w:rStyle w:val="a7"/>
          <w:rFonts w:ascii="仿宋" w:eastAsia="仿宋" w:hAnsi="仿宋" w:hint="eastAsia"/>
          <w:b w:val="0"/>
          <w:bCs/>
          <w:sz w:val="32"/>
          <w:szCs w:val="32"/>
        </w:rPr>
        <w:t>万元，完成预算100</w:t>
      </w:r>
      <w:r>
        <w:rPr>
          <w:rStyle w:val="a7"/>
          <w:rFonts w:ascii="仿宋" w:eastAsia="仿宋" w:hAnsi="仿宋"/>
          <w:b w:val="0"/>
          <w:bCs/>
          <w:sz w:val="32"/>
          <w:szCs w:val="32"/>
        </w:rPr>
        <w:t>%</w:t>
      </w:r>
      <w:r>
        <w:rPr>
          <w:rStyle w:val="a7"/>
          <w:rFonts w:ascii="仿宋" w:eastAsia="仿宋" w:hAnsi="仿宋" w:hint="eastAsia"/>
          <w:b w:val="0"/>
          <w:bCs/>
          <w:sz w:val="32"/>
          <w:szCs w:val="32"/>
        </w:rPr>
        <w:t>，决算数等于预算数。</w:t>
      </w:r>
    </w:p>
    <w:p w:rsidR="007E4AB4" w:rsidRDefault="00244179">
      <w:pPr>
        <w:pStyle w:val="a0"/>
        <w:spacing w:before="93"/>
      </w:pPr>
      <w:r>
        <w:rPr>
          <w:rStyle w:val="a7"/>
          <w:rFonts w:ascii="仿宋" w:eastAsia="仿宋" w:hAnsi="仿宋"/>
          <w:bCs/>
          <w:kern w:val="2"/>
          <w:sz w:val="32"/>
          <w:szCs w:val="32"/>
        </w:rPr>
        <w:t>2.</w:t>
      </w:r>
      <w:r>
        <w:rPr>
          <w:rStyle w:val="a7"/>
          <w:rFonts w:ascii="仿宋" w:eastAsia="仿宋" w:hAnsi="仿宋" w:hint="eastAsia"/>
          <w:bCs/>
          <w:sz w:val="32"/>
          <w:szCs w:val="32"/>
        </w:rPr>
        <w:t>教育支出（类）普通教育（款）初中教育（项）</w:t>
      </w:r>
      <w:r>
        <w:rPr>
          <w:rStyle w:val="a7"/>
          <w:rFonts w:ascii="仿宋" w:eastAsia="仿宋" w:hAnsi="仿宋"/>
          <w:bCs/>
          <w:sz w:val="32"/>
          <w:szCs w:val="32"/>
        </w:rPr>
        <w:t>:</w:t>
      </w:r>
      <w:r>
        <w:rPr>
          <w:rStyle w:val="a7"/>
          <w:rFonts w:ascii="仿宋" w:eastAsia="仿宋" w:hAnsi="仿宋" w:hint="eastAsia"/>
          <w:b w:val="0"/>
          <w:bCs/>
          <w:sz w:val="32"/>
          <w:szCs w:val="32"/>
        </w:rPr>
        <w:t>支出决算为</w:t>
      </w:r>
      <w:r>
        <w:rPr>
          <w:rStyle w:val="a7"/>
          <w:rFonts w:ascii="仿宋" w:eastAsia="仿宋" w:hAnsi="仿宋"/>
          <w:b w:val="0"/>
          <w:bCs/>
          <w:sz w:val="32"/>
          <w:szCs w:val="32"/>
        </w:rPr>
        <w:t>641.14</w:t>
      </w:r>
      <w:r>
        <w:rPr>
          <w:rStyle w:val="a7"/>
          <w:rFonts w:ascii="仿宋" w:eastAsia="仿宋" w:hAnsi="仿宋" w:hint="eastAsia"/>
          <w:b w:val="0"/>
          <w:bCs/>
          <w:sz w:val="32"/>
          <w:szCs w:val="32"/>
        </w:rPr>
        <w:t>万元，完成预算100</w:t>
      </w:r>
      <w:r>
        <w:rPr>
          <w:rStyle w:val="a7"/>
          <w:rFonts w:ascii="仿宋" w:eastAsia="仿宋" w:hAnsi="仿宋"/>
          <w:b w:val="0"/>
          <w:bCs/>
          <w:sz w:val="32"/>
          <w:szCs w:val="32"/>
        </w:rPr>
        <w:t>%</w:t>
      </w:r>
      <w:r>
        <w:rPr>
          <w:rStyle w:val="a7"/>
          <w:rFonts w:ascii="仿宋" w:eastAsia="仿宋" w:hAnsi="仿宋" w:hint="eastAsia"/>
          <w:b w:val="0"/>
          <w:bCs/>
          <w:sz w:val="32"/>
          <w:szCs w:val="32"/>
        </w:rPr>
        <w:t>，决算数等于预算数。</w:t>
      </w:r>
    </w:p>
    <w:p w:rsidR="007E4AB4" w:rsidRDefault="00244179" w:rsidP="00E35C15">
      <w:pPr>
        <w:spacing w:line="600" w:lineRule="exact"/>
        <w:ind w:firstLineChars="200" w:firstLine="643"/>
        <w:rPr>
          <w:rFonts w:ascii="仿宋" w:eastAsia="仿宋" w:hAnsi="仿宋"/>
          <w:bCs/>
          <w:sz w:val="32"/>
          <w:szCs w:val="32"/>
        </w:rPr>
      </w:pPr>
      <w:r>
        <w:rPr>
          <w:rStyle w:val="a7"/>
          <w:rFonts w:ascii="仿宋" w:eastAsia="仿宋" w:hAnsi="仿宋"/>
          <w:bCs/>
          <w:sz w:val="32"/>
          <w:szCs w:val="32"/>
        </w:rPr>
        <w:t>3.</w:t>
      </w:r>
      <w:r>
        <w:rPr>
          <w:rStyle w:val="a7"/>
          <w:rFonts w:ascii="仿宋" w:eastAsia="仿宋" w:hAnsi="仿宋" w:hint="eastAsia"/>
          <w:bCs/>
          <w:sz w:val="32"/>
          <w:szCs w:val="32"/>
        </w:rPr>
        <w:t>教育支出（类）普通教育（款）高中教育（项）</w:t>
      </w:r>
      <w:r>
        <w:rPr>
          <w:rStyle w:val="a7"/>
          <w:rFonts w:ascii="仿宋" w:eastAsia="仿宋" w:hAnsi="仿宋"/>
          <w:bCs/>
          <w:sz w:val="32"/>
          <w:szCs w:val="32"/>
        </w:rPr>
        <w:t>:</w:t>
      </w:r>
      <w:r>
        <w:rPr>
          <w:rStyle w:val="a7"/>
          <w:rFonts w:ascii="仿宋" w:eastAsia="仿宋" w:hAnsi="仿宋" w:hint="eastAsia"/>
          <w:b w:val="0"/>
          <w:bCs/>
          <w:sz w:val="32"/>
          <w:szCs w:val="32"/>
        </w:rPr>
        <w:t>支出决算为</w:t>
      </w:r>
      <w:r>
        <w:rPr>
          <w:rStyle w:val="a7"/>
          <w:rFonts w:ascii="仿宋" w:eastAsia="仿宋" w:hAnsi="仿宋"/>
          <w:b w:val="0"/>
          <w:bCs/>
          <w:sz w:val="32"/>
          <w:szCs w:val="32"/>
        </w:rPr>
        <w:t>375.39</w:t>
      </w:r>
      <w:r>
        <w:rPr>
          <w:rStyle w:val="a7"/>
          <w:rFonts w:ascii="仿宋" w:eastAsia="仿宋" w:hAnsi="仿宋" w:hint="eastAsia"/>
          <w:b w:val="0"/>
          <w:bCs/>
          <w:sz w:val="32"/>
          <w:szCs w:val="32"/>
        </w:rPr>
        <w:t>万元，完成预算100</w:t>
      </w:r>
      <w:r>
        <w:rPr>
          <w:rStyle w:val="a7"/>
          <w:rFonts w:ascii="仿宋" w:eastAsia="仿宋" w:hAnsi="仿宋"/>
          <w:b w:val="0"/>
          <w:bCs/>
          <w:sz w:val="32"/>
          <w:szCs w:val="32"/>
        </w:rPr>
        <w:t>%</w:t>
      </w:r>
      <w:r>
        <w:rPr>
          <w:rStyle w:val="a7"/>
          <w:rFonts w:ascii="仿宋" w:eastAsia="仿宋" w:hAnsi="仿宋" w:hint="eastAsia"/>
          <w:b w:val="0"/>
          <w:bCs/>
          <w:sz w:val="32"/>
          <w:szCs w:val="32"/>
        </w:rPr>
        <w:t>，决算数等于预算数。</w:t>
      </w:r>
    </w:p>
    <w:p w:rsidR="007E4AB4" w:rsidRDefault="00244179" w:rsidP="00E35C15">
      <w:pPr>
        <w:spacing w:line="600" w:lineRule="exact"/>
        <w:ind w:firstLineChars="200" w:firstLine="643"/>
        <w:rPr>
          <w:rStyle w:val="a7"/>
          <w:rFonts w:ascii="仿宋" w:eastAsia="仿宋" w:hAnsi="仿宋"/>
          <w:b w:val="0"/>
          <w:bCs/>
          <w:sz w:val="32"/>
          <w:szCs w:val="32"/>
        </w:rPr>
      </w:pPr>
      <w:r>
        <w:rPr>
          <w:rStyle w:val="a7"/>
          <w:rFonts w:ascii="仿宋" w:eastAsia="仿宋" w:hAnsi="仿宋"/>
          <w:bCs/>
          <w:sz w:val="32"/>
          <w:szCs w:val="32"/>
        </w:rPr>
        <w:t>4.</w:t>
      </w:r>
      <w:r>
        <w:rPr>
          <w:rStyle w:val="a7"/>
          <w:rFonts w:ascii="仿宋" w:eastAsia="仿宋" w:hAnsi="仿宋" w:hint="eastAsia"/>
          <w:bCs/>
          <w:sz w:val="32"/>
          <w:szCs w:val="32"/>
        </w:rPr>
        <w:t>社会保障和就业支出（类）行政事业单位养老支出（款）事业单位离退休（项）</w:t>
      </w:r>
      <w:r>
        <w:rPr>
          <w:rStyle w:val="a7"/>
          <w:rFonts w:ascii="仿宋" w:eastAsia="仿宋" w:hAnsi="仿宋"/>
          <w:bCs/>
          <w:sz w:val="32"/>
          <w:szCs w:val="32"/>
        </w:rPr>
        <w:t>:</w:t>
      </w:r>
      <w:r>
        <w:rPr>
          <w:rStyle w:val="a7"/>
          <w:rFonts w:ascii="仿宋" w:eastAsia="仿宋" w:hAnsi="仿宋" w:hint="eastAsia"/>
          <w:b w:val="0"/>
          <w:bCs/>
          <w:sz w:val="32"/>
          <w:szCs w:val="32"/>
        </w:rPr>
        <w:t>支出决算为0.5万元，完成预算100</w:t>
      </w:r>
      <w:r>
        <w:rPr>
          <w:rStyle w:val="a7"/>
          <w:rFonts w:ascii="仿宋" w:eastAsia="仿宋" w:hAnsi="仿宋"/>
          <w:b w:val="0"/>
          <w:bCs/>
          <w:sz w:val="32"/>
          <w:szCs w:val="32"/>
        </w:rPr>
        <w:t>%</w:t>
      </w:r>
      <w:r>
        <w:rPr>
          <w:rStyle w:val="a7"/>
          <w:rFonts w:ascii="仿宋" w:eastAsia="仿宋" w:hAnsi="仿宋" w:hint="eastAsia"/>
          <w:b w:val="0"/>
          <w:bCs/>
          <w:sz w:val="32"/>
          <w:szCs w:val="32"/>
        </w:rPr>
        <w:t>，决算数等于预算数。</w:t>
      </w:r>
    </w:p>
    <w:p w:rsidR="007E4AB4" w:rsidRDefault="00244179" w:rsidP="00E35C15">
      <w:pPr>
        <w:pStyle w:val="a0"/>
        <w:spacing w:before="93"/>
        <w:ind w:firstLineChars="196" w:firstLine="630"/>
        <w:rPr>
          <w:rStyle w:val="a7"/>
          <w:rFonts w:ascii="仿宋" w:eastAsia="仿宋" w:hAnsi="仿宋"/>
          <w:b w:val="0"/>
          <w:bCs/>
          <w:sz w:val="32"/>
          <w:szCs w:val="32"/>
        </w:rPr>
      </w:pPr>
      <w:r>
        <w:rPr>
          <w:rStyle w:val="a7"/>
          <w:rFonts w:ascii="仿宋" w:eastAsia="仿宋" w:hAnsi="仿宋"/>
          <w:bCs/>
          <w:sz w:val="32"/>
          <w:szCs w:val="32"/>
        </w:rPr>
        <w:t>5.</w:t>
      </w:r>
      <w:r>
        <w:rPr>
          <w:rStyle w:val="a7"/>
          <w:rFonts w:ascii="仿宋" w:eastAsia="仿宋" w:hAnsi="仿宋" w:hint="eastAsia"/>
          <w:bCs/>
          <w:sz w:val="32"/>
          <w:szCs w:val="32"/>
        </w:rPr>
        <w:t>社会保障和就业支出（类）行政事业单位养老支出（款）机关事业单位基本养老保险缴费支出（项）</w:t>
      </w:r>
      <w:r>
        <w:rPr>
          <w:rStyle w:val="a7"/>
          <w:rFonts w:ascii="仿宋" w:eastAsia="仿宋" w:hAnsi="仿宋"/>
          <w:bCs/>
          <w:sz w:val="32"/>
          <w:szCs w:val="32"/>
        </w:rPr>
        <w:t>:</w:t>
      </w:r>
      <w:r>
        <w:rPr>
          <w:rStyle w:val="a7"/>
          <w:rFonts w:ascii="仿宋" w:eastAsia="仿宋" w:hAnsi="仿宋" w:hint="eastAsia"/>
          <w:b w:val="0"/>
          <w:bCs/>
          <w:sz w:val="32"/>
          <w:szCs w:val="32"/>
        </w:rPr>
        <w:t>支出决算为</w:t>
      </w:r>
      <w:r>
        <w:rPr>
          <w:rStyle w:val="a7"/>
          <w:rFonts w:ascii="仿宋" w:eastAsia="仿宋" w:hAnsi="仿宋"/>
          <w:b w:val="0"/>
          <w:bCs/>
          <w:sz w:val="32"/>
          <w:szCs w:val="32"/>
        </w:rPr>
        <w:t>45.50</w:t>
      </w:r>
      <w:r>
        <w:rPr>
          <w:rStyle w:val="a7"/>
          <w:rFonts w:ascii="仿宋" w:eastAsia="仿宋" w:hAnsi="仿宋" w:hint="eastAsia"/>
          <w:b w:val="0"/>
          <w:bCs/>
          <w:sz w:val="32"/>
          <w:szCs w:val="32"/>
        </w:rPr>
        <w:t>万元，完成预算100</w:t>
      </w:r>
      <w:r>
        <w:rPr>
          <w:rStyle w:val="a7"/>
          <w:rFonts w:ascii="仿宋" w:eastAsia="仿宋" w:hAnsi="仿宋"/>
          <w:b w:val="0"/>
          <w:bCs/>
          <w:sz w:val="32"/>
          <w:szCs w:val="32"/>
        </w:rPr>
        <w:t>%</w:t>
      </w:r>
      <w:r>
        <w:rPr>
          <w:rStyle w:val="a7"/>
          <w:rFonts w:ascii="仿宋" w:eastAsia="仿宋" w:hAnsi="仿宋" w:hint="eastAsia"/>
          <w:b w:val="0"/>
          <w:bCs/>
          <w:sz w:val="32"/>
          <w:szCs w:val="32"/>
        </w:rPr>
        <w:t>，决算数等于预算数。</w:t>
      </w:r>
    </w:p>
    <w:p w:rsidR="007E4AB4" w:rsidRDefault="00244179" w:rsidP="00E35C15">
      <w:pPr>
        <w:pStyle w:val="a0"/>
        <w:spacing w:before="93"/>
        <w:ind w:firstLineChars="196" w:firstLine="630"/>
        <w:rPr>
          <w:rStyle w:val="a7"/>
          <w:rFonts w:ascii="仿宋" w:eastAsia="仿宋" w:hAnsi="仿宋"/>
          <w:b w:val="0"/>
          <w:bCs/>
          <w:sz w:val="32"/>
          <w:szCs w:val="32"/>
        </w:rPr>
      </w:pPr>
      <w:r>
        <w:rPr>
          <w:rStyle w:val="a7"/>
          <w:rFonts w:ascii="仿宋" w:eastAsia="仿宋" w:hAnsi="仿宋"/>
          <w:bCs/>
          <w:sz w:val="32"/>
          <w:szCs w:val="32"/>
        </w:rPr>
        <w:t>6.</w:t>
      </w:r>
      <w:r>
        <w:rPr>
          <w:rStyle w:val="a7"/>
          <w:rFonts w:ascii="仿宋" w:eastAsia="仿宋" w:hAnsi="仿宋" w:hint="eastAsia"/>
          <w:bCs/>
          <w:sz w:val="32"/>
          <w:szCs w:val="32"/>
        </w:rPr>
        <w:t>社会保障和就业支出（类）行政事业单位养老支出（款）机关事业单位职业年金缴费支出（项）</w:t>
      </w:r>
      <w:r>
        <w:rPr>
          <w:rStyle w:val="a7"/>
          <w:rFonts w:ascii="仿宋" w:eastAsia="仿宋" w:hAnsi="仿宋"/>
          <w:bCs/>
          <w:sz w:val="32"/>
          <w:szCs w:val="32"/>
        </w:rPr>
        <w:t>:</w:t>
      </w:r>
      <w:r>
        <w:rPr>
          <w:rStyle w:val="a7"/>
          <w:rFonts w:ascii="仿宋" w:eastAsia="仿宋" w:hAnsi="仿宋" w:hint="eastAsia"/>
          <w:b w:val="0"/>
          <w:bCs/>
          <w:sz w:val="32"/>
          <w:szCs w:val="32"/>
        </w:rPr>
        <w:t>支出决算为</w:t>
      </w:r>
      <w:r>
        <w:rPr>
          <w:rStyle w:val="a7"/>
          <w:rFonts w:ascii="仿宋" w:eastAsia="仿宋" w:hAnsi="仿宋"/>
          <w:b w:val="0"/>
          <w:bCs/>
          <w:sz w:val="32"/>
          <w:szCs w:val="32"/>
        </w:rPr>
        <w:t>6.79</w:t>
      </w:r>
      <w:r>
        <w:rPr>
          <w:rStyle w:val="a7"/>
          <w:rFonts w:ascii="仿宋" w:eastAsia="仿宋" w:hAnsi="仿宋" w:hint="eastAsia"/>
          <w:b w:val="0"/>
          <w:bCs/>
          <w:sz w:val="32"/>
          <w:szCs w:val="32"/>
        </w:rPr>
        <w:t>万元，完成预算100</w:t>
      </w:r>
      <w:r>
        <w:rPr>
          <w:rStyle w:val="a7"/>
          <w:rFonts w:ascii="仿宋" w:eastAsia="仿宋" w:hAnsi="仿宋"/>
          <w:b w:val="0"/>
          <w:bCs/>
          <w:sz w:val="32"/>
          <w:szCs w:val="32"/>
        </w:rPr>
        <w:t>%</w:t>
      </w:r>
      <w:r>
        <w:rPr>
          <w:rStyle w:val="a7"/>
          <w:rFonts w:ascii="仿宋" w:eastAsia="仿宋" w:hAnsi="仿宋" w:hint="eastAsia"/>
          <w:b w:val="0"/>
          <w:bCs/>
          <w:sz w:val="32"/>
          <w:szCs w:val="32"/>
        </w:rPr>
        <w:t>，决算数等于预算数。</w:t>
      </w:r>
    </w:p>
    <w:p w:rsidR="007E4AB4" w:rsidRDefault="00244179" w:rsidP="00E35C15">
      <w:pPr>
        <w:spacing w:line="600" w:lineRule="exact"/>
        <w:ind w:firstLineChars="200" w:firstLine="643"/>
        <w:rPr>
          <w:rStyle w:val="a7"/>
          <w:rFonts w:ascii="仿宋" w:eastAsia="仿宋" w:hAnsi="仿宋"/>
          <w:b w:val="0"/>
          <w:bCs/>
          <w:sz w:val="32"/>
          <w:szCs w:val="32"/>
        </w:rPr>
      </w:pPr>
      <w:r>
        <w:rPr>
          <w:rStyle w:val="a7"/>
          <w:rFonts w:ascii="仿宋" w:eastAsia="仿宋" w:hAnsi="仿宋"/>
          <w:bCs/>
          <w:sz w:val="32"/>
          <w:szCs w:val="32"/>
        </w:rPr>
        <w:t>7.</w:t>
      </w:r>
      <w:r>
        <w:rPr>
          <w:rFonts w:ascii="仿宋" w:eastAsia="仿宋" w:hAnsi="仿宋" w:hint="eastAsia"/>
          <w:b/>
          <w:bCs/>
          <w:sz w:val="32"/>
          <w:szCs w:val="32"/>
        </w:rPr>
        <w:t>卫生健康支出</w:t>
      </w:r>
      <w:r>
        <w:rPr>
          <w:rStyle w:val="a7"/>
          <w:rFonts w:ascii="仿宋" w:eastAsia="仿宋" w:hAnsi="仿宋" w:hint="eastAsia"/>
          <w:bCs/>
          <w:sz w:val="32"/>
          <w:szCs w:val="32"/>
        </w:rPr>
        <w:t>（类）行政事业单位医疗（款）事业单位医疗（项）</w:t>
      </w:r>
      <w:r>
        <w:rPr>
          <w:rStyle w:val="a7"/>
          <w:rFonts w:ascii="仿宋" w:eastAsia="仿宋" w:hAnsi="仿宋"/>
          <w:bCs/>
          <w:sz w:val="32"/>
          <w:szCs w:val="32"/>
        </w:rPr>
        <w:t>:</w:t>
      </w:r>
      <w:r>
        <w:rPr>
          <w:rStyle w:val="a7"/>
          <w:rFonts w:ascii="仿宋" w:eastAsia="仿宋" w:hAnsi="仿宋" w:hint="eastAsia"/>
          <w:b w:val="0"/>
          <w:bCs/>
          <w:sz w:val="32"/>
          <w:szCs w:val="32"/>
        </w:rPr>
        <w:t>支出决算为2</w:t>
      </w:r>
      <w:r>
        <w:rPr>
          <w:rStyle w:val="a7"/>
          <w:rFonts w:ascii="仿宋" w:eastAsia="仿宋" w:hAnsi="仿宋"/>
          <w:b w:val="0"/>
          <w:bCs/>
          <w:sz w:val="32"/>
          <w:szCs w:val="32"/>
        </w:rPr>
        <w:t>2.75</w:t>
      </w:r>
      <w:r>
        <w:rPr>
          <w:rStyle w:val="a7"/>
          <w:rFonts w:ascii="仿宋" w:eastAsia="仿宋" w:hAnsi="仿宋" w:hint="eastAsia"/>
          <w:b w:val="0"/>
          <w:bCs/>
          <w:sz w:val="32"/>
          <w:szCs w:val="32"/>
        </w:rPr>
        <w:t>万元，完成预算100</w:t>
      </w:r>
      <w:r>
        <w:rPr>
          <w:rStyle w:val="a7"/>
          <w:rFonts w:ascii="仿宋" w:eastAsia="仿宋" w:hAnsi="仿宋"/>
          <w:b w:val="0"/>
          <w:bCs/>
          <w:sz w:val="32"/>
          <w:szCs w:val="32"/>
        </w:rPr>
        <w:t>%</w:t>
      </w:r>
      <w:r>
        <w:rPr>
          <w:rStyle w:val="a7"/>
          <w:rFonts w:ascii="仿宋" w:eastAsia="仿宋" w:hAnsi="仿宋" w:hint="eastAsia"/>
          <w:b w:val="0"/>
          <w:bCs/>
          <w:sz w:val="32"/>
          <w:szCs w:val="32"/>
        </w:rPr>
        <w:t>，决算数等于预算数。</w:t>
      </w:r>
    </w:p>
    <w:p w:rsidR="007E4AB4" w:rsidRDefault="00244179" w:rsidP="00E35C15">
      <w:pPr>
        <w:pStyle w:val="a0"/>
        <w:spacing w:before="93"/>
        <w:ind w:firstLineChars="200" w:firstLine="643"/>
      </w:pPr>
      <w:r>
        <w:rPr>
          <w:rStyle w:val="a7"/>
          <w:rFonts w:ascii="仿宋" w:eastAsia="仿宋" w:hAnsi="仿宋"/>
          <w:bCs/>
          <w:sz w:val="32"/>
          <w:szCs w:val="32"/>
        </w:rPr>
        <w:lastRenderedPageBreak/>
        <w:t>8.</w:t>
      </w:r>
      <w:r>
        <w:rPr>
          <w:rFonts w:ascii="仿宋" w:eastAsia="仿宋" w:hAnsi="仿宋" w:hint="eastAsia"/>
          <w:b/>
          <w:bCs/>
          <w:sz w:val="32"/>
          <w:szCs w:val="32"/>
        </w:rPr>
        <w:t>住房保障支出</w:t>
      </w:r>
      <w:r>
        <w:rPr>
          <w:rStyle w:val="a7"/>
          <w:rFonts w:ascii="仿宋" w:eastAsia="仿宋" w:hAnsi="仿宋" w:hint="eastAsia"/>
          <w:bCs/>
          <w:sz w:val="32"/>
          <w:szCs w:val="32"/>
        </w:rPr>
        <w:t>（类）住房改革支出（款）住房公积金（项）</w:t>
      </w:r>
      <w:r>
        <w:rPr>
          <w:rStyle w:val="a7"/>
          <w:rFonts w:ascii="仿宋" w:eastAsia="仿宋" w:hAnsi="仿宋"/>
          <w:bCs/>
          <w:sz w:val="32"/>
          <w:szCs w:val="32"/>
        </w:rPr>
        <w:t>:</w:t>
      </w:r>
      <w:r>
        <w:rPr>
          <w:rStyle w:val="a7"/>
          <w:rFonts w:ascii="仿宋" w:eastAsia="仿宋" w:hAnsi="仿宋" w:hint="eastAsia"/>
          <w:b w:val="0"/>
          <w:bCs/>
          <w:sz w:val="32"/>
          <w:szCs w:val="32"/>
        </w:rPr>
        <w:t>支出决算为</w:t>
      </w:r>
      <w:r>
        <w:rPr>
          <w:rStyle w:val="a7"/>
          <w:rFonts w:ascii="仿宋" w:eastAsia="仿宋" w:hAnsi="仿宋"/>
          <w:b w:val="0"/>
          <w:bCs/>
          <w:sz w:val="32"/>
          <w:szCs w:val="32"/>
        </w:rPr>
        <w:t>45.44</w:t>
      </w:r>
      <w:r>
        <w:rPr>
          <w:rStyle w:val="a7"/>
          <w:rFonts w:ascii="仿宋" w:eastAsia="仿宋" w:hAnsi="仿宋" w:hint="eastAsia"/>
          <w:b w:val="0"/>
          <w:bCs/>
          <w:sz w:val="32"/>
          <w:szCs w:val="32"/>
        </w:rPr>
        <w:t>万元，完成预算100</w:t>
      </w:r>
      <w:r>
        <w:rPr>
          <w:rStyle w:val="a7"/>
          <w:rFonts w:ascii="仿宋" w:eastAsia="仿宋" w:hAnsi="仿宋"/>
          <w:b w:val="0"/>
          <w:bCs/>
          <w:sz w:val="32"/>
          <w:szCs w:val="32"/>
        </w:rPr>
        <w:t>%</w:t>
      </w:r>
      <w:r>
        <w:rPr>
          <w:rStyle w:val="a7"/>
          <w:rFonts w:ascii="仿宋" w:eastAsia="仿宋" w:hAnsi="仿宋" w:hint="eastAsia"/>
          <w:b w:val="0"/>
          <w:bCs/>
          <w:sz w:val="32"/>
          <w:szCs w:val="32"/>
        </w:rPr>
        <w:t>，决算数等于预算数。</w:t>
      </w:r>
    </w:p>
    <w:p w:rsidR="007E4AB4" w:rsidRDefault="00244179">
      <w:pPr>
        <w:tabs>
          <w:tab w:val="right" w:pos="8306"/>
        </w:tabs>
        <w:spacing w:line="600" w:lineRule="exact"/>
        <w:ind w:firstLine="640"/>
        <w:outlineLvl w:val="1"/>
        <w:rPr>
          <w:rStyle w:val="2Char"/>
        </w:rPr>
      </w:pPr>
      <w:bookmarkStart w:id="50" w:name="_Toc15396608"/>
      <w:bookmarkStart w:id="51" w:name="_Toc15377214"/>
      <w:bookmarkStart w:id="52" w:name="_Toc24641"/>
      <w:r>
        <w:rPr>
          <w:rFonts w:ascii="黑体" w:eastAsia="黑体" w:hint="eastAsia"/>
          <w:sz w:val="32"/>
          <w:szCs w:val="32"/>
        </w:rPr>
        <w:t>六</w:t>
      </w:r>
      <w:r>
        <w:rPr>
          <w:rFonts w:ascii="黑体" w:eastAsia="黑体" w:hint="eastAsia"/>
          <w:b/>
          <w:sz w:val="32"/>
          <w:szCs w:val="32"/>
        </w:rPr>
        <w:t>、</w:t>
      </w:r>
      <w:r>
        <w:rPr>
          <w:rFonts w:ascii="黑体" w:eastAsia="黑体" w:hAnsi="黑体" w:hint="eastAsia"/>
          <w:b/>
          <w:sz w:val="32"/>
          <w:szCs w:val="32"/>
        </w:rPr>
        <w:t>一</w:t>
      </w:r>
      <w:r>
        <w:rPr>
          <w:rStyle w:val="2Char"/>
          <w:rFonts w:ascii="黑体" w:eastAsia="黑体" w:hAnsi="黑体" w:hint="eastAsia"/>
          <w:b w:val="0"/>
        </w:rPr>
        <w:t>般公共预算财政拨款基本支出决算情况说明</w:t>
      </w:r>
      <w:bookmarkEnd w:id="50"/>
      <w:bookmarkEnd w:id="51"/>
      <w:bookmarkEnd w:id="52"/>
      <w:r>
        <w:rPr>
          <w:rStyle w:val="2Char"/>
          <w:rFonts w:ascii="黑体" w:eastAsia="黑体" w:hAnsi="黑体"/>
          <w:b w:val="0"/>
        </w:rPr>
        <w:tab/>
      </w:r>
    </w:p>
    <w:p w:rsidR="007E4AB4" w:rsidRDefault="00244179">
      <w:pPr>
        <w:spacing w:line="600" w:lineRule="exact"/>
        <w:ind w:firstLine="645"/>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22年一般公共预算财政拨款基本支出</w:t>
      </w:r>
      <w:r>
        <w:rPr>
          <w:rFonts w:ascii="仿宋" w:eastAsia="仿宋" w:hAnsi="仿宋"/>
          <w:sz w:val="32"/>
          <w:szCs w:val="32"/>
        </w:rPr>
        <w:t>1153.69</w:t>
      </w:r>
      <w:r>
        <w:rPr>
          <w:rFonts w:ascii="仿宋" w:eastAsia="仿宋" w:hAnsi="仿宋" w:hint="eastAsia"/>
          <w:sz w:val="32"/>
          <w:szCs w:val="32"/>
        </w:rPr>
        <w:t>万元，其中：</w:t>
      </w:r>
    </w:p>
    <w:p w:rsidR="007E4AB4" w:rsidRDefault="00244179">
      <w:pPr>
        <w:spacing w:line="600" w:lineRule="exact"/>
        <w:ind w:firstLine="645"/>
        <w:rPr>
          <w:rFonts w:ascii="仿宋" w:eastAsia="仿宋" w:hAnsi="仿宋"/>
          <w:sz w:val="32"/>
          <w:szCs w:val="32"/>
        </w:rPr>
      </w:pPr>
      <w:r>
        <w:rPr>
          <w:rFonts w:ascii="仿宋" w:eastAsia="仿宋" w:hAnsi="仿宋" w:hint="eastAsia"/>
          <w:sz w:val="32"/>
          <w:szCs w:val="32"/>
        </w:rPr>
        <w:t>人员经费</w:t>
      </w:r>
      <w:r>
        <w:rPr>
          <w:rFonts w:ascii="仿宋" w:eastAsia="仿宋" w:hAnsi="仿宋"/>
          <w:sz w:val="32"/>
          <w:szCs w:val="32"/>
        </w:rPr>
        <w:t>622.46</w:t>
      </w:r>
      <w:r>
        <w:rPr>
          <w:rFonts w:ascii="仿宋" w:eastAsia="仿宋" w:hAnsi="仿宋" w:hint="eastAsia"/>
          <w:sz w:val="32"/>
          <w:szCs w:val="32"/>
        </w:rPr>
        <w:t>万元，主要包括：基本工资、津贴补贴、绩效工资、机关事业单位基本养老保险缴费、职业年金缴费、职工基本医疗保险缴费、其他社会保障缴费、住房公积金、其他工资福利支出、生活补助、助学金。</w:t>
      </w:r>
      <w:r>
        <w:rPr>
          <w:rFonts w:ascii="仿宋" w:eastAsia="仿宋" w:hAnsi="仿宋"/>
          <w:sz w:val="32"/>
          <w:szCs w:val="32"/>
        </w:rPr>
        <w:br/>
      </w:r>
      <w:r>
        <w:rPr>
          <w:rFonts w:ascii="仿宋" w:eastAsia="仿宋" w:hAnsi="仿宋" w:hint="eastAsia"/>
          <w:sz w:val="32"/>
          <w:szCs w:val="32"/>
        </w:rPr>
        <w:t xml:space="preserve">　　公用经费</w:t>
      </w:r>
      <w:r>
        <w:rPr>
          <w:rFonts w:ascii="仿宋" w:eastAsia="仿宋" w:hAnsi="仿宋"/>
          <w:sz w:val="32"/>
          <w:szCs w:val="32"/>
        </w:rPr>
        <w:t>531.23</w:t>
      </w:r>
      <w:r>
        <w:rPr>
          <w:rFonts w:ascii="仿宋" w:eastAsia="仿宋" w:hAnsi="仿宋" w:hint="eastAsia"/>
          <w:sz w:val="32"/>
          <w:szCs w:val="32"/>
        </w:rPr>
        <w:t>万元，主要包括：办公费、印刷费、咨询费、水费、电费、邮电费、差旅费、维修（护）费、租赁费、培训费、工会经费、福利费、其他交通费用、其他商品和服务支出。</w:t>
      </w:r>
    </w:p>
    <w:p w:rsidR="007E4AB4" w:rsidRDefault="00244179">
      <w:pPr>
        <w:spacing w:line="600" w:lineRule="exact"/>
        <w:ind w:firstLine="640"/>
        <w:outlineLvl w:val="1"/>
        <w:rPr>
          <w:rStyle w:val="2Char"/>
          <w:rFonts w:ascii="黑体" w:eastAsia="黑体" w:hAnsi="黑体"/>
          <w:b w:val="0"/>
        </w:rPr>
      </w:pPr>
      <w:bookmarkStart w:id="53" w:name="_Toc16524"/>
      <w:bookmarkStart w:id="54" w:name="_Toc15396609"/>
      <w:bookmarkStart w:id="55" w:name="_Toc15377215"/>
      <w:r>
        <w:rPr>
          <w:rFonts w:ascii="黑体" w:eastAsia="黑体" w:hint="eastAsia"/>
          <w:sz w:val="32"/>
          <w:szCs w:val="32"/>
        </w:rPr>
        <w:t>七、</w:t>
      </w:r>
      <w:r>
        <w:rPr>
          <w:rStyle w:val="2Char"/>
          <w:rFonts w:ascii="黑体" w:eastAsia="黑体" w:hAnsi="黑体" w:hint="eastAsia"/>
          <w:b w:val="0"/>
        </w:rPr>
        <w:t>财政拨款</w:t>
      </w:r>
      <w:r>
        <w:rPr>
          <w:rStyle w:val="2Char"/>
          <w:rFonts w:ascii="黑体" w:eastAsia="黑体" w:hAnsi="黑体" w:hint="eastAsia"/>
        </w:rPr>
        <w:t>“</w:t>
      </w:r>
      <w:r>
        <w:rPr>
          <w:rStyle w:val="2Char"/>
          <w:rFonts w:ascii="黑体" w:eastAsia="黑体" w:hAnsi="黑体" w:hint="eastAsia"/>
          <w:b w:val="0"/>
        </w:rPr>
        <w:t>三公”经费支出决算情况说明</w:t>
      </w:r>
      <w:bookmarkEnd w:id="53"/>
      <w:bookmarkEnd w:id="54"/>
      <w:bookmarkEnd w:id="55"/>
    </w:p>
    <w:p w:rsidR="007E4AB4" w:rsidRDefault="00244179">
      <w:pPr>
        <w:spacing w:line="600" w:lineRule="exact"/>
        <w:ind w:firstLine="640"/>
        <w:outlineLvl w:val="2"/>
        <w:rPr>
          <w:rFonts w:ascii="仿宋" w:eastAsia="仿宋" w:hAnsi="仿宋"/>
          <w:b/>
          <w:sz w:val="32"/>
          <w:szCs w:val="32"/>
        </w:rPr>
      </w:pPr>
      <w:bookmarkStart w:id="56" w:name="_Toc15377216"/>
      <w:r>
        <w:rPr>
          <w:rFonts w:ascii="仿宋" w:eastAsia="仿宋" w:hAnsi="仿宋" w:hint="eastAsia"/>
          <w:b/>
          <w:sz w:val="32"/>
          <w:szCs w:val="32"/>
        </w:rPr>
        <w:t>（一）“三公”经费财政拨款支出决算总体情况说明</w:t>
      </w:r>
      <w:bookmarkEnd w:id="56"/>
    </w:p>
    <w:p w:rsidR="007E4AB4" w:rsidRDefault="00244179">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22年“三公”经费财政拨款支出决算为</w:t>
      </w:r>
      <w:r>
        <w:rPr>
          <w:rFonts w:ascii="仿宋" w:eastAsia="仿宋" w:hAnsi="仿宋"/>
          <w:sz w:val="32"/>
          <w:szCs w:val="32"/>
        </w:rPr>
        <w:t>0</w:t>
      </w:r>
      <w:r>
        <w:rPr>
          <w:rFonts w:ascii="仿宋" w:eastAsia="仿宋" w:hAnsi="仿宋" w:hint="eastAsia"/>
          <w:sz w:val="32"/>
          <w:szCs w:val="32"/>
        </w:rPr>
        <w:t>万元，年初未安排预算</w:t>
      </w:r>
      <w:r>
        <w:rPr>
          <w:rFonts w:ascii="仿宋" w:eastAsia="仿宋" w:hAnsi="仿宋"/>
          <w:sz w:val="32"/>
          <w:szCs w:val="32"/>
        </w:rPr>
        <w:t>，较2021年无变化</w:t>
      </w:r>
      <w:r>
        <w:rPr>
          <w:rFonts w:ascii="仿宋" w:eastAsia="仿宋" w:hAnsi="仿宋" w:hint="eastAsia"/>
          <w:sz w:val="32"/>
          <w:szCs w:val="32"/>
        </w:rPr>
        <w:t>。</w:t>
      </w:r>
    </w:p>
    <w:p w:rsidR="007E4AB4" w:rsidRDefault="00244179">
      <w:pPr>
        <w:spacing w:line="600" w:lineRule="exact"/>
        <w:ind w:firstLine="640"/>
        <w:outlineLvl w:val="2"/>
        <w:rPr>
          <w:rFonts w:ascii="仿宋" w:eastAsia="仿宋" w:hAnsi="仿宋"/>
          <w:b/>
          <w:sz w:val="32"/>
          <w:szCs w:val="32"/>
        </w:rPr>
      </w:pPr>
      <w:bookmarkStart w:id="57" w:name="_Toc15377217"/>
      <w:r>
        <w:rPr>
          <w:rFonts w:ascii="仿宋" w:eastAsia="仿宋" w:hAnsi="仿宋" w:hint="eastAsia"/>
          <w:b/>
          <w:sz w:val="32"/>
          <w:szCs w:val="32"/>
        </w:rPr>
        <w:t>（二）“三公”经费财政拨款支出决算具体情况说明</w:t>
      </w:r>
      <w:bookmarkEnd w:id="57"/>
    </w:p>
    <w:p w:rsidR="007E4AB4" w:rsidRDefault="00244179">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22年“三公”经费财政拨款支出决算中，因公出国（境）费支出决算</w:t>
      </w:r>
      <w:r>
        <w:rPr>
          <w:rFonts w:ascii="仿宋" w:eastAsia="仿宋" w:hAnsi="仿宋"/>
          <w:sz w:val="32"/>
          <w:szCs w:val="32"/>
        </w:rPr>
        <w:t>0</w:t>
      </w:r>
      <w:r>
        <w:rPr>
          <w:rFonts w:ascii="仿宋" w:eastAsia="仿宋" w:hAnsi="仿宋" w:hint="eastAsia"/>
          <w:sz w:val="32"/>
          <w:szCs w:val="32"/>
        </w:rPr>
        <w:t>万元，占</w:t>
      </w:r>
      <w:r>
        <w:rPr>
          <w:rFonts w:ascii="仿宋" w:eastAsia="仿宋" w:hAnsi="仿宋"/>
          <w:sz w:val="32"/>
          <w:szCs w:val="32"/>
        </w:rPr>
        <w:t>0%</w:t>
      </w:r>
      <w:r>
        <w:rPr>
          <w:rFonts w:ascii="仿宋" w:eastAsia="仿宋" w:hAnsi="仿宋" w:hint="eastAsia"/>
          <w:sz w:val="32"/>
          <w:szCs w:val="32"/>
        </w:rPr>
        <w:t>；公务用车购置及运行维护费支出决算</w:t>
      </w:r>
      <w:r>
        <w:rPr>
          <w:rFonts w:ascii="仿宋" w:eastAsia="仿宋" w:hAnsi="仿宋"/>
          <w:sz w:val="32"/>
          <w:szCs w:val="32"/>
        </w:rPr>
        <w:t>0</w:t>
      </w:r>
      <w:r>
        <w:rPr>
          <w:rFonts w:ascii="仿宋" w:eastAsia="仿宋" w:hAnsi="仿宋" w:hint="eastAsia"/>
          <w:sz w:val="32"/>
          <w:szCs w:val="32"/>
        </w:rPr>
        <w:t>万元，占</w:t>
      </w:r>
      <w:r>
        <w:rPr>
          <w:rFonts w:ascii="仿宋" w:eastAsia="仿宋" w:hAnsi="仿宋"/>
          <w:sz w:val="32"/>
          <w:szCs w:val="32"/>
        </w:rPr>
        <w:t>0%</w:t>
      </w:r>
      <w:r>
        <w:rPr>
          <w:rFonts w:ascii="仿宋" w:eastAsia="仿宋" w:hAnsi="仿宋" w:hint="eastAsia"/>
          <w:sz w:val="32"/>
          <w:szCs w:val="32"/>
        </w:rPr>
        <w:t>；公务接待费支出决算</w:t>
      </w:r>
      <w:r>
        <w:rPr>
          <w:rFonts w:ascii="仿宋" w:eastAsia="仿宋" w:hAnsi="仿宋"/>
          <w:sz w:val="32"/>
          <w:szCs w:val="32"/>
        </w:rPr>
        <w:t>0</w:t>
      </w:r>
      <w:r>
        <w:rPr>
          <w:rFonts w:ascii="仿宋" w:eastAsia="仿宋" w:hAnsi="仿宋" w:hint="eastAsia"/>
          <w:sz w:val="32"/>
          <w:szCs w:val="32"/>
        </w:rPr>
        <w:t>万元，占</w:t>
      </w:r>
      <w:r>
        <w:rPr>
          <w:rFonts w:ascii="仿宋" w:eastAsia="仿宋" w:hAnsi="仿宋"/>
          <w:sz w:val="32"/>
          <w:szCs w:val="32"/>
        </w:rPr>
        <w:t>0%</w:t>
      </w:r>
      <w:r>
        <w:rPr>
          <w:rFonts w:ascii="仿宋" w:eastAsia="仿宋" w:hAnsi="仿宋" w:hint="eastAsia"/>
          <w:sz w:val="32"/>
          <w:szCs w:val="32"/>
        </w:rPr>
        <w:t>。具体情况如下：</w:t>
      </w:r>
    </w:p>
    <w:p w:rsidR="007E4AB4" w:rsidRDefault="00244179">
      <w:pPr>
        <w:spacing w:line="600" w:lineRule="exact"/>
        <w:ind w:firstLine="640"/>
        <w:rPr>
          <w:rFonts w:ascii="仿宋_GB2312" w:eastAsia="仿宋_GB2312"/>
          <w:sz w:val="32"/>
          <w:szCs w:val="32"/>
        </w:rPr>
      </w:pPr>
      <w:r>
        <w:rPr>
          <w:rFonts w:ascii="仿宋_GB2312" w:eastAsia="仿宋_GB2312"/>
          <w:b/>
          <w:sz w:val="32"/>
          <w:szCs w:val="32"/>
        </w:rPr>
        <w:lastRenderedPageBreak/>
        <w:t>1.</w:t>
      </w:r>
      <w:r>
        <w:rPr>
          <w:rFonts w:ascii="仿宋_GB2312" w:eastAsia="仿宋_GB2312" w:hint="eastAsia"/>
          <w:b/>
          <w:sz w:val="32"/>
          <w:szCs w:val="32"/>
        </w:rPr>
        <w:t>因公出国（境）经费支出</w:t>
      </w:r>
      <w:r>
        <w:rPr>
          <w:rFonts w:ascii="仿宋_GB2312" w:eastAsia="仿宋_GB2312"/>
          <w:sz w:val="32"/>
          <w:szCs w:val="32"/>
        </w:rPr>
        <w:t>0</w:t>
      </w:r>
      <w:r>
        <w:rPr>
          <w:rFonts w:ascii="仿宋_GB2312" w:eastAsia="仿宋_GB2312" w:hint="eastAsia"/>
          <w:sz w:val="32"/>
          <w:szCs w:val="32"/>
        </w:rPr>
        <w:t>万元，年初未安排预算。</w:t>
      </w:r>
      <w:r>
        <w:rPr>
          <w:rStyle w:val="a7"/>
          <w:rFonts w:ascii="仿宋" w:eastAsia="仿宋" w:hAnsi="仿宋" w:hint="eastAsia"/>
          <w:b w:val="0"/>
          <w:bCs/>
          <w:sz w:val="32"/>
          <w:szCs w:val="32"/>
        </w:rPr>
        <w:t>因公出国（境）支出决算较202</w:t>
      </w:r>
      <w:r>
        <w:rPr>
          <w:rStyle w:val="a7"/>
          <w:rFonts w:ascii="仿宋" w:eastAsia="仿宋" w:hAnsi="仿宋"/>
          <w:b w:val="0"/>
          <w:bCs/>
          <w:sz w:val="32"/>
          <w:szCs w:val="32"/>
        </w:rPr>
        <w:t>1</w:t>
      </w:r>
      <w:r>
        <w:rPr>
          <w:rStyle w:val="a7"/>
          <w:rFonts w:ascii="仿宋" w:eastAsia="仿宋" w:hAnsi="仿宋" w:hint="eastAsia"/>
          <w:b w:val="0"/>
          <w:bCs/>
          <w:sz w:val="32"/>
          <w:szCs w:val="32"/>
        </w:rPr>
        <w:t>年无变化。</w:t>
      </w:r>
    </w:p>
    <w:p w:rsidR="007E4AB4" w:rsidRDefault="00244179">
      <w:pPr>
        <w:spacing w:line="600" w:lineRule="exact"/>
        <w:ind w:firstLine="640"/>
        <w:rPr>
          <w:rFonts w:ascii="仿宋_GB2312" w:eastAsia="仿宋_GB2312"/>
          <w:b/>
          <w:sz w:val="32"/>
          <w:szCs w:val="32"/>
        </w:rPr>
      </w:pPr>
      <w:r>
        <w:rPr>
          <w:rFonts w:ascii="仿宋_GB2312" w:eastAsia="仿宋_GB2312"/>
          <w:b/>
          <w:sz w:val="32"/>
          <w:szCs w:val="32"/>
        </w:rPr>
        <w:t>2.</w:t>
      </w:r>
      <w:r>
        <w:rPr>
          <w:rFonts w:ascii="仿宋_GB2312" w:eastAsia="仿宋_GB2312" w:hint="eastAsia"/>
          <w:b/>
          <w:sz w:val="32"/>
          <w:szCs w:val="32"/>
        </w:rPr>
        <w:t>公务用车购置及运行维护费支出</w:t>
      </w:r>
      <w:r>
        <w:rPr>
          <w:rFonts w:ascii="仿宋_GB2312" w:eastAsia="仿宋_GB2312"/>
          <w:sz w:val="32"/>
          <w:szCs w:val="32"/>
        </w:rPr>
        <w:t>0</w:t>
      </w:r>
      <w:r>
        <w:rPr>
          <w:rFonts w:ascii="仿宋_GB2312" w:eastAsia="仿宋_GB2312" w:hint="eastAsia"/>
          <w:sz w:val="32"/>
          <w:szCs w:val="32"/>
        </w:rPr>
        <w:t>万元，年初未安排预算。</w:t>
      </w:r>
      <w:r>
        <w:rPr>
          <w:rStyle w:val="a7"/>
          <w:rFonts w:ascii="仿宋" w:eastAsia="仿宋" w:hAnsi="仿宋" w:hint="eastAsia"/>
          <w:b w:val="0"/>
          <w:bCs/>
          <w:sz w:val="32"/>
          <w:szCs w:val="32"/>
        </w:rPr>
        <w:t>公务用车购置及运行维护费支出决算较</w:t>
      </w:r>
      <w:r>
        <w:rPr>
          <w:rStyle w:val="a7"/>
          <w:rFonts w:ascii="仿宋" w:eastAsia="仿宋" w:hAnsi="仿宋"/>
          <w:b w:val="0"/>
          <w:bCs/>
          <w:sz w:val="32"/>
          <w:szCs w:val="32"/>
        </w:rPr>
        <w:t>20</w:t>
      </w:r>
      <w:r>
        <w:rPr>
          <w:rStyle w:val="a7"/>
          <w:rFonts w:ascii="仿宋" w:eastAsia="仿宋" w:hAnsi="仿宋" w:hint="eastAsia"/>
          <w:b w:val="0"/>
          <w:bCs/>
          <w:sz w:val="32"/>
          <w:szCs w:val="32"/>
        </w:rPr>
        <w:t>2</w:t>
      </w:r>
      <w:r>
        <w:rPr>
          <w:rStyle w:val="a7"/>
          <w:rFonts w:ascii="仿宋" w:eastAsia="仿宋" w:hAnsi="仿宋"/>
          <w:b w:val="0"/>
          <w:bCs/>
          <w:sz w:val="32"/>
          <w:szCs w:val="32"/>
        </w:rPr>
        <w:t>1</w:t>
      </w:r>
      <w:r>
        <w:rPr>
          <w:rStyle w:val="a7"/>
          <w:rFonts w:ascii="仿宋" w:eastAsia="仿宋" w:hAnsi="仿宋" w:hint="eastAsia"/>
          <w:b w:val="0"/>
          <w:bCs/>
          <w:sz w:val="32"/>
          <w:szCs w:val="32"/>
        </w:rPr>
        <w:t>年无变化。</w:t>
      </w:r>
    </w:p>
    <w:p w:rsidR="007E4AB4" w:rsidRDefault="00244179">
      <w:pPr>
        <w:spacing w:line="600" w:lineRule="exact"/>
        <w:ind w:firstLineChars="200" w:firstLine="640"/>
        <w:rPr>
          <w:rFonts w:ascii="仿宋_GB2312" w:eastAsia="仿宋_GB2312"/>
          <w:b/>
          <w:sz w:val="32"/>
          <w:szCs w:val="32"/>
        </w:rPr>
      </w:pPr>
      <w:r>
        <w:rPr>
          <w:rFonts w:ascii="仿宋_GB2312" w:eastAsia="仿宋_GB2312" w:hint="eastAsia"/>
          <w:sz w:val="32"/>
          <w:szCs w:val="32"/>
        </w:rPr>
        <w:t>其中：</w:t>
      </w:r>
      <w:r>
        <w:rPr>
          <w:rFonts w:ascii="仿宋_GB2312" w:eastAsia="仿宋_GB2312" w:hint="eastAsia"/>
          <w:b/>
          <w:sz w:val="32"/>
          <w:szCs w:val="32"/>
        </w:rPr>
        <w:t>公务用车购置支出</w:t>
      </w:r>
      <w:r>
        <w:rPr>
          <w:rFonts w:ascii="仿宋_GB2312" w:eastAsia="仿宋_GB2312"/>
          <w:sz w:val="32"/>
          <w:szCs w:val="32"/>
        </w:rPr>
        <w:t>0</w:t>
      </w:r>
      <w:r>
        <w:rPr>
          <w:rFonts w:ascii="仿宋_GB2312" w:eastAsia="仿宋_GB2312" w:hint="eastAsia"/>
          <w:sz w:val="32"/>
          <w:szCs w:val="32"/>
        </w:rPr>
        <w:t>万元。全年按规定更新购置公务用车</w:t>
      </w:r>
      <w:r>
        <w:rPr>
          <w:rFonts w:ascii="仿宋_GB2312" w:eastAsia="仿宋_GB2312"/>
          <w:sz w:val="32"/>
          <w:szCs w:val="32"/>
        </w:rPr>
        <w:t>0</w:t>
      </w:r>
      <w:r>
        <w:rPr>
          <w:rFonts w:ascii="仿宋_GB2312" w:eastAsia="仿宋_GB2312" w:hint="eastAsia"/>
          <w:sz w:val="32"/>
          <w:szCs w:val="32"/>
        </w:rPr>
        <w:t>辆。截至</w:t>
      </w:r>
      <w:r>
        <w:rPr>
          <w:rFonts w:ascii="仿宋_GB2312" w:eastAsia="仿宋_GB2312"/>
          <w:sz w:val="32"/>
          <w:szCs w:val="32"/>
        </w:rPr>
        <w:t>20</w:t>
      </w:r>
      <w:r>
        <w:rPr>
          <w:rFonts w:ascii="仿宋_GB2312" w:eastAsia="仿宋_GB2312" w:hint="eastAsia"/>
          <w:sz w:val="32"/>
          <w:szCs w:val="32"/>
        </w:rPr>
        <w:t>22年</w:t>
      </w:r>
      <w:r>
        <w:rPr>
          <w:rFonts w:ascii="仿宋_GB2312" w:eastAsia="仿宋_GB2312"/>
          <w:sz w:val="32"/>
          <w:szCs w:val="32"/>
        </w:rPr>
        <w:t>12</w:t>
      </w:r>
      <w:r>
        <w:rPr>
          <w:rFonts w:ascii="仿宋_GB2312" w:eastAsia="仿宋_GB2312" w:hint="eastAsia"/>
          <w:sz w:val="32"/>
          <w:szCs w:val="32"/>
        </w:rPr>
        <w:t>月底，单位共有公务用车0辆。</w:t>
      </w:r>
    </w:p>
    <w:p w:rsidR="007E4AB4" w:rsidRDefault="00244179">
      <w:pPr>
        <w:spacing w:line="600" w:lineRule="exact"/>
        <w:ind w:firstLine="640"/>
        <w:rPr>
          <w:rFonts w:ascii="仿宋_GB2312" w:eastAsia="仿宋_GB2312"/>
          <w:sz w:val="32"/>
          <w:szCs w:val="32"/>
        </w:rPr>
      </w:pPr>
      <w:r>
        <w:rPr>
          <w:rFonts w:ascii="仿宋_GB2312" w:eastAsia="仿宋_GB2312" w:hint="eastAsia"/>
          <w:b/>
          <w:sz w:val="32"/>
          <w:szCs w:val="32"/>
        </w:rPr>
        <w:t>公务用车运行维护费支出</w:t>
      </w:r>
      <w:r>
        <w:rPr>
          <w:rFonts w:ascii="仿宋_GB2312" w:eastAsia="仿宋_GB2312"/>
          <w:sz w:val="32"/>
          <w:szCs w:val="32"/>
        </w:rPr>
        <w:t>0</w:t>
      </w:r>
      <w:r>
        <w:rPr>
          <w:rFonts w:ascii="仿宋_GB2312" w:eastAsia="仿宋_GB2312" w:hint="eastAsia"/>
          <w:sz w:val="32"/>
          <w:szCs w:val="32"/>
        </w:rPr>
        <w:t>万元。</w:t>
      </w:r>
      <w:r>
        <w:rPr>
          <w:rStyle w:val="a7"/>
          <w:rFonts w:ascii="仿宋" w:eastAsia="仿宋" w:hAnsi="仿宋" w:hint="eastAsia"/>
          <w:b w:val="0"/>
          <w:bCs/>
          <w:sz w:val="32"/>
          <w:szCs w:val="32"/>
        </w:rPr>
        <w:t>年初未安排预算。</w:t>
      </w:r>
    </w:p>
    <w:p w:rsidR="007E4AB4" w:rsidRDefault="00244179">
      <w:pPr>
        <w:spacing w:line="600" w:lineRule="exact"/>
        <w:ind w:firstLine="640"/>
        <w:rPr>
          <w:rFonts w:ascii="仿宋_GB2312" w:eastAsia="仿宋_GB2312"/>
          <w:sz w:val="32"/>
          <w:szCs w:val="32"/>
        </w:rPr>
      </w:pPr>
      <w:r>
        <w:rPr>
          <w:rFonts w:ascii="仿宋_GB2312" w:eastAsia="仿宋_GB2312"/>
          <w:b/>
          <w:sz w:val="32"/>
          <w:szCs w:val="32"/>
        </w:rPr>
        <w:t>3.</w:t>
      </w:r>
      <w:r>
        <w:rPr>
          <w:rFonts w:ascii="仿宋_GB2312" w:eastAsia="仿宋_GB2312" w:hint="eastAsia"/>
          <w:b/>
          <w:sz w:val="32"/>
          <w:szCs w:val="32"/>
        </w:rPr>
        <w:t>公务接待费支出</w:t>
      </w:r>
      <w:r>
        <w:rPr>
          <w:rFonts w:ascii="仿宋_GB2312" w:eastAsia="仿宋_GB2312"/>
          <w:sz w:val="32"/>
          <w:szCs w:val="32"/>
        </w:rPr>
        <w:t>0</w:t>
      </w:r>
      <w:r>
        <w:rPr>
          <w:rFonts w:ascii="仿宋_GB2312" w:eastAsia="仿宋_GB2312" w:hint="eastAsia"/>
          <w:sz w:val="32"/>
          <w:szCs w:val="32"/>
        </w:rPr>
        <w:t>万元，</w:t>
      </w:r>
      <w:r>
        <w:rPr>
          <w:rStyle w:val="a7"/>
          <w:rFonts w:ascii="仿宋" w:eastAsia="仿宋" w:hAnsi="仿宋" w:hint="eastAsia"/>
          <w:b w:val="0"/>
          <w:bCs/>
          <w:sz w:val="32"/>
          <w:szCs w:val="32"/>
        </w:rPr>
        <w:t>年初未安排预算。公务接待费支出决算较</w:t>
      </w:r>
      <w:r>
        <w:rPr>
          <w:rStyle w:val="a7"/>
          <w:rFonts w:ascii="仿宋" w:eastAsia="仿宋" w:hAnsi="仿宋"/>
          <w:b w:val="0"/>
          <w:bCs/>
          <w:sz w:val="32"/>
          <w:szCs w:val="32"/>
        </w:rPr>
        <w:t>20</w:t>
      </w:r>
      <w:r>
        <w:rPr>
          <w:rStyle w:val="a7"/>
          <w:rFonts w:ascii="仿宋" w:eastAsia="仿宋" w:hAnsi="仿宋" w:hint="eastAsia"/>
          <w:b w:val="0"/>
          <w:bCs/>
          <w:sz w:val="32"/>
          <w:szCs w:val="32"/>
        </w:rPr>
        <w:t>2</w:t>
      </w:r>
      <w:r>
        <w:rPr>
          <w:rStyle w:val="a7"/>
          <w:rFonts w:ascii="仿宋" w:eastAsia="仿宋" w:hAnsi="仿宋"/>
          <w:b w:val="0"/>
          <w:bCs/>
          <w:sz w:val="32"/>
          <w:szCs w:val="32"/>
        </w:rPr>
        <w:t>1</w:t>
      </w:r>
      <w:r>
        <w:rPr>
          <w:rStyle w:val="a7"/>
          <w:rFonts w:ascii="仿宋" w:eastAsia="仿宋" w:hAnsi="仿宋" w:hint="eastAsia"/>
          <w:b w:val="0"/>
          <w:bCs/>
          <w:sz w:val="32"/>
          <w:szCs w:val="32"/>
        </w:rPr>
        <w:t>年无变化。</w:t>
      </w:r>
    </w:p>
    <w:p w:rsidR="007E4AB4" w:rsidRDefault="00244179">
      <w:pPr>
        <w:spacing w:line="600" w:lineRule="exact"/>
        <w:ind w:firstLine="640"/>
        <w:outlineLvl w:val="1"/>
        <w:rPr>
          <w:rStyle w:val="2Char"/>
          <w:rFonts w:ascii="黑体" w:eastAsia="黑体" w:hAnsi="黑体"/>
        </w:rPr>
      </w:pPr>
      <w:bookmarkStart w:id="58" w:name="_Toc15377218"/>
      <w:bookmarkStart w:id="59" w:name="_Toc15396610"/>
      <w:bookmarkStart w:id="60" w:name="_Toc4916"/>
      <w:r>
        <w:rPr>
          <w:rFonts w:ascii="黑体" w:eastAsia="黑体" w:hint="eastAsia"/>
          <w:sz w:val="32"/>
          <w:szCs w:val="32"/>
        </w:rPr>
        <w:t>八、</w:t>
      </w:r>
      <w:r>
        <w:rPr>
          <w:rStyle w:val="2Char"/>
          <w:rFonts w:ascii="黑体" w:eastAsia="黑体" w:hAnsi="黑体" w:hint="eastAsia"/>
          <w:b w:val="0"/>
        </w:rPr>
        <w:t>政府性基金预算支出决算情况说明</w:t>
      </w:r>
      <w:bookmarkEnd w:id="58"/>
      <w:bookmarkEnd w:id="59"/>
      <w:bookmarkEnd w:id="60"/>
    </w:p>
    <w:p w:rsidR="007E4AB4" w:rsidRDefault="00244179">
      <w:pPr>
        <w:spacing w:line="600" w:lineRule="exact"/>
        <w:ind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22年政府性基金预算财政拨款支出</w:t>
      </w:r>
      <w:r>
        <w:rPr>
          <w:rFonts w:ascii="仿宋_GB2312" w:eastAsia="仿宋_GB2312"/>
          <w:sz w:val="32"/>
          <w:szCs w:val="32"/>
        </w:rPr>
        <w:t>0</w:t>
      </w:r>
      <w:r>
        <w:rPr>
          <w:rFonts w:ascii="仿宋_GB2312" w:eastAsia="仿宋_GB2312" w:hint="eastAsia"/>
          <w:sz w:val="32"/>
          <w:szCs w:val="32"/>
        </w:rPr>
        <w:t>万元。</w:t>
      </w:r>
    </w:p>
    <w:p w:rsidR="007E4AB4" w:rsidRDefault="00244179">
      <w:pPr>
        <w:numPr>
          <w:ilvl w:val="0"/>
          <w:numId w:val="3"/>
        </w:numPr>
        <w:spacing w:line="600" w:lineRule="exact"/>
        <w:ind w:firstLine="640"/>
        <w:outlineLvl w:val="1"/>
        <w:rPr>
          <w:rStyle w:val="2Char"/>
          <w:rFonts w:ascii="黑体" w:eastAsia="黑体" w:hAnsi="黑体"/>
          <w:b w:val="0"/>
        </w:rPr>
      </w:pPr>
      <w:bookmarkStart w:id="61" w:name="_Toc17366"/>
      <w:bookmarkStart w:id="62" w:name="_Toc15396611"/>
      <w:bookmarkStart w:id="63" w:name="_Toc15377219"/>
      <w:r>
        <w:rPr>
          <w:rStyle w:val="2Char"/>
          <w:rFonts w:ascii="黑体" w:eastAsia="黑体" w:hAnsi="黑体" w:hint="eastAsia"/>
          <w:b w:val="0"/>
        </w:rPr>
        <w:t>国有资本经营预算支出决算情况说明</w:t>
      </w:r>
      <w:bookmarkEnd w:id="61"/>
      <w:bookmarkEnd w:id="62"/>
      <w:bookmarkEnd w:id="63"/>
    </w:p>
    <w:p w:rsidR="007E4AB4" w:rsidRDefault="00244179">
      <w:pPr>
        <w:spacing w:line="600" w:lineRule="exact"/>
        <w:ind w:firstLine="640"/>
        <w:rPr>
          <w:rFonts w:ascii="方正小标宋简体" w:eastAsia="方正小标宋简体" w:hAnsi="方正小标宋简体" w:cs="方正小标宋简体"/>
          <w:sz w:val="44"/>
          <w:szCs w:val="44"/>
        </w:rPr>
      </w:pPr>
      <w:r>
        <w:rPr>
          <w:rFonts w:ascii="仿宋_GB2312" w:eastAsia="仿宋_GB2312"/>
          <w:sz w:val="32"/>
          <w:szCs w:val="32"/>
        </w:rPr>
        <w:t>20</w:t>
      </w:r>
      <w:r>
        <w:rPr>
          <w:rFonts w:ascii="仿宋_GB2312" w:eastAsia="仿宋_GB2312" w:hint="eastAsia"/>
          <w:sz w:val="32"/>
          <w:szCs w:val="32"/>
        </w:rPr>
        <w:t>22年国有资本经营预算财政拨款支出</w:t>
      </w:r>
      <w:r>
        <w:rPr>
          <w:rFonts w:ascii="仿宋_GB2312" w:eastAsia="仿宋_GB2312"/>
          <w:sz w:val="32"/>
          <w:szCs w:val="32"/>
        </w:rPr>
        <w:t>0</w:t>
      </w:r>
      <w:r>
        <w:rPr>
          <w:rFonts w:ascii="仿宋_GB2312" w:eastAsia="仿宋_GB2312" w:hint="eastAsia"/>
          <w:sz w:val="32"/>
          <w:szCs w:val="32"/>
        </w:rPr>
        <w:t>万元。</w:t>
      </w:r>
    </w:p>
    <w:p w:rsidR="007E4AB4" w:rsidRDefault="00244179">
      <w:pPr>
        <w:numPr>
          <w:ilvl w:val="0"/>
          <w:numId w:val="3"/>
        </w:numPr>
        <w:spacing w:line="600" w:lineRule="exact"/>
        <w:ind w:firstLine="640"/>
        <w:outlineLvl w:val="1"/>
        <w:rPr>
          <w:rStyle w:val="2Char"/>
          <w:rFonts w:ascii="黑体" w:eastAsia="黑体" w:hAnsi="黑体"/>
          <w:b w:val="0"/>
        </w:rPr>
      </w:pPr>
      <w:bookmarkStart w:id="64" w:name="_Toc15396612"/>
      <w:bookmarkStart w:id="65" w:name="_Toc15377221"/>
      <w:bookmarkStart w:id="66" w:name="_Toc28304"/>
      <w:r>
        <w:rPr>
          <w:rStyle w:val="2Char"/>
          <w:rFonts w:ascii="黑体" w:eastAsia="黑体" w:hAnsi="黑体" w:hint="eastAsia"/>
          <w:b w:val="0"/>
        </w:rPr>
        <w:t>其他重要事项的情况说明</w:t>
      </w:r>
      <w:bookmarkEnd w:id="64"/>
      <w:bookmarkEnd w:id="65"/>
      <w:bookmarkEnd w:id="66"/>
    </w:p>
    <w:p w:rsidR="007E4AB4" w:rsidRDefault="00244179" w:rsidP="00E35C15">
      <w:pPr>
        <w:spacing w:line="600" w:lineRule="exact"/>
        <w:ind w:firstLineChars="200" w:firstLine="643"/>
        <w:outlineLvl w:val="2"/>
        <w:rPr>
          <w:rFonts w:ascii="仿宋" w:eastAsia="仿宋" w:hAnsi="仿宋"/>
          <w:sz w:val="32"/>
          <w:szCs w:val="32"/>
        </w:rPr>
      </w:pPr>
      <w:bookmarkStart w:id="67" w:name="_Toc15377222"/>
      <w:r>
        <w:rPr>
          <w:rFonts w:ascii="仿宋" w:eastAsia="仿宋" w:hAnsi="仿宋" w:hint="eastAsia"/>
          <w:b/>
          <w:sz w:val="32"/>
          <w:szCs w:val="32"/>
        </w:rPr>
        <w:t>（一）机关运行经费支出情况</w:t>
      </w:r>
      <w:bookmarkEnd w:id="67"/>
    </w:p>
    <w:p w:rsidR="007E4AB4" w:rsidRDefault="00244179">
      <w:pPr>
        <w:spacing w:line="600" w:lineRule="exact"/>
        <w:ind w:firstLineChars="200"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22年未发生机关运行经费支出，</w:t>
      </w:r>
      <w:r>
        <w:rPr>
          <w:rStyle w:val="a7"/>
          <w:rFonts w:ascii="仿宋" w:eastAsia="仿宋" w:hAnsi="仿宋" w:hint="eastAsia"/>
          <w:b w:val="0"/>
          <w:bCs/>
          <w:sz w:val="32"/>
          <w:szCs w:val="32"/>
        </w:rPr>
        <w:t>与</w:t>
      </w:r>
      <w:r>
        <w:rPr>
          <w:rStyle w:val="a7"/>
          <w:rFonts w:ascii="仿宋" w:eastAsia="仿宋" w:hAnsi="仿宋"/>
          <w:b w:val="0"/>
          <w:bCs/>
          <w:sz w:val="32"/>
          <w:szCs w:val="32"/>
        </w:rPr>
        <w:t>20</w:t>
      </w:r>
      <w:r>
        <w:rPr>
          <w:rStyle w:val="a7"/>
          <w:rFonts w:ascii="仿宋" w:eastAsia="仿宋" w:hAnsi="仿宋" w:hint="eastAsia"/>
          <w:b w:val="0"/>
          <w:bCs/>
          <w:sz w:val="32"/>
          <w:szCs w:val="32"/>
        </w:rPr>
        <w:t>2</w:t>
      </w:r>
      <w:r>
        <w:rPr>
          <w:rStyle w:val="a7"/>
          <w:rFonts w:ascii="仿宋" w:eastAsia="仿宋" w:hAnsi="仿宋"/>
          <w:b w:val="0"/>
          <w:bCs/>
          <w:sz w:val="32"/>
          <w:szCs w:val="32"/>
        </w:rPr>
        <w:t>1</w:t>
      </w:r>
      <w:r>
        <w:rPr>
          <w:rStyle w:val="a7"/>
          <w:rFonts w:ascii="仿宋" w:eastAsia="仿宋" w:hAnsi="仿宋" w:hint="eastAsia"/>
          <w:b w:val="0"/>
          <w:bCs/>
          <w:sz w:val="32"/>
          <w:szCs w:val="32"/>
        </w:rPr>
        <w:t>年决算数持平。</w:t>
      </w:r>
    </w:p>
    <w:p w:rsidR="007E4AB4" w:rsidRDefault="00244179" w:rsidP="00E35C15">
      <w:pPr>
        <w:autoSpaceDE w:val="0"/>
        <w:autoSpaceDN w:val="0"/>
        <w:adjustRightInd w:val="0"/>
        <w:spacing w:line="600" w:lineRule="exact"/>
        <w:ind w:firstLineChars="200" w:firstLine="643"/>
        <w:jc w:val="left"/>
        <w:outlineLvl w:val="2"/>
        <w:rPr>
          <w:rFonts w:ascii="仿宋" w:eastAsia="仿宋" w:hAnsi="仿宋"/>
          <w:b/>
          <w:sz w:val="32"/>
          <w:szCs w:val="32"/>
        </w:rPr>
      </w:pPr>
      <w:bookmarkStart w:id="68" w:name="_Toc15377223"/>
      <w:r>
        <w:rPr>
          <w:rFonts w:ascii="仿宋" w:eastAsia="仿宋" w:hAnsi="仿宋" w:hint="eastAsia"/>
          <w:b/>
          <w:sz w:val="32"/>
          <w:szCs w:val="32"/>
        </w:rPr>
        <w:t>（二）政府采购支出情况</w:t>
      </w:r>
      <w:bookmarkEnd w:id="68"/>
    </w:p>
    <w:p w:rsidR="007E4AB4" w:rsidRDefault="00244179">
      <w:pPr>
        <w:spacing w:line="600" w:lineRule="exact"/>
        <w:ind w:firstLineChars="200" w:firstLine="640"/>
        <w:rPr>
          <w:rFonts w:ascii="仿宋" w:eastAsia="仿宋" w:hAnsi="仿宋"/>
          <w:b/>
          <w:sz w:val="32"/>
          <w:szCs w:val="32"/>
        </w:rPr>
      </w:pPr>
      <w:r>
        <w:rPr>
          <w:rFonts w:ascii="仿宋_GB2312" w:eastAsia="仿宋_GB2312"/>
          <w:sz w:val="32"/>
          <w:szCs w:val="32"/>
        </w:rPr>
        <w:t>20</w:t>
      </w:r>
      <w:r>
        <w:rPr>
          <w:rFonts w:ascii="仿宋_GB2312" w:eastAsia="仿宋_GB2312" w:hint="eastAsia"/>
          <w:sz w:val="32"/>
          <w:szCs w:val="32"/>
        </w:rPr>
        <w:t>22年，本单位政府采购支出总额</w:t>
      </w:r>
      <w:r>
        <w:rPr>
          <w:rFonts w:ascii="仿宋_GB2312" w:eastAsia="仿宋_GB2312"/>
          <w:sz w:val="32"/>
          <w:szCs w:val="32"/>
        </w:rPr>
        <w:t>0</w:t>
      </w:r>
      <w:r>
        <w:rPr>
          <w:rFonts w:ascii="仿宋_GB2312" w:eastAsia="仿宋_GB2312" w:hint="eastAsia"/>
          <w:sz w:val="32"/>
          <w:szCs w:val="32"/>
        </w:rPr>
        <w:t>万元，</w:t>
      </w:r>
      <w:r>
        <w:rPr>
          <w:rStyle w:val="a7"/>
          <w:rFonts w:ascii="仿宋" w:eastAsia="仿宋" w:hAnsi="仿宋" w:hint="eastAsia"/>
          <w:b w:val="0"/>
          <w:bCs/>
          <w:sz w:val="32"/>
          <w:szCs w:val="32"/>
        </w:rPr>
        <w:t>年初未安排预算。</w:t>
      </w:r>
    </w:p>
    <w:p w:rsidR="007E4AB4" w:rsidRDefault="00244179" w:rsidP="00E35C15">
      <w:pPr>
        <w:autoSpaceDE w:val="0"/>
        <w:autoSpaceDN w:val="0"/>
        <w:adjustRightInd w:val="0"/>
        <w:spacing w:line="600" w:lineRule="exact"/>
        <w:ind w:firstLineChars="200" w:firstLine="643"/>
        <w:jc w:val="left"/>
        <w:outlineLvl w:val="2"/>
        <w:rPr>
          <w:rFonts w:ascii="仿宋" w:eastAsia="仿宋" w:hAnsi="仿宋"/>
          <w:b/>
          <w:sz w:val="32"/>
          <w:szCs w:val="32"/>
        </w:rPr>
      </w:pPr>
      <w:bookmarkStart w:id="69" w:name="_Toc15377224"/>
      <w:r>
        <w:rPr>
          <w:rFonts w:ascii="仿宋" w:eastAsia="仿宋" w:hAnsi="仿宋" w:hint="eastAsia"/>
          <w:b/>
          <w:sz w:val="32"/>
          <w:szCs w:val="32"/>
        </w:rPr>
        <w:t>（三）国有资产占有使用情况</w:t>
      </w:r>
      <w:bookmarkEnd w:id="69"/>
    </w:p>
    <w:p w:rsidR="007E4AB4" w:rsidRDefault="00244179">
      <w:pPr>
        <w:autoSpaceDE w:val="0"/>
        <w:autoSpaceDN w:val="0"/>
        <w:adjustRightInd w:val="0"/>
        <w:spacing w:line="600" w:lineRule="exact"/>
        <w:ind w:firstLineChars="200" w:firstLine="640"/>
        <w:jc w:val="left"/>
        <w:rPr>
          <w:rFonts w:ascii="仿宋_GB2312" w:eastAsia="仿宋_GB2312"/>
          <w:sz w:val="32"/>
          <w:szCs w:val="32"/>
        </w:rPr>
      </w:pPr>
      <w:r>
        <w:rPr>
          <w:rFonts w:ascii="仿宋_GB2312" w:eastAsia="仿宋_GB2312" w:hint="eastAsia"/>
          <w:sz w:val="32"/>
          <w:szCs w:val="32"/>
        </w:rPr>
        <w:lastRenderedPageBreak/>
        <w:t>截至</w:t>
      </w:r>
      <w:r>
        <w:rPr>
          <w:rFonts w:ascii="仿宋_GB2312" w:eastAsia="仿宋_GB2312"/>
          <w:sz w:val="32"/>
          <w:szCs w:val="32"/>
        </w:rPr>
        <w:t>20</w:t>
      </w:r>
      <w:r>
        <w:rPr>
          <w:rFonts w:ascii="仿宋_GB2312" w:eastAsia="仿宋_GB2312" w:hint="eastAsia"/>
          <w:sz w:val="32"/>
          <w:szCs w:val="32"/>
        </w:rPr>
        <w:t>22年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日，本单位共有车辆</w:t>
      </w:r>
      <w:r>
        <w:rPr>
          <w:rFonts w:ascii="仿宋_GB2312" w:eastAsia="仿宋_GB2312"/>
          <w:sz w:val="32"/>
          <w:szCs w:val="32"/>
        </w:rPr>
        <w:t>0</w:t>
      </w:r>
      <w:r>
        <w:rPr>
          <w:rFonts w:ascii="仿宋_GB2312" w:eastAsia="仿宋_GB2312" w:hint="eastAsia"/>
          <w:sz w:val="32"/>
          <w:szCs w:val="32"/>
        </w:rPr>
        <w:t>辆。单价</w:t>
      </w:r>
      <w:r>
        <w:rPr>
          <w:rFonts w:ascii="仿宋_GB2312" w:eastAsia="仿宋_GB2312"/>
          <w:sz w:val="32"/>
          <w:szCs w:val="32"/>
        </w:rPr>
        <w:t>100</w:t>
      </w:r>
      <w:r>
        <w:rPr>
          <w:rFonts w:ascii="仿宋_GB2312" w:eastAsia="仿宋_GB2312" w:hint="eastAsia"/>
          <w:sz w:val="32"/>
          <w:szCs w:val="32"/>
        </w:rPr>
        <w:t>万元以上专用设备</w:t>
      </w:r>
      <w:r>
        <w:rPr>
          <w:rFonts w:ascii="仿宋_GB2312" w:eastAsia="仿宋_GB2312"/>
          <w:sz w:val="32"/>
          <w:szCs w:val="32"/>
        </w:rPr>
        <w:t>0</w:t>
      </w:r>
      <w:r>
        <w:rPr>
          <w:rFonts w:ascii="仿宋_GB2312" w:eastAsia="仿宋_GB2312" w:hint="eastAsia"/>
          <w:sz w:val="32"/>
          <w:szCs w:val="32"/>
        </w:rPr>
        <w:t>台（套）。</w:t>
      </w:r>
    </w:p>
    <w:p w:rsidR="007E4AB4" w:rsidRDefault="00244179" w:rsidP="00E35C15">
      <w:pPr>
        <w:autoSpaceDE w:val="0"/>
        <w:autoSpaceDN w:val="0"/>
        <w:adjustRightInd w:val="0"/>
        <w:spacing w:line="600" w:lineRule="exact"/>
        <w:ind w:firstLineChars="200" w:firstLine="643"/>
        <w:jc w:val="left"/>
        <w:outlineLvl w:val="2"/>
        <w:rPr>
          <w:rFonts w:ascii="仿宋" w:eastAsia="仿宋" w:hAnsi="仿宋"/>
          <w:b/>
          <w:sz w:val="32"/>
          <w:szCs w:val="32"/>
        </w:rPr>
      </w:pPr>
      <w:r>
        <w:rPr>
          <w:rFonts w:ascii="仿宋" w:eastAsia="仿宋" w:hAnsi="仿宋" w:hint="eastAsia"/>
          <w:b/>
          <w:sz w:val="32"/>
          <w:szCs w:val="32"/>
        </w:rPr>
        <w:t>（四）预算绩效管理情况</w:t>
      </w:r>
    </w:p>
    <w:p w:rsidR="007E4AB4" w:rsidRDefault="00244179">
      <w:pPr>
        <w:widowControl/>
        <w:ind w:firstLineChars="300" w:firstLine="960"/>
        <w:jc w:val="left"/>
        <w:rPr>
          <w:rFonts w:ascii="仿宋_GB2312" w:eastAsia="仿宋_GB2312"/>
          <w:sz w:val="32"/>
          <w:szCs w:val="32"/>
        </w:rPr>
      </w:pPr>
      <w:r>
        <w:rPr>
          <w:rFonts w:ascii="仿宋_GB2312" w:eastAsia="仿宋_GB2312" w:hint="eastAsia"/>
          <w:sz w:val="32"/>
          <w:szCs w:val="32"/>
        </w:rPr>
        <w:t>根据预算绩效管理要求，本单位在2022年度预算编制阶段，对人员经费、公用经费支出、学生资助、校园足球等10个项目开展了预算事前绩效评估，对10个项目编制了绩效目标，预算执行过程中，选取10个项目开展绩效监控，组织对10个项目开展绩效自评，绩效自评表详见第四部分附件。</w:t>
      </w:r>
    </w:p>
    <w:p w:rsidR="007E4AB4" w:rsidRDefault="007E4AB4">
      <w:pPr>
        <w:pStyle w:val="a0"/>
        <w:spacing w:before="93"/>
      </w:pPr>
    </w:p>
    <w:p w:rsidR="007E4AB4" w:rsidRDefault="007E4AB4">
      <w:pPr>
        <w:pStyle w:val="a0"/>
        <w:spacing w:before="93"/>
      </w:pPr>
    </w:p>
    <w:p w:rsidR="007E4AB4" w:rsidRDefault="007E4AB4">
      <w:pPr>
        <w:pStyle w:val="a0"/>
        <w:spacing w:before="93"/>
      </w:pPr>
    </w:p>
    <w:p w:rsidR="007E4AB4" w:rsidRDefault="007E4AB4">
      <w:pPr>
        <w:pStyle w:val="a0"/>
        <w:spacing w:before="93"/>
      </w:pPr>
    </w:p>
    <w:p w:rsidR="007E4AB4" w:rsidRDefault="007E4AB4">
      <w:pPr>
        <w:pStyle w:val="a0"/>
        <w:spacing w:before="93"/>
      </w:pPr>
    </w:p>
    <w:p w:rsidR="007E4AB4" w:rsidRDefault="007E4AB4">
      <w:pPr>
        <w:pStyle w:val="a0"/>
        <w:spacing w:before="93"/>
      </w:pPr>
    </w:p>
    <w:p w:rsidR="007E4AB4" w:rsidRDefault="007E4AB4">
      <w:pPr>
        <w:pStyle w:val="a0"/>
        <w:spacing w:before="93"/>
      </w:pPr>
    </w:p>
    <w:p w:rsidR="00E35C15" w:rsidRDefault="00E35C15">
      <w:pPr>
        <w:pStyle w:val="a0"/>
        <w:spacing w:before="93"/>
      </w:pPr>
    </w:p>
    <w:p w:rsidR="00E35C15" w:rsidRDefault="00E35C15">
      <w:pPr>
        <w:pStyle w:val="a0"/>
        <w:spacing w:before="93"/>
      </w:pPr>
    </w:p>
    <w:p w:rsidR="00E35C15" w:rsidRDefault="00E35C15">
      <w:pPr>
        <w:pStyle w:val="a0"/>
        <w:spacing w:before="93"/>
      </w:pPr>
    </w:p>
    <w:p w:rsidR="00E35C15" w:rsidRDefault="00E35C15">
      <w:pPr>
        <w:pStyle w:val="a0"/>
        <w:spacing w:before="93"/>
      </w:pPr>
    </w:p>
    <w:p w:rsidR="007E4AB4" w:rsidRDefault="00244179">
      <w:pPr>
        <w:numPr>
          <w:ilvl w:val="0"/>
          <w:numId w:val="4"/>
        </w:numPr>
        <w:spacing w:line="600" w:lineRule="exact"/>
        <w:ind w:firstLineChars="150" w:firstLine="660"/>
        <w:jc w:val="center"/>
        <w:outlineLvl w:val="0"/>
        <w:rPr>
          <w:rFonts w:ascii="黑体" w:eastAsia="黑体" w:hAnsi="黑体"/>
          <w:bCs/>
          <w:kern w:val="44"/>
          <w:sz w:val="44"/>
          <w:szCs w:val="44"/>
        </w:rPr>
      </w:pPr>
      <w:bookmarkStart w:id="70" w:name="_Toc15377225"/>
      <w:bookmarkStart w:id="71" w:name="_Toc15396613"/>
      <w:bookmarkStart w:id="72" w:name="_Toc21812"/>
      <w:r>
        <w:rPr>
          <w:rFonts w:ascii="黑体" w:eastAsia="黑体" w:hAnsi="黑体" w:hint="eastAsia"/>
          <w:sz w:val="44"/>
          <w:szCs w:val="44"/>
        </w:rPr>
        <w:lastRenderedPageBreak/>
        <w:t>名</w:t>
      </w:r>
      <w:r>
        <w:rPr>
          <w:rStyle w:val="1Char"/>
          <w:rFonts w:ascii="黑体" w:eastAsia="黑体" w:hAnsi="黑体" w:hint="eastAsia"/>
          <w:b w:val="0"/>
        </w:rPr>
        <w:t>词解释</w:t>
      </w:r>
      <w:bookmarkEnd w:id="70"/>
      <w:bookmarkEnd w:id="71"/>
      <w:bookmarkEnd w:id="72"/>
    </w:p>
    <w:p w:rsidR="007E4AB4" w:rsidRDefault="00244179">
      <w:pPr>
        <w:pStyle w:val="Default"/>
        <w:spacing w:line="560" w:lineRule="exact"/>
        <w:ind w:firstLineChars="200" w:firstLine="640"/>
        <w:rPr>
          <w:rFonts w:ascii="仿宋_GB2312" w:eastAsia="仿宋_GB2312"/>
          <w:color w:val="auto"/>
          <w:sz w:val="32"/>
          <w:szCs w:val="32"/>
        </w:rPr>
      </w:pPr>
      <w:r>
        <w:rPr>
          <w:rFonts w:ascii="仿宋_GB2312" w:eastAsia="仿宋_GB2312"/>
          <w:color w:val="auto"/>
          <w:sz w:val="32"/>
          <w:szCs w:val="32"/>
        </w:rPr>
        <w:t>1.</w:t>
      </w:r>
      <w:r>
        <w:rPr>
          <w:rFonts w:ascii="仿宋_GB2312" w:eastAsia="仿宋_GB2312" w:hint="eastAsia"/>
          <w:color w:val="auto"/>
          <w:sz w:val="32"/>
          <w:szCs w:val="32"/>
        </w:rPr>
        <w:t>财政拨款收入：指单位从同级财政部门取得的财政预算资金。</w:t>
      </w:r>
    </w:p>
    <w:p w:rsidR="007E4AB4" w:rsidRDefault="00244179">
      <w:pPr>
        <w:ind w:firstLineChars="200" w:firstLine="640"/>
        <w:rPr>
          <w:rFonts w:ascii="仿宋_GB2312" w:eastAsia="仿宋_GB2312" w:hAnsi="Calibri" w:cs="仿宋"/>
          <w:kern w:val="0"/>
          <w:sz w:val="32"/>
          <w:szCs w:val="32"/>
        </w:rPr>
      </w:pPr>
      <w:r>
        <w:rPr>
          <w:rFonts w:ascii="仿宋_GB2312" w:eastAsia="仿宋_GB2312"/>
          <w:sz w:val="32"/>
          <w:szCs w:val="32"/>
        </w:rPr>
        <w:t>2.</w:t>
      </w:r>
      <w:r>
        <w:rPr>
          <w:rFonts w:ascii="仿宋_GB2312" w:eastAsia="仿宋_GB2312" w:hAnsi="Calibri" w:cs="仿宋" w:hint="eastAsia"/>
          <w:kern w:val="0"/>
          <w:sz w:val="32"/>
          <w:szCs w:val="32"/>
        </w:rPr>
        <w:t>教育支出（类）普通教育（款）小学教育（项）：指用于小学教育管理事务支出。</w:t>
      </w:r>
    </w:p>
    <w:p w:rsidR="007E4AB4" w:rsidRDefault="00244179">
      <w:pPr>
        <w:pStyle w:val="a0"/>
        <w:spacing w:before="93"/>
        <w:ind w:firstLineChars="200" w:firstLine="600"/>
        <w:rPr>
          <w:rFonts w:hAnsi="Calibri" w:cs="仿宋"/>
          <w:sz w:val="32"/>
          <w:szCs w:val="32"/>
        </w:rPr>
      </w:pPr>
      <w:r>
        <w:rPr>
          <w:rFonts w:hint="eastAsia"/>
        </w:rPr>
        <w:t>3</w:t>
      </w:r>
      <w:r>
        <w:t>.</w:t>
      </w:r>
      <w:r>
        <w:rPr>
          <w:rFonts w:hAnsi="Calibri" w:cs="仿宋" w:hint="eastAsia"/>
          <w:sz w:val="32"/>
          <w:szCs w:val="32"/>
        </w:rPr>
        <w:t>教育支出（类）普通教育（款）初中教育（项）：指用于初中教育管理事务支出。</w:t>
      </w:r>
    </w:p>
    <w:p w:rsidR="007E4AB4" w:rsidRDefault="00244179">
      <w:pPr>
        <w:pStyle w:val="a0"/>
        <w:spacing w:before="93"/>
        <w:ind w:firstLineChars="200" w:firstLine="640"/>
        <w:rPr>
          <w:rFonts w:hAnsi="Calibri" w:cs="仿宋"/>
          <w:sz w:val="32"/>
          <w:szCs w:val="32"/>
        </w:rPr>
      </w:pPr>
      <w:r>
        <w:rPr>
          <w:rFonts w:hAnsi="Calibri" w:cs="仿宋"/>
          <w:sz w:val="32"/>
          <w:szCs w:val="32"/>
        </w:rPr>
        <w:t>4.</w:t>
      </w:r>
      <w:r>
        <w:rPr>
          <w:rFonts w:hAnsi="Calibri" w:cs="仿宋" w:hint="eastAsia"/>
          <w:sz w:val="32"/>
          <w:szCs w:val="32"/>
        </w:rPr>
        <w:t>教育支出（类）普通教育（款）高中教育（项）：指用于高中教育管理事务支出。</w:t>
      </w:r>
    </w:p>
    <w:p w:rsidR="007E4AB4" w:rsidRDefault="00244179">
      <w:pPr>
        <w:spacing w:line="600" w:lineRule="exact"/>
        <w:ind w:firstLineChars="200" w:firstLine="640"/>
        <w:outlineLvl w:val="1"/>
        <w:rPr>
          <w:rFonts w:ascii="仿宋_GB2312" w:eastAsia="仿宋_GB2312" w:hAnsi="Calibri" w:cs="仿宋"/>
          <w:kern w:val="0"/>
          <w:sz w:val="32"/>
          <w:szCs w:val="32"/>
        </w:rPr>
      </w:pPr>
      <w:bookmarkStart w:id="73" w:name="_Toc22209"/>
      <w:r>
        <w:rPr>
          <w:rFonts w:ascii="仿宋_GB2312" w:eastAsia="仿宋_GB2312" w:hAnsi="Calibri" w:cs="仿宋" w:hint="eastAsia"/>
          <w:kern w:val="0"/>
          <w:sz w:val="32"/>
          <w:szCs w:val="32"/>
        </w:rPr>
        <w:t>5</w:t>
      </w:r>
      <w:r>
        <w:rPr>
          <w:rFonts w:ascii="仿宋_GB2312" w:eastAsia="仿宋_GB2312" w:hAnsi="Calibri" w:cs="仿宋"/>
          <w:kern w:val="0"/>
          <w:sz w:val="32"/>
          <w:szCs w:val="32"/>
        </w:rPr>
        <w:t>.</w:t>
      </w:r>
      <w:r>
        <w:rPr>
          <w:rFonts w:ascii="仿宋_GB2312" w:eastAsia="仿宋_GB2312" w:hAnsi="Calibri" w:cs="仿宋" w:hint="eastAsia"/>
          <w:kern w:val="0"/>
          <w:sz w:val="32"/>
          <w:szCs w:val="32"/>
        </w:rPr>
        <w:t>社会保障和就业支出（类）行政事业单位养老支出（款）事业单位离退休（项）：指用于事业单位离退休方面的支出。</w:t>
      </w:r>
      <w:bookmarkEnd w:id="73"/>
    </w:p>
    <w:p w:rsidR="007E4AB4" w:rsidRDefault="00244179">
      <w:pPr>
        <w:pStyle w:val="a0"/>
        <w:spacing w:before="93"/>
        <w:ind w:firstLineChars="200" w:firstLine="600"/>
        <w:rPr>
          <w:rFonts w:hAnsi="Calibri" w:cs="仿宋"/>
          <w:sz w:val="32"/>
          <w:szCs w:val="32"/>
        </w:rPr>
      </w:pPr>
      <w:r>
        <w:rPr>
          <w:rFonts w:hint="eastAsia"/>
        </w:rPr>
        <w:t>6</w:t>
      </w:r>
      <w:r>
        <w:t>.</w:t>
      </w:r>
      <w:r>
        <w:rPr>
          <w:rFonts w:hAnsi="Calibri" w:cs="仿宋" w:hint="eastAsia"/>
          <w:sz w:val="32"/>
          <w:szCs w:val="32"/>
        </w:rPr>
        <w:t>社会保障和就业支出（类）行政事业单位养老支出（款）机关事业单位基本养老保险缴费支出（项）:指用于实施养老保险制度由单位缴纳的基本养老保险费支出。</w:t>
      </w:r>
    </w:p>
    <w:p w:rsidR="007E4AB4" w:rsidRDefault="00244179">
      <w:pPr>
        <w:pStyle w:val="a0"/>
        <w:spacing w:before="93"/>
        <w:ind w:firstLineChars="200" w:firstLine="640"/>
        <w:rPr>
          <w:rFonts w:hAnsi="Calibri" w:cs="仿宋"/>
          <w:sz w:val="32"/>
          <w:szCs w:val="32"/>
        </w:rPr>
      </w:pPr>
      <w:r>
        <w:rPr>
          <w:rFonts w:hAnsi="Calibri" w:cs="仿宋"/>
          <w:sz w:val="32"/>
          <w:szCs w:val="32"/>
        </w:rPr>
        <w:t>7.</w:t>
      </w:r>
      <w:r>
        <w:rPr>
          <w:rFonts w:hAnsi="Calibri" w:cs="仿宋" w:hint="eastAsia"/>
          <w:sz w:val="32"/>
          <w:szCs w:val="32"/>
        </w:rPr>
        <w:t>社会保障和就业支出（类）行政事业单位养老支出（款）机关事业单位职业年金缴费支出（项）:指用于单位退休中人职业年金支出。</w:t>
      </w:r>
    </w:p>
    <w:p w:rsidR="007E4AB4" w:rsidRDefault="00244179">
      <w:pPr>
        <w:spacing w:line="600" w:lineRule="exact"/>
        <w:ind w:firstLineChars="200" w:firstLine="640"/>
        <w:outlineLvl w:val="1"/>
        <w:rPr>
          <w:rFonts w:ascii="仿宋_GB2312" w:eastAsia="仿宋_GB2312" w:hAnsi="Calibri" w:cs="仿宋"/>
          <w:kern w:val="0"/>
          <w:sz w:val="32"/>
          <w:szCs w:val="32"/>
        </w:rPr>
      </w:pPr>
      <w:bookmarkStart w:id="74" w:name="_Toc13274"/>
      <w:r>
        <w:rPr>
          <w:rFonts w:hAnsi="Calibri" w:cs="仿宋"/>
          <w:sz w:val="32"/>
          <w:szCs w:val="32"/>
        </w:rPr>
        <w:t>8.</w:t>
      </w:r>
      <w:r>
        <w:rPr>
          <w:rFonts w:ascii="仿宋_GB2312" w:eastAsia="仿宋_GB2312" w:hAnsi="Calibri" w:cs="仿宋" w:hint="eastAsia"/>
          <w:kern w:val="0"/>
          <w:sz w:val="32"/>
          <w:szCs w:val="32"/>
        </w:rPr>
        <w:t>卫生健康支出（类）行政事业单位医疗（款）事业单位医疗（项）：指用于事业单位由单位缴纳的基本医疗保险缴费。</w:t>
      </w:r>
      <w:bookmarkEnd w:id="74"/>
    </w:p>
    <w:p w:rsidR="007E4AB4" w:rsidRDefault="00244179">
      <w:pPr>
        <w:pStyle w:val="a0"/>
        <w:spacing w:before="93"/>
        <w:ind w:firstLineChars="200" w:firstLine="600"/>
      </w:pPr>
      <w:r>
        <w:t>9.</w:t>
      </w:r>
      <w:r>
        <w:rPr>
          <w:rFonts w:hAnsi="Calibri" w:cs="仿宋" w:hint="eastAsia"/>
          <w:sz w:val="32"/>
          <w:szCs w:val="32"/>
        </w:rPr>
        <w:t>住房保障支出（类）住房改革支出（款）住房公积金（项）：指本单位用于按规定的工资基数以及规定比例为职</w:t>
      </w:r>
      <w:r>
        <w:rPr>
          <w:rFonts w:hAnsi="Calibri" w:cs="仿宋" w:hint="eastAsia"/>
          <w:sz w:val="32"/>
          <w:szCs w:val="32"/>
        </w:rPr>
        <w:lastRenderedPageBreak/>
        <w:t>工缴纳的住房公积金。</w:t>
      </w:r>
    </w:p>
    <w:p w:rsidR="007E4AB4" w:rsidRDefault="00244179">
      <w:pPr>
        <w:ind w:firstLineChars="200" w:firstLine="640"/>
        <w:rPr>
          <w:rFonts w:ascii="仿宋_GB2312" w:eastAsia="仿宋_GB2312"/>
          <w:sz w:val="32"/>
          <w:szCs w:val="32"/>
        </w:rPr>
      </w:pPr>
      <w:r>
        <w:rPr>
          <w:rFonts w:ascii="仿宋_GB2312" w:eastAsia="仿宋_GB2312"/>
          <w:sz w:val="32"/>
          <w:szCs w:val="32"/>
        </w:rPr>
        <w:t>10.</w:t>
      </w:r>
      <w:r>
        <w:rPr>
          <w:rFonts w:ascii="仿宋_GB2312" w:eastAsia="仿宋_GB2312" w:hint="eastAsia"/>
          <w:sz w:val="32"/>
          <w:szCs w:val="32"/>
        </w:rPr>
        <w:t>基本支出：指为保障机构正常运转、完成日常工作任务而发生的人员支出和公用支出。</w:t>
      </w:r>
    </w:p>
    <w:p w:rsidR="007E4AB4" w:rsidRDefault="00244179">
      <w:pPr>
        <w:ind w:firstLineChars="200" w:firstLine="640"/>
        <w:rPr>
          <w:rFonts w:ascii="仿宋_GB2312" w:eastAsia="仿宋_GB2312"/>
          <w:sz w:val="32"/>
          <w:szCs w:val="32"/>
        </w:rPr>
      </w:pPr>
      <w:r>
        <w:rPr>
          <w:rFonts w:ascii="仿宋_GB2312" w:eastAsia="仿宋_GB2312"/>
          <w:sz w:val="32"/>
          <w:szCs w:val="32"/>
        </w:rPr>
        <w:t>11.</w:t>
      </w:r>
      <w:r>
        <w:rPr>
          <w:rFonts w:ascii="仿宋_GB2312" w:eastAsia="仿宋_GB2312" w:hint="eastAsia"/>
          <w:sz w:val="32"/>
          <w:szCs w:val="32"/>
        </w:rPr>
        <w:t>项目支出：指在基本支出之外为完成特定行政任务和事业发展目标所发生的支出。</w:t>
      </w:r>
    </w:p>
    <w:p w:rsidR="007E4AB4" w:rsidRDefault="00244179">
      <w:pPr>
        <w:pStyle w:val="Default"/>
        <w:spacing w:line="560" w:lineRule="exact"/>
        <w:ind w:firstLineChars="200" w:firstLine="640"/>
        <w:rPr>
          <w:rFonts w:ascii="仿宋_GB2312" w:eastAsia="仿宋_GB2312"/>
          <w:color w:val="auto"/>
          <w:sz w:val="32"/>
          <w:szCs w:val="32"/>
        </w:rPr>
      </w:pPr>
      <w:r>
        <w:rPr>
          <w:rFonts w:ascii="仿宋_GB2312" w:eastAsia="仿宋_GB2312"/>
          <w:color w:val="auto"/>
          <w:sz w:val="32"/>
          <w:szCs w:val="32"/>
        </w:rPr>
        <w:t>12.</w:t>
      </w:r>
      <w:r>
        <w:rPr>
          <w:rFonts w:ascii="仿宋_GB2312" w:eastAsia="仿宋_GB2312" w:hint="eastAsia"/>
          <w:color w:val="auto"/>
          <w:sz w:val="32"/>
          <w:szCs w:val="32"/>
        </w:rPr>
        <w:t>“三公”经费：指单位用财政拨款安排的因公出国（境）费、公务用车购置及运行费和公务接待费。其中，因公出国（境）</w:t>
      </w:r>
      <w:proofErr w:type="gramStart"/>
      <w:r>
        <w:rPr>
          <w:rFonts w:ascii="仿宋_GB2312" w:eastAsia="仿宋_GB2312" w:hint="eastAsia"/>
          <w:color w:val="auto"/>
          <w:sz w:val="32"/>
          <w:szCs w:val="32"/>
        </w:rPr>
        <w:t>费反映</w:t>
      </w:r>
      <w:proofErr w:type="gramEnd"/>
      <w:r>
        <w:rPr>
          <w:rFonts w:ascii="仿宋_GB2312" w:eastAsia="仿宋_GB2312" w:hint="eastAsia"/>
          <w:color w:val="auto"/>
          <w:sz w:val="32"/>
          <w:szCs w:val="32"/>
        </w:rPr>
        <w:t>单位公务出国（境）的国际旅费、国外城市间交通费、住宿费、伙食费、培训费、公杂费等支出；公务用车购置及运行</w:t>
      </w:r>
      <w:proofErr w:type="gramStart"/>
      <w:r>
        <w:rPr>
          <w:rFonts w:ascii="仿宋_GB2312" w:eastAsia="仿宋_GB2312" w:hint="eastAsia"/>
          <w:color w:val="auto"/>
          <w:sz w:val="32"/>
          <w:szCs w:val="32"/>
        </w:rPr>
        <w:t>费反映</w:t>
      </w:r>
      <w:proofErr w:type="gramEnd"/>
      <w:r>
        <w:rPr>
          <w:rFonts w:ascii="仿宋_GB2312" w:eastAsia="仿宋_GB2312" w:hint="eastAsia"/>
          <w:color w:val="auto"/>
          <w:sz w:val="32"/>
          <w:szCs w:val="32"/>
        </w:rPr>
        <w:t>单位公务用车车辆购置支出（</w:t>
      </w:r>
      <w:proofErr w:type="gramStart"/>
      <w:r>
        <w:rPr>
          <w:rFonts w:ascii="仿宋_GB2312" w:eastAsia="仿宋_GB2312" w:hint="eastAsia"/>
          <w:color w:val="auto"/>
          <w:sz w:val="32"/>
          <w:szCs w:val="32"/>
        </w:rPr>
        <w:t>含车辆</w:t>
      </w:r>
      <w:proofErr w:type="gramEnd"/>
      <w:r>
        <w:rPr>
          <w:rFonts w:ascii="仿宋_GB2312" w:eastAsia="仿宋_GB2312" w:hint="eastAsia"/>
          <w:color w:val="auto"/>
          <w:sz w:val="32"/>
          <w:szCs w:val="32"/>
        </w:rPr>
        <w:t>购置税）及租用费、燃料费、维修费、过路过桥费、保险费等支出；公务接待</w:t>
      </w:r>
      <w:proofErr w:type="gramStart"/>
      <w:r>
        <w:rPr>
          <w:rFonts w:ascii="仿宋_GB2312" w:eastAsia="仿宋_GB2312" w:hint="eastAsia"/>
          <w:color w:val="auto"/>
          <w:sz w:val="32"/>
          <w:szCs w:val="32"/>
        </w:rPr>
        <w:t>费反映</w:t>
      </w:r>
      <w:proofErr w:type="gramEnd"/>
      <w:r>
        <w:rPr>
          <w:rFonts w:ascii="仿宋_GB2312" w:eastAsia="仿宋_GB2312" w:hint="eastAsia"/>
          <w:color w:val="auto"/>
          <w:sz w:val="32"/>
          <w:szCs w:val="32"/>
        </w:rPr>
        <w:t>单位按规定开支的各类公务接待（含外宾接待）支出。</w:t>
      </w:r>
    </w:p>
    <w:p w:rsidR="007E4AB4" w:rsidRDefault="007E4AB4">
      <w:pPr>
        <w:pStyle w:val="Default"/>
        <w:spacing w:line="560" w:lineRule="exact"/>
        <w:ind w:firstLineChars="200" w:firstLine="640"/>
        <w:rPr>
          <w:rFonts w:ascii="仿宋_GB2312" w:eastAsia="仿宋_GB2312" w:cs="黑体"/>
          <w:color w:val="auto"/>
          <w:sz w:val="32"/>
          <w:szCs w:val="32"/>
        </w:rPr>
      </w:pPr>
    </w:p>
    <w:p w:rsidR="007E4AB4" w:rsidRDefault="00244179">
      <w:pPr>
        <w:spacing w:line="600" w:lineRule="exact"/>
        <w:jc w:val="center"/>
        <w:outlineLvl w:val="0"/>
        <w:rPr>
          <w:rStyle w:val="1Char"/>
          <w:rFonts w:ascii="黑体" w:eastAsia="黑体" w:hAnsi="黑体"/>
          <w:b w:val="0"/>
        </w:rPr>
      </w:pPr>
      <w:bookmarkStart w:id="75" w:name="_Toc15377226"/>
      <w:r>
        <w:rPr>
          <w:rFonts w:ascii="宋体"/>
          <w:b/>
          <w:sz w:val="44"/>
          <w:szCs w:val="44"/>
        </w:rPr>
        <w:br w:type="page"/>
      </w:r>
      <w:bookmarkStart w:id="76" w:name="_Toc15396614"/>
      <w:bookmarkStart w:id="77" w:name="_Toc12480"/>
      <w:r>
        <w:rPr>
          <w:rFonts w:ascii="黑体" w:eastAsia="黑体" w:hAnsi="黑体" w:hint="eastAsia"/>
          <w:sz w:val="44"/>
          <w:szCs w:val="44"/>
        </w:rPr>
        <w:lastRenderedPageBreak/>
        <w:t>第</w:t>
      </w:r>
      <w:r>
        <w:rPr>
          <w:rStyle w:val="1Char"/>
          <w:rFonts w:ascii="黑体" w:eastAsia="黑体" w:hAnsi="黑体" w:hint="eastAsia"/>
          <w:b w:val="0"/>
        </w:rPr>
        <w:t>四部分附件</w:t>
      </w:r>
      <w:bookmarkEnd w:id="76"/>
      <w:bookmarkEnd w:id="77"/>
    </w:p>
    <w:p w:rsidR="007E4AB4" w:rsidRDefault="007E4AB4">
      <w:pPr>
        <w:spacing w:line="572" w:lineRule="exact"/>
        <w:jc w:val="left"/>
        <w:rPr>
          <w:rFonts w:ascii="仿宋_GB2312" w:eastAsia="仿宋_GB2312" w:hAnsi="仿宋_GB2312" w:cs="仿宋_GB2312"/>
          <w:sz w:val="32"/>
          <w:szCs w:val="32"/>
        </w:rPr>
      </w:pPr>
    </w:p>
    <w:p w:rsidR="007E4AB4" w:rsidRDefault="00244179">
      <w:pPr>
        <w:spacing w:line="600" w:lineRule="exact"/>
        <w:jc w:val="center"/>
        <w:outlineLvl w:val="1"/>
        <w:rPr>
          <w:rFonts w:ascii="宋体" w:hAnsi="宋体" w:cs="宋体"/>
          <w:kern w:val="0"/>
          <w:sz w:val="32"/>
          <w:szCs w:val="32"/>
        </w:rPr>
      </w:pPr>
      <w:bookmarkStart w:id="78" w:name="_Toc4395"/>
      <w:bookmarkStart w:id="79" w:name="_Toc15396618"/>
      <w:r>
        <w:rPr>
          <w:rFonts w:ascii="宋体" w:hAnsi="宋体" w:cs="宋体" w:hint="eastAsia"/>
          <w:kern w:val="0"/>
          <w:sz w:val="32"/>
          <w:szCs w:val="32"/>
        </w:rPr>
        <w:t>部门预算项目支出绩效自评表（2022年度）</w:t>
      </w:r>
      <w:bookmarkEnd w:id="78"/>
    </w:p>
    <w:p w:rsidR="007E4AB4" w:rsidRDefault="00244179">
      <w:pPr>
        <w:pStyle w:val="a0"/>
        <w:spacing w:before="93"/>
      </w:pPr>
      <w:r>
        <w:rPr>
          <w:rFonts w:hint="eastAsia"/>
        </w:rPr>
        <w:t>作为附件予以公开。</w:t>
      </w:r>
    </w:p>
    <w:p w:rsidR="007E4AB4" w:rsidRDefault="007E4AB4">
      <w:pPr>
        <w:pStyle w:val="a0"/>
        <w:spacing w:before="93"/>
        <w:rPr>
          <w:rFonts w:hAnsi="Calibri" w:cs="仿宋"/>
          <w:sz w:val="32"/>
          <w:szCs w:val="32"/>
        </w:rPr>
      </w:pPr>
    </w:p>
    <w:p w:rsidR="007E4AB4" w:rsidRDefault="007E4AB4">
      <w:pPr>
        <w:pStyle w:val="a0"/>
        <w:spacing w:before="93"/>
        <w:rPr>
          <w:rFonts w:hAnsi="Calibri" w:cs="仿宋"/>
          <w:sz w:val="32"/>
          <w:szCs w:val="32"/>
        </w:rPr>
      </w:pPr>
    </w:p>
    <w:p w:rsidR="007E4AB4" w:rsidRDefault="007E4AB4">
      <w:pPr>
        <w:pStyle w:val="a0"/>
        <w:spacing w:before="93"/>
        <w:rPr>
          <w:rFonts w:hAnsi="Calibri" w:cs="仿宋"/>
          <w:sz w:val="32"/>
          <w:szCs w:val="32"/>
        </w:rPr>
      </w:pPr>
    </w:p>
    <w:p w:rsidR="007E4AB4" w:rsidRDefault="007E4AB4">
      <w:pPr>
        <w:pStyle w:val="a0"/>
        <w:spacing w:before="93"/>
        <w:rPr>
          <w:rFonts w:hAnsi="Calibri" w:cs="仿宋"/>
          <w:sz w:val="32"/>
          <w:szCs w:val="32"/>
        </w:rPr>
      </w:pPr>
    </w:p>
    <w:p w:rsidR="007E4AB4" w:rsidRDefault="007E4AB4">
      <w:pPr>
        <w:pStyle w:val="a0"/>
        <w:spacing w:before="93"/>
        <w:rPr>
          <w:rFonts w:hAnsi="Calibri" w:cs="仿宋"/>
          <w:sz w:val="32"/>
          <w:szCs w:val="32"/>
        </w:rPr>
      </w:pPr>
    </w:p>
    <w:p w:rsidR="007E4AB4" w:rsidRDefault="007E4AB4">
      <w:pPr>
        <w:pStyle w:val="a0"/>
        <w:spacing w:before="93"/>
        <w:rPr>
          <w:rFonts w:hAnsi="Calibri" w:cs="仿宋"/>
          <w:sz w:val="32"/>
          <w:szCs w:val="32"/>
        </w:rPr>
      </w:pPr>
    </w:p>
    <w:p w:rsidR="007E4AB4" w:rsidRDefault="007E4AB4">
      <w:pPr>
        <w:pStyle w:val="a0"/>
        <w:spacing w:before="93"/>
        <w:rPr>
          <w:rFonts w:hAnsi="Calibri" w:cs="仿宋"/>
          <w:sz w:val="32"/>
          <w:szCs w:val="32"/>
        </w:rPr>
      </w:pPr>
    </w:p>
    <w:p w:rsidR="007E4AB4" w:rsidRDefault="007E4AB4">
      <w:pPr>
        <w:pStyle w:val="a0"/>
        <w:spacing w:before="93"/>
        <w:rPr>
          <w:rFonts w:hAnsi="Calibri" w:cs="仿宋"/>
          <w:sz w:val="32"/>
          <w:szCs w:val="32"/>
        </w:rPr>
      </w:pPr>
    </w:p>
    <w:p w:rsidR="007E4AB4" w:rsidRDefault="007E4AB4">
      <w:pPr>
        <w:pStyle w:val="a0"/>
        <w:spacing w:before="93"/>
        <w:rPr>
          <w:rFonts w:hAnsi="Calibri" w:cs="仿宋"/>
          <w:sz w:val="32"/>
          <w:szCs w:val="32"/>
        </w:rPr>
      </w:pPr>
    </w:p>
    <w:p w:rsidR="007E4AB4" w:rsidRDefault="007E4AB4">
      <w:pPr>
        <w:pStyle w:val="a0"/>
        <w:spacing w:before="93"/>
        <w:rPr>
          <w:rFonts w:hAnsi="Calibri" w:cs="仿宋"/>
          <w:sz w:val="32"/>
          <w:szCs w:val="32"/>
        </w:rPr>
      </w:pPr>
    </w:p>
    <w:p w:rsidR="007E4AB4" w:rsidRDefault="007E4AB4">
      <w:pPr>
        <w:pStyle w:val="a0"/>
        <w:spacing w:before="93"/>
        <w:rPr>
          <w:rFonts w:hAnsi="Calibri" w:cs="仿宋"/>
          <w:sz w:val="32"/>
          <w:szCs w:val="32"/>
        </w:rPr>
      </w:pPr>
    </w:p>
    <w:p w:rsidR="007E4AB4" w:rsidRDefault="007E4AB4">
      <w:pPr>
        <w:pStyle w:val="a0"/>
        <w:spacing w:before="93"/>
        <w:rPr>
          <w:rFonts w:hAnsi="Calibri" w:cs="仿宋"/>
          <w:sz w:val="32"/>
          <w:szCs w:val="32"/>
        </w:rPr>
      </w:pPr>
    </w:p>
    <w:p w:rsidR="007E4AB4" w:rsidRDefault="007E4AB4">
      <w:pPr>
        <w:pStyle w:val="a0"/>
        <w:spacing w:before="93"/>
        <w:rPr>
          <w:rFonts w:hAnsi="Calibri" w:cs="仿宋"/>
          <w:sz w:val="32"/>
          <w:szCs w:val="32"/>
        </w:rPr>
      </w:pPr>
    </w:p>
    <w:p w:rsidR="007E4AB4" w:rsidRDefault="007E4AB4">
      <w:pPr>
        <w:pStyle w:val="a0"/>
        <w:spacing w:before="93"/>
        <w:rPr>
          <w:rFonts w:hAnsi="Calibri" w:cs="仿宋"/>
          <w:sz w:val="32"/>
          <w:szCs w:val="32"/>
        </w:rPr>
      </w:pPr>
    </w:p>
    <w:p w:rsidR="007E4AB4" w:rsidRDefault="007E4AB4">
      <w:pPr>
        <w:pStyle w:val="a0"/>
        <w:spacing w:before="93"/>
        <w:rPr>
          <w:rFonts w:hAnsi="Calibri" w:cs="仿宋"/>
          <w:sz w:val="32"/>
          <w:szCs w:val="32"/>
        </w:rPr>
      </w:pPr>
    </w:p>
    <w:p w:rsidR="007E4AB4" w:rsidRDefault="007E4AB4">
      <w:pPr>
        <w:pStyle w:val="a0"/>
        <w:spacing w:before="93"/>
        <w:rPr>
          <w:rFonts w:hAnsi="Calibri" w:cs="仿宋"/>
          <w:sz w:val="32"/>
          <w:szCs w:val="32"/>
        </w:rPr>
      </w:pPr>
    </w:p>
    <w:p w:rsidR="007E4AB4" w:rsidRDefault="00244179">
      <w:pPr>
        <w:spacing w:line="600" w:lineRule="exact"/>
        <w:jc w:val="center"/>
        <w:outlineLvl w:val="0"/>
        <w:rPr>
          <w:rFonts w:ascii="仿宋" w:eastAsia="仿宋" w:hAnsi="仿宋"/>
        </w:rPr>
      </w:pPr>
      <w:bookmarkStart w:id="80" w:name="_Toc28548"/>
      <w:r>
        <w:rPr>
          <w:rFonts w:ascii="黑体" w:eastAsia="黑体" w:hAnsi="黑体" w:hint="eastAsia"/>
          <w:sz w:val="44"/>
          <w:szCs w:val="44"/>
        </w:rPr>
        <w:lastRenderedPageBreak/>
        <w:t>第</w:t>
      </w:r>
      <w:r>
        <w:rPr>
          <w:rStyle w:val="1Char"/>
          <w:rFonts w:ascii="黑体" w:eastAsia="黑体" w:hAnsi="黑体" w:hint="eastAsia"/>
          <w:b w:val="0"/>
        </w:rPr>
        <w:t>五部分附表</w:t>
      </w:r>
      <w:bookmarkStart w:id="81" w:name="_Toc15396619"/>
      <w:bookmarkEnd w:id="75"/>
      <w:bookmarkEnd w:id="79"/>
      <w:bookmarkEnd w:id="80"/>
    </w:p>
    <w:p w:rsidR="007E4AB4" w:rsidRDefault="00244179">
      <w:pPr>
        <w:pStyle w:val="2"/>
        <w:rPr>
          <w:rFonts w:ascii="仿宋" w:eastAsia="仿宋" w:hAnsi="仿宋"/>
        </w:rPr>
      </w:pPr>
      <w:bookmarkStart w:id="82" w:name="_Toc1754"/>
      <w:r>
        <w:rPr>
          <w:rFonts w:ascii="仿宋" w:eastAsia="仿宋" w:hAnsi="仿宋" w:hint="eastAsia"/>
          <w:b w:val="0"/>
        </w:rPr>
        <w:t>一、收</w:t>
      </w:r>
      <w:r>
        <w:rPr>
          <w:rStyle w:val="2Char"/>
          <w:rFonts w:ascii="仿宋" w:eastAsia="仿宋" w:hAnsi="仿宋" w:hint="eastAsia"/>
        </w:rPr>
        <w:t>入支出决算总表</w:t>
      </w:r>
      <w:bookmarkEnd w:id="81"/>
      <w:bookmarkEnd w:id="82"/>
    </w:p>
    <w:p w:rsidR="007E4AB4" w:rsidRDefault="00244179">
      <w:pPr>
        <w:pStyle w:val="2"/>
        <w:rPr>
          <w:rFonts w:ascii="仿宋" w:eastAsia="仿宋" w:hAnsi="仿宋"/>
        </w:rPr>
      </w:pPr>
      <w:bookmarkStart w:id="83" w:name="_Toc15396620"/>
      <w:bookmarkStart w:id="84" w:name="_Toc22057"/>
      <w:r>
        <w:rPr>
          <w:rFonts w:ascii="仿宋" w:eastAsia="仿宋" w:hAnsi="仿宋" w:hint="eastAsia"/>
          <w:b w:val="0"/>
        </w:rPr>
        <w:t>二、收</w:t>
      </w:r>
      <w:r>
        <w:rPr>
          <w:rStyle w:val="2Char"/>
          <w:rFonts w:ascii="仿宋" w:eastAsia="仿宋" w:hAnsi="仿宋" w:hint="eastAsia"/>
        </w:rPr>
        <w:t>入决算表</w:t>
      </w:r>
      <w:bookmarkEnd w:id="83"/>
      <w:bookmarkEnd w:id="84"/>
    </w:p>
    <w:p w:rsidR="007E4AB4" w:rsidRDefault="00244179">
      <w:pPr>
        <w:pStyle w:val="2"/>
        <w:rPr>
          <w:rFonts w:ascii="仿宋" w:eastAsia="仿宋" w:hAnsi="仿宋"/>
        </w:rPr>
      </w:pPr>
      <w:bookmarkStart w:id="85" w:name="_Toc25343"/>
      <w:bookmarkStart w:id="86" w:name="_Toc15396621"/>
      <w:r>
        <w:rPr>
          <w:rStyle w:val="2Char"/>
          <w:rFonts w:ascii="仿宋" w:eastAsia="仿宋" w:hAnsi="仿宋" w:hint="eastAsia"/>
        </w:rPr>
        <w:t>三、</w:t>
      </w:r>
      <w:r>
        <w:rPr>
          <w:rFonts w:ascii="仿宋" w:eastAsia="仿宋" w:hAnsi="仿宋" w:hint="eastAsia"/>
          <w:b w:val="0"/>
        </w:rPr>
        <w:t>支</w:t>
      </w:r>
      <w:r>
        <w:rPr>
          <w:rStyle w:val="2Char"/>
          <w:rFonts w:ascii="仿宋" w:eastAsia="仿宋" w:hAnsi="仿宋" w:hint="eastAsia"/>
        </w:rPr>
        <w:t>出决算表</w:t>
      </w:r>
      <w:bookmarkEnd w:id="85"/>
      <w:bookmarkEnd w:id="86"/>
    </w:p>
    <w:p w:rsidR="007E4AB4" w:rsidRDefault="00244179">
      <w:pPr>
        <w:pStyle w:val="2"/>
        <w:rPr>
          <w:rFonts w:ascii="仿宋" w:eastAsia="仿宋" w:hAnsi="仿宋"/>
          <w:b w:val="0"/>
        </w:rPr>
      </w:pPr>
      <w:bookmarkStart w:id="87" w:name="_Toc23586"/>
      <w:bookmarkStart w:id="88" w:name="_Toc15396622"/>
      <w:r>
        <w:rPr>
          <w:rStyle w:val="2Char"/>
          <w:rFonts w:ascii="仿宋" w:eastAsia="仿宋" w:hAnsi="仿宋" w:hint="eastAsia"/>
        </w:rPr>
        <w:t>四、</w:t>
      </w:r>
      <w:r>
        <w:rPr>
          <w:rFonts w:ascii="仿宋" w:eastAsia="仿宋" w:hAnsi="仿宋" w:hint="eastAsia"/>
          <w:b w:val="0"/>
        </w:rPr>
        <w:t>财</w:t>
      </w:r>
      <w:r>
        <w:rPr>
          <w:rStyle w:val="2Char"/>
          <w:rFonts w:ascii="仿宋" w:eastAsia="仿宋" w:hAnsi="仿宋" w:hint="eastAsia"/>
        </w:rPr>
        <w:t>政拨款收入支出决算总表</w:t>
      </w:r>
      <w:bookmarkEnd w:id="87"/>
      <w:bookmarkEnd w:id="88"/>
    </w:p>
    <w:p w:rsidR="007E4AB4" w:rsidRDefault="00244179">
      <w:pPr>
        <w:pStyle w:val="2"/>
        <w:rPr>
          <w:rStyle w:val="2Char"/>
          <w:rFonts w:ascii="仿宋" w:eastAsia="仿宋" w:hAnsi="仿宋"/>
        </w:rPr>
      </w:pPr>
      <w:bookmarkStart w:id="89" w:name="_Toc8693"/>
      <w:bookmarkStart w:id="90" w:name="_Toc15396623"/>
      <w:r>
        <w:rPr>
          <w:rStyle w:val="2Char"/>
          <w:rFonts w:ascii="仿宋" w:eastAsia="仿宋" w:hAnsi="仿宋" w:hint="eastAsia"/>
        </w:rPr>
        <w:t>五、</w:t>
      </w:r>
      <w:r>
        <w:rPr>
          <w:rFonts w:ascii="仿宋" w:eastAsia="仿宋" w:hAnsi="仿宋" w:hint="eastAsia"/>
          <w:b w:val="0"/>
        </w:rPr>
        <w:t>财</w:t>
      </w:r>
      <w:r>
        <w:rPr>
          <w:rStyle w:val="2Char"/>
          <w:rFonts w:ascii="仿宋" w:eastAsia="仿宋" w:hAnsi="仿宋" w:hint="eastAsia"/>
        </w:rPr>
        <w:t>政拨款支出决算明细表</w:t>
      </w:r>
      <w:bookmarkStart w:id="91" w:name="_Toc15396624"/>
      <w:bookmarkEnd w:id="89"/>
      <w:bookmarkEnd w:id="90"/>
    </w:p>
    <w:p w:rsidR="007E4AB4" w:rsidRDefault="00244179">
      <w:pPr>
        <w:pStyle w:val="2"/>
        <w:rPr>
          <w:rFonts w:ascii="仿宋" w:eastAsia="仿宋" w:hAnsi="仿宋"/>
        </w:rPr>
      </w:pPr>
      <w:bookmarkStart w:id="92" w:name="_Toc19510"/>
      <w:r>
        <w:rPr>
          <w:rStyle w:val="2Char"/>
          <w:rFonts w:ascii="仿宋" w:eastAsia="仿宋" w:hAnsi="仿宋" w:hint="eastAsia"/>
        </w:rPr>
        <w:t>六、</w:t>
      </w:r>
      <w:r>
        <w:rPr>
          <w:rFonts w:ascii="仿宋" w:eastAsia="仿宋" w:hAnsi="仿宋" w:hint="eastAsia"/>
          <w:b w:val="0"/>
        </w:rPr>
        <w:t>一</w:t>
      </w:r>
      <w:r>
        <w:rPr>
          <w:rStyle w:val="2Char"/>
          <w:rFonts w:ascii="仿宋" w:eastAsia="仿宋" w:hAnsi="仿宋" w:hint="eastAsia"/>
        </w:rPr>
        <w:t>般公共预算财政拨款支出决算表</w:t>
      </w:r>
      <w:bookmarkEnd w:id="91"/>
      <w:bookmarkEnd w:id="92"/>
    </w:p>
    <w:p w:rsidR="007E4AB4" w:rsidRDefault="00244179">
      <w:pPr>
        <w:pStyle w:val="2"/>
        <w:rPr>
          <w:rFonts w:ascii="仿宋" w:eastAsia="仿宋" w:hAnsi="仿宋"/>
        </w:rPr>
      </w:pPr>
      <w:bookmarkStart w:id="93" w:name="_Toc15396625"/>
      <w:bookmarkStart w:id="94" w:name="_Toc27640"/>
      <w:r>
        <w:rPr>
          <w:rStyle w:val="2Char"/>
          <w:rFonts w:ascii="仿宋" w:eastAsia="仿宋" w:hAnsi="仿宋" w:hint="eastAsia"/>
        </w:rPr>
        <w:t>七、</w:t>
      </w:r>
      <w:r>
        <w:rPr>
          <w:rFonts w:ascii="仿宋" w:eastAsia="仿宋" w:hAnsi="仿宋" w:hint="eastAsia"/>
          <w:b w:val="0"/>
        </w:rPr>
        <w:t>一</w:t>
      </w:r>
      <w:r>
        <w:rPr>
          <w:rStyle w:val="2Char"/>
          <w:rFonts w:ascii="仿宋" w:eastAsia="仿宋" w:hAnsi="仿宋" w:hint="eastAsia"/>
        </w:rPr>
        <w:t>般公共预算财政拨款支出决算明细表</w:t>
      </w:r>
      <w:bookmarkEnd w:id="93"/>
      <w:bookmarkEnd w:id="94"/>
    </w:p>
    <w:p w:rsidR="007E4AB4" w:rsidRDefault="00244179">
      <w:pPr>
        <w:pStyle w:val="2"/>
        <w:rPr>
          <w:rFonts w:ascii="仿宋" w:eastAsia="仿宋" w:hAnsi="仿宋"/>
        </w:rPr>
      </w:pPr>
      <w:bookmarkStart w:id="95" w:name="_Toc15396626"/>
      <w:bookmarkStart w:id="96" w:name="_Toc15378"/>
      <w:r>
        <w:rPr>
          <w:rStyle w:val="2Char"/>
          <w:rFonts w:ascii="仿宋" w:eastAsia="仿宋" w:hAnsi="仿宋" w:hint="eastAsia"/>
        </w:rPr>
        <w:t>八、</w:t>
      </w:r>
      <w:r>
        <w:rPr>
          <w:rFonts w:ascii="仿宋" w:eastAsia="仿宋" w:hAnsi="仿宋" w:hint="eastAsia"/>
          <w:b w:val="0"/>
        </w:rPr>
        <w:t>一</w:t>
      </w:r>
      <w:r>
        <w:rPr>
          <w:rStyle w:val="2Char"/>
          <w:rFonts w:ascii="仿宋" w:eastAsia="仿宋" w:hAnsi="仿宋" w:hint="eastAsia"/>
        </w:rPr>
        <w:t>般公共预算财政拨款基本支出决算表</w:t>
      </w:r>
      <w:bookmarkEnd w:id="95"/>
      <w:bookmarkEnd w:id="96"/>
    </w:p>
    <w:p w:rsidR="007E4AB4" w:rsidRDefault="00244179">
      <w:pPr>
        <w:pStyle w:val="2"/>
        <w:rPr>
          <w:rFonts w:ascii="仿宋" w:eastAsia="仿宋" w:hAnsi="仿宋"/>
        </w:rPr>
      </w:pPr>
      <w:bookmarkStart w:id="97" w:name="_Toc23769"/>
      <w:bookmarkStart w:id="98" w:name="_Toc15396627"/>
      <w:r>
        <w:rPr>
          <w:rStyle w:val="2Char"/>
          <w:rFonts w:ascii="仿宋" w:eastAsia="仿宋" w:hAnsi="仿宋" w:hint="eastAsia"/>
        </w:rPr>
        <w:t>九、</w:t>
      </w:r>
      <w:r>
        <w:rPr>
          <w:rFonts w:ascii="仿宋" w:eastAsia="仿宋" w:hAnsi="仿宋" w:hint="eastAsia"/>
          <w:b w:val="0"/>
        </w:rPr>
        <w:t>一</w:t>
      </w:r>
      <w:r>
        <w:rPr>
          <w:rStyle w:val="2Char"/>
          <w:rFonts w:ascii="仿宋" w:eastAsia="仿宋" w:hAnsi="仿宋" w:hint="eastAsia"/>
        </w:rPr>
        <w:t>般公共预算财政拨款项目支出决算表</w:t>
      </w:r>
      <w:bookmarkEnd w:id="97"/>
      <w:bookmarkEnd w:id="98"/>
    </w:p>
    <w:p w:rsidR="007E4AB4" w:rsidRDefault="00244179">
      <w:pPr>
        <w:pStyle w:val="2"/>
        <w:rPr>
          <w:rFonts w:ascii="仿宋" w:eastAsia="仿宋" w:hAnsi="仿宋"/>
        </w:rPr>
      </w:pPr>
      <w:bookmarkStart w:id="99" w:name="_Toc15396628"/>
      <w:bookmarkStart w:id="100" w:name="_Toc10674"/>
      <w:r>
        <w:rPr>
          <w:rStyle w:val="2Char"/>
          <w:rFonts w:ascii="仿宋" w:eastAsia="仿宋" w:hAnsi="仿宋" w:hint="eastAsia"/>
        </w:rPr>
        <w:t>十、</w:t>
      </w:r>
      <w:bookmarkEnd w:id="99"/>
      <w:r>
        <w:rPr>
          <w:rFonts w:ascii="仿宋" w:eastAsia="仿宋" w:hAnsi="仿宋" w:hint="eastAsia"/>
          <w:b w:val="0"/>
        </w:rPr>
        <w:t>政</w:t>
      </w:r>
      <w:r>
        <w:rPr>
          <w:rStyle w:val="2Char"/>
          <w:rFonts w:ascii="仿宋" w:eastAsia="仿宋" w:hAnsi="仿宋" w:hint="eastAsia"/>
        </w:rPr>
        <w:t>府性基金预算财政拨款收入支出决算表</w:t>
      </w:r>
      <w:bookmarkEnd w:id="100"/>
    </w:p>
    <w:p w:rsidR="007E4AB4" w:rsidRDefault="00244179">
      <w:pPr>
        <w:pStyle w:val="2"/>
        <w:rPr>
          <w:rFonts w:ascii="仿宋" w:eastAsia="仿宋" w:hAnsi="仿宋"/>
        </w:rPr>
      </w:pPr>
      <w:bookmarkStart w:id="101" w:name="_Toc15396629"/>
      <w:bookmarkStart w:id="102" w:name="_Toc20044"/>
      <w:r>
        <w:rPr>
          <w:rStyle w:val="2Char"/>
          <w:rFonts w:ascii="仿宋" w:eastAsia="仿宋" w:hAnsi="仿宋" w:hint="eastAsia"/>
        </w:rPr>
        <w:t>十一、</w:t>
      </w:r>
      <w:bookmarkEnd w:id="101"/>
      <w:r>
        <w:rPr>
          <w:rFonts w:ascii="仿宋" w:eastAsia="仿宋" w:hAnsi="仿宋" w:hint="eastAsia"/>
          <w:b w:val="0"/>
        </w:rPr>
        <w:t>国</w:t>
      </w:r>
      <w:r>
        <w:rPr>
          <w:rStyle w:val="2Char"/>
          <w:rFonts w:ascii="仿宋" w:eastAsia="仿宋" w:hAnsi="仿宋" w:hint="eastAsia"/>
        </w:rPr>
        <w:t>有资本经营预算财政拨款收入支出决算表</w:t>
      </w:r>
      <w:bookmarkEnd w:id="102"/>
    </w:p>
    <w:p w:rsidR="007E4AB4" w:rsidRDefault="00244179">
      <w:pPr>
        <w:pStyle w:val="2"/>
        <w:rPr>
          <w:rFonts w:ascii="仿宋" w:eastAsia="仿宋" w:hAnsi="仿宋"/>
        </w:rPr>
      </w:pPr>
      <w:bookmarkStart w:id="103" w:name="_Toc15396630"/>
      <w:bookmarkStart w:id="104" w:name="_Toc13566"/>
      <w:r>
        <w:rPr>
          <w:rStyle w:val="2Char"/>
          <w:rFonts w:ascii="仿宋" w:eastAsia="仿宋" w:hAnsi="仿宋" w:hint="eastAsia"/>
        </w:rPr>
        <w:t>十二、</w:t>
      </w:r>
      <w:bookmarkEnd w:id="103"/>
      <w:r>
        <w:rPr>
          <w:rStyle w:val="2Char"/>
          <w:rFonts w:ascii="仿宋" w:eastAsia="仿宋" w:hAnsi="仿宋" w:hint="eastAsia"/>
        </w:rPr>
        <w:t>国有资本经营预算财政拨款支出决算表</w:t>
      </w:r>
      <w:bookmarkEnd w:id="104"/>
    </w:p>
    <w:p w:rsidR="007E4AB4" w:rsidRDefault="00244179">
      <w:pPr>
        <w:pStyle w:val="2"/>
        <w:rPr>
          <w:rFonts w:eastAsia="仿宋"/>
        </w:rPr>
      </w:pPr>
      <w:bookmarkStart w:id="105" w:name="_Toc15396631"/>
      <w:bookmarkStart w:id="106" w:name="_Toc24980"/>
      <w:r>
        <w:rPr>
          <w:rStyle w:val="2Char"/>
          <w:rFonts w:ascii="仿宋" w:eastAsia="仿宋" w:hAnsi="仿宋" w:hint="eastAsia"/>
        </w:rPr>
        <w:t>十三、</w:t>
      </w:r>
      <w:bookmarkEnd w:id="105"/>
      <w:r>
        <w:rPr>
          <w:rStyle w:val="2Char"/>
          <w:rFonts w:ascii="仿宋" w:eastAsia="仿宋" w:hAnsi="仿宋" w:hint="eastAsia"/>
        </w:rPr>
        <w:t>财政拨款“三公”经费支出决算表</w:t>
      </w:r>
      <w:bookmarkEnd w:id="106"/>
    </w:p>
    <w:sectPr w:rsidR="007E4AB4">
      <w:footerReference w:type="default" r:id="rId16"/>
      <w:footerReference w:type="first" r:id="rId17"/>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07E" w:rsidRDefault="002D007E">
      <w:r>
        <w:separator/>
      </w:r>
    </w:p>
  </w:endnote>
  <w:endnote w:type="continuationSeparator" w:id="0">
    <w:p w:rsidR="002D007E" w:rsidRDefault="002D0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C6B47C36-B982-458A-AD30-A1413979FBB3}"/>
    <w:embedBold r:id="rId2" w:subsetted="1" w:fontKey="{8C93605A-ECA4-4186-A5F1-1DDB79649D1A}"/>
  </w:font>
  <w:font w:name="Calibri">
    <w:panose1 w:val="020F0502020204030204"/>
    <w:charset w:val="00"/>
    <w:family w:val="swiss"/>
    <w:pitch w:val="variable"/>
    <w:sig w:usb0="E10002FF" w:usb1="4000ACFF" w:usb2="00000009" w:usb3="00000000" w:csb0="0000019F" w:csb1="00000000"/>
    <w:embedRegular r:id="rId3" w:subsetted="1" w:fontKey="{B11B6AAC-E888-4052-90D6-94D1FDC66A39}"/>
    <w:embedBold r:id="rId4" w:subsetted="1" w:fontKey="{F97B2485-4ABE-40A9-BFC5-76DFDDE81949}"/>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0000000" w:usb2="00000010" w:usb3="00000000" w:csb0="00040000" w:csb1="00000000"/>
    <w:embedRegular r:id="rId5" w:subsetted="1" w:fontKey="{5DA6664E-B4CF-4242-A957-F3C0D7E411C3}"/>
    <w:embedBold r:id="rId6" w:subsetted="1" w:fontKey="{09E79533-0AFB-4534-970C-774FD3F60398}"/>
  </w:font>
  <w:font w:name="仿宋">
    <w:altName w:val="Arial"/>
    <w:panose1 w:val="02010609060101010101"/>
    <w:charset w:val="86"/>
    <w:family w:val="modern"/>
    <w:pitch w:val="fixed"/>
    <w:sig w:usb0="800002BF" w:usb1="38CF7CFA" w:usb2="00000016" w:usb3="00000000" w:csb0="00040001" w:csb1="00000000"/>
    <w:embedRegular r:id="rId7" w:subsetted="1" w:fontKey="{07350ADF-20BE-4452-9355-9FE2E22C7A5E}"/>
    <w:embedBold r:id="rId8" w:subsetted="1" w:fontKey="{CB19A5CE-ACD4-4B1E-B809-EE265EE83E50}"/>
  </w:font>
  <w:font w:name="方正小标宋简体">
    <w:altName w:val="hakuyoxingshu7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AB4" w:rsidRDefault="00244179">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E4AB4" w:rsidRDefault="00244179">
                          <w:pPr>
                            <w:pStyle w:val="a5"/>
                          </w:pPr>
                          <w:r>
                            <w:fldChar w:fldCharType="begin"/>
                          </w:r>
                          <w:r>
                            <w:instrText xml:space="preserve"> PAGE  \* MERGEFORMAT </w:instrText>
                          </w:r>
                          <w:r>
                            <w:fldChar w:fldCharType="separate"/>
                          </w:r>
                          <w:r w:rsidR="001C7A57">
                            <w:rPr>
                              <w:noProof/>
                            </w:rP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7E4AB4" w:rsidRDefault="00244179">
                    <w:pPr>
                      <w:pStyle w:val="a5"/>
                    </w:pPr>
                    <w:r>
                      <w:fldChar w:fldCharType="begin"/>
                    </w:r>
                    <w:r>
                      <w:instrText xml:space="preserve"> PAGE  \* MERGEFORMAT </w:instrText>
                    </w:r>
                    <w:r>
                      <w:fldChar w:fldCharType="separate"/>
                    </w:r>
                    <w:r w:rsidR="001C7A57">
                      <w:rPr>
                        <w:noProof/>
                      </w:rPr>
                      <w:t>3</w:t>
                    </w:r>
                    <w: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AB4" w:rsidRDefault="00244179">
    <w:pPr>
      <w:pStyle w:val="a5"/>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E4AB4" w:rsidRDefault="00244179">
                          <w:pPr>
                            <w:pStyle w:val="a5"/>
                          </w:pPr>
                          <w:r>
                            <w:fldChar w:fldCharType="begin"/>
                          </w:r>
                          <w:r>
                            <w:instrText xml:space="preserve"> PAGE  \* MERGEFORMAT </w:instrText>
                          </w:r>
                          <w:r>
                            <w:fldChar w:fldCharType="separate"/>
                          </w:r>
                          <w:r w:rsidR="001C7A57">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eyVpI2MCAAARBQAADgAAAAAAAAAAAAAAAAAuAgAAZHJzL2Uyb0RvYy54&#10;bWxQSwECLQAUAAYACAAAACEAcarRudcAAAAFAQAADwAAAAAAAAAAAAAAAAC9BAAAZHJzL2Rvd25y&#10;ZXYueG1sUEsFBgAAAAAEAAQA8wAAAMEFAAAAAA==&#10;" filled="f" stroked="f" strokeweight=".5pt">
              <v:textbox style="mso-fit-shape-to-text:t" inset="0,0,0,0">
                <w:txbxContent>
                  <w:p w:rsidR="007E4AB4" w:rsidRDefault="00244179">
                    <w:pPr>
                      <w:pStyle w:val="a5"/>
                    </w:pPr>
                    <w:r>
                      <w:fldChar w:fldCharType="begin"/>
                    </w:r>
                    <w:r>
                      <w:instrText xml:space="preserve"> PAGE  \* MERGEFORMAT </w:instrText>
                    </w:r>
                    <w:r>
                      <w:fldChar w:fldCharType="separate"/>
                    </w:r>
                    <w:r w:rsidR="001C7A57">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07E" w:rsidRDefault="002D007E">
      <w:r>
        <w:separator/>
      </w:r>
    </w:p>
  </w:footnote>
  <w:footnote w:type="continuationSeparator" w:id="0">
    <w:p w:rsidR="002D007E" w:rsidRDefault="002D00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AB4" w:rsidRDefault="007E4AB4">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652CEC"/>
    <w:multiLevelType w:val="singleLevel"/>
    <w:tmpl w:val="CF652CEC"/>
    <w:lvl w:ilvl="0">
      <w:start w:val="9"/>
      <w:numFmt w:val="chineseCounting"/>
      <w:suff w:val="nothing"/>
      <w:lvlText w:val="%1、"/>
      <w:lvlJc w:val="left"/>
      <w:rPr>
        <w:rFonts w:hint="eastAsia"/>
      </w:rPr>
    </w:lvl>
  </w:abstractNum>
  <w:abstractNum w:abstractNumId="1">
    <w:nsid w:val="E2FA047D"/>
    <w:multiLevelType w:val="singleLevel"/>
    <w:tmpl w:val="E2FA047D"/>
    <w:lvl w:ilvl="0">
      <w:start w:val="3"/>
      <w:numFmt w:val="chineseCounting"/>
      <w:suff w:val="space"/>
      <w:lvlText w:val="第%1部分"/>
      <w:lvlJc w:val="left"/>
      <w:rPr>
        <w:rFonts w:ascii="黑体" w:eastAsia="黑体" w:hAnsi="黑体" w:cs="黑体" w:hint="eastAsia"/>
        <w:sz w:val="44"/>
        <w:szCs w:val="44"/>
      </w:rPr>
    </w:lvl>
  </w:abstractNum>
  <w:abstractNum w:abstractNumId="2">
    <w:nsid w:val="1272550B"/>
    <w:multiLevelType w:val="multilevel"/>
    <w:tmpl w:val="1272550B"/>
    <w:lvl w:ilvl="0">
      <w:start w:val="1"/>
      <w:numFmt w:val="japaneseCounting"/>
      <w:lvlText w:val="%1、"/>
      <w:lvlJc w:val="left"/>
      <w:pPr>
        <w:ind w:left="1360" w:hanging="720"/>
      </w:pPr>
      <w:rPr>
        <w:rFonts w:hint="default"/>
        <w:b w:val="0"/>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3818A09A"/>
    <w:multiLevelType w:val="singleLevel"/>
    <w:tmpl w:val="3818A09A"/>
    <w:lvl w:ilvl="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9E3A10E2"/>
    <w:rsid w:val="F2E1F9D4"/>
    <w:rsid w:val="F7880819"/>
    <w:rsid w:val="000222C6"/>
    <w:rsid w:val="0002549F"/>
    <w:rsid w:val="000435C7"/>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3F05"/>
    <w:rsid w:val="000E6613"/>
    <w:rsid w:val="000E7119"/>
    <w:rsid w:val="00114E9B"/>
    <w:rsid w:val="00134042"/>
    <w:rsid w:val="00142216"/>
    <w:rsid w:val="00144D6A"/>
    <w:rsid w:val="0014729F"/>
    <w:rsid w:val="001573BD"/>
    <w:rsid w:val="00157BAB"/>
    <w:rsid w:val="00157D2E"/>
    <w:rsid w:val="001654D1"/>
    <w:rsid w:val="0016555A"/>
    <w:rsid w:val="00166F22"/>
    <w:rsid w:val="00174518"/>
    <w:rsid w:val="0018106D"/>
    <w:rsid w:val="001877A7"/>
    <w:rsid w:val="00191536"/>
    <w:rsid w:val="00196687"/>
    <w:rsid w:val="001C0962"/>
    <w:rsid w:val="001C7A57"/>
    <w:rsid w:val="001D7531"/>
    <w:rsid w:val="001E737D"/>
    <w:rsid w:val="001F0592"/>
    <w:rsid w:val="001F7506"/>
    <w:rsid w:val="002006CD"/>
    <w:rsid w:val="00202B36"/>
    <w:rsid w:val="00202F70"/>
    <w:rsid w:val="00204B7A"/>
    <w:rsid w:val="00204CDE"/>
    <w:rsid w:val="0021101A"/>
    <w:rsid w:val="00220536"/>
    <w:rsid w:val="00235629"/>
    <w:rsid w:val="00244179"/>
    <w:rsid w:val="00260C38"/>
    <w:rsid w:val="002616C0"/>
    <w:rsid w:val="00265372"/>
    <w:rsid w:val="002662AA"/>
    <w:rsid w:val="00280496"/>
    <w:rsid w:val="00294DC9"/>
    <w:rsid w:val="00295495"/>
    <w:rsid w:val="002A31DE"/>
    <w:rsid w:val="002B2613"/>
    <w:rsid w:val="002D007E"/>
    <w:rsid w:val="002D0BAD"/>
    <w:rsid w:val="002D6D05"/>
    <w:rsid w:val="002E6910"/>
    <w:rsid w:val="002F1818"/>
    <w:rsid w:val="002F567B"/>
    <w:rsid w:val="003216A9"/>
    <w:rsid w:val="00335A74"/>
    <w:rsid w:val="00340F65"/>
    <w:rsid w:val="00351BD6"/>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1BE3"/>
    <w:rsid w:val="003E6F55"/>
    <w:rsid w:val="00406254"/>
    <w:rsid w:val="004223DE"/>
    <w:rsid w:val="00434489"/>
    <w:rsid w:val="00437085"/>
    <w:rsid w:val="00442919"/>
    <w:rsid w:val="00443880"/>
    <w:rsid w:val="004464F4"/>
    <w:rsid w:val="00457282"/>
    <w:rsid w:val="00465677"/>
    <w:rsid w:val="0046642A"/>
    <w:rsid w:val="00471401"/>
    <w:rsid w:val="00473F31"/>
    <w:rsid w:val="0048263A"/>
    <w:rsid w:val="00487E5D"/>
    <w:rsid w:val="004A711F"/>
    <w:rsid w:val="004B199D"/>
    <w:rsid w:val="004B4690"/>
    <w:rsid w:val="004C5E73"/>
    <w:rsid w:val="004E0A2D"/>
    <w:rsid w:val="004E206B"/>
    <w:rsid w:val="004E6DF7"/>
    <w:rsid w:val="004F0FBD"/>
    <w:rsid w:val="00505A47"/>
    <w:rsid w:val="00512FDA"/>
    <w:rsid w:val="00520DA0"/>
    <w:rsid w:val="005664BB"/>
    <w:rsid w:val="00566FFA"/>
    <w:rsid w:val="0057481D"/>
    <w:rsid w:val="005749C6"/>
    <w:rsid w:val="0058486E"/>
    <w:rsid w:val="00585B33"/>
    <w:rsid w:val="0059014D"/>
    <w:rsid w:val="00590AFF"/>
    <w:rsid w:val="005B5C64"/>
    <w:rsid w:val="005C5337"/>
    <w:rsid w:val="005C6BD0"/>
    <w:rsid w:val="005D1C8B"/>
    <w:rsid w:val="005D468D"/>
    <w:rsid w:val="005D5CED"/>
    <w:rsid w:val="005F1A4C"/>
    <w:rsid w:val="005F48AE"/>
    <w:rsid w:val="00605688"/>
    <w:rsid w:val="006070AF"/>
    <w:rsid w:val="00607E6C"/>
    <w:rsid w:val="006101B1"/>
    <w:rsid w:val="00614E44"/>
    <w:rsid w:val="0062270A"/>
    <w:rsid w:val="00622830"/>
    <w:rsid w:val="00623DA0"/>
    <w:rsid w:val="00630AEF"/>
    <w:rsid w:val="006325F8"/>
    <w:rsid w:val="00633463"/>
    <w:rsid w:val="00634C9A"/>
    <w:rsid w:val="00636482"/>
    <w:rsid w:val="006440E4"/>
    <w:rsid w:val="006579C2"/>
    <w:rsid w:val="0066343B"/>
    <w:rsid w:val="00664777"/>
    <w:rsid w:val="006748A4"/>
    <w:rsid w:val="006819DF"/>
    <w:rsid w:val="00681A31"/>
    <w:rsid w:val="00683E73"/>
    <w:rsid w:val="006951C3"/>
    <w:rsid w:val="006A3141"/>
    <w:rsid w:val="006A5E34"/>
    <w:rsid w:val="006B2422"/>
    <w:rsid w:val="006B2B9A"/>
    <w:rsid w:val="006C1937"/>
    <w:rsid w:val="006C5F97"/>
    <w:rsid w:val="006F020C"/>
    <w:rsid w:val="007127B7"/>
    <w:rsid w:val="0071798E"/>
    <w:rsid w:val="007345C5"/>
    <w:rsid w:val="007416B6"/>
    <w:rsid w:val="00746F48"/>
    <w:rsid w:val="0075404D"/>
    <w:rsid w:val="0076182A"/>
    <w:rsid w:val="00767B7E"/>
    <w:rsid w:val="007770C3"/>
    <w:rsid w:val="00784D24"/>
    <w:rsid w:val="00785FBA"/>
    <w:rsid w:val="00786E4A"/>
    <w:rsid w:val="007875EB"/>
    <w:rsid w:val="00791E52"/>
    <w:rsid w:val="0079426B"/>
    <w:rsid w:val="007D1682"/>
    <w:rsid w:val="007D312A"/>
    <w:rsid w:val="007D3F19"/>
    <w:rsid w:val="007E23B0"/>
    <w:rsid w:val="007E23E5"/>
    <w:rsid w:val="007E4AB4"/>
    <w:rsid w:val="007F1991"/>
    <w:rsid w:val="007F2C2F"/>
    <w:rsid w:val="007F55FC"/>
    <w:rsid w:val="007F5665"/>
    <w:rsid w:val="00800112"/>
    <w:rsid w:val="00813348"/>
    <w:rsid w:val="008253BB"/>
    <w:rsid w:val="0083706E"/>
    <w:rsid w:val="008408F6"/>
    <w:rsid w:val="008423A5"/>
    <w:rsid w:val="00850625"/>
    <w:rsid w:val="00853718"/>
    <w:rsid w:val="008537D6"/>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71BD"/>
    <w:rsid w:val="00951248"/>
    <w:rsid w:val="0095152F"/>
    <w:rsid w:val="00953862"/>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175A4"/>
    <w:rsid w:val="00A2230A"/>
    <w:rsid w:val="00A237D8"/>
    <w:rsid w:val="00A268C4"/>
    <w:rsid w:val="00A307CD"/>
    <w:rsid w:val="00A331C8"/>
    <w:rsid w:val="00A40A00"/>
    <w:rsid w:val="00A4142F"/>
    <w:rsid w:val="00A422EB"/>
    <w:rsid w:val="00A44B6A"/>
    <w:rsid w:val="00A45BB7"/>
    <w:rsid w:val="00A56DF2"/>
    <w:rsid w:val="00A56E6E"/>
    <w:rsid w:val="00A64D33"/>
    <w:rsid w:val="00A67AB5"/>
    <w:rsid w:val="00A733B2"/>
    <w:rsid w:val="00A741C2"/>
    <w:rsid w:val="00A91760"/>
    <w:rsid w:val="00A93A71"/>
    <w:rsid w:val="00A93B00"/>
    <w:rsid w:val="00A93C21"/>
    <w:rsid w:val="00AB525A"/>
    <w:rsid w:val="00AB64C9"/>
    <w:rsid w:val="00AB6616"/>
    <w:rsid w:val="00AC3C6A"/>
    <w:rsid w:val="00AD5620"/>
    <w:rsid w:val="00AD656B"/>
    <w:rsid w:val="00AD7C1B"/>
    <w:rsid w:val="00AE16BA"/>
    <w:rsid w:val="00AE1EBE"/>
    <w:rsid w:val="00AE56BF"/>
    <w:rsid w:val="00B03C9D"/>
    <w:rsid w:val="00B060AE"/>
    <w:rsid w:val="00B10517"/>
    <w:rsid w:val="00B14C44"/>
    <w:rsid w:val="00B14E76"/>
    <w:rsid w:val="00B161B8"/>
    <w:rsid w:val="00B2048C"/>
    <w:rsid w:val="00B310B9"/>
    <w:rsid w:val="00B35F3F"/>
    <w:rsid w:val="00B36CBB"/>
    <w:rsid w:val="00B425E0"/>
    <w:rsid w:val="00B440AA"/>
    <w:rsid w:val="00B44B70"/>
    <w:rsid w:val="00B53C56"/>
    <w:rsid w:val="00B57DAF"/>
    <w:rsid w:val="00B76D0F"/>
    <w:rsid w:val="00B77EA6"/>
    <w:rsid w:val="00B81598"/>
    <w:rsid w:val="00B841F1"/>
    <w:rsid w:val="00B858B1"/>
    <w:rsid w:val="00B944D6"/>
    <w:rsid w:val="00BB4322"/>
    <w:rsid w:val="00BB4DF0"/>
    <w:rsid w:val="00BC289F"/>
    <w:rsid w:val="00BC2D50"/>
    <w:rsid w:val="00BC5361"/>
    <w:rsid w:val="00BC5460"/>
    <w:rsid w:val="00BC6B50"/>
    <w:rsid w:val="00BD0E25"/>
    <w:rsid w:val="00BF5BD6"/>
    <w:rsid w:val="00C03E31"/>
    <w:rsid w:val="00C07224"/>
    <w:rsid w:val="00C33E72"/>
    <w:rsid w:val="00C354B2"/>
    <w:rsid w:val="00C35554"/>
    <w:rsid w:val="00C41617"/>
    <w:rsid w:val="00C42709"/>
    <w:rsid w:val="00C533CC"/>
    <w:rsid w:val="00C5751C"/>
    <w:rsid w:val="00C61BFC"/>
    <w:rsid w:val="00C62B85"/>
    <w:rsid w:val="00C65438"/>
    <w:rsid w:val="00C87FD8"/>
    <w:rsid w:val="00C91381"/>
    <w:rsid w:val="00C91CBB"/>
    <w:rsid w:val="00CB4E70"/>
    <w:rsid w:val="00CC09B6"/>
    <w:rsid w:val="00CC666F"/>
    <w:rsid w:val="00CC69C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60356"/>
    <w:rsid w:val="00D63D7D"/>
    <w:rsid w:val="00D64099"/>
    <w:rsid w:val="00D7035F"/>
    <w:rsid w:val="00DA634F"/>
    <w:rsid w:val="00DA65AC"/>
    <w:rsid w:val="00DB1913"/>
    <w:rsid w:val="00DC410D"/>
    <w:rsid w:val="00DC5A81"/>
    <w:rsid w:val="00DC68CA"/>
    <w:rsid w:val="00DC7CBA"/>
    <w:rsid w:val="00DD09DC"/>
    <w:rsid w:val="00DD73B7"/>
    <w:rsid w:val="00DF28BC"/>
    <w:rsid w:val="00DF34B9"/>
    <w:rsid w:val="00E01053"/>
    <w:rsid w:val="00E07ACF"/>
    <w:rsid w:val="00E331A1"/>
    <w:rsid w:val="00E33202"/>
    <w:rsid w:val="00E336A9"/>
    <w:rsid w:val="00E35C15"/>
    <w:rsid w:val="00E472B1"/>
    <w:rsid w:val="00E50624"/>
    <w:rsid w:val="00E55C5C"/>
    <w:rsid w:val="00E568DF"/>
    <w:rsid w:val="00E64269"/>
    <w:rsid w:val="00E82267"/>
    <w:rsid w:val="00E853CE"/>
    <w:rsid w:val="00E867B6"/>
    <w:rsid w:val="00EA010F"/>
    <w:rsid w:val="00EC69C6"/>
    <w:rsid w:val="00ED1B63"/>
    <w:rsid w:val="00ED3C1F"/>
    <w:rsid w:val="00ED4085"/>
    <w:rsid w:val="00ED420E"/>
    <w:rsid w:val="00ED6FBE"/>
    <w:rsid w:val="00EE2F57"/>
    <w:rsid w:val="00EF1EFF"/>
    <w:rsid w:val="00EF4C34"/>
    <w:rsid w:val="00EF77C6"/>
    <w:rsid w:val="00F05438"/>
    <w:rsid w:val="00F05EE2"/>
    <w:rsid w:val="00F1361C"/>
    <w:rsid w:val="00F156F0"/>
    <w:rsid w:val="00F160C7"/>
    <w:rsid w:val="00F1723F"/>
    <w:rsid w:val="00F2408F"/>
    <w:rsid w:val="00F240E9"/>
    <w:rsid w:val="00F36D8F"/>
    <w:rsid w:val="00F417B1"/>
    <w:rsid w:val="00F45853"/>
    <w:rsid w:val="00F602DF"/>
    <w:rsid w:val="00F754A1"/>
    <w:rsid w:val="00F75508"/>
    <w:rsid w:val="00F81FD9"/>
    <w:rsid w:val="00F841AA"/>
    <w:rsid w:val="00F84A94"/>
    <w:rsid w:val="00F87E96"/>
    <w:rsid w:val="00FA23E8"/>
    <w:rsid w:val="00FD3CC1"/>
    <w:rsid w:val="00FF1E02"/>
    <w:rsid w:val="00FF30B4"/>
    <w:rsid w:val="00FF3B7A"/>
    <w:rsid w:val="053A62B5"/>
    <w:rsid w:val="0A2032A3"/>
    <w:rsid w:val="0B8A37D8"/>
    <w:rsid w:val="10C055FF"/>
    <w:rsid w:val="118107EC"/>
    <w:rsid w:val="11DD6519"/>
    <w:rsid w:val="16BB723D"/>
    <w:rsid w:val="18015F3F"/>
    <w:rsid w:val="1BE8440E"/>
    <w:rsid w:val="1D155CEE"/>
    <w:rsid w:val="20F57F95"/>
    <w:rsid w:val="240371BF"/>
    <w:rsid w:val="25711CC6"/>
    <w:rsid w:val="25C741E6"/>
    <w:rsid w:val="27842671"/>
    <w:rsid w:val="29FD04D3"/>
    <w:rsid w:val="2ABE7A3E"/>
    <w:rsid w:val="2CA234A8"/>
    <w:rsid w:val="2EFA178C"/>
    <w:rsid w:val="30B46D73"/>
    <w:rsid w:val="319F7F4E"/>
    <w:rsid w:val="383D272C"/>
    <w:rsid w:val="39AE70AB"/>
    <w:rsid w:val="3C0C0783"/>
    <w:rsid w:val="3F9F3A96"/>
    <w:rsid w:val="41085755"/>
    <w:rsid w:val="48BF60AB"/>
    <w:rsid w:val="493C27E9"/>
    <w:rsid w:val="496F39ED"/>
    <w:rsid w:val="49FF41D3"/>
    <w:rsid w:val="4BE068DB"/>
    <w:rsid w:val="4BF6002B"/>
    <w:rsid w:val="4ECE2238"/>
    <w:rsid w:val="51DB4B86"/>
    <w:rsid w:val="531941DA"/>
    <w:rsid w:val="54361546"/>
    <w:rsid w:val="55333C3E"/>
    <w:rsid w:val="64CA39A1"/>
    <w:rsid w:val="69630ADE"/>
    <w:rsid w:val="6C4A05C8"/>
    <w:rsid w:val="6D3B1A89"/>
    <w:rsid w:val="71BF4EC2"/>
    <w:rsid w:val="72734D90"/>
    <w:rsid w:val="7412278C"/>
    <w:rsid w:val="76A24DFF"/>
    <w:rsid w:val="7904082E"/>
    <w:rsid w:val="79E7B28D"/>
    <w:rsid w:val="7F9F20EE"/>
    <w:rsid w:val="7FFF7F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lsdException w:name="Body Text" w:semiHidden="0" w:unhideWhenUsed="0" w:qFormat="1"/>
    <w:lsdException w:name="Subtitle" w:semiHidden="0" w:uiPriority="11" w:unhideWhenUsed="0" w:qFormat="1"/>
    <w:lsdException w:name="Hyperlink" w:semiHidden="0" w:qFormat="1"/>
    <w:lsdException w:name="Strong" w:semiHidden="0"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qFormat/>
    <w:pPr>
      <w:spacing w:beforeLines="30"/>
    </w:pPr>
    <w:rPr>
      <w:rFonts w:ascii="仿宋_GB2312" w:eastAsia="仿宋_GB2312"/>
      <w:kern w:val="0"/>
      <w:sz w:val="30"/>
    </w:rPr>
  </w:style>
  <w:style w:type="paragraph" w:styleId="30">
    <w:name w:val="toc 3"/>
    <w:basedOn w:val="a"/>
    <w:next w:val="a"/>
    <w:uiPriority w:val="39"/>
    <w:unhideWhenUsed/>
    <w:qFormat/>
    <w:pPr>
      <w:tabs>
        <w:tab w:val="right" w:leader="dot" w:pos="8296"/>
      </w:tabs>
      <w:ind w:leftChars="400" w:left="84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qFormat/>
    <w:pPr>
      <w:tabs>
        <w:tab w:val="center" w:pos="4153"/>
        <w:tab w:val="right" w:pos="8306"/>
      </w:tabs>
      <w:snapToGrid w:val="0"/>
      <w:jc w:val="left"/>
    </w:pPr>
    <w:rPr>
      <w:rFonts w:ascii="Calibri" w:hAnsi="Calibri"/>
      <w:kern w:val="0"/>
      <w:sz w:val="18"/>
      <w:szCs w:val="18"/>
    </w:rPr>
  </w:style>
  <w:style w:type="paragraph" w:styleId="a6">
    <w:name w:val="header"/>
    <w:basedOn w:val="a"/>
    <w:link w:val="Char2"/>
    <w:uiPriority w:val="99"/>
    <w:semiHidden/>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unhideWhenUsed/>
    <w:qFormat/>
    <w:pPr>
      <w:tabs>
        <w:tab w:val="right" w:leader="dot" w:pos="8296"/>
      </w:tabs>
      <w:spacing w:before="93"/>
      <w:jc w:val="center"/>
    </w:pPr>
    <w:rPr>
      <w:rFonts w:ascii="仿宋" w:eastAsia="仿宋" w:hAnsi="仿宋"/>
      <w:sz w:val="28"/>
      <w:szCs w:val="28"/>
    </w:rPr>
  </w:style>
  <w:style w:type="paragraph" w:styleId="20">
    <w:name w:val="toc 2"/>
    <w:basedOn w:val="a"/>
    <w:next w:val="a"/>
    <w:uiPriority w:val="39"/>
    <w:unhideWhenUsed/>
    <w:qFormat/>
    <w:pPr>
      <w:tabs>
        <w:tab w:val="right" w:leader="dot" w:pos="8296"/>
      </w:tabs>
      <w:ind w:leftChars="200" w:left="420"/>
    </w:pPr>
  </w:style>
  <w:style w:type="character" w:styleId="a7">
    <w:name w:val="Strong"/>
    <w:basedOn w:val="a1"/>
    <w:uiPriority w:val="99"/>
    <w:qFormat/>
    <w:rPr>
      <w:b/>
    </w:rPr>
  </w:style>
  <w:style w:type="character" w:styleId="a8">
    <w:name w:val="Hyperlink"/>
    <w:basedOn w:val="a1"/>
    <w:uiPriority w:val="99"/>
    <w:unhideWhenUsed/>
    <w:qFormat/>
    <w:rPr>
      <w:color w:val="0000FF" w:themeColor="hyperlink"/>
      <w:u w:val="single"/>
    </w:rPr>
  </w:style>
  <w:style w:type="character" w:customStyle="1" w:styleId="1Char">
    <w:name w:val="标题 1 Char"/>
    <w:basedOn w:val="a1"/>
    <w:link w:val="1"/>
    <w:uiPriority w:val="9"/>
    <w:qFormat/>
    <w:rPr>
      <w:rFonts w:ascii="Times New Roman" w:hAnsi="Times New Roman"/>
      <w:b/>
      <w:bCs/>
      <w:kern w:val="44"/>
      <w:sz w:val="44"/>
      <w:szCs w:val="44"/>
    </w:rPr>
  </w:style>
  <w:style w:type="character" w:customStyle="1" w:styleId="2Char">
    <w:name w:val="标题 2 Char"/>
    <w:basedOn w:val="a1"/>
    <w:link w:val="2"/>
    <w:uiPriority w:val="9"/>
    <w:qFormat/>
    <w:rPr>
      <w:rFonts w:asciiTheme="majorHAnsi" w:eastAsiaTheme="majorEastAsia" w:hAnsiTheme="majorHAnsi" w:cstheme="majorBidi"/>
      <w:b/>
      <w:bCs/>
      <w:kern w:val="2"/>
      <w:sz w:val="32"/>
      <w:szCs w:val="32"/>
    </w:rPr>
  </w:style>
  <w:style w:type="character" w:customStyle="1" w:styleId="3Char">
    <w:name w:val="标题 3 Char"/>
    <w:basedOn w:val="a1"/>
    <w:link w:val="3"/>
    <w:uiPriority w:val="9"/>
    <w:qFormat/>
    <w:rPr>
      <w:rFonts w:ascii="Times New Roman" w:hAnsi="Times New Roman"/>
      <w:b/>
      <w:bCs/>
      <w:kern w:val="2"/>
      <w:sz w:val="32"/>
      <w:szCs w:val="32"/>
    </w:rPr>
  </w:style>
  <w:style w:type="character" w:customStyle="1" w:styleId="HeaderChar">
    <w:name w:val="Header Char"/>
    <w:basedOn w:val="a1"/>
    <w:uiPriority w:val="99"/>
    <w:semiHidden/>
    <w:qFormat/>
    <w:rPr>
      <w:rFonts w:ascii="Times New Roman" w:hAnsi="Times New Roman"/>
      <w:sz w:val="18"/>
      <w:szCs w:val="18"/>
    </w:rPr>
  </w:style>
  <w:style w:type="character" w:customStyle="1" w:styleId="Char2">
    <w:name w:val="页眉 Char"/>
    <w:link w:val="a6"/>
    <w:uiPriority w:val="99"/>
    <w:semiHidden/>
    <w:qFormat/>
    <w:locked/>
    <w:rPr>
      <w:sz w:val="18"/>
    </w:rPr>
  </w:style>
  <w:style w:type="character" w:customStyle="1" w:styleId="FooterChar">
    <w:name w:val="Footer Char"/>
    <w:basedOn w:val="a1"/>
    <w:uiPriority w:val="99"/>
    <w:semiHidden/>
    <w:qFormat/>
    <w:rPr>
      <w:rFonts w:ascii="Times New Roman" w:hAnsi="Times New Roman"/>
      <w:sz w:val="18"/>
      <w:szCs w:val="18"/>
    </w:rPr>
  </w:style>
  <w:style w:type="character" w:customStyle="1" w:styleId="Char1">
    <w:name w:val="页脚 Char"/>
    <w:link w:val="a5"/>
    <w:uiPriority w:val="99"/>
    <w:qFormat/>
    <w:locked/>
    <w:rPr>
      <w:sz w:val="18"/>
    </w:rPr>
  </w:style>
  <w:style w:type="character" w:customStyle="1" w:styleId="BodyTextChar">
    <w:name w:val="Body Text Char"/>
    <w:basedOn w:val="a1"/>
    <w:uiPriority w:val="99"/>
    <w:semiHidden/>
    <w:qFormat/>
    <w:rPr>
      <w:rFonts w:ascii="Times New Roman" w:hAnsi="Times New Roman"/>
      <w:szCs w:val="24"/>
    </w:rPr>
  </w:style>
  <w:style w:type="character" w:customStyle="1" w:styleId="Char">
    <w:name w:val="正文文本 Char"/>
    <w:link w:val="a0"/>
    <w:uiPriority w:val="99"/>
    <w:qFormat/>
    <w:locked/>
    <w:rPr>
      <w:rFonts w:ascii="仿宋_GB2312" w:eastAsia="仿宋_GB2312" w:hAnsi="Times New Roman"/>
      <w:sz w:val="24"/>
    </w:rPr>
  </w:style>
  <w:style w:type="paragraph" w:customStyle="1" w:styleId="Default">
    <w:name w:val="Default"/>
    <w:uiPriority w:val="99"/>
    <w:qFormat/>
    <w:pPr>
      <w:widowControl w:val="0"/>
      <w:autoSpaceDE w:val="0"/>
      <w:autoSpaceDN w:val="0"/>
      <w:adjustRightInd w:val="0"/>
    </w:pPr>
    <w:rPr>
      <w:rFonts w:ascii="仿宋" w:eastAsia="仿宋" w:hAnsi="Calibri" w:cs="仿宋"/>
      <w:color w:val="000000"/>
      <w:sz w:val="24"/>
      <w:szCs w:val="24"/>
    </w:rPr>
  </w:style>
  <w:style w:type="paragraph" w:styleId="a9">
    <w:name w:val="List Paragraph"/>
    <w:basedOn w:val="a"/>
    <w:uiPriority w:val="34"/>
    <w:qFormat/>
    <w:pPr>
      <w:ind w:firstLineChars="200" w:firstLine="420"/>
    </w:pPr>
  </w:style>
  <w:style w:type="paragraph" w:customStyle="1" w:styleId="TOC1">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1"/>
    <w:link w:val="a4"/>
    <w:uiPriority w:val="99"/>
    <w:semiHidden/>
    <w:qFormat/>
    <w:rPr>
      <w:rFonts w:ascii="Times New Roman" w:hAnsi="Times New Roman"/>
      <w:kern w:val="2"/>
      <w:sz w:val="18"/>
      <w:szCs w:val="18"/>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WPSOffice1">
    <w:name w:val="WPSOffice手动目录 1"/>
    <w:qFormat/>
  </w:style>
  <w:style w:type="paragraph" w:customStyle="1" w:styleId="WPSOffice2">
    <w:name w:val="WPSOffice手动目录 2"/>
    <w:qFormat/>
    <w:pPr>
      <w:ind w:leftChars="200" w:left="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lsdException w:name="Body Text" w:semiHidden="0" w:unhideWhenUsed="0" w:qFormat="1"/>
    <w:lsdException w:name="Subtitle" w:semiHidden="0" w:uiPriority="11" w:unhideWhenUsed="0" w:qFormat="1"/>
    <w:lsdException w:name="Hyperlink" w:semiHidden="0" w:qFormat="1"/>
    <w:lsdException w:name="Strong" w:semiHidden="0"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qFormat/>
    <w:pPr>
      <w:spacing w:beforeLines="30"/>
    </w:pPr>
    <w:rPr>
      <w:rFonts w:ascii="仿宋_GB2312" w:eastAsia="仿宋_GB2312"/>
      <w:kern w:val="0"/>
      <w:sz w:val="30"/>
    </w:rPr>
  </w:style>
  <w:style w:type="paragraph" w:styleId="30">
    <w:name w:val="toc 3"/>
    <w:basedOn w:val="a"/>
    <w:next w:val="a"/>
    <w:uiPriority w:val="39"/>
    <w:unhideWhenUsed/>
    <w:qFormat/>
    <w:pPr>
      <w:tabs>
        <w:tab w:val="right" w:leader="dot" w:pos="8296"/>
      </w:tabs>
      <w:ind w:leftChars="400" w:left="84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qFormat/>
    <w:pPr>
      <w:tabs>
        <w:tab w:val="center" w:pos="4153"/>
        <w:tab w:val="right" w:pos="8306"/>
      </w:tabs>
      <w:snapToGrid w:val="0"/>
      <w:jc w:val="left"/>
    </w:pPr>
    <w:rPr>
      <w:rFonts w:ascii="Calibri" w:hAnsi="Calibri"/>
      <w:kern w:val="0"/>
      <w:sz w:val="18"/>
      <w:szCs w:val="18"/>
    </w:rPr>
  </w:style>
  <w:style w:type="paragraph" w:styleId="a6">
    <w:name w:val="header"/>
    <w:basedOn w:val="a"/>
    <w:link w:val="Char2"/>
    <w:uiPriority w:val="99"/>
    <w:semiHidden/>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unhideWhenUsed/>
    <w:qFormat/>
    <w:pPr>
      <w:tabs>
        <w:tab w:val="right" w:leader="dot" w:pos="8296"/>
      </w:tabs>
      <w:spacing w:before="93"/>
      <w:jc w:val="center"/>
    </w:pPr>
    <w:rPr>
      <w:rFonts w:ascii="仿宋" w:eastAsia="仿宋" w:hAnsi="仿宋"/>
      <w:sz w:val="28"/>
      <w:szCs w:val="28"/>
    </w:rPr>
  </w:style>
  <w:style w:type="paragraph" w:styleId="20">
    <w:name w:val="toc 2"/>
    <w:basedOn w:val="a"/>
    <w:next w:val="a"/>
    <w:uiPriority w:val="39"/>
    <w:unhideWhenUsed/>
    <w:qFormat/>
    <w:pPr>
      <w:tabs>
        <w:tab w:val="right" w:leader="dot" w:pos="8296"/>
      </w:tabs>
      <w:ind w:leftChars="200" w:left="420"/>
    </w:pPr>
  </w:style>
  <w:style w:type="character" w:styleId="a7">
    <w:name w:val="Strong"/>
    <w:basedOn w:val="a1"/>
    <w:uiPriority w:val="99"/>
    <w:qFormat/>
    <w:rPr>
      <w:b/>
    </w:rPr>
  </w:style>
  <w:style w:type="character" w:styleId="a8">
    <w:name w:val="Hyperlink"/>
    <w:basedOn w:val="a1"/>
    <w:uiPriority w:val="99"/>
    <w:unhideWhenUsed/>
    <w:qFormat/>
    <w:rPr>
      <w:color w:val="0000FF" w:themeColor="hyperlink"/>
      <w:u w:val="single"/>
    </w:rPr>
  </w:style>
  <w:style w:type="character" w:customStyle="1" w:styleId="1Char">
    <w:name w:val="标题 1 Char"/>
    <w:basedOn w:val="a1"/>
    <w:link w:val="1"/>
    <w:uiPriority w:val="9"/>
    <w:qFormat/>
    <w:rPr>
      <w:rFonts w:ascii="Times New Roman" w:hAnsi="Times New Roman"/>
      <w:b/>
      <w:bCs/>
      <w:kern w:val="44"/>
      <w:sz w:val="44"/>
      <w:szCs w:val="44"/>
    </w:rPr>
  </w:style>
  <w:style w:type="character" w:customStyle="1" w:styleId="2Char">
    <w:name w:val="标题 2 Char"/>
    <w:basedOn w:val="a1"/>
    <w:link w:val="2"/>
    <w:uiPriority w:val="9"/>
    <w:qFormat/>
    <w:rPr>
      <w:rFonts w:asciiTheme="majorHAnsi" w:eastAsiaTheme="majorEastAsia" w:hAnsiTheme="majorHAnsi" w:cstheme="majorBidi"/>
      <w:b/>
      <w:bCs/>
      <w:kern w:val="2"/>
      <w:sz w:val="32"/>
      <w:szCs w:val="32"/>
    </w:rPr>
  </w:style>
  <w:style w:type="character" w:customStyle="1" w:styleId="3Char">
    <w:name w:val="标题 3 Char"/>
    <w:basedOn w:val="a1"/>
    <w:link w:val="3"/>
    <w:uiPriority w:val="9"/>
    <w:qFormat/>
    <w:rPr>
      <w:rFonts w:ascii="Times New Roman" w:hAnsi="Times New Roman"/>
      <w:b/>
      <w:bCs/>
      <w:kern w:val="2"/>
      <w:sz w:val="32"/>
      <w:szCs w:val="32"/>
    </w:rPr>
  </w:style>
  <w:style w:type="character" w:customStyle="1" w:styleId="HeaderChar">
    <w:name w:val="Header Char"/>
    <w:basedOn w:val="a1"/>
    <w:uiPriority w:val="99"/>
    <w:semiHidden/>
    <w:qFormat/>
    <w:rPr>
      <w:rFonts w:ascii="Times New Roman" w:hAnsi="Times New Roman"/>
      <w:sz w:val="18"/>
      <w:szCs w:val="18"/>
    </w:rPr>
  </w:style>
  <w:style w:type="character" w:customStyle="1" w:styleId="Char2">
    <w:name w:val="页眉 Char"/>
    <w:link w:val="a6"/>
    <w:uiPriority w:val="99"/>
    <w:semiHidden/>
    <w:qFormat/>
    <w:locked/>
    <w:rPr>
      <w:sz w:val="18"/>
    </w:rPr>
  </w:style>
  <w:style w:type="character" w:customStyle="1" w:styleId="FooterChar">
    <w:name w:val="Footer Char"/>
    <w:basedOn w:val="a1"/>
    <w:uiPriority w:val="99"/>
    <w:semiHidden/>
    <w:qFormat/>
    <w:rPr>
      <w:rFonts w:ascii="Times New Roman" w:hAnsi="Times New Roman"/>
      <w:sz w:val="18"/>
      <w:szCs w:val="18"/>
    </w:rPr>
  </w:style>
  <w:style w:type="character" w:customStyle="1" w:styleId="Char1">
    <w:name w:val="页脚 Char"/>
    <w:link w:val="a5"/>
    <w:uiPriority w:val="99"/>
    <w:qFormat/>
    <w:locked/>
    <w:rPr>
      <w:sz w:val="18"/>
    </w:rPr>
  </w:style>
  <w:style w:type="character" w:customStyle="1" w:styleId="BodyTextChar">
    <w:name w:val="Body Text Char"/>
    <w:basedOn w:val="a1"/>
    <w:uiPriority w:val="99"/>
    <w:semiHidden/>
    <w:qFormat/>
    <w:rPr>
      <w:rFonts w:ascii="Times New Roman" w:hAnsi="Times New Roman"/>
      <w:szCs w:val="24"/>
    </w:rPr>
  </w:style>
  <w:style w:type="character" w:customStyle="1" w:styleId="Char">
    <w:name w:val="正文文本 Char"/>
    <w:link w:val="a0"/>
    <w:uiPriority w:val="99"/>
    <w:qFormat/>
    <w:locked/>
    <w:rPr>
      <w:rFonts w:ascii="仿宋_GB2312" w:eastAsia="仿宋_GB2312" w:hAnsi="Times New Roman"/>
      <w:sz w:val="24"/>
    </w:rPr>
  </w:style>
  <w:style w:type="paragraph" w:customStyle="1" w:styleId="Default">
    <w:name w:val="Default"/>
    <w:uiPriority w:val="99"/>
    <w:qFormat/>
    <w:pPr>
      <w:widowControl w:val="0"/>
      <w:autoSpaceDE w:val="0"/>
      <w:autoSpaceDN w:val="0"/>
      <w:adjustRightInd w:val="0"/>
    </w:pPr>
    <w:rPr>
      <w:rFonts w:ascii="仿宋" w:eastAsia="仿宋" w:hAnsi="Calibri" w:cs="仿宋"/>
      <w:color w:val="000000"/>
      <w:sz w:val="24"/>
      <w:szCs w:val="24"/>
    </w:rPr>
  </w:style>
  <w:style w:type="paragraph" w:styleId="a9">
    <w:name w:val="List Paragraph"/>
    <w:basedOn w:val="a"/>
    <w:uiPriority w:val="34"/>
    <w:qFormat/>
    <w:pPr>
      <w:ind w:firstLineChars="200" w:firstLine="420"/>
    </w:pPr>
  </w:style>
  <w:style w:type="paragraph" w:customStyle="1" w:styleId="TOC1">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1"/>
    <w:link w:val="a4"/>
    <w:uiPriority w:val="99"/>
    <w:semiHidden/>
    <w:qFormat/>
    <w:rPr>
      <w:rFonts w:ascii="Times New Roman" w:hAnsi="Times New Roman"/>
      <w:kern w:val="2"/>
      <w:sz w:val="18"/>
      <w:szCs w:val="18"/>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WPSOffice1">
    <w:name w:val="WPSOffice手动目录 1"/>
    <w:qFormat/>
  </w:style>
  <w:style w:type="paragraph" w:customStyle="1" w:styleId="WPSOffice2">
    <w:name w:val="WPSOffice手动目录 2"/>
    <w:qFormat/>
    <w:pPr>
      <w:ind w:leftChars="200"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chart" Target="charts/chart6.xml"/><Relationship Id="rId10" Type="http://schemas.openxmlformats.org/officeDocument/2006/relationships/chart" Target="charts/chart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hart" Target="charts/chart5.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___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___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___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___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___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1717014672529"/>
          <c:y val="3.9426523297491002E-2"/>
          <c:w val="0.83828298532747103"/>
          <c:h val="0.70042474529393495"/>
        </c:manualLayout>
      </c:layout>
      <c:barChart>
        <c:barDir val="col"/>
        <c:grouping val="clustered"/>
        <c:varyColors val="0"/>
        <c:ser>
          <c:idx val="0"/>
          <c:order val="0"/>
          <c:tx>
            <c:strRef>
              <c:f>Sheet1!$A$2</c:f>
              <c:strCache>
                <c:ptCount val="1"/>
                <c:pt idx="0">
                  <c:v>2021年</c:v>
                </c:pt>
              </c:strCache>
            </c:strRef>
          </c:tx>
          <c:spPr>
            <a:solidFill>
              <a:schemeClr val="accent1"/>
            </a:solidFill>
            <a:ln>
              <a:noFill/>
            </a:ln>
            <a:effectLst/>
          </c:spPr>
          <c:invertIfNegative val="0"/>
          <c:cat>
            <c:strRef>
              <c:f>Sheet1!$B$1:$C$1</c:f>
              <c:strCache>
                <c:ptCount val="2"/>
                <c:pt idx="0">
                  <c:v>收入（万元）</c:v>
                </c:pt>
                <c:pt idx="1">
                  <c:v>支出（万元）</c:v>
                </c:pt>
              </c:strCache>
            </c:strRef>
          </c:cat>
          <c:val>
            <c:numRef>
              <c:f>Sheet1!$B$2:$C$2</c:f>
              <c:numCache>
                <c:formatCode>General</c:formatCode>
                <c:ptCount val="2"/>
                <c:pt idx="0">
                  <c:v>1005.22</c:v>
                </c:pt>
                <c:pt idx="1">
                  <c:v>1005.22</c:v>
                </c:pt>
              </c:numCache>
            </c:numRef>
          </c:val>
        </c:ser>
        <c:ser>
          <c:idx val="1"/>
          <c:order val="1"/>
          <c:tx>
            <c:strRef>
              <c:f>Sheet1!$A$3</c:f>
              <c:strCache>
                <c:ptCount val="1"/>
                <c:pt idx="0">
                  <c:v>2022年</c:v>
                </c:pt>
              </c:strCache>
            </c:strRef>
          </c:tx>
          <c:spPr>
            <a:solidFill>
              <a:schemeClr val="accent2"/>
            </a:solidFill>
            <a:ln>
              <a:noFill/>
            </a:ln>
            <a:effectLst/>
          </c:spPr>
          <c:invertIfNegative val="0"/>
          <c:cat>
            <c:strRef>
              <c:f>Sheet1!$B$1:$C$1</c:f>
              <c:strCache>
                <c:ptCount val="2"/>
                <c:pt idx="0">
                  <c:v>收入（万元）</c:v>
                </c:pt>
                <c:pt idx="1">
                  <c:v>支出（万元）</c:v>
                </c:pt>
              </c:strCache>
            </c:strRef>
          </c:cat>
          <c:val>
            <c:numRef>
              <c:f>Sheet1!$B$3:$C$3</c:f>
              <c:numCache>
                <c:formatCode>General</c:formatCode>
                <c:ptCount val="2"/>
                <c:pt idx="0">
                  <c:v>1153.69</c:v>
                </c:pt>
                <c:pt idx="1">
                  <c:v>1153.69</c:v>
                </c:pt>
              </c:numCache>
            </c:numRef>
          </c:val>
        </c:ser>
        <c:dLbls>
          <c:showLegendKey val="0"/>
          <c:showVal val="0"/>
          <c:showCatName val="0"/>
          <c:showSerName val="0"/>
          <c:showPercent val="0"/>
          <c:showBubbleSize val="0"/>
        </c:dLbls>
        <c:gapWidth val="219"/>
        <c:axId val="231698816"/>
        <c:axId val="231700352"/>
      </c:barChart>
      <c:catAx>
        <c:axId val="2316988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31700352"/>
        <c:crosses val="autoZero"/>
        <c:auto val="1"/>
        <c:lblAlgn val="ctr"/>
        <c:lblOffset val="100"/>
        <c:noMultiLvlLbl val="0"/>
      </c:catAx>
      <c:valAx>
        <c:axId val="231700352"/>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31698816"/>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1" vertOverflow="ellipsis" vert="horz" wrap="square" anchor="ctr" anchorCtr="1"/>
          <a:lstStyle/>
          <a:p>
            <a:pPr rtl="0">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tx>
            <c:strRef>
              <c:f>Sheet2!$B$1</c:f>
              <c:strCache>
                <c:ptCount val="1"/>
                <c:pt idx="0">
                  <c:v>一般公共预算财政拨款收入</c:v>
                </c:pt>
              </c:strCache>
            </c:strRef>
          </c:tx>
          <c:dPt>
            <c:idx val="0"/>
            <c:bubble3D val="0"/>
            <c:spPr>
              <a:solidFill>
                <a:schemeClr val="accent1"/>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Sheet2!$A$2</c:f>
              <c:strCache>
                <c:ptCount val="1"/>
                <c:pt idx="0">
                  <c:v>2022年</c:v>
                </c:pt>
              </c:strCache>
            </c:strRef>
          </c:cat>
          <c:val>
            <c:numRef>
              <c:f>Sheet2!$B$2</c:f>
              <c:numCache>
                <c:formatCode>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tx>
            <c:strRef>
              <c:f>Sheet2!$B$1</c:f>
              <c:strCache>
                <c:ptCount val="1"/>
                <c:pt idx="0">
                  <c:v>基本支出</c:v>
                </c:pt>
              </c:strCache>
            </c:strRef>
          </c:tx>
          <c:dPt>
            <c:idx val="0"/>
            <c:bubble3D val="0"/>
            <c:spPr>
              <a:solidFill>
                <a:schemeClr val="accent1"/>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Sheet2!$A$2</c:f>
              <c:strCache>
                <c:ptCount val="1"/>
                <c:pt idx="0">
                  <c:v>2022年</c:v>
                </c:pt>
              </c:strCache>
            </c:strRef>
          </c:cat>
          <c:val>
            <c:numRef>
              <c:f>Sheet2!$B$2</c:f>
              <c:numCache>
                <c:formatCode>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Sheet1!$A$2</c:f>
              <c:strCache>
                <c:ptCount val="1"/>
                <c:pt idx="0">
                  <c:v>2021年</c:v>
                </c:pt>
              </c:strCache>
            </c:strRef>
          </c:tx>
          <c:spPr>
            <a:solidFill>
              <a:schemeClr val="accent1"/>
            </a:solidFill>
            <a:ln>
              <a:noFill/>
            </a:ln>
            <a:effectLst/>
          </c:spPr>
          <c:invertIfNegative val="0"/>
          <c:cat>
            <c:strRef>
              <c:f>Sheet1!$B$1:$C$1</c:f>
              <c:strCache>
                <c:ptCount val="2"/>
                <c:pt idx="0">
                  <c:v>财政拨款收入决算（万元）</c:v>
                </c:pt>
                <c:pt idx="1">
                  <c:v>财政拨款支出决算（万元）</c:v>
                </c:pt>
              </c:strCache>
            </c:strRef>
          </c:cat>
          <c:val>
            <c:numRef>
              <c:f>Sheet1!$B$2:$C$2</c:f>
              <c:numCache>
                <c:formatCode>General</c:formatCode>
                <c:ptCount val="2"/>
                <c:pt idx="0">
                  <c:v>1005.22</c:v>
                </c:pt>
                <c:pt idx="1">
                  <c:v>1005.22</c:v>
                </c:pt>
              </c:numCache>
            </c:numRef>
          </c:val>
        </c:ser>
        <c:ser>
          <c:idx val="1"/>
          <c:order val="1"/>
          <c:tx>
            <c:strRef>
              <c:f>Sheet1!$A$3</c:f>
              <c:strCache>
                <c:ptCount val="1"/>
                <c:pt idx="0">
                  <c:v>2022年</c:v>
                </c:pt>
              </c:strCache>
            </c:strRef>
          </c:tx>
          <c:spPr>
            <a:solidFill>
              <a:schemeClr val="accent2"/>
            </a:solidFill>
            <a:ln>
              <a:noFill/>
            </a:ln>
            <a:effectLst/>
          </c:spPr>
          <c:invertIfNegative val="0"/>
          <c:cat>
            <c:strRef>
              <c:f>Sheet1!$B$1:$C$1</c:f>
              <c:strCache>
                <c:ptCount val="2"/>
                <c:pt idx="0">
                  <c:v>财政拨款收入决算（万元）</c:v>
                </c:pt>
                <c:pt idx="1">
                  <c:v>财政拨款支出决算（万元）</c:v>
                </c:pt>
              </c:strCache>
            </c:strRef>
          </c:cat>
          <c:val>
            <c:numRef>
              <c:f>Sheet1!$B$3:$C$3</c:f>
              <c:numCache>
                <c:formatCode>General</c:formatCode>
                <c:ptCount val="2"/>
                <c:pt idx="0">
                  <c:v>1153.69</c:v>
                </c:pt>
                <c:pt idx="1">
                  <c:v>1153.69</c:v>
                </c:pt>
              </c:numCache>
            </c:numRef>
          </c:val>
        </c:ser>
        <c:dLbls>
          <c:showLegendKey val="0"/>
          <c:showVal val="0"/>
          <c:showCatName val="0"/>
          <c:showSerName val="0"/>
          <c:showPercent val="0"/>
          <c:showBubbleSize val="0"/>
        </c:dLbls>
        <c:gapWidth val="219"/>
        <c:axId val="252143104"/>
        <c:axId val="252144640"/>
      </c:barChart>
      <c:catAx>
        <c:axId val="2521431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52144640"/>
        <c:crosses val="autoZero"/>
        <c:auto val="1"/>
        <c:lblAlgn val="ctr"/>
        <c:lblOffset val="100"/>
        <c:noMultiLvlLbl val="0"/>
      </c:catAx>
      <c:valAx>
        <c:axId val="25214464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52143104"/>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1" vertOverflow="ellipsis" vert="horz" wrap="square" anchor="ctr" anchorCtr="1"/>
          <a:lstStyle/>
          <a:p>
            <a:pPr rtl="0">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Sheet1!$A$2</c:f>
              <c:strCache>
                <c:ptCount val="1"/>
                <c:pt idx="0">
                  <c:v>2021年</c:v>
                </c:pt>
              </c:strCache>
            </c:strRef>
          </c:tx>
          <c:spPr>
            <a:solidFill>
              <a:schemeClr val="accent1"/>
            </a:solidFill>
            <a:ln>
              <a:noFill/>
            </a:ln>
            <a:effectLst/>
          </c:spPr>
          <c:invertIfNegative val="0"/>
          <c:cat>
            <c:strRef>
              <c:f>Sheet1!$B$1</c:f>
              <c:strCache>
                <c:ptCount val="1"/>
                <c:pt idx="0">
                  <c:v>一般公共预算财政拨款支出决算（万元）</c:v>
                </c:pt>
              </c:strCache>
            </c:strRef>
          </c:cat>
          <c:val>
            <c:numRef>
              <c:f>Sheet1!$B$2</c:f>
              <c:numCache>
                <c:formatCode>General</c:formatCode>
                <c:ptCount val="1"/>
                <c:pt idx="0">
                  <c:v>1005.22</c:v>
                </c:pt>
              </c:numCache>
            </c:numRef>
          </c:val>
        </c:ser>
        <c:ser>
          <c:idx val="1"/>
          <c:order val="1"/>
          <c:tx>
            <c:strRef>
              <c:f>Sheet1!$A$3</c:f>
              <c:strCache>
                <c:ptCount val="1"/>
                <c:pt idx="0">
                  <c:v>2022年</c:v>
                </c:pt>
              </c:strCache>
            </c:strRef>
          </c:tx>
          <c:spPr>
            <a:solidFill>
              <a:schemeClr val="accent2"/>
            </a:solidFill>
            <a:ln>
              <a:noFill/>
            </a:ln>
            <a:effectLst/>
          </c:spPr>
          <c:invertIfNegative val="0"/>
          <c:cat>
            <c:strRef>
              <c:f>Sheet1!$B$1</c:f>
              <c:strCache>
                <c:ptCount val="1"/>
                <c:pt idx="0">
                  <c:v>一般公共预算财政拨款支出决算（万元）</c:v>
                </c:pt>
              </c:strCache>
            </c:strRef>
          </c:cat>
          <c:val>
            <c:numRef>
              <c:f>Sheet1!$B$3</c:f>
              <c:numCache>
                <c:formatCode>General</c:formatCode>
                <c:ptCount val="1"/>
                <c:pt idx="0">
                  <c:v>1153.69</c:v>
                </c:pt>
              </c:numCache>
            </c:numRef>
          </c:val>
        </c:ser>
        <c:dLbls>
          <c:showLegendKey val="0"/>
          <c:showVal val="0"/>
          <c:showCatName val="0"/>
          <c:showSerName val="0"/>
          <c:showPercent val="0"/>
          <c:showBubbleSize val="0"/>
        </c:dLbls>
        <c:gapWidth val="219"/>
        <c:axId val="252540032"/>
        <c:axId val="252541568"/>
      </c:barChart>
      <c:catAx>
        <c:axId val="2525400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52541568"/>
        <c:crosses val="autoZero"/>
        <c:auto val="1"/>
        <c:lblAlgn val="ctr"/>
        <c:lblOffset val="100"/>
        <c:noMultiLvlLbl val="0"/>
      </c:catAx>
      <c:valAx>
        <c:axId val="25254156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5254003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1" vertOverflow="ellipsis" vert="horz" wrap="square" anchor="ctr" anchorCtr="1"/>
          <a:lstStyle/>
          <a:p>
            <a:pPr rtl="0">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tx>
            <c:strRef>
              <c:f>Sheet3!$A$2</c:f>
              <c:strCache>
                <c:ptCount val="1"/>
                <c:pt idx="0">
                  <c:v>2022年</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Sheet3!$B$1:$E$1</c:f>
              <c:strCache>
                <c:ptCount val="4"/>
                <c:pt idx="0">
                  <c:v>教育支出（%）</c:v>
                </c:pt>
                <c:pt idx="1">
                  <c:v>社会保障和就业支出（%）</c:v>
                </c:pt>
                <c:pt idx="2">
                  <c:v>卫生健康支出（%）</c:v>
                </c:pt>
                <c:pt idx="3">
                  <c:v>住房保障支出（%）</c:v>
                </c:pt>
              </c:strCache>
            </c:strRef>
          </c:cat>
          <c:val>
            <c:numRef>
              <c:f>Sheet3!$B$2:$E$2</c:f>
              <c:numCache>
                <c:formatCode>General</c:formatCode>
                <c:ptCount val="4"/>
                <c:pt idx="0">
                  <c:v>90</c:v>
                </c:pt>
                <c:pt idx="1">
                  <c:v>4.5</c:v>
                </c:pt>
                <c:pt idx="2">
                  <c:v>1.97</c:v>
                </c:pt>
                <c:pt idx="3">
                  <c:v>3.53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869</Words>
  <Characters>4958</Characters>
  <Application>Microsoft Office Word</Application>
  <DocSecurity>0</DocSecurity>
  <Lines>41</Lines>
  <Paragraphs>11</Paragraphs>
  <ScaleCrop>false</ScaleCrop>
  <Company>四川省财政厅</Company>
  <LinksUpToDate>false</LinksUpToDate>
  <CharactersWithSpaces>5816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creator>曹颖</dc:creator>
  <cp:lastModifiedBy>Administrator</cp:lastModifiedBy>
  <cp:revision>4</cp:revision>
  <cp:lastPrinted>2023-07-31T10:35:00Z</cp:lastPrinted>
  <dcterms:created xsi:type="dcterms:W3CDTF">2020-08-05T09:49:00Z</dcterms:created>
  <dcterms:modified xsi:type="dcterms:W3CDTF">2023-10-19T06:49:00Z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6B70361D626A4593B4A9C4A901EC4F63</vt:lpwstr>
  </property>
</Properties>
</file>