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78441"/>
      <w:bookmarkStart w:id="1" w:name="_Toc15377425"/>
      <w:bookmarkStart w:id="2" w:name="_Toc15377193"/>
      <w:bookmarkStart w:id="3" w:name="_Toc15306267"/>
      <w:bookmarkStart w:id="4" w:name="_Toc15396475"/>
      <w:bookmarkStart w:id="5" w:name="_Toc1539659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bookmarkEnd w:id="0"/>
    <w:bookmarkEnd w:id="1"/>
    <w:bookmarkEnd w:id="2"/>
    <w:bookmarkEnd w:id="3"/>
    <w:bookmarkEnd w:id="4"/>
    <w:bookmarkEnd w:id="5"/>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15378442"/>
      <w:bookmarkStart w:id="7" w:name="_Toc15396476"/>
      <w:bookmarkStart w:id="8" w:name="_Toc15377426"/>
      <w:bookmarkStart w:id="9" w:name="_Toc15377194"/>
      <w:bookmarkStart w:id="10" w:name="_Toc15396598"/>
      <w:r>
        <w:rPr>
          <w:rFonts w:hint="eastAsia" w:ascii="方正小标宋简体" w:hAnsi="方正小标宋简体" w:eastAsia="方正小标宋简体" w:cs="方正小标宋简体"/>
          <w:color w:val="auto"/>
          <w:sz w:val="72"/>
          <w:szCs w:val="72"/>
          <w:highlight w:val="none"/>
          <w:lang w:eastAsia="zh-CN"/>
        </w:rPr>
        <w:t>民进广元市</w:t>
      </w:r>
      <w:bookmarkStart w:id="11" w:name="_Toc15306268"/>
      <w:r>
        <w:rPr>
          <w:rFonts w:hint="eastAsia" w:ascii="方正小标宋简体" w:hAnsi="方正小标宋简体" w:eastAsia="方正小标宋简体" w:cs="方正小标宋简体"/>
          <w:color w:val="auto"/>
          <w:sz w:val="72"/>
          <w:szCs w:val="72"/>
          <w:highlight w:val="none"/>
          <w:lang w:eastAsia="zh-CN"/>
        </w:rPr>
        <w:t>委</w:t>
      </w:r>
      <w:r>
        <w:rPr>
          <w:rFonts w:hint="eastAsia" w:ascii="方正小标宋简体" w:hAnsi="方正小标宋简体" w:eastAsia="方正小标宋简体" w:cs="方正小标宋简体"/>
          <w:color w:val="auto"/>
          <w:sz w:val="72"/>
          <w:szCs w:val="72"/>
          <w:highlight w:val="none"/>
        </w:rPr>
        <w:t>部门决算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3"/>
        <w:adjustRightInd w:val="0"/>
        <w:snapToGrid w:val="0"/>
        <w:spacing w:line="440" w:lineRule="exact"/>
        <w:jc w:val="center"/>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公开时间：2023年10月7</w:t>
      </w:r>
      <w:bookmarkStart w:id="69" w:name="_GoBack"/>
      <w:bookmarkEnd w:id="69"/>
      <w:r>
        <w:rPr>
          <w:rFonts w:hint="eastAsia" w:ascii="仿宋" w:hAnsi="仿宋" w:eastAsia="仿宋" w:cs="Times New Roman"/>
          <w:color w:val="auto"/>
          <w:kern w:val="2"/>
          <w:sz w:val="32"/>
          <w:szCs w:val="32"/>
          <w:highlight w:val="none"/>
          <w:lang w:val="en-US" w:eastAsia="zh-CN" w:bidi="ar-SA"/>
        </w:rPr>
        <w:t>日</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第一部分 部门概况</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一、部门职责</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二、机构设置</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第二部分 2022年度部门决算情况说明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一、收入支出决算总体情况说明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二、收入决算情况说明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三、支出决算情况说明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四、财政拨款收入支出决算总体情况说明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五、一般公共预算财政拨款支出决算情况说明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六、一般公共预算财政拨款基本支出决算情况说明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七、财政拨款“三公”经费支出决算情况说明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八、政府性基金预算支出决算情况说明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九、国有资本经营预算支出决算情况说明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十、其他重要事项的情况说明</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第三部分 名词解释</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第四部分 附件</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第五部分 附表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一、收入支出决算总表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color w:val="auto"/>
          <w:sz w:val="24"/>
          <w:highlight w:val="none"/>
        </w:rPr>
        <w:t>二</w:t>
      </w:r>
      <w:r>
        <w:rPr>
          <w:rFonts w:hint="eastAsia" w:ascii="仿宋" w:hAnsi="仿宋" w:eastAsia="仿宋" w:cs="Times New Roman"/>
          <w:color w:val="auto"/>
          <w:kern w:val="2"/>
          <w:sz w:val="32"/>
          <w:szCs w:val="32"/>
          <w:highlight w:val="none"/>
          <w:lang w:val="en-US" w:eastAsia="zh-CN" w:bidi="ar-SA"/>
        </w:rPr>
        <w:t>、收入决算表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三、支出决算表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四、财政拨款收入支出决算总表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五、财政拨款支出决算明细表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六、一般公共预算财政拨款支出决算表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七、一般公共预算财政拨款支出决算明细表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八、一般公共预算财政拨款基本支出决算明细表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九、一般公共预算财政拨款项目支出决算表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十、政府性基金预算财政拨款收入支出决算表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十一、国有资本经营预算财政拨款收入支出决算表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十二、国有资本经营预算财政拨款支出决算表</w:t>
      </w:r>
    </w:p>
    <w:p>
      <w:pPr>
        <w:pStyle w:val="13"/>
        <w:adjustRightInd w:val="0"/>
        <w:snapToGrid w:val="0"/>
        <w:spacing w:line="440" w:lineRule="exact"/>
        <w:jc w:val="left"/>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十三、财政拨款“三公”经费支出决算表</w:t>
      </w:r>
    </w:p>
    <w:p>
      <w:pPr>
        <w:widowControl/>
        <w:spacing w:line="440" w:lineRule="exact"/>
        <w:jc w:val="left"/>
        <w:rPr>
          <w:rFonts w:ascii="仿宋" w:hAnsi="仿宋" w:eastAsia="仿宋"/>
          <w:bCs/>
          <w:color w:val="auto"/>
          <w:kern w:val="44"/>
          <w:sz w:val="24"/>
          <w:highlight w:val="none"/>
        </w:rPr>
      </w:pPr>
      <w:bookmarkStart w:id="12" w:name="_Toc15396599"/>
      <w:bookmarkStart w:id="13" w:name="_Toc15377196"/>
      <w:r>
        <w:rPr>
          <w:rFonts w:ascii="仿宋" w:hAnsi="仿宋" w:eastAsia="仿宋"/>
          <w:b/>
          <w:color w:val="auto"/>
          <w:sz w:val="24"/>
          <w:highlight w:val="none"/>
        </w:rPr>
        <w:br w:type="page"/>
      </w:r>
    </w:p>
    <w:p>
      <w:pPr>
        <w:pStyle w:val="2"/>
        <w:jc w:val="center"/>
        <w:rPr>
          <w:rStyle w:val="29"/>
          <w:rFonts w:ascii="黑体" w:hAnsi="黑体" w:eastAsia="黑体"/>
          <w:b/>
          <w:bCs w:val="0"/>
          <w:color w:val="000000" w:themeColor="text1"/>
          <w:highlight w:val="none"/>
          <w14:textFill>
            <w14:solidFill>
              <w14:schemeClr w14:val="tx1"/>
            </w14:solidFill>
          </w14:textFill>
        </w:rPr>
      </w:pPr>
      <w:r>
        <w:rPr>
          <w:rFonts w:hint="eastAsia" w:ascii="黑体" w:hAnsi="黑体" w:eastAsia="黑体"/>
          <w:b w:val="0"/>
          <w:color w:val="000000" w:themeColor="text1"/>
          <w:highlight w:val="none"/>
          <w14:textFill>
            <w14:solidFill>
              <w14:schemeClr w14:val="tx1"/>
            </w14:solidFill>
          </w14:textFill>
        </w:rPr>
        <w:t xml:space="preserve">第一部分 </w:t>
      </w:r>
      <w:r>
        <w:rPr>
          <w:rStyle w:val="29"/>
          <w:rFonts w:hint="eastAsia" w:ascii="黑体" w:hAnsi="黑体" w:eastAsia="黑体"/>
          <w:b w:val="0"/>
          <w:bCs w:val="0"/>
          <w:color w:val="000000" w:themeColor="text1"/>
          <w:highlight w:val="none"/>
          <w14:textFill>
            <w14:solidFill>
              <w14:schemeClr w14:val="tx1"/>
            </w14:solidFill>
          </w14:textFill>
        </w:rPr>
        <w:t>部门概况</w:t>
      </w:r>
      <w:bookmarkEnd w:id="12"/>
      <w:bookmarkEnd w:id="13"/>
    </w:p>
    <w:p>
      <w:pPr>
        <w:widowControl/>
        <w:jc w:val="left"/>
        <w:rPr>
          <w:rFonts w:ascii="黑体" w:eastAsia="黑体"/>
          <w:color w:val="000000" w:themeColor="text1"/>
          <w:sz w:val="32"/>
          <w:szCs w:val="32"/>
          <w:highlight w:val="none"/>
          <w14:textFill>
            <w14:solidFill>
              <w14:schemeClr w14:val="tx1"/>
            </w14:solidFill>
          </w14:textFill>
        </w:rPr>
      </w:pPr>
    </w:p>
    <w:p>
      <w:pPr>
        <w:pStyle w:val="14"/>
        <w:keepNext w:val="0"/>
        <w:keepLines w:val="0"/>
        <w:widowControl/>
        <w:suppressLineNumbers w:val="0"/>
        <w:shd w:val="clear" w:fill="FFFFFF"/>
        <w:spacing w:before="0" w:beforeAutospacing="0" w:after="0" w:afterAutospacing="0" w:line="540" w:lineRule="atLeast"/>
        <w:ind w:left="0" w:right="0" w:firstLine="645"/>
        <w:jc w:val="left"/>
        <w:rPr>
          <w:rStyle w:val="30"/>
          <w:rFonts w:hint="eastAsia" w:ascii="仿宋" w:hAnsi="仿宋" w:eastAsia="黑体"/>
          <w:b w:val="0"/>
          <w:bCs w:val="0"/>
          <w:color w:val="000000" w:themeColor="text1"/>
          <w:highlight w:val="none"/>
          <w:lang w:eastAsia="zh-CN"/>
          <w14:textFill>
            <w14:solidFill>
              <w14:schemeClr w14:val="tx1"/>
            </w14:solidFill>
          </w14:textFill>
        </w:rPr>
      </w:pPr>
      <w:bookmarkStart w:id="14" w:name="_Toc15377197"/>
      <w:bookmarkStart w:id="15" w:name="_Toc15396600"/>
      <w:r>
        <w:rPr>
          <w:rFonts w:hint="eastAsia" w:ascii="黑体" w:eastAsia="黑体" w:hAnsiTheme="majorHAnsi" w:cstheme="majorBidi"/>
          <w:b w:val="0"/>
          <w:bCs/>
          <w:color w:val="000000" w:themeColor="text1"/>
          <w:kern w:val="2"/>
          <w:sz w:val="32"/>
          <w:szCs w:val="32"/>
          <w:highlight w:val="none"/>
          <w:lang w:val="en-US" w:eastAsia="zh-CN" w:bidi="ar-SA"/>
          <w14:textFill>
            <w14:solidFill>
              <w14:schemeClr w14:val="tx1"/>
            </w14:solidFill>
          </w14:textFill>
        </w:rPr>
        <w:t>一、</w:t>
      </w:r>
      <w:bookmarkEnd w:id="14"/>
      <w:bookmarkEnd w:id="15"/>
      <w:r>
        <w:rPr>
          <w:rFonts w:hint="eastAsia" w:ascii="黑体" w:eastAsia="黑体" w:hAnsiTheme="majorHAnsi" w:cstheme="majorBidi"/>
          <w:b w:val="0"/>
          <w:bCs/>
          <w:color w:val="000000" w:themeColor="text1"/>
          <w:kern w:val="2"/>
          <w:sz w:val="32"/>
          <w:szCs w:val="32"/>
          <w:highlight w:val="none"/>
          <w:lang w:val="en-US" w:eastAsia="zh-CN" w:bidi="ar-SA"/>
          <w14:textFill>
            <w14:solidFill>
              <w14:schemeClr w14:val="tx1"/>
            </w14:solidFill>
          </w14:textFill>
        </w:rPr>
        <w:t>部门职责</w:t>
      </w:r>
      <w:r>
        <w:rPr>
          <w:rFonts w:ascii="仿宋_GB2312" w:hAnsi="微软雅黑" w:eastAsia="仿宋_GB2312" w:cs="仿宋_GB2312"/>
          <w:i w:val="0"/>
          <w:iCs w:val="0"/>
          <w:caps w:val="0"/>
          <w:color w:val="000000" w:themeColor="text1"/>
          <w:spacing w:val="0"/>
          <w:sz w:val="31"/>
          <w:szCs w:val="31"/>
          <w:shd w:val="clear" w:fill="FFFFFF"/>
          <w14:textFill>
            <w14:solidFill>
              <w14:schemeClr w14:val="tx1"/>
            </w14:solidFill>
          </w14:textFill>
        </w:rPr>
        <w:t>民进作为参政党，主要肩负参政议政、民主监督、参加中国共产党领导的政治协商等工作职能。民进广元市委围绕参政议政、组织建设、社会服务、思想宣传教育、机关建设等重点开展工作，助推全市经济社会发展。</w:t>
      </w:r>
    </w:p>
    <w:p>
      <w:pPr>
        <w:pStyle w:val="3"/>
        <w:ind w:firstLine="320" w:firstLineChars="100"/>
        <w:rPr>
          <w:rStyle w:val="30"/>
          <w:b w:val="0"/>
          <w:bCs w:val="0"/>
          <w:color w:val="000000" w:themeColor="text1"/>
          <w:highlight w:val="none"/>
          <w14:textFill>
            <w14:solidFill>
              <w14:schemeClr w14:val="tx1"/>
            </w14:solidFill>
          </w14:textFill>
        </w:rPr>
      </w:pPr>
      <w:bookmarkStart w:id="16" w:name="_Toc15396601"/>
      <w:bookmarkStart w:id="17" w:name="_Toc15377200"/>
      <w:r>
        <w:rPr>
          <w:rFonts w:hint="eastAsia" w:ascii="黑体" w:eastAsia="黑体"/>
          <w:b w:val="0"/>
          <w:color w:val="000000" w:themeColor="text1"/>
          <w:highlight w:val="none"/>
          <w14:textFill>
            <w14:solidFill>
              <w14:schemeClr w14:val="tx1"/>
            </w14:solidFill>
          </w14:textFill>
        </w:rPr>
        <w:t>二、</w:t>
      </w:r>
      <w:r>
        <w:rPr>
          <w:rFonts w:hint="eastAsia" w:ascii="黑体" w:hAnsi="黑体" w:eastAsia="黑体"/>
          <w:b w:val="0"/>
          <w:color w:val="000000" w:themeColor="text1"/>
          <w:highlight w:val="none"/>
          <w14:textFill>
            <w14:solidFill>
              <w14:schemeClr w14:val="tx1"/>
            </w14:solidFill>
          </w14:textFill>
        </w:rPr>
        <w:t>机</w:t>
      </w:r>
      <w:r>
        <w:rPr>
          <w:rStyle w:val="30"/>
          <w:rFonts w:hint="eastAsia" w:ascii="黑体" w:hAnsi="黑体" w:eastAsia="黑体"/>
          <w:b w:val="0"/>
          <w:bCs w:val="0"/>
          <w:color w:val="000000" w:themeColor="text1"/>
          <w:highlight w:val="none"/>
          <w14:textFill>
            <w14:solidFill>
              <w14:schemeClr w14:val="tx1"/>
            </w14:solidFill>
          </w14:textFill>
        </w:rPr>
        <w:t>构设置</w:t>
      </w:r>
      <w:bookmarkEnd w:id="16"/>
      <w:bookmarkEnd w:id="17"/>
    </w:p>
    <w:p>
      <w:pPr>
        <w:widowControl/>
        <w:jc w:val="left"/>
        <w:rPr>
          <w:rFonts w:ascii="仿宋" w:hAnsi="仿宋" w:eastAsia="仿宋"/>
          <w:color w:val="FF0000"/>
          <w:kern w:val="0"/>
          <w:sz w:val="32"/>
          <w:szCs w:val="32"/>
          <w:highlight w:val="none"/>
        </w:rPr>
      </w:pPr>
      <w:r>
        <w:rPr>
          <w:rFonts w:hint="eastAsia" w:ascii="仿宋" w:hAnsi="仿宋" w:eastAsia="仿宋" w:cs="仿宋"/>
          <w:sz w:val="32"/>
          <w:szCs w:val="32"/>
          <w:lang w:eastAsia="zh-CN"/>
        </w:rPr>
        <w:t>民进广元市委会</w:t>
      </w:r>
      <w:r>
        <w:rPr>
          <w:rFonts w:hint="eastAsia" w:ascii="仿宋" w:hAnsi="仿宋" w:eastAsia="仿宋" w:cs="仿宋"/>
          <w:sz w:val="32"/>
          <w:szCs w:val="32"/>
        </w:rPr>
        <w:t>为</w:t>
      </w:r>
      <w:r>
        <w:rPr>
          <w:rFonts w:hint="eastAsia" w:ascii="仿宋" w:hAnsi="仿宋" w:eastAsia="仿宋" w:cs="仿宋"/>
          <w:b w:val="0"/>
          <w:bCs w:val="0"/>
          <w:color w:val="auto"/>
          <w:sz w:val="32"/>
          <w:szCs w:val="32"/>
          <w:lang w:eastAsia="zh-CN"/>
        </w:rPr>
        <w:t>行政单位</w:t>
      </w:r>
      <w:r>
        <w:rPr>
          <w:rFonts w:hint="eastAsia" w:ascii="仿宋" w:hAnsi="仿宋" w:eastAsia="仿宋" w:cs="仿宋"/>
          <w:sz w:val="32"/>
          <w:szCs w:val="32"/>
        </w:rPr>
        <w:t>。财务隶属关系为二级单位。</w:t>
      </w:r>
    </w:p>
    <w:p>
      <w:pPr>
        <w:widowControl/>
        <w:jc w:val="left"/>
        <w:rPr>
          <w:rFonts w:ascii="仿宋" w:hAnsi="仿宋" w:eastAsia="仿宋"/>
          <w:color w:val="FF0000"/>
          <w:kern w:val="0"/>
          <w:sz w:val="32"/>
          <w:szCs w:val="32"/>
          <w:highlight w:val="none"/>
        </w:rPr>
      </w:pPr>
      <w:r>
        <w:rPr>
          <w:rFonts w:ascii="仿宋" w:hAnsi="仿宋" w:eastAsia="仿宋"/>
          <w:color w:val="FF0000"/>
          <w:sz w:val="32"/>
          <w:szCs w:val="32"/>
          <w:highlight w:val="none"/>
        </w:rPr>
        <w:br w:type="page"/>
      </w:r>
    </w:p>
    <w:p>
      <w:pPr>
        <w:pStyle w:val="2"/>
        <w:ind w:right="440"/>
        <w:jc w:val="center"/>
        <w:rPr>
          <w:rStyle w:val="29"/>
          <w:rFonts w:ascii="黑体" w:hAnsi="黑体" w:eastAsia="黑体"/>
          <w:b w:val="0"/>
          <w:bCs/>
          <w:color w:val="auto"/>
          <w:highlight w:val="none"/>
        </w:rPr>
      </w:pPr>
      <w:bookmarkStart w:id="18" w:name="_Toc15396602"/>
      <w:bookmarkStart w:id="19"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9"/>
          <w:rFonts w:hint="eastAsia" w:ascii="黑体" w:hAnsi="黑体" w:eastAsia="黑体"/>
          <w:b w:val="0"/>
          <w:bCs/>
          <w:color w:val="auto"/>
          <w:highlight w:val="none"/>
        </w:rPr>
        <w:t>部门决算情况说明</w:t>
      </w:r>
      <w:bookmarkEnd w:id="18"/>
      <w:bookmarkEnd w:id="19"/>
    </w:p>
    <w:p>
      <w:pPr>
        <w:rPr>
          <w:color w:val="auto"/>
          <w:highlight w:val="none"/>
        </w:rPr>
      </w:pPr>
    </w:p>
    <w:p>
      <w:pPr>
        <w:pStyle w:val="28"/>
        <w:numPr>
          <w:ilvl w:val="0"/>
          <w:numId w:val="1"/>
        </w:numPr>
        <w:spacing w:line="600" w:lineRule="exact"/>
        <w:ind w:firstLineChars="0"/>
        <w:outlineLvl w:val="1"/>
        <w:rPr>
          <w:rStyle w:val="30"/>
          <w:rFonts w:ascii="黑体" w:hAnsi="黑体" w:eastAsia="黑体"/>
          <w:b w:val="0"/>
          <w:color w:val="auto"/>
          <w:highlight w:val="none"/>
        </w:rPr>
      </w:pPr>
      <w:bookmarkStart w:id="20" w:name="_Toc15396603"/>
      <w:bookmarkStart w:id="21" w:name="_Toc15377205"/>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20"/>
      <w:bookmarkEnd w:id="21"/>
    </w:p>
    <w:p>
      <w:pPr>
        <w:spacing w:line="600" w:lineRule="exact"/>
        <w:ind w:firstLine="640" w:firstLineChars="200"/>
        <w:rPr>
          <w:rFonts w:hint="eastAsia" w:ascii="仿宋" w:hAnsi="仿宋" w:eastAsia="仿宋"/>
          <w:color w:val="000000" w:themeColor="text1"/>
          <w:sz w:val="32"/>
          <w:szCs w:val="32"/>
          <w:highlight w:val="none"/>
          <w:lang w:eastAsia="zh-CN"/>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20</w:t>
      </w:r>
      <w:r>
        <w:rPr>
          <w:rFonts w:hint="eastAsia" w:ascii="仿宋" w:hAnsi="仿宋" w:eastAsia="仿宋"/>
          <w:color w:val="000000" w:themeColor="text1"/>
          <w:sz w:val="32"/>
          <w:szCs w:val="32"/>
          <w:highlight w:val="none"/>
          <w:lang w:val="en-US" w:eastAsia="zh-CN"/>
          <w14:textFill>
            <w14:solidFill>
              <w14:schemeClr w14:val="tx1"/>
            </w14:solidFill>
          </w14:textFill>
        </w:rPr>
        <w:t>22</w:t>
      </w:r>
      <w:r>
        <w:rPr>
          <w:rFonts w:hint="eastAsia" w:ascii="仿宋" w:hAnsi="仿宋" w:eastAsia="仿宋"/>
          <w:color w:val="000000" w:themeColor="text1"/>
          <w:sz w:val="32"/>
          <w:szCs w:val="32"/>
          <w:highlight w:val="none"/>
          <w14:textFill>
            <w14:solidFill>
              <w14:schemeClr w14:val="tx1"/>
            </w14:solidFill>
          </w14:textFill>
        </w:rPr>
        <w:t>年度收、支总计81.76万元。与20</w:t>
      </w:r>
      <w:r>
        <w:rPr>
          <w:rFonts w:hint="eastAsia" w:ascii="仿宋" w:hAnsi="仿宋" w:eastAsia="仿宋"/>
          <w:color w:val="000000" w:themeColor="text1"/>
          <w:sz w:val="32"/>
          <w:szCs w:val="32"/>
          <w:highlight w:val="none"/>
          <w:lang w:val="en-US" w:eastAsia="zh-CN"/>
          <w14:textFill>
            <w14:solidFill>
              <w14:schemeClr w14:val="tx1"/>
            </w14:solidFill>
          </w14:textFill>
        </w:rPr>
        <w:t>21</w:t>
      </w:r>
      <w:r>
        <w:rPr>
          <w:rFonts w:hint="eastAsia" w:ascii="仿宋" w:hAnsi="仿宋" w:eastAsia="仿宋"/>
          <w:color w:val="000000" w:themeColor="text1"/>
          <w:sz w:val="32"/>
          <w:szCs w:val="32"/>
          <w:highlight w:val="none"/>
          <w14:textFill>
            <w14:solidFill>
              <w14:schemeClr w14:val="tx1"/>
            </w14:solidFill>
          </w14:textFill>
        </w:rPr>
        <w:t>年相比，收、支总计各增加</w:t>
      </w:r>
      <w:r>
        <w:rPr>
          <w:rFonts w:hint="eastAsia" w:ascii="仿宋" w:hAnsi="仿宋" w:eastAsia="仿宋"/>
          <w:color w:val="000000" w:themeColor="text1"/>
          <w:sz w:val="32"/>
          <w:szCs w:val="32"/>
          <w:highlight w:val="none"/>
          <w:lang w:val="en-US" w:eastAsia="zh-CN"/>
          <w14:textFill>
            <w14:solidFill>
              <w14:schemeClr w14:val="tx1"/>
            </w14:solidFill>
          </w14:textFill>
        </w:rPr>
        <w:t>18</w:t>
      </w:r>
      <w:r>
        <w:rPr>
          <w:rFonts w:hint="eastAsia" w:ascii="仿宋" w:hAnsi="仿宋" w:eastAsia="仿宋"/>
          <w:color w:val="000000" w:themeColor="text1"/>
          <w:sz w:val="32"/>
          <w:szCs w:val="32"/>
          <w:highlight w:val="none"/>
          <w14:textFill>
            <w14:solidFill>
              <w14:schemeClr w14:val="tx1"/>
            </w14:solidFill>
          </w14:textFill>
        </w:rPr>
        <w:t>万元，增长</w:t>
      </w:r>
      <w:r>
        <w:rPr>
          <w:rFonts w:hint="eastAsia" w:ascii="仿宋" w:hAnsi="仿宋" w:eastAsia="仿宋"/>
          <w:color w:val="000000" w:themeColor="text1"/>
          <w:sz w:val="32"/>
          <w:szCs w:val="32"/>
          <w:highlight w:val="none"/>
          <w:lang w:val="en-US" w:eastAsia="zh-CN"/>
          <w14:textFill>
            <w14:solidFill>
              <w14:schemeClr w14:val="tx1"/>
            </w14:solidFill>
          </w14:textFill>
        </w:rPr>
        <w:t>28.23</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。主要变动原因是</w:t>
      </w:r>
      <w:r>
        <w:rPr>
          <w:rFonts w:hint="eastAsia" w:ascii="仿宋" w:hAnsi="仿宋" w:eastAsia="仿宋"/>
          <w:color w:val="000000" w:themeColor="text1"/>
          <w:sz w:val="32"/>
          <w:szCs w:val="32"/>
          <w:highlight w:val="none"/>
          <w:lang w:eastAsia="zh-CN"/>
          <w14:textFill>
            <w14:solidFill>
              <w14:schemeClr w14:val="tx1"/>
            </w14:solidFill>
          </w14:textFill>
        </w:rPr>
        <w:t>人员经费增加。</w:t>
      </w:r>
    </w:p>
    <w:p>
      <w:pPr>
        <w:pStyle w:val="6"/>
        <w:rPr>
          <w:rFonts w:hint="eastAsia" w:ascii="仿宋" w:hAnsi="仿宋" w:eastAsia="仿宋"/>
          <w:color w:val="000000" w:themeColor="text1"/>
          <w:sz w:val="32"/>
          <w:szCs w:val="32"/>
          <w:highlight w:val="none"/>
          <w:lang w:eastAsia="zh-CN"/>
          <w14:textFill>
            <w14:solidFill>
              <w14:schemeClr w14:val="tx1"/>
            </w14:solidFill>
          </w14:textFill>
        </w:rPr>
      </w:pPr>
      <w:r>
        <w:rPr>
          <w:rFonts w:hint="eastAsia" w:ascii="仿宋" w:hAnsi="仿宋" w:eastAsia="仿宋"/>
          <w:color w:val="000000" w:themeColor="text1"/>
          <w:sz w:val="32"/>
          <w:szCs w:val="32"/>
          <w:highlight w:val="none"/>
          <w:lang w:eastAsia="zh-CN"/>
          <w14:textFill>
            <w14:solidFill>
              <w14:schemeClr w14:val="tx1"/>
            </w14:solidFill>
          </w14:textFill>
        </w:rPr>
        <w:drawing>
          <wp:inline distT="0" distB="0" distL="114300" distR="114300">
            <wp:extent cx="5256530" cy="2988310"/>
            <wp:effectExtent l="5080" t="4445" r="15240" b="1714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（图</w:t>
      </w:r>
      <w:r>
        <w:rPr>
          <w:rFonts w:ascii="仿宋" w:hAnsi="仿宋" w:eastAsia="仿宋"/>
          <w:color w:val="000000" w:themeColor="text1"/>
          <w:sz w:val="32"/>
          <w:szCs w:val="32"/>
          <w:highlight w:val="none"/>
          <w14:textFill>
            <w14:solidFill>
              <w14:schemeClr w14:val="tx1"/>
            </w14:solidFill>
          </w14:textFill>
        </w:rPr>
        <w:t>1</w:t>
      </w:r>
      <w:r>
        <w:rPr>
          <w:rFonts w:hint="eastAsia" w:ascii="仿宋" w:hAnsi="仿宋" w:eastAsia="仿宋"/>
          <w:color w:val="000000" w:themeColor="text1"/>
          <w:sz w:val="32"/>
          <w:szCs w:val="32"/>
          <w:highlight w:val="none"/>
          <w14:textFill>
            <w14:solidFill>
              <w14:schemeClr w14:val="tx1"/>
            </w14:solidFill>
          </w14:textFill>
        </w:rPr>
        <w:t>：收、支决算总计变动情况图）（柱状图）</w:t>
      </w:r>
    </w:p>
    <w:p>
      <w:pPr>
        <w:spacing w:line="600" w:lineRule="exact"/>
        <w:ind w:firstLine="640" w:firstLineChars="200"/>
        <w:jc w:val="left"/>
        <w:rPr>
          <w:rFonts w:ascii="仿宋_GB2312" w:eastAsia="仿宋_GB2312"/>
          <w:color w:val="auto"/>
          <w:sz w:val="32"/>
          <w:szCs w:val="32"/>
          <w:highlight w:val="none"/>
        </w:rPr>
      </w:pPr>
    </w:p>
    <w:p>
      <w:pPr>
        <w:pStyle w:val="28"/>
        <w:numPr>
          <w:ilvl w:val="0"/>
          <w:numId w:val="1"/>
        </w:numPr>
        <w:spacing w:line="600" w:lineRule="exact"/>
        <w:ind w:firstLineChars="0"/>
        <w:outlineLvl w:val="1"/>
        <w:rPr>
          <w:rStyle w:val="30"/>
          <w:rFonts w:ascii="黑体" w:hAnsi="黑体" w:eastAsia="黑体"/>
          <w:b w:val="0"/>
          <w:color w:val="auto"/>
          <w:highlight w:val="none"/>
        </w:rPr>
      </w:pPr>
      <w:bookmarkStart w:id="22" w:name="_Toc15377206"/>
      <w:bookmarkStart w:id="23" w:name="_Toc15396604"/>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2"/>
      <w:bookmarkEnd w:id="23"/>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年本年收入合计81.76万元，其中：一般公共预算财政拨款收入81.76万元，占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Fonts w:ascii="仿宋" w:hAnsi="仿宋" w:eastAsia="仿宋"/>
          <w:color w:val="auto"/>
          <w:sz w:val="32"/>
          <w:szCs w:val="32"/>
          <w:highlight w:val="none"/>
        </w:rPr>
      </w:pPr>
    </w:p>
    <w:p>
      <w:pPr>
        <w:pStyle w:val="6"/>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031105" cy="2405380"/>
            <wp:effectExtent l="4445" t="4445" r="1270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pacing w:line="600" w:lineRule="exact"/>
        <w:ind w:firstLine="640" w:firstLineChars="200"/>
        <w:rPr>
          <w:rFonts w:ascii="仿宋_GB2312" w:eastAsia="仿宋_GB2312"/>
          <w:color w:val="auto"/>
          <w:sz w:val="32"/>
          <w:szCs w:val="32"/>
          <w:highlight w:val="none"/>
        </w:rPr>
      </w:pPr>
    </w:p>
    <w:p>
      <w:pPr>
        <w:pStyle w:val="28"/>
        <w:numPr>
          <w:ilvl w:val="0"/>
          <w:numId w:val="1"/>
        </w:numPr>
        <w:spacing w:line="600" w:lineRule="exact"/>
        <w:ind w:firstLineChars="0"/>
        <w:outlineLvl w:val="1"/>
        <w:rPr>
          <w:rStyle w:val="30"/>
          <w:rFonts w:ascii="黑体" w:hAnsi="黑体" w:eastAsia="黑体"/>
          <w:b w:val="0"/>
          <w:color w:val="auto"/>
          <w:highlight w:val="none"/>
        </w:rPr>
      </w:pPr>
      <w:bookmarkStart w:id="24" w:name="_Toc15377207"/>
      <w:bookmarkStart w:id="25" w:name="_Toc15396605"/>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4"/>
      <w:bookmarkEnd w:id="25"/>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年本年支出合计81.76万元，其中：基本支出62.41万元，占</w:t>
      </w:r>
      <w:r>
        <w:rPr>
          <w:rFonts w:hint="eastAsia" w:ascii="仿宋" w:hAnsi="仿宋" w:eastAsia="仿宋"/>
          <w:color w:val="auto"/>
          <w:sz w:val="32"/>
          <w:szCs w:val="32"/>
          <w:highlight w:val="none"/>
          <w:lang w:val="en-US" w:eastAsia="zh-CN"/>
        </w:rPr>
        <w:t>76.33</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；项目支出19.35万元，占</w:t>
      </w:r>
      <w:r>
        <w:rPr>
          <w:rFonts w:hint="eastAsia" w:ascii="仿宋" w:hAnsi="仿宋" w:eastAsia="仿宋"/>
          <w:color w:val="auto"/>
          <w:sz w:val="32"/>
          <w:szCs w:val="32"/>
          <w:highlight w:val="none"/>
          <w:lang w:val="en-US" w:eastAsia="zh-CN"/>
        </w:rPr>
        <w:t>23.67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ascii="仿宋" w:hAnsi="仿宋" w:eastAsia="仿宋"/>
          <w:color w:val="auto"/>
          <w:sz w:val="32"/>
          <w:szCs w:val="32"/>
          <w:highlight w:val="none"/>
          <w:shd w:val="pct10" w:color="auto" w:fill="FFFFFF"/>
        </w:rPr>
      </w:pPr>
    </w:p>
    <w:p>
      <w:pPr>
        <w:pStyle w:val="6"/>
        <w:rPr>
          <w:rFonts w:ascii="仿宋" w:hAnsi="仿宋" w:eastAsia="仿宋"/>
          <w:color w:val="auto"/>
          <w:sz w:val="32"/>
          <w:szCs w:val="32"/>
          <w:highlight w:val="none"/>
          <w:shd w:val="pct10" w:color="auto" w:fill="FFFFFF"/>
        </w:rPr>
      </w:pPr>
      <w:r>
        <w:rPr>
          <w:rFonts w:hint="eastAsia"/>
          <w:lang w:eastAsia="zh-CN"/>
        </w:rPr>
        <w:drawing>
          <wp:inline distT="0" distB="0" distL="114300" distR="114300">
            <wp:extent cx="4652010" cy="2478405"/>
            <wp:effectExtent l="4445" t="4445" r="10795" b="1270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30"/>
          <w:rFonts w:ascii="黑体" w:hAnsi="黑体" w:eastAsia="黑体"/>
          <w:b w:val="0"/>
          <w:color w:val="auto"/>
          <w:highlight w:val="none"/>
        </w:rPr>
      </w:pPr>
      <w:bookmarkStart w:id="26" w:name="_Toc15377208"/>
      <w:bookmarkStart w:id="27" w:name="_Toc15396606"/>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6"/>
      <w:bookmarkEnd w:id="27"/>
    </w:p>
    <w:p>
      <w:pPr>
        <w:spacing w:line="600" w:lineRule="exact"/>
        <w:ind w:firstLine="640" w:firstLineChars="200"/>
        <w:rPr>
          <w:rFonts w:hint="eastAsia" w:ascii="仿宋" w:hAnsi="仿宋" w:eastAsia="仿宋"/>
          <w:color w:val="000000" w:themeColor="text1"/>
          <w:sz w:val="32"/>
          <w:szCs w:val="32"/>
          <w:highlight w:val="none"/>
          <w:lang w:eastAsia="zh-CN"/>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20</w:t>
      </w:r>
      <w:r>
        <w:rPr>
          <w:rFonts w:hint="eastAsia" w:ascii="仿宋" w:hAnsi="仿宋" w:eastAsia="仿宋"/>
          <w:color w:val="000000" w:themeColor="text1"/>
          <w:sz w:val="32"/>
          <w:szCs w:val="32"/>
          <w:highlight w:val="none"/>
          <w:lang w:val="en-US" w:eastAsia="zh-CN"/>
          <w14:textFill>
            <w14:solidFill>
              <w14:schemeClr w14:val="tx1"/>
            </w14:solidFill>
          </w14:textFill>
        </w:rPr>
        <w:t>22</w:t>
      </w:r>
      <w:r>
        <w:rPr>
          <w:rFonts w:hint="eastAsia" w:ascii="仿宋" w:hAnsi="仿宋" w:eastAsia="仿宋"/>
          <w:color w:val="000000" w:themeColor="text1"/>
          <w:sz w:val="32"/>
          <w:szCs w:val="32"/>
          <w:highlight w:val="none"/>
          <w14:textFill>
            <w14:solidFill>
              <w14:schemeClr w14:val="tx1"/>
            </w14:solidFill>
          </w14:textFill>
        </w:rPr>
        <w:t>年财政拨款收、支总计81.76万元。与</w:t>
      </w:r>
      <w:r>
        <w:rPr>
          <w:rFonts w:ascii="仿宋" w:hAnsi="仿宋" w:eastAsia="仿宋"/>
          <w:color w:val="000000" w:themeColor="text1"/>
          <w:sz w:val="32"/>
          <w:szCs w:val="32"/>
          <w:highlight w:val="none"/>
          <w14:textFill>
            <w14:solidFill>
              <w14:schemeClr w14:val="tx1"/>
            </w14:solidFill>
          </w14:textFill>
        </w:rPr>
        <w:t>20</w:t>
      </w:r>
      <w:r>
        <w:rPr>
          <w:rFonts w:hint="eastAsia" w:ascii="仿宋" w:hAnsi="仿宋" w:eastAsia="仿宋"/>
          <w:color w:val="000000" w:themeColor="text1"/>
          <w:sz w:val="32"/>
          <w:szCs w:val="32"/>
          <w:highlight w:val="none"/>
          <w:lang w:val="en-US" w:eastAsia="zh-CN"/>
          <w14:textFill>
            <w14:solidFill>
              <w14:schemeClr w14:val="tx1"/>
            </w14:solidFill>
          </w14:textFill>
        </w:rPr>
        <w:t>21</w:t>
      </w:r>
      <w:r>
        <w:rPr>
          <w:rFonts w:hint="eastAsia" w:ascii="仿宋" w:hAnsi="仿宋" w:eastAsia="仿宋"/>
          <w:color w:val="000000" w:themeColor="text1"/>
          <w:sz w:val="32"/>
          <w:szCs w:val="32"/>
          <w:highlight w:val="none"/>
          <w14:textFill>
            <w14:solidFill>
              <w14:schemeClr w14:val="tx1"/>
            </w14:solidFill>
          </w14:textFill>
        </w:rPr>
        <w:t>年相比，财政拨款收、支总计各增加</w:t>
      </w:r>
      <w:r>
        <w:rPr>
          <w:rFonts w:hint="eastAsia" w:ascii="仿宋" w:hAnsi="仿宋" w:eastAsia="仿宋"/>
          <w:color w:val="000000" w:themeColor="text1"/>
          <w:sz w:val="32"/>
          <w:szCs w:val="32"/>
          <w:highlight w:val="none"/>
          <w:lang w:val="en-US" w:eastAsia="zh-CN"/>
          <w14:textFill>
            <w14:solidFill>
              <w14:schemeClr w14:val="tx1"/>
            </w14:solidFill>
          </w14:textFill>
        </w:rPr>
        <w:t>18</w:t>
      </w:r>
      <w:r>
        <w:rPr>
          <w:rFonts w:hint="eastAsia" w:ascii="仿宋" w:hAnsi="仿宋" w:eastAsia="仿宋"/>
          <w:color w:val="000000" w:themeColor="text1"/>
          <w:sz w:val="32"/>
          <w:szCs w:val="32"/>
          <w:highlight w:val="none"/>
          <w14:textFill>
            <w14:solidFill>
              <w14:schemeClr w14:val="tx1"/>
            </w14:solidFill>
          </w14:textFill>
        </w:rPr>
        <w:t>万元，增长</w:t>
      </w:r>
      <w:r>
        <w:rPr>
          <w:rFonts w:hint="eastAsia" w:ascii="仿宋" w:hAnsi="仿宋" w:eastAsia="仿宋"/>
          <w:color w:val="000000" w:themeColor="text1"/>
          <w:sz w:val="32"/>
          <w:szCs w:val="32"/>
          <w:highlight w:val="none"/>
          <w:lang w:val="en-US" w:eastAsia="zh-CN"/>
          <w14:textFill>
            <w14:solidFill>
              <w14:schemeClr w14:val="tx1"/>
            </w14:solidFill>
          </w14:textFill>
        </w:rPr>
        <w:t>28.23</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。主要变动原因是</w:t>
      </w:r>
      <w:r>
        <w:rPr>
          <w:rFonts w:hint="eastAsia" w:ascii="仿宋" w:hAnsi="仿宋" w:eastAsia="仿宋"/>
          <w:color w:val="000000" w:themeColor="text1"/>
          <w:sz w:val="32"/>
          <w:szCs w:val="32"/>
          <w:highlight w:val="none"/>
          <w:lang w:eastAsia="zh-CN"/>
          <w14:textFill>
            <w14:solidFill>
              <w14:schemeClr w14:val="tx1"/>
            </w14:solidFill>
          </w14:textFill>
        </w:rPr>
        <w:t>人员经费增加。</w:t>
      </w:r>
    </w:p>
    <w:p>
      <w:pPr>
        <w:pStyle w:val="6"/>
        <w:rPr>
          <w:rFonts w:ascii="仿宋" w:hAnsi="仿宋" w:eastAsia="仿宋"/>
          <w:color w:val="auto"/>
          <w:sz w:val="32"/>
          <w:szCs w:val="32"/>
          <w:highlight w:val="none"/>
        </w:rPr>
      </w:pPr>
      <w:r>
        <w:rPr>
          <w:rFonts w:hint="eastAsia" w:ascii="仿宋" w:hAnsi="仿宋" w:eastAsia="仿宋"/>
          <w:color w:val="000000" w:themeColor="text1"/>
          <w:sz w:val="32"/>
          <w:szCs w:val="32"/>
          <w:highlight w:val="none"/>
          <w:lang w:eastAsia="zh-CN"/>
          <w14:textFill>
            <w14:solidFill>
              <w14:schemeClr w14:val="tx1"/>
            </w14:solidFill>
          </w14:textFill>
        </w:rPr>
        <w:drawing>
          <wp:inline distT="0" distB="0" distL="114300" distR="114300">
            <wp:extent cx="5256530" cy="2988310"/>
            <wp:effectExtent l="5080" t="4445" r="15240" b="171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30"/>
          <w:rFonts w:ascii="黑体" w:hAnsi="黑体" w:eastAsia="黑体"/>
          <w:b w:val="0"/>
          <w:color w:val="auto"/>
          <w:highlight w:val="none"/>
        </w:rPr>
      </w:pPr>
      <w:bookmarkStart w:id="28" w:name="_Toc15396607"/>
      <w:bookmarkStart w:id="29"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8"/>
      <w:bookmarkEnd w:id="29"/>
    </w:p>
    <w:p>
      <w:pPr>
        <w:spacing w:line="600" w:lineRule="exact"/>
        <w:ind w:firstLine="642" w:firstLineChars="200"/>
        <w:outlineLvl w:val="2"/>
        <w:rPr>
          <w:rFonts w:ascii="仿宋" w:hAnsi="仿宋" w:eastAsia="仿宋"/>
          <w:b/>
          <w:color w:val="auto"/>
          <w:sz w:val="32"/>
          <w:szCs w:val="32"/>
          <w:highlight w:val="none"/>
        </w:rPr>
      </w:pPr>
      <w:bookmarkStart w:id="30" w:name="_Toc15377210"/>
      <w:r>
        <w:rPr>
          <w:rFonts w:hint="eastAsia" w:ascii="仿宋" w:hAnsi="仿宋" w:eastAsia="仿宋"/>
          <w:b/>
          <w:color w:val="auto"/>
          <w:sz w:val="32"/>
          <w:szCs w:val="32"/>
          <w:highlight w:val="none"/>
        </w:rPr>
        <w:t>（一）一般公共预算财政拨款支出决算总体情况</w:t>
      </w:r>
      <w:bookmarkEnd w:id="30"/>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年一般公共预算财政拨款支出81.76万元，占本年支出合计的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增加18.78万元，增长29.82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。主要变动原因是人员专项经费增加</w:t>
      </w:r>
      <w:r>
        <w:rPr>
          <w:rFonts w:hint="eastAsia" w:ascii="仿宋" w:hAnsi="仿宋" w:eastAsia="仿宋"/>
          <w:color w:val="auto"/>
          <w:sz w:val="32"/>
          <w:szCs w:val="32"/>
          <w:highlight w:val="none"/>
          <w:lang w:eastAsia="zh-CN"/>
        </w:rPr>
        <w:drawing>
          <wp:anchor distT="0" distB="0" distL="114300" distR="114300" simplePos="0" relativeHeight="251659264" behindDoc="1" locked="0" layoutInCell="1" allowOverlap="1">
            <wp:simplePos x="0" y="0"/>
            <wp:positionH relativeFrom="column">
              <wp:posOffset>135255</wp:posOffset>
            </wp:positionH>
            <wp:positionV relativeFrom="paragraph">
              <wp:posOffset>137160</wp:posOffset>
            </wp:positionV>
            <wp:extent cx="5024755" cy="3509645"/>
            <wp:effectExtent l="5080" t="4445" r="18415" b="10160"/>
            <wp:wrapTight wrapText="bothSides">
              <wp:wrapPolygon>
                <wp:start x="-22" y="-27"/>
                <wp:lineTo x="-22" y="21545"/>
                <wp:lineTo x="21515" y="21545"/>
                <wp:lineTo x="21515" y="-27"/>
                <wp:lineTo x="-22" y="-27"/>
              </wp:wrapPolygon>
            </wp:wrapTight>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olor w:val="auto"/>
          <w:sz w:val="32"/>
          <w:szCs w:val="32"/>
          <w:highlight w:val="none"/>
          <w:lang w:eastAsia="zh-CN"/>
        </w:rPr>
        <w:t>。</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2" w:firstLineChars="200"/>
        <w:outlineLvl w:val="2"/>
        <w:rPr>
          <w:rFonts w:ascii="仿宋" w:hAnsi="仿宋" w:eastAsia="仿宋"/>
          <w:b/>
          <w:color w:val="auto"/>
          <w:sz w:val="32"/>
          <w:szCs w:val="32"/>
          <w:highlight w:val="none"/>
        </w:rPr>
      </w:pPr>
      <w:bookmarkStart w:id="31" w:name="_Toc15377211"/>
      <w:r>
        <w:rPr>
          <w:rFonts w:hint="eastAsia" w:ascii="仿宋" w:hAnsi="仿宋" w:eastAsia="仿宋"/>
          <w:b/>
          <w:color w:val="auto"/>
          <w:sz w:val="32"/>
          <w:szCs w:val="32"/>
          <w:highlight w:val="none"/>
        </w:rPr>
        <w:t>（二）一般公共预算财政拨款支出决算结构情况</w:t>
      </w:r>
      <w:bookmarkEnd w:id="31"/>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年一般公共预算财政拨款支出81.76万元，主要用于以下方面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72.4</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88.56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3.57万元，占</w:t>
      </w:r>
      <w:r>
        <w:rPr>
          <w:rFonts w:hint="eastAsia" w:ascii="仿宋" w:hAnsi="仿宋" w:eastAsia="仿宋"/>
          <w:color w:val="auto"/>
          <w:sz w:val="32"/>
          <w:szCs w:val="32"/>
          <w:highlight w:val="none"/>
          <w:lang w:val="en-US" w:eastAsia="zh-CN"/>
        </w:rPr>
        <w:t>4.37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rPr>
        <w:t>1.77万元，占</w:t>
      </w:r>
      <w:r>
        <w:rPr>
          <w:rFonts w:hint="eastAsia" w:ascii="仿宋" w:hAnsi="仿宋" w:eastAsia="仿宋"/>
          <w:color w:val="auto"/>
          <w:sz w:val="32"/>
          <w:szCs w:val="32"/>
          <w:highlight w:val="none"/>
          <w:lang w:val="en-US" w:eastAsia="zh-CN"/>
        </w:rPr>
        <w:t>2.16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rPr>
        <w:t>4.01万元，占</w:t>
      </w:r>
      <w:r>
        <w:rPr>
          <w:rFonts w:hint="eastAsia" w:ascii="仿宋" w:hAnsi="仿宋" w:eastAsia="仿宋"/>
          <w:color w:val="auto"/>
          <w:sz w:val="32"/>
          <w:szCs w:val="32"/>
          <w:highlight w:val="none"/>
          <w:lang w:val="en-US" w:eastAsia="zh-CN"/>
        </w:rPr>
        <w:t>4.91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hint="eastAsia" w:ascii="仿宋" w:hAnsi="仿宋" w:eastAsia="仿宋"/>
          <w:color w:val="auto"/>
          <w:sz w:val="32"/>
          <w:szCs w:val="32"/>
          <w:highlight w:val="none"/>
          <w:lang w:eastAsia="zh-CN"/>
        </w:rPr>
      </w:pPr>
    </w:p>
    <w:p>
      <w:pPr>
        <w:pStyle w:val="6"/>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4732655" cy="2750185"/>
            <wp:effectExtent l="4445" t="5080" r="6350" b="698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2" w:firstLineChars="200"/>
        <w:outlineLvl w:val="2"/>
        <w:rPr>
          <w:rFonts w:ascii="仿宋" w:hAnsi="仿宋" w:eastAsia="仿宋"/>
          <w:b/>
          <w:color w:val="auto"/>
          <w:sz w:val="32"/>
          <w:szCs w:val="32"/>
          <w:highlight w:val="none"/>
        </w:rPr>
      </w:pPr>
      <w:bookmarkStart w:id="32" w:name="_Toc15377212"/>
      <w:r>
        <w:rPr>
          <w:rFonts w:hint="eastAsia" w:ascii="仿宋" w:hAnsi="仿宋" w:eastAsia="仿宋"/>
          <w:b/>
          <w:color w:val="auto"/>
          <w:sz w:val="32"/>
          <w:szCs w:val="32"/>
          <w:highlight w:val="none"/>
        </w:rPr>
        <w:t>（三）一般公共预算财政拨款支出决算具体情况</w:t>
      </w:r>
      <w:bookmarkEnd w:id="32"/>
    </w:p>
    <w:p>
      <w:pPr>
        <w:spacing w:line="600" w:lineRule="exact"/>
        <w:ind w:firstLine="642" w:firstLineChars="200"/>
        <w:outlineLvl w:val="2"/>
        <w:rPr>
          <w:rFonts w:ascii="仿宋" w:hAnsi="仿宋" w:eastAsia="仿宋"/>
          <w:color w:val="auto"/>
          <w:sz w:val="32"/>
          <w:szCs w:val="32"/>
          <w:highlight w:val="none"/>
        </w:rPr>
      </w:pPr>
      <w:bookmarkStart w:id="33" w:name="_Toc15377444"/>
      <w:bookmarkStart w:id="34" w:name="_Toc15378460"/>
      <w:bookmarkStart w:id="35"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般公共预算支出决算数为81.76</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33"/>
      <w:bookmarkEnd w:id="34"/>
      <w:bookmarkEnd w:id="35"/>
    </w:p>
    <w:p>
      <w:pPr>
        <w:spacing w:line="600" w:lineRule="exact"/>
        <w:ind w:firstLine="642" w:firstLineChars="200"/>
        <w:rPr>
          <w:rFonts w:ascii="仿宋" w:hAnsi="仿宋" w:eastAsia="仿宋"/>
          <w:b/>
          <w:color w:val="auto"/>
          <w:sz w:val="32"/>
          <w:szCs w:val="32"/>
          <w:highlight w:val="none"/>
        </w:rPr>
      </w:pPr>
      <w:r>
        <w:rPr>
          <w:rStyle w:val="18"/>
          <w:rFonts w:ascii="仿宋" w:hAnsi="仿宋" w:eastAsia="仿宋"/>
          <w:bCs/>
          <w:color w:val="auto"/>
          <w:sz w:val="32"/>
          <w:szCs w:val="32"/>
          <w:highlight w:val="none"/>
        </w:rPr>
        <w:t>1.</w:t>
      </w:r>
      <w:r>
        <w:rPr>
          <w:rStyle w:val="18"/>
          <w:rFonts w:hint="eastAsia" w:ascii="仿宋" w:hAnsi="仿宋" w:eastAsia="仿宋"/>
          <w:bCs/>
          <w:color w:val="auto"/>
          <w:sz w:val="32"/>
          <w:szCs w:val="32"/>
          <w:highlight w:val="none"/>
        </w:rPr>
        <w:t>一般公共服务（类）民主党派及工商联事务（款）行政运行（项）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支出决算为53.05万元，完成预算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18"/>
          <w:rFonts w:ascii="仿宋" w:hAnsi="仿宋" w:eastAsia="仿宋"/>
          <w:bCs/>
          <w:color w:val="auto"/>
          <w:sz w:val="32"/>
          <w:szCs w:val="32"/>
          <w:highlight w:val="none"/>
        </w:rPr>
        <w:t>2.</w:t>
      </w:r>
      <w:r>
        <w:rPr>
          <w:rStyle w:val="18"/>
          <w:rFonts w:hint="eastAsia" w:ascii="仿宋" w:hAnsi="仿宋" w:eastAsia="仿宋"/>
          <w:bCs/>
          <w:color w:val="auto"/>
          <w:sz w:val="32"/>
          <w:szCs w:val="32"/>
          <w:highlight w:val="none"/>
        </w:rPr>
        <w:t>一般公共服务（类）民主党派及工商联事务（款）一般行政管理事务（项）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支出决算为19.35万元，完成预算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18"/>
          <w:rFonts w:ascii="仿宋" w:hAnsi="仿宋" w:eastAsia="仿宋"/>
          <w:bCs/>
          <w:color w:val="auto"/>
          <w:sz w:val="32"/>
          <w:szCs w:val="32"/>
          <w:highlight w:val="none"/>
        </w:rPr>
        <w:t>3.</w:t>
      </w:r>
      <w:r>
        <w:rPr>
          <w:rStyle w:val="18"/>
          <w:rFonts w:hint="eastAsia" w:ascii="仿宋" w:hAnsi="仿宋" w:eastAsia="仿宋"/>
          <w:bCs/>
          <w:color w:val="auto"/>
          <w:sz w:val="32"/>
          <w:szCs w:val="32"/>
          <w:highlight w:val="none"/>
        </w:rPr>
        <w:t>社会保障和就业支出（类）行政事业单位养老支出（款）机关事业单位基本养老保险缴费支出（项）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支出决算为3.57万元，完成预算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18"/>
          <w:rFonts w:ascii="仿宋" w:hAnsi="仿宋" w:eastAsia="仿宋"/>
          <w:bCs/>
          <w:color w:val="auto"/>
          <w:sz w:val="32"/>
          <w:szCs w:val="32"/>
          <w:highlight w:val="none"/>
        </w:rPr>
        <w:t>4.</w:t>
      </w:r>
      <w:r>
        <w:rPr>
          <w:rStyle w:val="18"/>
          <w:rFonts w:hint="eastAsia" w:ascii="仿宋" w:hAnsi="仿宋" w:eastAsia="仿宋"/>
          <w:bCs/>
          <w:color w:val="auto"/>
          <w:sz w:val="32"/>
          <w:szCs w:val="32"/>
          <w:highlight w:val="none"/>
        </w:rPr>
        <w:t>卫生健康支出（类）行政事业单位医疗（款）行政单位医疗（项）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支出决算为1.77万元，完成预算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18"/>
          <w:rFonts w:ascii="仿宋" w:hAnsi="仿宋" w:eastAsia="仿宋"/>
          <w:bCs/>
          <w:color w:val="auto"/>
          <w:sz w:val="32"/>
          <w:szCs w:val="32"/>
          <w:highlight w:val="none"/>
        </w:rPr>
        <w:t>5.</w:t>
      </w:r>
      <w:r>
        <w:rPr>
          <w:rStyle w:val="18"/>
          <w:rFonts w:hint="eastAsia" w:ascii="仿宋" w:hAnsi="仿宋" w:eastAsia="仿宋"/>
          <w:bCs/>
          <w:color w:val="auto"/>
          <w:sz w:val="32"/>
          <w:szCs w:val="32"/>
          <w:highlight w:val="none"/>
        </w:rPr>
        <w:t>住房保障支出（类）住房改革支出（款）住房公积金（项）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支出决算为4.01万元，完成预算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30"/>
          <w:color w:val="auto"/>
          <w:highlight w:val="none"/>
        </w:rPr>
      </w:pPr>
      <w:bookmarkStart w:id="36" w:name="_Toc15377214"/>
      <w:bookmarkStart w:id="37"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6"/>
      <w:bookmarkEnd w:id="37"/>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年一般公共预算财政拨款基本支出62.41万元，其中：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人员经费53.42万元，主要包括：基本工资、津贴补贴、奖金、伙食补助费、机关事业单位基本养老保险缴费、生活补助、职工基本医疗保险缴费、住房公积金等。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公用经费6.09万元，主要包括：办公费、印刷费、水费、电费、邮电费、物业管理费、差旅费、公务接待费、劳务费、工会经费、其他商品和服务支出等。</w:t>
      </w:r>
    </w:p>
    <w:p>
      <w:pPr>
        <w:spacing w:line="600" w:lineRule="exact"/>
        <w:ind w:firstLine="640"/>
        <w:outlineLvl w:val="1"/>
        <w:rPr>
          <w:rStyle w:val="30"/>
          <w:rFonts w:ascii="黑体" w:hAnsi="黑体" w:eastAsia="黑体"/>
          <w:b w:val="0"/>
          <w:color w:val="auto"/>
          <w:highlight w:val="none"/>
        </w:rPr>
      </w:pPr>
      <w:bookmarkStart w:id="38" w:name="_Toc15377215"/>
      <w:bookmarkStart w:id="39" w:name="_Toc15396609"/>
      <w:r>
        <w:rPr>
          <w:rFonts w:hint="eastAsia" w:ascii="黑体" w:eastAsia="黑体"/>
          <w:color w:val="auto"/>
          <w:sz w:val="32"/>
          <w:szCs w:val="32"/>
          <w:highlight w:val="none"/>
        </w:rPr>
        <w:t>七、</w:t>
      </w:r>
      <w:r>
        <w:rPr>
          <w:rStyle w:val="30"/>
          <w:rFonts w:hint="eastAsia" w:ascii="黑体" w:hAnsi="黑体" w:eastAsia="黑体"/>
          <w:b w:val="0"/>
          <w:color w:val="auto"/>
          <w:highlight w:val="none"/>
        </w:rPr>
        <w:t>财政拨款</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三公”经费支出决算情况说明</w:t>
      </w:r>
      <w:bookmarkEnd w:id="38"/>
      <w:bookmarkEnd w:id="39"/>
    </w:p>
    <w:p>
      <w:pPr>
        <w:spacing w:line="600" w:lineRule="exact"/>
        <w:ind w:firstLine="640"/>
        <w:outlineLvl w:val="2"/>
        <w:rPr>
          <w:rFonts w:ascii="仿宋" w:hAnsi="仿宋" w:eastAsia="仿宋"/>
          <w:b/>
          <w:color w:val="auto"/>
          <w:sz w:val="32"/>
          <w:szCs w:val="32"/>
          <w:highlight w:val="none"/>
        </w:rPr>
      </w:pPr>
      <w:bookmarkStart w:id="40" w:name="_Toc15377216"/>
      <w:r>
        <w:rPr>
          <w:rFonts w:hint="eastAsia" w:ascii="仿宋" w:hAnsi="仿宋" w:eastAsia="仿宋"/>
          <w:b/>
          <w:color w:val="auto"/>
          <w:sz w:val="32"/>
          <w:szCs w:val="32"/>
          <w:highlight w:val="none"/>
        </w:rPr>
        <w:t>（一）“三公”经费财政拨款支出决算总体情况说明</w:t>
      </w:r>
      <w:bookmarkEnd w:id="40"/>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年“三公”经费财政拨款支出决算为0.24万元，完成预算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减少0.11万元，下降30.86%。</w:t>
      </w:r>
      <w:r>
        <w:rPr>
          <w:rFonts w:hint="eastAsia" w:ascii="仿宋" w:hAnsi="仿宋" w:eastAsia="仿宋"/>
          <w:color w:val="auto"/>
          <w:sz w:val="32"/>
          <w:szCs w:val="32"/>
          <w:highlight w:val="none"/>
        </w:rPr>
        <w:t>决算数预算数持平</w:t>
      </w:r>
      <w:r>
        <w:rPr>
          <w:rFonts w:hint="eastAsia" w:ascii="仿宋" w:hAnsi="仿宋" w:eastAsia="仿宋"/>
          <w:color w:val="auto"/>
          <w:sz w:val="32"/>
          <w:szCs w:val="32"/>
          <w:highlight w:val="none"/>
          <w:lang w:eastAsia="zh-CN"/>
        </w:rPr>
        <w:t>。</w:t>
      </w:r>
    </w:p>
    <w:p>
      <w:pPr>
        <w:spacing w:line="600" w:lineRule="exact"/>
        <w:ind w:firstLine="640"/>
        <w:outlineLvl w:val="2"/>
        <w:rPr>
          <w:rFonts w:ascii="仿宋" w:hAnsi="仿宋" w:eastAsia="仿宋"/>
          <w:b/>
          <w:color w:val="auto"/>
          <w:sz w:val="32"/>
          <w:szCs w:val="32"/>
          <w:highlight w:val="none"/>
        </w:rPr>
      </w:pPr>
      <w:bookmarkStart w:id="41" w:name="_Toc15377217"/>
      <w:r>
        <w:rPr>
          <w:rFonts w:hint="eastAsia" w:ascii="仿宋" w:hAnsi="仿宋" w:eastAsia="仿宋"/>
          <w:b/>
          <w:color w:val="auto"/>
          <w:sz w:val="32"/>
          <w:szCs w:val="32"/>
          <w:highlight w:val="none"/>
        </w:rPr>
        <w:t>（二）“三公”经费财政拨款支出决算具体情况说明</w:t>
      </w:r>
      <w:bookmarkEnd w:id="41"/>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；公务接待费支出决算0.24万元，占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6"/>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5240"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w:t>
      </w:r>
      <w:r>
        <w:rPr>
          <w:rFonts w:hint="eastAsia" w:ascii="仿宋_GB2312" w:eastAsia="仿宋_GB2312"/>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rPr>
        <w:t>0.24万元，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40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下降30.86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w:t>
      </w:r>
      <w:r>
        <w:rPr>
          <w:rFonts w:hint="eastAsia" w:ascii="仿宋_GB2312" w:eastAsia="仿宋_GB2312"/>
          <w:color w:val="auto"/>
          <w:sz w:val="32"/>
          <w:szCs w:val="32"/>
          <w:highlight w:val="none"/>
        </w:rPr>
        <w:t>。其中：</w:t>
      </w:r>
    </w:p>
    <w:p>
      <w:pPr>
        <w:spacing w:line="600" w:lineRule="exact"/>
        <w:ind w:firstLine="640"/>
        <w:rPr>
          <w:rFonts w:hint="eastAsia" w:ascii="仿宋_GB2312" w:hAnsi="微软雅黑" w:eastAsia="仿宋_GB2312" w:cs="仿宋_GB2312"/>
          <w:i w:val="0"/>
          <w:iCs w:val="0"/>
          <w:caps w:val="0"/>
          <w:color w:val="000000" w:themeColor="text1"/>
          <w:spacing w:val="0"/>
          <w:sz w:val="31"/>
          <w:szCs w:val="31"/>
          <w:shd w:val="clear" w:fill="FFFFFF"/>
          <w:lang w:eastAsia="zh-CN"/>
          <w14:textFill>
            <w14:solidFill>
              <w14:schemeClr w14:val="tx1"/>
            </w14:solidFill>
          </w14:textFill>
        </w:rPr>
      </w:pPr>
      <w:r>
        <w:rPr>
          <w:rFonts w:hint="eastAsia" w:ascii="仿宋" w:hAnsi="仿宋" w:eastAsia="仿宋"/>
          <w:b/>
          <w:color w:val="000000" w:themeColor="text1"/>
          <w:sz w:val="32"/>
          <w:szCs w:val="32"/>
          <w:highlight w:val="none"/>
          <w14:textFill>
            <w14:solidFill>
              <w14:schemeClr w14:val="tx1"/>
            </w14:solidFill>
          </w14:textFill>
        </w:rPr>
        <w:t>国内公务接待支出</w:t>
      </w:r>
      <w:r>
        <w:rPr>
          <w:rFonts w:hint="eastAsia" w:ascii="仿宋" w:hAnsi="仿宋" w:eastAsia="仿宋"/>
          <w:color w:val="000000" w:themeColor="text1"/>
          <w:sz w:val="32"/>
          <w:szCs w:val="32"/>
          <w:highlight w:val="none"/>
          <w:lang w:val="en-US" w:eastAsia="zh-CN"/>
          <w14:textFill>
            <w14:solidFill>
              <w14:schemeClr w14:val="tx1"/>
            </w14:solidFill>
          </w14:textFill>
        </w:rPr>
        <w:t>0.24</w:t>
      </w:r>
      <w:r>
        <w:rPr>
          <w:rFonts w:hint="eastAsia" w:ascii="仿宋_GB2312" w:eastAsia="仿宋_GB2312"/>
          <w:color w:val="000000" w:themeColor="text1"/>
          <w:sz w:val="32"/>
          <w:szCs w:val="32"/>
          <w:highlight w:val="none"/>
          <w14:textFill>
            <w14:solidFill>
              <w14:schemeClr w14:val="tx1"/>
            </w14:solidFill>
          </w14:textFill>
        </w:rPr>
        <w:t>万元，主要用于执行公务、开展业务活动开支的交通费、住宿费、用餐费等。国内公务接待</w:t>
      </w:r>
      <w:r>
        <w:rPr>
          <w:rFonts w:hint="eastAsia" w:ascii="仿宋_GB2312" w:eastAsia="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color w:val="000000" w:themeColor="text1"/>
          <w:sz w:val="32"/>
          <w:szCs w:val="32"/>
          <w:highlight w:val="none"/>
          <w14:textFill>
            <w14:solidFill>
              <w14:schemeClr w14:val="tx1"/>
            </w14:solidFill>
          </w14:textFill>
        </w:rPr>
        <w:t>批次，</w:t>
      </w:r>
      <w:r>
        <w:rPr>
          <w:rFonts w:hint="eastAsia" w:ascii="仿宋_GB2312" w:eastAsia="仿宋_GB2312"/>
          <w:color w:val="000000" w:themeColor="text1"/>
          <w:sz w:val="32"/>
          <w:szCs w:val="32"/>
          <w:highlight w:val="none"/>
          <w:lang w:val="en-US" w:eastAsia="zh-CN"/>
          <w14:textFill>
            <w14:solidFill>
              <w14:schemeClr w14:val="tx1"/>
            </w14:solidFill>
          </w14:textFill>
        </w:rPr>
        <w:t>20</w:t>
      </w:r>
      <w:r>
        <w:rPr>
          <w:rFonts w:hint="eastAsia" w:ascii="仿宋_GB2312" w:eastAsia="仿宋_GB2312"/>
          <w:color w:val="000000" w:themeColor="text1"/>
          <w:sz w:val="32"/>
          <w:szCs w:val="32"/>
          <w:highlight w:val="none"/>
          <w14:textFill>
            <w14:solidFill>
              <w14:schemeClr w14:val="tx1"/>
            </w14:solidFill>
          </w14:textFill>
        </w:rPr>
        <w:t>人次（不包括陪同人员），共计支出</w:t>
      </w:r>
      <w:r>
        <w:rPr>
          <w:rFonts w:hint="eastAsia" w:ascii="仿宋_GB2312" w:eastAsia="仿宋_GB2312"/>
          <w:color w:val="000000" w:themeColor="text1"/>
          <w:sz w:val="32"/>
          <w:szCs w:val="32"/>
          <w:highlight w:val="none"/>
          <w:lang w:val="en-US" w:eastAsia="zh-CN"/>
          <w14:textFill>
            <w14:solidFill>
              <w14:schemeClr w14:val="tx1"/>
            </w14:solidFill>
          </w14:textFill>
        </w:rPr>
        <w:t>0.24</w:t>
      </w:r>
      <w:r>
        <w:rPr>
          <w:rFonts w:hint="eastAsia" w:ascii="仿宋_GB2312" w:eastAsia="仿宋_GB2312"/>
          <w:color w:val="000000" w:themeColor="text1"/>
          <w:sz w:val="32"/>
          <w:szCs w:val="32"/>
          <w:highlight w:val="none"/>
          <w14:textFill>
            <w14:solidFill>
              <w14:schemeClr w14:val="tx1"/>
            </w14:solidFill>
          </w14:textFill>
        </w:rPr>
        <w:t>万元，具体内容包括：</w:t>
      </w:r>
      <w:r>
        <w:rPr>
          <w:rFonts w:hint="default" w:ascii="仿宋_GB2312" w:hAnsi="微软雅黑" w:eastAsia="仿宋_GB2312" w:cs="仿宋_GB2312"/>
          <w:i w:val="0"/>
          <w:iCs w:val="0"/>
          <w:caps w:val="0"/>
          <w:color w:val="000000" w:themeColor="text1"/>
          <w:spacing w:val="0"/>
          <w:sz w:val="31"/>
          <w:szCs w:val="31"/>
          <w:shd w:val="clear" w:fill="FFFFFF"/>
          <w14:textFill>
            <w14:solidFill>
              <w14:schemeClr w14:val="tx1"/>
            </w14:solidFill>
          </w14:textFill>
        </w:rPr>
        <w:t>民进省委来广开展</w:t>
      </w:r>
      <w:r>
        <w:rPr>
          <w:rFonts w:hint="eastAsia" w:ascii="仿宋_GB2312" w:hAnsi="微软雅黑" w:eastAsia="仿宋_GB2312" w:cs="仿宋_GB2312"/>
          <w:i w:val="0"/>
          <w:iCs w:val="0"/>
          <w:caps w:val="0"/>
          <w:color w:val="000000" w:themeColor="text1"/>
          <w:spacing w:val="0"/>
          <w:sz w:val="31"/>
          <w:szCs w:val="31"/>
          <w:shd w:val="clear" w:fill="FFFFFF"/>
          <w:lang w:eastAsia="zh-CN"/>
          <w14:textFill>
            <w14:solidFill>
              <w14:schemeClr w14:val="tx1"/>
            </w14:solidFill>
          </w14:textFill>
        </w:rPr>
        <w:t>乡村振兴帮村工作所产生的</w:t>
      </w:r>
      <w:r>
        <w:rPr>
          <w:rFonts w:hint="eastAsia" w:ascii="仿宋_GB2312" w:eastAsia="仿宋_GB2312"/>
          <w:color w:val="000000" w:themeColor="text1"/>
          <w:sz w:val="32"/>
          <w:szCs w:val="32"/>
          <w:highlight w:val="none"/>
          <w:lang w:eastAsia="zh-CN"/>
          <w14:textFill>
            <w14:solidFill>
              <w14:schemeClr w14:val="tx1"/>
            </w14:solidFill>
          </w14:textFill>
        </w:rPr>
        <w:t>交通、用餐费</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hAnsi="微软雅黑" w:eastAsia="仿宋_GB2312" w:cs="仿宋_GB2312"/>
          <w:i w:val="0"/>
          <w:iCs w:val="0"/>
          <w:caps w:val="0"/>
          <w:color w:val="000000" w:themeColor="text1"/>
          <w:spacing w:val="0"/>
          <w:sz w:val="31"/>
          <w:szCs w:val="31"/>
          <w:shd w:val="clear" w:fill="FFFFFF"/>
          <w:lang w:eastAsia="zh-CN"/>
          <w14:textFill>
            <w14:solidFill>
              <w14:schemeClr w14:val="tx1"/>
            </w14:solidFill>
          </w14:textFill>
        </w:rPr>
        <w:t>外事接待支出</w:t>
      </w:r>
      <w:r>
        <w:rPr>
          <w:rFonts w:hint="eastAsia" w:ascii="仿宋_GB2312" w:hAnsi="微软雅黑" w:eastAsia="仿宋_GB2312" w:cs="仿宋_GB2312"/>
          <w:i w:val="0"/>
          <w:iCs w:val="0"/>
          <w:caps w:val="0"/>
          <w:color w:val="000000" w:themeColor="text1"/>
          <w:spacing w:val="0"/>
          <w:sz w:val="31"/>
          <w:szCs w:val="31"/>
          <w:shd w:val="clear" w:fill="FFFFFF"/>
          <w:lang w:val="en-US" w:eastAsia="zh-CN"/>
          <w14:textFill>
            <w14:solidFill>
              <w14:schemeClr w14:val="tx1"/>
            </w14:solidFill>
          </w14:textFill>
        </w:rPr>
        <w:t>0</w:t>
      </w:r>
      <w:r>
        <w:rPr>
          <w:rFonts w:hint="eastAsia" w:ascii="仿宋_GB2312" w:hAnsi="微软雅黑" w:eastAsia="仿宋_GB2312" w:cs="仿宋_GB2312"/>
          <w:i w:val="0"/>
          <w:iCs w:val="0"/>
          <w:caps w:val="0"/>
          <w:color w:val="000000" w:themeColor="text1"/>
          <w:spacing w:val="0"/>
          <w:sz w:val="31"/>
          <w:szCs w:val="31"/>
          <w:shd w:val="clear" w:fill="FFFFFF"/>
          <w:lang w:eastAsia="zh-CN"/>
          <w14:textFill>
            <w14:solidFill>
              <w14:schemeClr w14:val="tx1"/>
            </w14:solidFill>
          </w14:textFill>
        </w:rPr>
        <w:t>万元。</w:t>
      </w:r>
      <w:bookmarkStart w:id="42" w:name="_Toc15396610"/>
      <w:bookmarkStart w:id="43" w:name="_Toc15377218"/>
    </w:p>
    <w:p>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30"/>
          <w:rFonts w:ascii="黑体" w:hAnsi="黑体" w:eastAsia="黑体"/>
          <w:b w:val="0"/>
          <w:color w:val="auto"/>
          <w:highlight w:val="none"/>
        </w:rPr>
      </w:pPr>
      <w:bookmarkStart w:id="44" w:name="_Toc15377219"/>
      <w:bookmarkStart w:id="45" w:name="_Toc15396611"/>
      <w:r>
        <w:rPr>
          <w:rStyle w:val="30"/>
          <w:rFonts w:hint="eastAsia" w:ascii="黑体" w:hAnsi="黑体" w:eastAsia="黑体"/>
          <w:b w:val="0"/>
          <w:color w:val="auto"/>
          <w:highlight w:val="none"/>
        </w:rPr>
        <w:t>国有资本经营预算支出决算情况说明</w:t>
      </w:r>
      <w:bookmarkEnd w:id="44"/>
      <w:bookmarkEnd w:id="45"/>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30"/>
          <w:rFonts w:hint="eastAsia" w:ascii="黑体" w:hAnsi="黑体" w:eastAsia="黑体"/>
          <w:b w:val="0"/>
          <w:color w:val="auto"/>
          <w:highlight w:val="none"/>
        </w:rPr>
      </w:pPr>
      <w:bookmarkStart w:id="46" w:name="_Toc15396612"/>
      <w:bookmarkStart w:id="47" w:name="_Toc15377221"/>
      <w:r>
        <w:rPr>
          <w:rStyle w:val="30"/>
          <w:rFonts w:hint="eastAsia" w:ascii="黑体" w:hAnsi="黑体" w:eastAsia="黑体"/>
          <w:b w:val="0"/>
          <w:color w:val="auto"/>
          <w:highlight w:val="none"/>
        </w:rPr>
        <w:t>其他重要事项的情况说明</w:t>
      </w:r>
      <w:bookmarkEnd w:id="46"/>
      <w:bookmarkEnd w:id="47"/>
    </w:p>
    <w:p>
      <w:pPr>
        <w:spacing w:line="600" w:lineRule="exact"/>
        <w:ind w:firstLine="642" w:firstLineChars="200"/>
        <w:outlineLvl w:val="2"/>
        <w:rPr>
          <w:rFonts w:ascii="仿宋" w:hAnsi="仿宋" w:eastAsia="仿宋"/>
          <w:color w:val="auto"/>
          <w:sz w:val="32"/>
          <w:szCs w:val="32"/>
          <w:highlight w:val="none"/>
        </w:rPr>
      </w:pPr>
      <w:bookmarkStart w:id="48" w:name="_Toc15377222"/>
      <w:r>
        <w:rPr>
          <w:rFonts w:hint="eastAsia" w:ascii="仿宋" w:hAnsi="仿宋" w:eastAsia="仿宋"/>
          <w:b/>
          <w:color w:val="auto"/>
          <w:sz w:val="32"/>
          <w:szCs w:val="32"/>
          <w:highlight w:val="none"/>
        </w:rPr>
        <w:t>（一）机关运行经费支出情况</w:t>
      </w:r>
      <w:bookmarkEnd w:id="48"/>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年，机关运行经费支出6.09万元，比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年减少0.62万元，下降9.26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49" w:name="_Toc15377223"/>
      <w:r>
        <w:rPr>
          <w:rFonts w:hint="eastAsia" w:ascii="仿宋" w:hAnsi="仿宋" w:eastAsia="仿宋"/>
          <w:b/>
          <w:color w:val="auto"/>
          <w:sz w:val="32"/>
          <w:szCs w:val="32"/>
          <w:highlight w:val="none"/>
        </w:rPr>
        <w:t>（二）政府采购支出情况</w:t>
      </w:r>
      <w:bookmarkEnd w:id="49"/>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50" w:name="_Toc15377224"/>
      <w:r>
        <w:rPr>
          <w:rFonts w:hint="eastAsia" w:ascii="仿宋" w:hAnsi="仿宋" w:eastAsia="仿宋"/>
          <w:b/>
          <w:color w:val="auto"/>
          <w:sz w:val="32"/>
          <w:szCs w:val="32"/>
          <w:highlight w:val="none"/>
        </w:rPr>
        <w:t>（三）国有资产占有使用情况</w:t>
      </w:r>
      <w:bookmarkEnd w:id="50"/>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widowControl/>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年度预算编制阶段，组织对民主党派专项工作经费</w:t>
      </w:r>
      <w:r>
        <w:rPr>
          <w:rFonts w:hint="eastAsia" w:ascii="仿宋_GB2312" w:hAnsi="仿宋_GB2312" w:eastAsia="仿宋_GB2312" w:cs="仿宋_GB2312"/>
          <w:color w:val="auto"/>
          <w:sz w:val="32"/>
          <w:szCs w:val="32"/>
          <w:highlight w:val="none"/>
          <w:lang w:eastAsia="zh-CN"/>
        </w:rPr>
        <w:t>、直属支部工作经费</w:t>
      </w:r>
      <w:r>
        <w:rPr>
          <w:rFonts w:hint="eastAsia" w:ascii="仿宋_GB2312" w:hAnsi="仿宋_GB2312" w:eastAsia="仿宋_GB2312" w:cs="仿宋_GB2312"/>
          <w:color w:val="auto"/>
          <w:sz w:val="32"/>
          <w:szCs w:val="32"/>
          <w:highlight w:val="none"/>
        </w:rPr>
        <w:t>项目（项目名称）等</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个项目开展绩效监控。</w:t>
      </w:r>
    </w:p>
    <w:p>
      <w:pPr>
        <w:widowControl/>
        <w:ind w:firstLine="640" w:firstLineChars="200"/>
        <w:jc w:val="left"/>
        <w:rPr>
          <w:rFonts w:ascii="仿宋_GB2312" w:eastAsia="仿宋_GB2312"/>
          <w:b/>
          <w:color w:val="auto"/>
          <w:sz w:val="32"/>
          <w:szCs w:val="32"/>
          <w:highlight w:val="yellow"/>
        </w:rPr>
      </w:pPr>
      <w:r>
        <w:rPr>
          <w:rFonts w:hint="eastAsia" w:ascii="仿宋_GB2312" w:hAnsi="仿宋_GB2312" w:eastAsia="仿宋_GB2312" w:cs="仿宋_GB2312"/>
          <w:color w:val="auto"/>
          <w:sz w:val="32"/>
          <w:szCs w:val="32"/>
          <w:highlight w:val="none"/>
        </w:rPr>
        <w:t>组织对2022年度一般公共预算、政府性基金预算、国有资本经营预算、社会保险基金预算以及资本资产、债券资金等全面开展绩效自评，形成部门整体（含部门预算项目）绩效自评报告、等专项预算项目绩效自评报告，绩效自评报告详见附件。</w:t>
      </w:r>
      <w:r>
        <w:rPr>
          <w:rFonts w:ascii="仿宋_GB2312" w:eastAsia="仿宋_GB2312"/>
          <w:b/>
          <w:color w:val="auto"/>
          <w:sz w:val="32"/>
          <w:szCs w:val="32"/>
          <w:highlight w:val="yellow"/>
        </w:rPr>
        <w:br w:type="page"/>
      </w:r>
    </w:p>
    <w:p>
      <w:pPr>
        <w:numPr>
          <w:ilvl w:val="0"/>
          <w:numId w:val="3"/>
        </w:numPr>
        <w:spacing w:line="600" w:lineRule="exact"/>
        <w:ind w:firstLine="660" w:firstLineChars="150"/>
        <w:jc w:val="center"/>
        <w:outlineLvl w:val="0"/>
        <w:rPr>
          <w:rFonts w:ascii="宋体"/>
          <w:b/>
          <w:color w:val="auto"/>
          <w:sz w:val="44"/>
          <w:szCs w:val="44"/>
          <w:highlight w:val="none"/>
        </w:rPr>
      </w:pPr>
      <w:bookmarkStart w:id="51" w:name="_Toc15377225"/>
      <w:bookmarkStart w:id="52" w:name="_Toc15396613"/>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51"/>
      <w:bookmarkEnd w:id="52"/>
    </w:p>
    <w:p>
      <w:pPr>
        <w:pStyle w:val="27"/>
        <w:spacing w:line="560" w:lineRule="exact"/>
        <w:ind w:firstLine="640" w:firstLineChars="200"/>
        <w:rPr>
          <w:rFonts w:hAnsi="仿宋" w:eastAsia="仿宋_GB2312" w:cs="Times New Roman"/>
          <w:sz w:val="32"/>
          <w:szCs w:val="32"/>
        </w:rPr>
      </w:pPr>
      <w:bookmarkStart w:id="53" w:name="_Toc15377226"/>
      <w:r>
        <w:rPr>
          <w:rFonts w:ascii="宋体" w:hAnsi="宋体" w:eastAsia="仿宋_GB2312"/>
          <w:sz w:val="32"/>
          <w:szCs w:val="32"/>
        </w:rPr>
        <w:t>1</w:t>
      </w:r>
      <w:r>
        <w:rPr>
          <w:rFonts w:hAnsi="仿宋" w:eastAsia="仿宋_GB2312"/>
          <w:sz w:val="32"/>
          <w:szCs w:val="32"/>
        </w:rPr>
        <w:t>.</w:t>
      </w:r>
      <w:r>
        <w:rPr>
          <w:rFonts w:hint="eastAsia" w:hAnsi="仿宋" w:eastAsia="仿宋_GB2312"/>
          <w:sz w:val="32"/>
          <w:szCs w:val="32"/>
        </w:rPr>
        <w:t>财政拨款收入：指单位从同级财政部门取得的财政预算资金。</w:t>
      </w:r>
    </w:p>
    <w:p>
      <w:pPr>
        <w:pStyle w:val="27"/>
        <w:spacing w:line="560" w:lineRule="exact"/>
        <w:ind w:firstLine="640" w:firstLineChars="200"/>
        <w:rPr>
          <w:rFonts w:hAnsi="仿宋" w:eastAsia="仿宋_GB2312" w:cs="Times New Roman"/>
          <w:sz w:val="32"/>
          <w:szCs w:val="32"/>
        </w:rPr>
      </w:pPr>
      <w:r>
        <w:rPr>
          <w:rFonts w:hint="eastAsia" w:ascii="宋体" w:hAnsi="宋体" w:eastAsia="仿宋_GB2312"/>
          <w:sz w:val="32"/>
          <w:szCs w:val="32"/>
          <w:lang w:val="en-US" w:eastAsia="zh-CN"/>
        </w:rPr>
        <w:t>2</w:t>
      </w:r>
      <w:r>
        <w:rPr>
          <w:rFonts w:hAnsi="仿宋" w:eastAsia="仿宋_GB2312"/>
          <w:sz w:val="32"/>
          <w:szCs w:val="32"/>
        </w:rPr>
        <w:t>.</w:t>
      </w:r>
      <w:r>
        <w:rPr>
          <w:rFonts w:hint="eastAsia" w:hAnsi="仿宋" w:eastAsia="仿宋_GB2312"/>
          <w:sz w:val="32"/>
          <w:szCs w:val="32"/>
        </w:rPr>
        <w:t>其他收入：指单位取得的除上述收入以外的各项收入。主要是</w:t>
      </w:r>
      <w:r>
        <w:rPr>
          <w:rFonts w:hint="eastAsia" w:hAnsi="仿宋" w:eastAsia="仿宋_GB2312"/>
          <w:sz w:val="32"/>
          <w:szCs w:val="32"/>
          <w:lang w:eastAsia="zh-CN"/>
        </w:rPr>
        <w:t>利息收入</w:t>
      </w:r>
      <w:r>
        <w:rPr>
          <w:rFonts w:hint="eastAsia" w:hAnsi="仿宋" w:eastAsia="仿宋_GB2312"/>
          <w:sz w:val="32"/>
          <w:szCs w:val="32"/>
        </w:rPr>
        <w:t>。</w:t>
      </w:r>
    </w:p>
    <w:p>
      <w:pPr>
        <w:ind w:firstLine="640" w:firstLineChars="200"/>
        <w:rPr>
          <w:rFonts w:hint="eastAsia" w:ascii="仿宋" w:hAnsi="仿宋" w:eastAsia="仿宋_GB2312" w:cs="仿宋"/>
          <w:color w:val="000000"/>
          <w:sz w:val="32"/>
          <w:szCs w:val="32"/>
        </w:rPr>
      </w:pPr>
      <w:r>
        <w:rPr>
          <w:rFonts w:hint="eastAsia" w:ascii="宋体" w:hAnsi="宋体" w:eastAsia="仿宋_GB2312" w:cs="仿宋"/>
          <w:color w:val="000000"/>
          <w:sz w:val="32"/>
          <w:szCs w:val="32"/>
          <w:lang w:val="en-US" w:eastAsia="zh-CN"/>
        </w:rPr>
        <w:t>3</w:t>
      </w:r>
      <w:r>
        <w:rPr>
          <w:rFonts w:ascii="仿宋" w:hAnsi="仿宋" w:eastAsia="仿宋_GB2312" w:cs="仿宋"/>
          <w:color w:val="000000"/>
          <w:sz w:val="32"/>
          <w:szCs w:val="32"/>
        </w:rPr>
        <w:t>.</w:t>
      </w:r>
      <w:r>
        <w:rPr>
          <w:rStyle w:val="18"/>
          <w:rFonts w:hint="eastAsia" w:ascii="仿宋" w:hAnsi="仿宋" w:eastAsia="仿宋_GB2312" w:cs="仿宋"/>
          <w:b w:val="0"/>
          <w:color w:val="000000"/>
          <w:sz w:val="32"/>
          <w:szCs w:val="32"/>
        </w:rPr>
        <w:t>一般公共服务（类）民主党派及工商联事务（款）行政运行（项）：</w:t>
      </w:r>
      <w:r>
        <w:rPr>
          <w:rFonts w:hint="eastAsia" w:ascii="仿宋" w:hAnsi="仿宋" w:eastAsia="仿宋_GB2312" w:cs="仿宋"/>
          <w:color w:val="000000"/>
          <w:sz w:val="32"/>
          <w:szCs w:val="32"/>
        </w:rPr>
        <w:t>指反映行政单位（包括实行公务员管理的事业单位）的基本支出。</w:t>
      </w:r>
    </w:p>
    <w:p>
      <w:pPr>
        <w:pStyle w:val="15"/>
        <w:ind w:left="0" w:leftChars="0"/>
        <w:rPr>
          <w:rFonts w:hint="eastAsia" w:ascii="宋体" w:hAnsi="宋体" w:eastAsia="仿宋_GB2312" w:cs="仿宋"/>
          <w:color w:val="000000"/>
          <w:kern w:val="2"/>
          <w:sz w:val="32"/>
          <w:szCs w:val="32"/>
          <w:lang w:val="en-US" w:eastAsia="zh-CN" w:bidi="ar-SA"/>
        </w:rPr>
      </w:pPr>
      <w:r>
        <w:rPr>
          <w:rFonts w:hint="eastAsia" w:ascii="宋体" w:hAnsi="宋体" w:eastAsia="仿宋_GB2312" w:cs="仿宋"/>
          <w:color w:val="000000"/>
          <w:kern w:val="2"/>
          <w:sz w:val="32"/>
          <w:szCs w:val="32"/>
          <w:lang w:val="en-US" w:eastAsia="zh-CN" w:bidi="ar-SA"/>
        </w:rPr>
        <w:t>4.一般公共服务（类）民主党派及工商联事务（款）  一般行政管理事务（项）：指反映行政单位（包括实行公务员管理的事业单位）未单独设置项级科目的其他项目支出。</w:t>
      </w:r>
    </w:p>
    <w:p>
      <w:pPr>
        <w:ind w:firstLine="640" w:firstLineChars="200"/>
        <w:rPr>
          <w:rStyle w:val="18"/>
          <w:rFonts w:hint="eastAsia" w:ascii="仿宋" w:hAnsi="仿宋" w:eastAsia="仿宋_GB2312" w:cs="仿宋"/>
          <w:b w:val="0"/>
          <w:color w:val="000000"/>
          <w:sz w:val="32"/>
          <w:szCs w:val="32"/>
        </w:rPr>
      </w:pPr>
      <w:r>
        <w:rPr>
          <w:rFonts w:hint="eastAsia" w:ascii="宋体" w:hAnsi="宋体" w:eastAsia="仿宋_GB2312" w:cs="仿宋"/>
          <w:color w:val="000000"/>
          <w:sz w:val="32"/>
          <w:szCs w:val="32"/>
          <w:lang w:val="en-US" w:eastAsia="zh-CN"/>
        </w:rPr>
        <w:t>5</w:t>
      </w:r>
      <w:r>
        <w:rPr>
          <w:rFonts w:ascii="仿宋" w:hAnsi="仿宋" w:eastAsia="仿宋_GB2312" w:cs="仿宋"/>
          <w:color w:val="000000"/>
          <w:sz w:val="32"/>
          <w:szCs w:val="32"/>
        </w:rPr>
        <w:t>.</w:t>
      </w:r>
      <w:r>
        <w:rPr>
          <w:rStyle w:val="18"/>
          <w:rFonts w:hint="eastAsia" w:ascii="仿宋" w:hAnsi="仿宋" w:eastAsia="仿宋_GB2312" w:cs="仿宋"/>
          <w:b w:val="0"/>
          <w:color w:val="000000"/>
          <w:sz w:val="32"/>
          <w:szCs w:val="32"/>
        </w:rPr>
        <w:t>社会保障和就业（类）行政事业单位离退休（款）机关事业单位基本养老保险缴费支出（项）：</w:t>
      </w:r>
      <w:r>
        <w:rPr>
          <w:rFonts w:hint="eastAsia" w:ascii="仿宋" w:hAnsi="仿宋" w:eastAsia="仿宋_GB2312" w:cs="仿宋"/>
          <w:color w:val="000000"/>
          <w:sz w:val="32"/>
          <w:szCs w:val="32"/>
        </w:rPr>
        <w:t>指反映机关事业单位</w:t>
      </w:r>
      <w:r>
        <w:rPr>
          <w:rStyle w:val="18"/>
          <w:rFonts w:hint="eastAsia" w:ascii="仿宋" w:hAnsi="仿宋" w:eastAsia="仿宋_GB2312" w:cs="仿宋"/>
          <w:b w:val="0"/>
          <w:color w:val="000000"/>
          <w:sz w:val="32"/>
          <w:szCs w:val="32"/>
        </w:rPr>
        <w:t>实施养老保险制度由单位缴纳的基本养老保险费支出。</w:t>
      </w:r>
    </w:p>
    <w:p>
      <w:pPr>
        <w:pStyle w:val="15"/>
        <w:ind w:left="0" w:leftChars="0"/>
        <w:rPr>
          <w:rStyle w:val="18"/>
          <w:rFonts w:hint="eastAsia" w:ascii="仿宋" w:hAnsi="仿宋" w:eastAsia="仿宋_GB2312" w:cs="仿宋"/>
          <w:b w:val="0"/>
          <w:color w:val="000000"/>
          <w:kern w:val="2"/>
          <w:sz w:val="32"/>
          <w:szCs w:val="32"/>
          <w:lang w:val="en-US" w:eastAsia="zh-CN" w:bidi="ar-SA"/>
        </w:rPr>
      </w:pPr>
      <w:r>
        <w:rPr>
          <w:rStyle w:val="18"/>
          <w:rFonts w:hint="eastAsia" w:ascii="仿宋" w:hAnsi="仿宋" w:eastAsia="仿宋_GB2312" w:cs="仿宋"/>
          <w:b w:val="0"/>
          <w:color w:val="000000"/>
          <w:kern w:val="2"/>
          <w:sz w:val="32"/>
          <w:szCs w:val="32"/>
          <w:lang w:val="en-US" w:eastAsia="zh-CN" w:bidi="ar-SA"/>
        </w:rPr>
        <w:t>6.社会保障和就业支出（类）行政事业单位离退休（款） 机关事业单位职业年金缴费支出（项）：指反映机关事业单位实施养老保险制度由单位实际缴纳的职业年金支出。</w:t>
      </w:r>
    </w:p>
    <w:p>
      <w:pPr>
        <w:ind w:firstLine="640" w:firstLineChars="200"/>
        <w:rPr>
          <w:rFonts w:ascii="仿宋" w:hAnsi="仿宋" w:eastAsia="仿宋_GB2312"/>
          <w:color w:val="000000"/>
          <w:sz w:val="32"/>
          <w:szCs w:val="32"/>
        </w:rPr>
      </w:pPr>
      <w:r>
        <w:rPr>
          <w:rFonts w:hint="eastAsia" w:ascii="宋体" w:hAnsi="宋体" w:eastAsia="仿宋_GB2312" w:cs="仿宋"/>
          <w:color w:val="000000"/>
          <w:sz w:val="32"/>
          <w:szCs w:val="32"/>
          <w:lang w:val="en-US" w:eastAsia="zh-CN"/>
        </w:rPr>
        <w:t>7</w:t>
      </w:r>
      <w:r>
        <w:rPr>
          <w:rFonts w:ascii="仿宋" w:hAnsi="仿宋" w:eastAsia="仿宋_GB2312" w:cs="仿宋"/>
          <w:color w:val="000000"/>
          <w:sz w:val="32"/>
          <w:szCs w:val="32"/>
        </w:rPr>
        <w:t>.</w:t>
      </w:r>
      <w:r>
        <w:rPr>
          <w:rStyle w:val="18"/>
          <w:rFonts w:hint="eastAsia" w:ascii="仿宋" w:hAnsi="仿宋" w:eastAsia="仿宋_GB2312" w:cs="仿宋"/>
          <w:b w:val="0"/>
          <w:color w:val="000000"/>
          <w:sz w:val="32"/>
          <w:szCs w:val="32"/>
        </w:rPr>
        <w:t>卫生健康支出（类）行政事业单位医疗（款）事业单位医疗（项）：</w:t>
      </w:r>
      <w:r>
        <w:rPr>
          <w:rFonts w:hint="eastAsia" w:ascii="仿宋" w:hAnsi="仿宋" w:eastAsia="仿宋_GB2312" w:cs="仿宋"/>
          <w:color w:val="000000"/>
          <w:sz w:val="32"/>
          <w:szCs w:val="32"/>
        </w:rPr>
        <w:t>指反映财政部门集中安排的事业单位基本医疗保险缴费经费，未参加医疗保险的行政单位的公费医疗经费，按国家规定享受离休人员待遇的医疗经费。</w:t>
      </w:r>
    </w:p>
    <w:p>
      <w:pPr>
        <w:ind w:firstLine="640" w:firstLineChars="200"/>
        <w:rPr>
          <w:rFonts w:hint="eastAsia" w:ascii="仿宋" w:hAnsi="仿宋" w:eastAsia="仿宋_GB2312" w:cs="仿宋"/>
          <w:color w:val="000000"/>
          <w:sz w:val="32"/>
          <w:szCs w:val="32"/>
        </w:rPr>
      </w:pPr>
      <w:r>
        <w:rPr>
          <w:rFonts w:hint="eastAsia" w:ascii="宋体" w:hAnsi="宋体" w:eastAsia="仿宋_GB2312" w:cs="仿宋"/>
          <w:color w:val="000000"/>
          <w:sz w:val="32"/>
          <w:szCs w:val="32"/>
          <w:lang w:val="en-US" w:eastAsia="zh-CN"/>
        </w:rPr>
        <w:t>8</w:t>
      </w:r>
      <w:r>
        <w:rPr>
          <w:rFonts w:ascii="仿宋" w:hAnsi="仿宋" w:eastAsia="仿宋_GB2312" w:cs="仿宋"/>
          <w:color w:val="000000"/>
          <w:sz w:val="32"/>
          <w:szCs w:val="32"/>
        </w:rPr>
        <w:t>.</w:t>
      </w:r>
      <w:r>
        <w:rPr>
          <w:rStyle w:val="18"/>
          <w:rFonts w:hint="eastAsia" w:ascii="仿宋" w:hAnsi="仿宋" w:eastAsia="仿宋_GB2312" w:cs="仿宋"/>
          <w:b w:val="0"/>
          <w:color w:val="000000"/>
          <w:sz w:val="32"/>
          <w:szCs w:val="32"/>
        </w:rPr>
        <w:t>住房保障支出（类）住房改革支出（款）住房公积金（项）：</w:t>
      </w:r>
      <w:r>
        <w:rPr>
          <w:rFonts w:hint="eastAsia" w:ascii="仿宋" w:hAnsi="仿宋" w:eastAsia="仿宋_GB2312" w:cs="仿宋"/>
          <w:color w:val="000000"/>
          <w:sz w:val="32"/>
          <w:szCs w:val="32"/>
        </w:rPr>
        <w:t>指反映行政事业单位按人力资源和社会保障部、财政部规定的基本工资和津贴补贴以及规定比例为职工缴纳的住房公积金。</w:t>
      </w:r>
    </w:p>
    <w:p>
      <w:pPr>
        <w:ind w:firstLine="640" w:firstLineChars="200"/>
        <w:rPr>
          <w:rFonts w:ascii="仿宋" w:hAnsi="仿宋" w:eastAsia="仿宋_GB2312"/>
          <w:color w:val="000000"/>
          <w:sz w:val="32"/>
          <w:szCs w:val="32"/>
        </w:rPr>
      </w:pPr>
      <w:r>
        <w:rPr>
          <w:rFonts w:hint="eastAsia" w:ascii="宋体" w:hAnsi="宋体" w:eastAsia="仿宋_GB2312" w:cs="仿宋"/>
          <w:color w:val="000000"/>
          <w:sz w:val="32"/>
          <w:szCs w:val="32"/>
          <w:lang w:val="en-US" w:eastAsia="zh-CN"/>
        </w:rPr>
        <w:t>9</w:t>
      </w:r>
      <w:r>
        <w:rPr>
          <w:rFonts w:ascii="仿宋" w:hAnsi="仿宋" w:eastAsia="仿宋_GB2312" w:cs="仿宋"/>
          <w:color w:val="000000"/>
          <w:sz w:val="32"/>
          <w:szCs w:val="32"/>
        </w:rPr>
        <w:t>.</w:t>
      </w:r>
      <w:r>
        <w:rPr>
          <w:rFonts w:hint="eastAsia" w:ascii="仿宋" w:hAnsi="仿宋" w:eastAsia="仿宋_GB2312" w:cs="仿宋"/>
          <w:color w:val="000000"/>
          <w:sz w:val="32"/>
          <w:szCs w:val="32"/>
        </w:rPr>
        <w:t>基本支出：指为保障机构正常运转、完成日常工作任务而发生的人员支出和公用支出。</w:t>
      </w:r>
    </w:p>
    <w:p>
      <w:pPr>
        <w:ind w:firstLine="640" w:firstLineChars="200"/>
        <w:rPr>
          <w:rFonts w:ascii="仿宋" w:hAnsi="仿宋" w:eastAsia="仿宋_GB2312"/>
          <w:color w:val="000000"/>
          <w:sz w:val="32"/>
          <w:szCs w:val="32"/>
        </w:rPr>
      </w:pPr>
      <w:r>
        <w:rPr>
          <w:rFonts w:hint="eastAsia" w:ascii="宋体" w:hAnsi="宋体" w:eastAsia="仿宋_GB2312" w:cs="仿宋"/>
          <w:color w:val="000000"/>
          <w:sz w:val="32"/>
          <w:szCs w:val="32"/>
          <w:lang w:val="en-US" w:eastAsia="zh-CN"/>
        </w:rPr>
        <w:t>10</w:t>
      </w:r>
      <w:r>
        <w:rPr>
          <w:rFonts w:ascii="仿宋" w:hAnsi="仿宋" w:eastAsia="仿宋_GB2312" w:cs="仿宋"/>
          <w:color w:val="000000"/>
          <w:sz w:val="32"/>
          <w:szCs w:val="32"/>
        </w:rPr>
        <w:t>.</w:t>
      </w:r>
      <w:r>
        <w:rPr>
          <w:rFonts w:hint="eastAsia" w:ascii="仿宋" w:hAnsi="仿宋" w:eastAsia="仿宋_GB2312" w:cs="仿宋"/>
          <w:color w:val="000000"/>
          <w:sz w:val="32"/>
          <w:szCs w:val="32"/>
        </w:rPr>
        <w:t>项目支出：指在基本支出之外为完成特定行政任务和事业发展目标所发生的支出。</w:t>
      </w:r>
    </w:p>
    <w:p>
      <w:pPr>
        <w:ind w:firstLine="640" w:firstLineChars="200"/>
        <w:rPr>
          <w:rFonts w:ascii="仿宋" w:hAnsi="仿宋" w:eastAsia="仿宋_GB2312"/>
          <w:color w:val="000000"/>
          <w:sz w:val="32"/>
          <w:szCs w:val="32"/>
        </w:rPr>
      </w:pPr>
      <w:r>
        <w:rPr>
          <w:rFonts w:hint="eastAsia" w:ascii="宋体" w:hAnsi="宋体" w:eastAsia="仿宋_GB2312" w:cs="仿宋"/>
          <w:color w:val="000000"/>
          <w:sz w:val="32"/>
          <w:szCs w:val="32"/>
          <w:lang w:val="en-US" w:eastAsia="zh-CN"/>
        </w:rPr>
        <w:t>11</w:t>
      </w:r>
      <w:r>
        <w:rPr>
          <w:rFonts w:ascii="仿宋" w:hAnsi="仿宋" w:eastAsia="仿宋_GB2312" w:cs="仿宋"/>
          <w:color w:val="000000"/>
          <w:sz w:val="32"/>
          <w:szCs w:val="32"/>
        </w:rPr>
        <w:t>.</w:t>
      </w:r>
      <w:r>
        <w:rPr>
          <w:rFonts w:hint="eastAsia" w:ascii="仿宋" w:hAnsi="仿宋" w:eastAsia="仿宋_GB2312" w:cs="仿宋"/>
          <w:color w:val="000000"/>
          <w:sz w:val="32"/>
          <w:szCs w:val="32"/>
        </w:rPr>
        <w:t>经营支出：指事业单位在专业业务活动及其辅助活动之外开展非独立核算经营活动发生的支出。</w:t>
      </w:r>
    </w:p>
    <w:p>
      <w:pPr>
        <w:pStyle w:val="27"/>
        <w:spacing w:line="560" w:lineRule="exact"/>
        <w:ind w:firstLine="640" w:firstLineChars="200"/>
        <w:rPr>
          <w:rFonts w:hAnsi="仿宋" w:eastAsia="仿宋_GB2312" w:cs="Times New Roman"/>
          <w:sz w:val="32"/>
          <w:szCs w:val="32"/>
        </w:rPr>
      </w:pPr>
      <w:r>
        <w:rPr>
          <w:rFonts w:hint="eastAsia" w:ascii="宋体" w:hAnsi="宋体" w:eastAsia="仿宋_GB2312"/>
          <w:sz w:val="32"/>
          <w:szCs w:val="32"/>
          <w:lang w:val="en-US" w:eastAsia="zh-CN"/>
        </w:rPr>
        <w:t>12</w:t>
      </w:r>
      <w:r>
        <w:rPr>
          <w:rFonts w:hAnsi="仿宋" w:eastAsia="仿宋_GB2312"/>
          <w:sz w:val="32"/>
          <w:szCs w:val="32"/>
        </w:rPr>
        <w:t>.</w:t>
      </w:r>
      <w:r>
        <w:rPr>
          <w:rFonts w:hint="eastAsia" w:hAnsi="仿宋" w:eastAsia="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0" w:firstLineChars="200"/>
        <w:rPr>
          <w:rFonts w:hAnsi="仿宋" w:eastAsia="仿宋_GB2312" w:cs="Times New Roman"/>
          <w:sz w:val="32"/>
          <w:szCs w:val="32"/>
        </w:rPr>
      </w:pPr>
      <w:r>
        <w:rPr>
          <w:rFonts w:hint="eastAsia" w:ascii="宋体" w:hAnsi="宋体" w:eastAsia="仿宋_GB2312"/>
          <w:sz w:val="32"/>
          <w:szCs w:val="32"/>
          <w:lang w:val="en-US" w:eastAsia="zh-CN"/>
        </w:rPr>
        <w:t>1</w:t>
      </w:r>
      <w:r>
        <w:rPr>
          <w:rFonts w:hAnsi="仿宋" w:eastAsia="仿宋_GB2312"/>
          <w:sz w:val="32"/>
          <w:szCs w:val="32"/>
        </w:rPr>
        <w:t>.</w:t>
      </w:r>
      <w:r>
        <w:rPr>
          <w:rFonts w:hint="eastAsia" w:hAnsi="仿宋"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9"/>
          <w:rFonts w:hint="eastAsia" w:ascii="黑体" w:hAnsi="黑体" w:eastAsia="黑体"/>
          <w:b w:val="0"/>
          <w:color w:val="000000" w:themeColor="text1"/>
          <w:highlight w:val="none"/>
          <w:lang w:eastAsia="zh-CN"/>
          <w14:textFill>
            <w14:solidFill>
              <w14:schemeClr w14:val="tx1"/>
            </w14:solidFill>
          </w14:textFill>
        </w:rPr>
      </w:pPr>
      <w:r>
        <w:rPr>
          <w:rFonts w:ascii="宋体"/>
          <w:b/>
          <w:color w:val="auto"/>
          <w:sz w:val="44"/>
          <w:szCs w:val="44"/>
          <w:highlight w:val="none"/>
        </w:rPr>
        <w:br w:type="page"/>
      </w:r>
      <w:bookmarkStart w:id="54" w:name="_Toc15396614"/>
      <w:r>
        <w:rPr>
          <w:rFonts w:hint="eastAsia" w:ascii="黑体" w:hAnsi="黑体" w:eastAsia="黑体"/>
          <w:color w:val="000000" w:themeColor="text1"/>
          <w:sz w:val="44"/>
          <w:szCs w:val="44"/>
          <w:highlight w:val="none"/>
          <w14:textFill>
            <w14:solidFill>
              <w14:schemeClr w14:val="tx1"/>
            </w14:solidFill>
          </w14:textFill>
        </w:rPr>
        <w:t>第</w:t>
      </w:r>
      <w:r>
        <w:rPr>
          <w:rStyle w:val="29"/>
          <w:rFonts w:hint="eastAsia" w:ascii="黑体" w:hAnsi="黑体" w:eastAsia="黑体"/>
          <w:b w:val="0"/>
          <w:color w:val="000000" w:themeColor="text1"/>
          <w:highlight w:val="none"/>
          <w14:textFill>
            <w14:solidFill>
              <w14:schemeClr w14:val="tx1"/>
            </w14:solidFill>
          </w14:textFill>
        </w:rPr>
        <w:t>四部分 附件</w:t>
      </w:r>
      <w:bookmarkEnd w:id="54"/>
    </w:p>
    <w:tbl>
      <w:tblPr>
        <w:tblStyle w:val="16"/>
        <w:tblW w:w="96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3"/>
        <w:gridCol w:w="1268"/>
        <w:gridCol w:w="1224"/>
        <w:gridCol w:w="1269"/>
        <w:gridCol w:w="1110"/>
        <w:gridCol w:w="1230"/>
        <w:gridCol w:w="825"/>
        <w:gridCol w:w="690"/>
        <w:gridCol w:w="537"/>
        <w:gridCol w:w="8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967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55"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9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2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51080022T000004936524-民主党派专项工作经费（2022）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9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12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1、参政议政。</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2、民主监督。</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3、社情民意。</w:t>
            </w: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2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专款专用，用于民主党派专项工作的工作经费中共计14.35万元，没有超支。民主党派专项工作经费2022年度预算执行情况较好，相关管理制度得到有效执行。2022年度所有支出符合国家财经法规和财务管理制度规定以及有关专项资金管理办法的规定，资金拨付有完整的审批程序和手续，项目支出按规定经过评估论证，支出符合部门预算批复的用途，资金使用无截留、挤占、挪用、虚列支出等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14.58</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14.58</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98.43%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14.58</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14.58</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98.43%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完成调研报告数量</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项目推介走访企业会员</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媒体报道次数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研究课题按时结课率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参会人数人均费用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提高参政议政影响力</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影响年度</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社会服务对象满意度</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7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9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2022年民进市委在市委、市政府的领导下，顺利完成了各项目标任务，工作中取得以下成绩。1.认真参政履职。2.扎实开展调查研究。牵头组织完成省委会年度立项统战理论和参政议政课题各1篇，并分别获得一等奖和重点课题结题奖。3.积极反映社情民意。全年，向省委会报送社情民意信息19条，向市政协、市委统战部报送社情民意信息32条。4.整合资源优势，不断增强社会服务质效，在巩固脱贫攻坚成果与乡村振兴有效衔接中，发挥了民进能量、彰显了民进担当、展现了民进特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9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1.预算编制工作有待细化。预算编制不够明确和细化，预算编制的合理性需要提高，预算执行力度还要进一步加强。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9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1、合理编制资金预算。按政策规定及新阶科的发展规划，结合上一年度预算执行情况和本年度预算收支变化因素，科学、合理地编制本年预算草案，避免出现预算调整率偏高及漏编项目的情况。</w:t>
            </w:r>
            <w:r>
              <w:rPr>
                <w:rFonts w:hint="eastAsia" w:ascii="微软雅黑" w:hAnsi="微软雅黑" w:eastAsia="微软雅黑" w:cs="微软雅黑"/>
                <w:i/>
                <w:iCs/>
                <w:color w:val="000000"/>
                <w:kern w:val="0"/>
                <w:sz w:val="16"/>
                <w:szCs w:val="16"/>
                <w:u w:val="none"/>
                <w:lang w:val="en-US" w:eastAsia="zh-CN" w:bidi="ar"/>
              </w:rPr>
              <w:br w:type="textWrapping"/>
            </w:r>
            <w:r>
              <w:rPr>
                <w:rFonts w:hint="eastAsia" w:ascii="微软雅黑" w:hAnsi="微软雅黑" w:eastAsia="微软雅黑" w:cs="微软雅黑"/>
                <w:i/>
                <w:iCs/>
                <w:color w:val="000000"/>
                <w:kern w:val="0"/>
                <w:sz w:val="16"/>
                <w:szCs w:val="16"/>
                <w:u w:val="none"/>
                <w:lang w:val="en-US" w:eastAsia="zh-CN" w:bidi="ar"/>
              </w:rPr>
              <w:t>2、加强财务管理工作。健全财务管理制度体系，规范财务行为。在费用报账支付时，按照预算规定的费用项目和用途进行资金使用审核、列报支付、财务核算，杜绝超支现象的发生。</w:t>
            </w:r>
            <w:r>
              <w:rPr>
                <w:rFonts w:hint="eastAsia" w:ascii="微软雅黑" w:hAnsi="微软雅黑" w:eastAsia="微软雅黑" w:cs="微软雅黑"/>
                <w:i/>
                <w:iCs/>
                <w:color w:val="000000"/>
                <w:kern w:val="0"/>
                <w:sz w:val="16"/>
                <w:szCs w:val="16"/>
                <w:u w:val="none"/>
                <w:lang w:val="en-US" w:eastAsia="zh-CN" w:bidi="ar"/>
              </w:rPr>
              <w:br w:type="textWrapping"/>
            </w:r>
            <w:r>
              <w:rPr>
                <w:rFonts w:hint="eastAsia" w:ascii="微软雅黑" w:hAnsi="微软雅黑" w:eastAsia="微软雅黑" w:cs="微软雅黑"/>
                <w:i/>
                <w:iCs/>
                <w:color w:val="000000"/>
                <w:kern w:val="0"/>
                <w:sz w:val="16"/>
                <w:szCs w:val="16"/>
                <w:u w:val="none"/>
                <w:lang w:val="en-US" w:eastAsia="zh-CN" w:bidi="ar"/>
              </w:rPr>
              <w:t>3、执行专款专用制度。针对项目支出，要有效发挥财政专项资金的导向和激励作用，避免出现专项支出与基本支出混淆、专项资金调剂使用的现象。</w:t>
            </w:r>
            <w:r>
              <w:rPr>
                <w:rFonts w:hint="eastAsia" w:ascii="微软雅黑" w:hAnsi="微软雅黑" w:eastAsia="微软雅黑" w:cs="微软雅黑"/>
                <w:i/>
                <w:iCs/>
                <w:color w:val="000000"/>
                <w:kern w:val="0"/>
                <w:sz w:val="16"/>
                <w:szCs w:val="16"/>
                <w:u w:val="none"/>
                <w:lang w:val="en-US" w:eastAsia="zh-CN" w:bidi="ar"/>
              </w:rPr>
              <w:br w:type="textWrapping"/>
            </w:r>
            <w:r>
              <w:rPr>
                <w:rFonts w:hint="eastAsia" w:ascii="微软雅黑" w:hAnsi="微软雅黑" w:eastAsia="微软雅黑" w:cs="微软雅黑"/>
                <w:i/>
                <w:iCs/>
                <w:color w:val="000000"/>
                <w:kern w:val="0"/>
                <w:sz w:val="16"/>
                <w:szCs w:val="16"/>
                <w:u w:val="none"/>
                <w:lang w:val="en-US" w:eastAsia="zh-CN" w:bidi="ar"/>
              </w:rPr>
              <w:t>4、督促推进项目进度。根据年初制定的项目计划，在项目推进过程中监控项目进度，确保各项目按计划如期完成。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项目负责人：杨伦</w:t>
            </w: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财务负责人：庄媛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2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967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9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72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51080022T000004948362-民进直属支部工作经费（2022年）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9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中国共产党广元市委员会统一战线工作部部门</w:t>
            </w:r>
          </w:p>
        </w:tc>
        <w:tc>
          <w:tcPr>
            <w:tcW w:w="12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中国民主促进会广元市委员会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1、参政议政。</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2、民主监督。</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3、社情民意。</w:t>
            </w: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72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专款专用，用于民主党派直属支部工作经费中共计5万元，没有超支。民主党派专项工作经费2022年度预算执行情况较好，相关管理制度得到有效执行。2022年度所有支出符合国家财经法规和财务管理制度规定以及有关专项资金管理办法的规定，资金拨付有完整的审批程序和手续，项目支出按规定经过评估论证，支出符合部门预算批复的用途，资金使用无截留、挤占、挪用、虚列支出等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项目推介走访企业会员</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媒体报道次数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研究课题按时结课率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人员费用数量</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提高参政议政影响力</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对社会影响时间</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参会人员满意度</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7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9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2022年民进市委在市委、市政府的领导下，顺利完成了各项目标任务，工作中取得以下成绩。1.认真参政履职。2.扎实开展调查研究。牵头组织完成省委会年度立项统战理论和参政议政课题各1篇，并分别获得一等奖和重点课题结题奖。3.积极反映社情民意。全年，向省委会报送社情民意信息19条，向市政协、市委统战部报送社情民意信息32条。4.整合资源优势，不断增强社会服务质效，在巩固脱贫攻坚成果与乡村振兴有效衔接中，发挥了民进能量、彰显了民进担当、展现了民进特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9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1.预算编制工作有待细化。预算编制不够明确和细化，预算编制的合理性需要提高，预算执行力度还要进一步加强。</w:t>
            </w:r>
            <w:r>
              <w:rPr>
                <w:rFonts w:hint="eastAsia" w:ascii="微软雅黑" w:hAnsi="微软雅黑" w:eastAsia="微软雅黑" w:cs="微软雅黑"/>
                <w:i/>
                <w:iCs/>
                <w:color w:val="000000"/>
                <w:kern w:val="0"/>
                <w:sz w:val="16"/>
                <w:szCs w:val="16"/>
                <w:u w:val="none"/>
                <w:lang w:val="en-US" w:eastAsia="zh-CN" w:bidi="ar"/>
              </w:rPr>
              <w:br w:type="textWrapping"/>
            </w:r>
            <w:r>
              <w:rPr>
                <w:rFonts w:hint="eastAsia" w:ascii="微软雅黑" w:hAnsi="微软雅黑" w:eastAsia="微软雅黑" w:cs="微软雅黑"/>
                <w:i/>
                <w:iCs/>
                <w:color w:val="000000"/>
                <w:kern w:val="0"/>
                <w:sz w:val="16"/>
                <w:szCs w:val="16"/>
                <w:u w:val="none"/>
                <w:lang w:val="en-US" w:eastAsia="zh-CN" w:bidi="ar"/>
              </w:rPr>
              <w:t>2.公用经费控制有一定难度，多为刚性支出。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9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一是进一步加强财务人员业务水平的培训和提高；二是进一步完善财务管理制度，严格资金审批程序，加大资金监管力，确保各项资金正确使用，遵守资金使用制度，杜绝违规违纪现象。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5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项目负责人：杨伦</w:t>
            </w: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财务负责人：庄媛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2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2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9" w:type="dxa"/>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9" w:type="dxa"/>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9" w:type="dxa"/>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9" w:type="dxa"/>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pPr>
        <w:spacing w:line="600" w:lineRule="exact"/>
        <w:jc w:val="both"/>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3"/>
      <w:bookmarkEnd w:id="55"/>
      <w:bookmarkStart w:id="56" w:name="_Toc15396619"/>
    </w:p>
    <w:p>
      <w:pPr>
        <w:pStyle w:val="3"/>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6"/>
    </w:p>
    <w:p>
      <w:pPr>
        <w:pStyle w:val="3"/>
        <w:rPr>
          <w:rFonts w:ascii="仿宋" w:hAnsi="仿宋" w:eastAsia="仿宋"/>
          <w:color w:val="auto"/>
          <w:highlight w:val="none"/>
        </w:rPr>
      </w:pPr>
      <w:bookmarkStart w:id="57"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7"/>
    </w:p>
    <w:p>
      <w:pPr>
        <w:pStyle w:val="3"/>
        <w:rPr>
          <w:rFonts w:ascii="仿宋" w:hAnsi="仿宋" w:eastAsia="仿宋"/>
          <w:color w:val="auto"/>
          <w:highlight w:val="none"/>
        </w:rPr>
      </w:pPr>
      <w:bookmarkStart w:id="58"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8"/>
    </w:p>
    <w:p>
      <w:pPr>
        <w:pStyle w:val="3"/>
        <w:rPr>
          <w:rFonts w:ascii="仿宋" w:hAnsi="仿宋" w:eastAsia="仿宋"/>
          <w:b w:val="0"/>
          <w:color w:val="auto"/>
          <w:highlight w:val="none"/>
        </w:rPr>
      </w:pPr>
      <w:bookmarkStart w:id="59"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9"/>
    </w:p>
    <w:p>
      <w:pPr>
        <w:pStyle w:val="3"/>
        <w:rPr>
          <w:rStyle w:val="30"/>
          <w:rFonts w:ascii="仿宋" w:hAnsi="仿宋" w:eastAsia="仿宋"/>
          <w:b w:val="0"/>
          <w:bCs w:val="0"/>
          <w:color w:val="auto"/>
          <w:highlight w:val="none"/>
        </w:rPr>
      </w:pPr>
      <w:bookmarkStart w:id="60"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60"/>
      <w:bookmarkStart w:id="61" w:name="_Toc15396624"/>
    </w:p>
    <w:p>
      <w:pPr>
        <w:pStyle w:val="3"/>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61"/>
    </w:p>
    <w:p>
      <w:pPr>
        <w:pStyle w:val="3"/>
        <w:rPr>
          <w:rFonts w:ascii="仿宋" w:hAnsi="仿宋" w:eastAsia="仿宋"/>
          <w:color w:val="auto"/>
          <w:highlight w:val="none"/>
        </w:rPr>
      </w:pPr>
      <w:bookmarkStart w:id="62"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2"/>
    </w:p>
    <w:p>
      <w:pPr>
        <w:pStyle w:val="3"/>
        <w:rPr>
          <w:rFonts w:ascii="仿宋" w:hAnsi="仿宋" w:eastAsia="仿宋"/>
          <w:color w:val="auto"/>
          <w:highlight w:val="none"/>
        </w:rPr>
      </w:pPr>
      <w:bookmarkStart w:id="63"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3"/>
    </w:p>
    <w:p>
      <w:pPr>
        <w:pStyle w:val="3"/>
        <w:rPr>
          <w:rFonts w:ascii="仿宋" w:hAnsi="仿宋" w:eastAsia="仿宋"/>
          <w:color w:val="auto"/>
          <w:highlight w:val="none"/>
        </w:rPr>
      </w:pPr>
      <w:bookmarkStart w:id="64"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4"/>
    </w:p>
    <w:p>
      <w:pPr>
        <w:pStyle w:val="3"/>
        <w:rPr>
          <w:rFonts w:ascii="仿宋" w:hAnsi="仿宋" w:eastAsia="仿宋"/>
          <w:color w:val="auto"/>
          <w:highlight w:val="none"/>
        </w:rPr>
      </w:pPr>
      <w:bookmarkStart w:id="65" w:name="_Toc15396628"/>
      <w:r>
        <w:rPr>
          <w:rStyle w:val="30"/>
          <w:rFonts w:hint="eastAsia" w:ascii="仿宋" w:hAnsi="仿宋" w:eastAsia="仿宋"/>
          <w:b w:val="0"/>
          <w:bCs w:val="0"/>
          <w:color w:val="auto"/>
          <w:highlight w:val="none"/>
        </w:rPr>
        <w:t>十、</w:t>
      </w:r>
      <w:bookmarkEnd w:id="65"/>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p>
    <w:p>
      <w:pPr>
        <w:pStyle w:val="3"/>
        <w:rPr>
          <w:rFonts w:ascii="仿宋" w:hAnsi="仿宋" w:eastAsia="仿宋"/>
          <w:color w:val="auto"/>
          <w:highlight w:val="none"/>
        </w:rPr>
      </w:pPr>
      <w:bookmarkStart w:id="66" w:name="_Toc15396629"/>
      <w:r>
        <w:rPr>
          <w:rStyle w:val="30"/>
          <w:rFonts w:hint="eastAsia" w:ascii="仿宋" w:hAnsi="仿宋" w:eastAsia="仿宋"/>
          <w:b w:val="0"/>
          <w:bCs w:val="0"/>
          <w:color w:val="auto"/>
          <w:highlight w:val="none"/>
        </w:rPr>
        <w:t>十一、</w:t>
      </w:r>
      <w:bookmarkEnd w:id="66"/>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w:t>
      </w:r>
      <w:r>
        <w:rPr>
          <w:rStyle w:val="30"/>
          <w:rFonts w:hint="eastAsia" w:ascii="仿宋" w:hAnsi="仿宋" w:eastAsia="仿宋"/>
          <w:b w:val="0"/>
          <w:bCs w:val="0"/>
          <w:color w:val="auto"/>
          <w:highlight w:val="none"/>
          <w:lang w:eastAsia="zh-CN"/>
        </w:rPr>
        <w:t>财政拨款收入</w:t>
      </w:r>
      <w:r>
        <w:rPr>
          <w:rStyle w:val="30"/>
          <w:rFonts w:hint="eastAsia" w:ascii="仿宋" w:hAnsi="仿宋" w:eastAsia="仿宋"/>
          <w:b w:val="0"/>
          <w:bCs w:val="0"/>
          <w:color w:val="auto"/>
          <w:highlight w:val="none"/>
        </w:rPr>
        <w:t>支出决算表</w:t>
      </w:r>
    </w:p>
    <w:p>
      <w:pPr>
        <w:pStyle w:val="3"/>
        <w:rPr>
          <w:rFonts w:ascii="仿宋" w:hAnsi="仿宋" w:eastAsia="仿宋"/>
          <w:color w:val="auto"/>
          <w:highlight w:val="none"/>
        </w:rPr>
      </w:pPr>
      <w:bookmarkStart w:id="67" w:name="_Toc15396630"/>
      <w:r>
        <w:rPr>
          <w:rStyle w:val="30"/>
          <w:rFonts w:hint="eastAsia" w:ascii="仿宋" w:hAnsi="仿宋" w:eastAsia="仿宋"/>
          <w:b w:val="0"/>
          <w:bCs w:val="0"/>
          <w:color w:val="auto"/>
          <w:highlight w:val="none"/>
        </w:rPr>
        <w:t>十二、</w:t>
      </w:r>
      <w:bookmarkEnd w:id="67"/>
      <w:r>
        <w:rPr>
          <w:rStyle w:val="30"/>
          <w:rFonts w:hint="eastAsia" w:ascii="仿宋" w:hAnsi="仿宋" w:eastAsia="仿宋"/>
          <w:b w:val="0"/>
          <w:bCs w:val="0"/>
          <w:color w:val="auto"/>
          <w:highlight w:val="none"/>
          <w:lang w:eastAsia="zh-CN"/>
        </w:rPr>
        <w:t>国有资本经营预算财政拨款支出决算表</w:t>
      </w:r>
    </w:p>
    <w:p>
      <w:pPr>
        <w:pStyle w:val="3"/>
        <w:rPr>
          <w:rFonts w:hint="eastAsia" w:eastAsia="仿宋"/>
          <w:color w:val="auto"/>
          <w:highlight w:val="none"/>
          <w:lang w:eastAsia="zh-CN"/>
        </w:rPr>
      </w:pPr>
      <w:bookmarkStart w:id="68" w:name="_Toc15396631"/>
      <w:r>
        <w:rPr>
          <w:rStyle w:val="30"/>
          <w:rFonts w:hint="eastAsia" w:ascii="仿宋" w:hAnsi="仿宋" w:eastAsia="仿宋"/>
          <w:b w:val="0"/>
          <w:bCs w:val="0"/>
          <w:color w:val="auto"/>
          <w:highlight w:val="none"/>
        </w:rPr>
        <w:t>十三、</w:t>
      </w:r>
      <w:bookmarkEnd w:id="68"/>
      <w:r>
        <w:rPr>
          <w:rStyle w:val="30"/>
          <w:rFonts w:hint="eastAsia" w:ascii="仿宋" w:hAnsi="仿宋" w:eastAsia="仿宋"/>
          <w:b w:val="0"/>
          <w:bCs w:val="0"/>
          <w:color w:val="auto"/>
          <w:highlight w:val="none"/>
          <w:lang w:eastAsia="zh-CN"/>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微软雅黑">
    <w:altName w:val="黑体"/>
    <w:panose1 w:val="020B0503020204020204"/>
    <w:charset w:val="86"/>
    <w:family w:val="auto"/>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hYjRhOTI3ZDgzYWNiYzA2OWE5OTZlNWNlZDQ0ZT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143E91"/>
    <w:rsid w:val="066E0107"/>
    <w:rsid w:val="07996F6E"/>
    <w:rsid w:val="0A2032A3"/>
    <w:rsid w:val="0F98263C"/>
    <w:rsid w:val="101860EC"/>
    <w:rsid w:val="108F5D13"/>
    <w:rsid w:val="10C055FF"/>
    <w:rsid w:val="11092D98"/>
    <w:rsid w:val="118107EC"/>
    <w:rsid w:val="13D50BC4"/>
    <w:rsid w:val="16BB723D"/>
    <w:rsid w:val="1BE8440E"/>
    <w:rsid w:val="1D155CEE"/>
    <w:rsid w:val="1FF35744"/>
    <w:rsid w:val="23860B96"/>
    <w:rsid w:val="240371BF"/>
    <w:rsid w:val="26C26CF7"/>
    <w:rsid w:val="29FD04D3"/>
    <w:rsid w:val="2C8A61B5"/>
    <w:rsid w:val="2DF04E50"/>
    <w:rsid w:val="2F040D46"/>
    <w:rsid w:val="306D4B10"/>
    <w:rsid w:val="314740CF"/>
    <w:rsid w:val="319F7F4E"/>
    <w:rsid w:val="32A9493D"/>
    <w:rsid w:val="3304709D"/>
    <w:rsid w:val="33230B20"/>
    <w:rsid w:val="36026245"/>
    <w:rsid w:val="36AA5135"/>
    <w:rsid w:val="376D39B2"/>
    <w:rsid w:val="37E16F03"/>
    <w:rsid w:val="38D469F0"/>
    <w:rsid w:val="3D98207C"/>
    <w:rsid w:val="3E78745D"/>
    <w:rsid w:val="44E268DA"/>
    <w:rsid w:val="4A627F82"/>
    <w:rsid w:val="4B0E749A"/>
    <w:rsid w:val="4B4F25DA"/>
    <w:rsid w:val="4BE068DB"/>
    <w:rsid w:val="4D577224"/>
    <w:rsid w:val="4EAB630A"/>
    <w:rsid w:val="4ECE2238"/>
    <w:rsid w:val="527C260C"/>
    <w:rsid w:val="537E6D0A"/>
    <w:rsid w:val="5AF92295"/>
    <w:rsid w:val="5CD71FC4"/>
    <w:rsid w:val="60AD649F"/>
    <w:rsid w:val="6C4A05C8"/>
    <w:rsid w:val="6E7E3605"/>
    <w:rsid w:val="6F9319A0"/>
    <w:rsid w:val="6FF5CC65"/>
    <w:rsid w:val="715C0E4B"/>
    <w:rsid w:val="72734D90"/>
    <w:rsid w:val="72C232B3"/>
    <w:rsid w:val="738E673D"/>
    <w:rsid w:val="73AD73D5"/>
    <w:rsid w:val="73B6EB34"/>
    <w:rsid w:val="744731E5"/>
    <w:rsid w:val="76E3355F"/>
    <w:rsid w:val="778769C8"/>
    <w:rsid w:val="79EE5BA4"/>
    <w:rsid w:val="7A894339"/>
    <w:rsid w:val="7CFC7E02"/>
    <w:rsid w:val="7EEF11D3"/>
    <w:rsid w:val="7FA30C79"/>
    <w:rsid w:val="7FB7269E"/>
    <w:rsid w:val="7FC96657"/>
    <w:rsid w:val="D8D6DB89"/>
    <w:rsid w:val="DB6F4CAB"/>
    <w:rsid w:val="DF6F9789"/>
    <w:rsid w:val="E7C941F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qFormat/>
    <w:uiPriority w:val="99"/>
    <w:pPr>
      <w:ind w:left="420" w:leftChars="200"/>
    </w:pPr>
    <w:rPr>
      <w:rFonts w:ascii="Times New Roman" w:hAnsi="Times New Roman"/>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2"/>
    <w:qFormat/>
    <w:uiPriority w:val="9"/>
    <w:rPr>
      <w:rFonts w:ascii="Times New Roman" w:hAnsi="Times New Roman"/>
      <w:b/>
      <w:bCs/>
      <w:kern w:val="44"/>
      <w:sz w:val="44"/>
      <w:szCs w:val="44"/>
    </w:rPr>
  </w:style>
  <w:style w:type="character" w:customStyle="1" w:styleId="30">
    <w:name w:val="标题 2 Char"/>
    <w:basedOn w:val="17"/>
    <w:link w:val="3"/>
    <w:qFormat/>
    <w:uiPriority w:val="9"/>
    <w:rPr>
      <w:rFonts w:asciiTheme="majorHAnsi" w:hAnsiTheme="majorHAnsi" w:eastAsiaTheme="majorEastAsia" w:cstheme="majorBidi"/>
      <w:b/>
      <w:bCs/>
      <w:kern w:val="2"/>
      <w:sz w:val="32"/>
      <w:szCs w:val="32"/>
    </w:rPr>
  </w:style>
  <w:style w:type="paragraph" w:customStyle="1" w:styleId="3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character" w:customStyle="1" w:styleId="33">
    <w:name w:val="标题 3 Char"/>
    <w:basedOn w:val="17"/>
    <w:link w:val="4"/>
    <w:qFormat/>
    <w:uiPriority w:val="9"/>
    <w:rPr>
      <w:rFonts w:ascii="Times New Roman" w:hAnsi="Times New Roman"/>
      <w:b/>
      <w:bCs/>
      <w:kern w:val="2"/>
      <w:sz w:val="32"/>
      <w:szCs w:val="32"/>
    </w:rPr>
  </w:style>
  <w:style w:type="paragraph" w:customStyle="1" w:styleId="34">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6">
    <w:name w:val="正文-啊"/>
    <w:basedOn w:val="1"/>
    <w:qFormat/>
    <w:uiPriority w:val="0"/>
    <w:pPr>
      <w:spacing w:beforeLines="100" w:line="276" w:lineRule="auto"/>
      <w:ind w:left="210" w:right="210" w:firstLine="600"/>
      <w:contextualSpacing/>
    </w:pPr>
    <w:rPr>
      <w:rFonts w:ascii="微软雅黑" w:hAnsi="微软雅黑"/>
      <w:color w:val="000000"/>
      <w:sz w:val="24"/>
      <w:szCs w:val="21"/>
    </w:rPr>
  </w:style>
  <w:style w:type="paragraph" w:customStyle="1" w:styleId="37">
    <w:name w:val="BodyText1I2"/>
    <w:basedOn w:val="38"/>
    <w:qFormat/>
    <w:uiPriority w:val="0"/>
    <w:pPr>
      <w:spacing w:before="100" w:beforeAutospacing="1" w:after="100" w:afterAutospacing="1"/>
      <w:ind w:firstLine="420" w:firstLineChars="200"/>
      <w:jc w:val="both"/>
      <w:textAlignment w:val="baseline"/>
    </w:pPr>
  </w:style>
  <w:style w:type="paragraph" w:customStyle="1" w:styleId="38">
    <w:name w:val="BodyTextIndent"/>
    <w:basedOn w:val="1"/>
    <w:qFormat/>
    <w:uiPriority w:val="0"/>
    <w:pPr>
      <w:ind w:firstLine="640" w:firstLineChars="200"/>
      <w:jc w:val="both"/>
      <w:textAlignment w:val="baseline"/>
    </w:pPr>
    <w:rPr>
      <w:rFonts w:ascii="Times New Roman" w:hAnsi="Times New Roman" w:eastAsia="仿宋_GB2312"/>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delete val="true"/>
          </c:dLbls>
          <c:cat>
            <c:strRef>
              <c:f>Sheet1!$A$2</c:f>
              <c:strCache>
                <c:ptCount val="1"/>
                <c:pt idx="0">
                  <c:v>收支总计</c:v>
                </c:pt>
              </c:strCache>
            </c:strRef>
          </c:cat>
          <c:val>
            <c:numRef>
              <c:f>Sheet1!$B$2</c:f>
              <c:numCache>
                <c:formatCode>General</c:formatCode>
                <c:ptCount val="1"/>
                <c:pt idx="0">
                  <c:v>63.76</c:v>
                </c:pt>
              </c:numCache>
            </c:numRef>
          </c:val>
        </c:ser>
        <c:ser>
          <c:idx val="1"/>
          <c:order val="1"/>
          <c:tx>
            <c:strRef>
              <c:f>Sheet1!$C$1</c:f>
              <c:strCache>
                <c:ptCount val="1"/>
                <c:pt idx="0">
                  <c:v>2022年</c:v>
                </c:pt>
              </c:strCache>
            </c:strRef>
          </c:tx>
          <c:spPr>
            <a:solidFill>
              <a:schemeClr val="accent2"/>
            </a:solidFill>
            <a:ln>
              <a:noFill/>
            </a:ln>
            <a:effectLst/>
          </c:spPr>
          <c:invertIfNegative val="false"/>
          <c:dLbls>
            <c:delete val="true"/>
          </c:dLbls>
          <c:cat>
            <c:strRef>
              <c:f>Sheet1!$A$2</c:f>
              <c:strCache>
                <c:ptCount val="1"/>
                <c:pt idx="0">
                  <c:v>收支总计</c:v>
                </c:pt>
              </c:strCache>
            </c:strRef>
          </c:cat>
          <c:val>
            <c:numRef>
              <c:f>Sheet1!$C$2</c:f>
              <c:numCache>
                <c:formatCode>General</c:formatCode>
                <c:ptCount val="1"/>
                <c:pt idx="0">
                  <c:v>81.76</c:v>
                </c:pt>
              </c:numCache>
            </c:numRef>
          </c:val>
        </c:ser>
        <c:dLbls>
          <c:showLegendKey val="false"/>
          <c:showVal val="false"/>
          <c:showCatName val="false"/>
          <c:showSerName val="false"/>
          <c:showPercent val="false"/>
          <c:showBubbleSize val="false"/>
        </c:dLbls>
        <c:gapWidth val="246"/>
        <c:overlap val="-28"/>
        <c:axId val="10067534"/>
        <c:axId val="955218704"/>
      </c:barChart>
      <c:catAx>
        <c:axId val="1006753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55218704"/>
        <c:crosses val="autoZero"/>
        <c:auto val="true"/>
        <c:lblAlgn val="ctr"/>
        <c:lblOffset val="100"/>
        <c:noMultiLvlLbl val="false"/>
      </c:catAx>
      <c:valAx>
        <c:axId val="955218704"/>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06753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一般公共预算财政拨款收入</a:t>
                    </a:r>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a:t>
                    </a:r>
                    <a:r>
                      <a:t>%</a:t>
                    </a:r>
                  </a:p>
                </c:rich>
              </c:tx>
              <c:dLblPos val="inEnd"/>
              <c:showLegendKey val="false"/>
              <c:showVal val="false"/>
              <c:showCatName val="true"/>
              <c:showSerName val="false"/>
              <c:showPercent val="true"/>
              <c:showBubbleSize val="false"/>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100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列2</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16477478221134"/>
                  <c:y val="-0.06876814314058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216912816516522"/>
                  <c:y val="0.10575495305306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0.7633</c:v>
                </c:pt>
                <c:pt idx="1">
                  <c:v>0.2367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delete val="true"/>
          </c:dLbls>
          <c:cat>
            <c:strRef>
              <c:f>Sheet1!$A$2</c:f>
              <c:strCache>
                <c:ptCount val="1"/>
                <c:pt idx="0">
                  <c:v>财政拨款收、支总计</c:v>
                </c:pt>
              </c:strCache>
            </c:strRef>
          </c:cat>
          <c:val>
            <c:numRef>
              <c:f>Sheet1!$B$2</c:f>
              <c:numCache>
                <c:formatCode>General</c:formatCode>
                <c:ptCount val="1"/>
                <c:pt idx="0">
                  <c:v>63.76</c:v>
                </c:pt>
              </c:numCache>
            </c:numRef>
          </c:val>
        </c:ser>
        <c:ser>
          <c:idx val="1"/>
          <c:order val="1"/>
          <c:tx>
            <c:strRef>
              <c:f>Sheet1!$C$1</c:f>
              <c:strCache>
                <c:ptCount val="1"/>
                <c:pt idx="0">
                  <c:v>2022年</c:v>
                </c:pt>
              </c:strCache>
            </c:strRef>
          </c:tx>
          <c:spPr>
            <a:solidFill>
              <a:schemeClr val="accent2"/>
            </a:solidFill>
            <a:ln>
              <a:noFill/>
            </a:ln>
            <a:effectLst/>
          </c:spPr>
          <c:invertIfNegative val="false"/>
          <c:dLbls>
            <c:delete val="true"/>
          </c:dLbls>
          <c:cat>
            <c:strRef>
              <c:f>Sheet1!$A$2</c:f>
              <c:strCache>
                <c:ptCount val="1"/>
                <c:pt idx="0">
                  <c:v>财政拨款收、支总计</c:v>
                </c:pt>
              </c:strCache>
            </c:strRef>
          </c:cat>
          <c:val>
            <c:numRef>
              <c:f>Sheet1!$C$2</c:f>
              <c:numCache>
                <c:formatCode>General</c:formatCode>
                <c:ptCount val="1"/>
                <c:pt idx="0">
                  <c:v>81.76</c:v>
                </c:pt>
              </c:numCache>
            </c:numRef>
          </c:val>
        </c:ser>
        <c:dLbls>
          <c:showLegendKey val="false"/>
          <c:showVal val="false"/>
          <c:showCatName val="false"/>
          <c:showSerName val="false"/>
          <c:showPercent val="false"/>
          <c:showBubbleSize val="false"/>
        </c:dLbls>
        <c:gapWidth val="246"/>
        <c:overlap val="-28"/>
        <c:axId val="10067534"/>
        <c:axId val="955218704"/>
      </c:barChart>
      <c:catAx>
        <c:axId val="1006753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55218704"/>
        <c:crosses val="autoZero"/>
        <c:auto val="true"/>
        <c:lblAlgn val="ctr"/>
        <c:lblOffset val="100"/>
        <c:noMultiLvlLbl val="false"/>
      </c:catAx>
      <c:valAx>
        <c:axId val="955218704"/>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06753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delete val="true"/>
          </c:dLbls>
          <c:cat>
            <c:strRef>
              <c:f>Sheet1!$A$2</c:f>
              <c:strCache>
                <c:ptCount val="1"/>
                <c:pt idx="0">
                  <c:v>一般公共预算财政拨款支出</c:v>
                </c:pt>
              </c:strCache>
            </c:strRef>
          </c:cat>
          <c:val>
            <c:numRef>
              <c:f>Sheet1!$B$2</c:f>
              <c:numCache>
                <c:formatCode>General</c:formatCode>
                <c:ptCount val="1"/>
                <c:pt idx="0">
                  <c:v>62.98</c:v>
                </c:pt>
              </c:numCache>
            </c:numRef>
          </c:val>
        </c:ser>
        <c:ser>
          <c:idx val="1"/>
          <c:order val="1"/>
          <c:tx>
            <c:strRef>
              <c:f>Sheet1!$C$1</c:f>
              <c:strCache>
                <c:ptCount val="1"/>
                <c:pt idx="0">
                  <c:v>2022年</c:v>
                </c:pt>
              </c:strCache>
            </c:strRef>
          </c:tx>
          <c:spPr>
            <a:solidFill>
              <a:schemeClr val="accent2"/>
            </a:solidFill>
            <a:ln>
              <a:noFill/>
            </a:ln>
            <a:effectLst/>
          </c:spPr>
          <c:invertIfNegative val="false"/>
          <c:dLbls>
            <c:delete val="true"/>
          </c:dLbls>
          <c:cat>
            <c:strRef>
              <c:f>Sheet1!$A$2</c:f>
              <c:strCache>
                <c:ptCount val="1"/>
                <c:pt idx="0">
                  <c:v>一般公共预算财政拨款支出</c:v>
                </c:pt>
              </c:strCache>
            </c:strRef>
          </c:cat>
          <c:val>
            <c:numRef>
              <c:f>Sheet1!$C$2</c:f>
              <c:numCache>
                <c:formatCode>General</c:formatCode>
                <c:ptCount val="1"/>
                <c:pt idx="0">
                  <c:v>81.76</c:v>
                </c:pt>
              </c:numCache>
            </c:numRef>
          </c:val>
        </c:ser>
        <c:dLbls>
          <c:showLegendKey val="false"/>
          <c:showVal val="false"/>
          <c:showCatName val="false"/>
          <c:showSerName val="false"/>
          <c:showPercent val="false"/>
          <c:showBubbleSize val="false"/>
        </c:dLbls>
        <c:gapWidth val="219"/>
        <c:overlap val="-27"/>
        <c:axId val="534086918"/>
        <c:axId val="39077879"/>
      </c:barChart>
      <c:catAx>
        <c:axId val="53408691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9077879"/>
        <c:crosses val="autoZero"/>
        <c:auto val="true"/>
        <c:lblAlgn val="ctr"/>
        <c:lblOffset val="100"/>
        <c:noMultiLvlLbl val="false"/>
      </c:catAx>
      <c:valAx>
        <c:axId val="3907787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34086918"/>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Sheet1!$A$2:$A$6</c:f>
              <c:strCache>
                <c:ptCount val="5"/>
                <c:pt idx="0">
                  <c:v>一般公共服务支出</c:v>
                </c:pt>
                <c:pt idx="1">
                  <c:v>社会保障和就业支出</c:v>
                </c:pt>
                <c:pt idx="2">
                  <c:v>卫生健康支出</c:v>
                </c:pt>
                <c:pt idx="3">
                  <c:v>住房保障支出</c:v>
                </c:pt>
              </c:strCache>
            </c:strRef>
          </c:cat>
          <c:val>
            <c:numRef>
              <c:f>Sheet1!$B$2:$B$6</c:f>
              <c:numCache>
                <c:formatCode>General</c:formatCode>
                <c:ptCount val="5"/>
                <c:pt idx="0">
                  <c:v>88.56</c:v>
                </c:pt>
                <c:pt idx="1">
                  <c:v>4.37</c:v>
                </c:pt>
                <c:pt idx="2">
                  <c:v>2.16</c:v>
                </c:pt>
                <c:pt idx="3">
                  <c:v>4.91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Lbls>
            <c:dLbl>
              <c:idx val="0"/>
              <c:layout>
                <c:manualLayout>
                  <c:x val="-0.0271812030407686"/>
                  <c:y val="-0.28974938369313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143029717323025"/>
                      <c:h val="0.136634084147896"/>
                    </c:manualLayout>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公务接待费支出</c:v>
                </c:pt>
              </c:strCache>
            </c:strRef>
          </c:cat>
          <c:val>
            <c:numRef>
              <c:f>Sheet1!$B$2</c:f>
              <c:numCache>
                <c:formatCode>0%</c:formatCode>
                <c:ptCount val="1"/>
                <c:pt idx="0">
                  <c:v>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4</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2023-07-31T18:35:00Z</cp:lastPrinted>
  <dcterms:modified xsi:type="dcterms:W3CDTF">2023-10-24T16:57:58Z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4F0C19596C5344878DBF25B3B2D8BA75_13</vt:lpwstr>
  </property>
</Properties>
</file>