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9E2" w:rsidRDefault="00E539E2">
      <w:pPr>
        <w:spacing w:line="600" w:lineRule="exact"/>
        <w:jc w:val="left"/>
        <w:outlineLvl w:val="0"/>
        <w:rPr>
          <w:rFonts w:ascii="方正小标宋简体" w:eastAsia="方正小标宋简体" w:hAnsi="宋体"/>
          <w:szCs w:val="21"/>
        </w:rPr>
      </w:pPr>
      <w:bookmarkStart w:id="0" w:name="_Toc15306267"/>
    </w:p>
    <w:p w:rsidR="00E539E2" w:rsidRDefault="00E539E2">
      <w:pPr>
        <w:spacing w:line="600" w:lineRule="exact"/>
        <w:jc w:val="center"/>
        <w:outlineLvl w:val="0"/>
        <w:rPr>
          <w:rFonts w:ascii="方正小标宋简体" w:eastAsia="方正小标宋简体" w:hAnsi="宋体"/>
          <w:sz w:val="72"/>
          <w:szCs w:val="72"/>
        </w:rPr>
      </w:pPr>
    </w:p>
    <w:p w:rsidR="00E539E2" w:rsidRDefault="00E539E2">
      <w:pPr>
        <w:spacing w:line="600" w:lineRule="exact"/>
        <w:jc w:val="center"/>
        <w:outlineLvl w:val="0"/>
        <w:rPr>
          <w:rFonts w:ascii="方正小标宋简体" w:eastAsia="方正小标宋简体" w:hAnsi="宋体"/>
          <w:sz w:val="72"/>
          <w:szCs w:val="72"/>
        </w:rPr>
      </w:pPr>
    </w:p>
    <w:p w:rsidR="00E539E2" w:rsidRDefault="00EC62F9">
      <w:pPr>
        <w:spacing w:line="600" w:lineRule="auto"/>
        <w:jc w:val="center"/>
        <w:rPr>
          <w:rFonts w:ascii="方正小标宋简体" w:eastAsia="方正小标宋简体" w:hAnsi="方正小标宋简体" w:cs="方正小标宋简体"/>
          <w:sz w:val="44"/>
          <w:szCs w:val="44"/>
        </w:rPr>
      </w:pPr>
      <w:bookmarkStart w:id="1" w:name="_Toc15396597"/>
      <w:bookmarkStart w:id="2" w:name="_Toc15378441"/>
      <w:bookmarkStart w:id="3" w:name="_Toc15377193"/>
      <w:bookmarkStart w:id="4" w:name="_Toc15396475"/>
      <w:bookmarkStart w:id="5" w:name="_Toc15377425"/>
      <w:r>
        <w:rPr>
          <w:rFonts w:ascii="方正小标宋简体" w:eastAsia="方正小标宋简体" w:hAnsi="方正小标宋简体" w:cs="方正小标宋简体" w:hint="eastAsia"/>
          <w:sz w:val="44"/>
          <w:szCs w:val="44"/>
        </w:rPr>
        <w:t>2022年度</w:t>
      </w:r>
      <w:bookmarkEnd w:id="1"/>
      <w:bookmarkEnd w:id="2"/>
      <w:bookmarkEnd w:id="3"/>
      <w:bookmarkEnd w:id="4"/>
      <w:bookmarkEnd w:id="5"/>
    </w:p>
    <w:p w:rsidR="00E539E2" w:rsidRDefault="00EC62F9">
      <w:pPr>
        <w:spacing w:line="600" w:lineRule="auto"/>
        <w:jc w:val="center"/>
        <w:rPr>
          <w:rFonts w:ascii="方正小标宋简体" w:eastAsia="方正小标宋简体" w:hAnsi="方正小标宋简体" w:cs="方正小标宋简体"/>
          <w:sz w:val="44"/>
          <w:szCs w:val="44"/>
        </w:rPr>
      </w:pPr>
      <w:bookmarkStart w:id="6" w:name="_Toc15396476"/>
      <w:bookmarkStart w:id="7" w:name="_Toc15396598"/>
      <w:bookmarkStart w:id="8" w:name="_Toc15378442"/>
      <w:bookmarkStart w:id="9" w:name="_Toc15377194"/>
      <w:bookmarkStart w:id="10" w:name="_Toc15377426"/>
      <w:r>
        <w:rPr>
          <w:rFonts w:ascii="方正小标宋简体" w:eastAsia="方正小标宋简体" w:hAnsi="方正小标宋简体" w:cs="方正小标宋简体" w:hint="eastAsia"/>
          <w:sz w:val="44"/>
          <w:szCs w:val="44"/>
        </w:rPr>
        <w:t>广元市</w:t>
      </w:r>
      <w:bookmarkStart w:id="11" w:name="_Toc15306268"/>
      <w:bookmarkEnd w:id="0"/>
      <w:r>
        <w:rPr>
          <w:rFonts w:ascii="方正小标宋简体" w:eastAsia="方正小标宋简体" w:hAnsi="方正小标宋简体" w:cs="方正小标宋简体" w:hint="eastAsia"/>
          <w:sz w:val="44"/>
          <w:szCs w:val="44"/>
        </w:rPr>
        <w:t>市场监督管理局广元经开区分局</w:t>
      </w:r>
    </w:p>
    <w:p w:rsidR="00E539E2" w:rsidRDefault="00EC62F9">
      <w:pPr>
        <w:spacing w:line="600" w:lineRule="auto"/>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单位决算</w:t>
      </w:r>
      <w:bookmarkEnd w:id="6"/>
      <w:bookmarkEnd w:id="7"/>
      <w:bookmarkEnd w:id="8"/>
      <w:bookmarkEnd w:id="9"/>
      <w:bookmarkEnd w:id="10"/>
      <w:bookmarkEnd w:id="11"/>
    </w:p>
    <w:p w:rsidR="00E539E2" w:rsidRDefault="00EC62F9">
      <w:pPr>
        <w:widowControl/>
        <w:jc w:val="center"/>
        <w:rPr>
          <w:rFonts w:ascii="黑体" w:eastAsia="黑体" w:hAnsi="黑体"/>
          <w:sz w:val="32"/>
          <w:szCs w:val="32"/>
        </w:rPr>
      </w:pPr>
      <w:r>
        <w:rPr>
          <w:rFonts w:ascii="方正小标宋简体" w:eastAsia="方正小标宋简体" w:hAnsi="宋体"/>
          <w:sz w:val="36"/>
          <w:szCs w:val="36"/>
        </w:rPr>
        <w:br w:type="page"/>
      </w:r>
      <w:r>
        <w:rPr>
          <w:rFonts w:ascii="黑体" w:eastAsia="黑体" w:hAnsi="黑体" w:hint="eastAsia"/>
          <w:sz w:val="32"/>
          <w:szCs w:val="32"/>
        </w:rPr>
        <w:lastRenderedPageBreak/>
        <w:t>目  录</w:t>
      </w:r>
    </w:p>
    <w:bookmarkStart w:id="12" w:name="_Toc15396599" w:displacedByCustomXml="next"/>
    <w:bookmarkStart w:id="13" w:name="_Toc15377196" w:displacedByCustomXml="next"/>
    <w:sdt>
      <w:sdtPr>
        <w:rPr>
          <w:rFonts w:ascii="Times New Roman" w:eastAsia="宋体" w:hAnsi="Times New Roman"/>
          <w:b/>
          <w:bCs/>
          <w:sz w:val="21"/>
          <w:szCs w:val="24"/>
          <w:lang w:val="zh-CN"/>
        </w:rPr>
        <w:id w:val="25606342"/>
        <w:docPartObj>
          <w:docPartGallery w:val="Table of Contents"/>
          <w:docPartUnique/>
        </w:docPartObj>
      </w:sdtPr>
      <w:sdtEndPr>
        <w:rPr>
          <w:b w:val="0"/>
          <w:bCs w:val="0"/>
          <w:lang w:val="en-US"/>
        </w:rPr>
      </w:sdtEndPr>
      <w:sdtContent>
        <w:p w:rsidR="00E539E2" w:rsidRDefault="00EC62F9">
          <w:pPr>
            <w:pStyle w:val="10"/>
            <w:rPr>
              <w:sz w:val="24"/>
            </w:rPr>
          </w:pPr>
          <w:r>
            <w:rPr>
              <w:rFonts w:hint="eastAsia"/>
            </w:rPr>
            <w:t>公开时间：2023年10月</w:t>
          </w:r>
          <w:r w:rsidR="00EB3811">
            <w:rPr>
              <w:rFonts w:hint="eastAsia"/>
            </w:rPr>
            <w:t>17</w:t>
          </w:r>
          <w:r>
            <w:rPr>
              <w:rFonts w:hint="eastAsia"/>
            </w:rPr>
            <w:t>日</w:t>
          </w:r>
        </w:p>
        <w:p w:rsidR="00E539E2" w:rsidRDefault="000525F8">
          <w:pPr>
            <w:pStyle w:val="10"/>
            <w:jc w:val="both"/>
            <w:rPr>
              <w:sz w:val="32"/>
              <w:szCs w:val="32"/>
            </w:rPr>
          </w:pPr>
          <w:r>
            <w:rPr>
              <w:sz w:val="32"/>
              <w:szCs w:val="32"/>
            </w:rPr>
            <w:fldChar w:fldCharType="begin"/>
          </w:r>
          <w:r w:rsidR="00EC62F9">
            <w:rPr>
              <w:sz w:val="32"/>
              <w:szCs w:val="32"/>
            </w:rPr>
            <w:instrText xml:space="preserve"> TOC \o "1-3" \h \z \u </w:instrText>
          </w:r>
          <w:r>
            <w:rPr>
              <w:sz w:val="32"/>
              <w:szCs w:val="32"/>
            </w:rPr>
            <w:fldChar w:fldCharType="separate"/>
          </w:r>
          <w:hyperlink w:anchor="_Toc147678513" w:history="1">
            <w:r w:rsidR="00EC62F9">
              <w:rPr>
                <w:rFonts w:hint="eastAsia"/>
                <w:sz w:val="32"/>
                <w:szCs w:val="32"/>
              </w:rPr>
              <w:t>第一部分单位概况</w:t>
            </w:r>
            <w:r w:rsidR="00EC62F9">
              <w:rPr>
                <w:sz w:val="32"/>
                <w:szCs w:val="32"/>
              </w:rPr>
              <w:tab/>
            </w:r>
            <w:r>
              <w:rPr>
                <w:sz w:val="32"/>
                <w:szCs w:val="32"/>
              </w:rPr>
              <w:fldChar w:fldCharType="begin"/>
            </w:r>
            <w:r w:rsidR="00EC62F9">
              <w:rPr>
                <w:sz w:val="32"/>
                <w:szCs w:val="32"/>
              </w:rPr>
              <w:instrText xml:space="preserve"> PAGEREF _Toc147678513 \h </w:instrText>
            </w:r>
            <w:r>
              <w:rPr>
                <w:sz w:val="32"/>
                <w:szCs w:val="32"/>
              </w:rPr>
            </w:r>
            <w:r>
              <w:rPr>
                <w:sz w:val="32"/>
                <w:szCs w:val="32"/>
              </w:rPr>
              <w:fldChar w:fldCharType="separate"/>
            </w:r>
            <w:r w:rsidR="00EC62F9">
              <w:rPr>
                <w:sz w:val="32"/>
                <w:szCs w:val="32"/>
              </w:rPr>
              <w:t>1</w:t>
            </w:r>
            <w:r>
              <w:rPr>
                <w:sz w:val="32"/>
                <w:szCs w:val="32"/>
              </w:rPr>
              <w:fldChar w:fldCharType="end"/>
            </w:r>
          </w:hyperlink>
        </w:p>
        <w:p w:rsidR="00E539E2" w:rsidRDefault="000525F8">
          <w:pPr>
            <w:pStyle w:val="20"/>
            <w:rPr>
              <w:rFonts w:ascii="仿宋" w:eastAsia="仿宋" w:hAnsi="仿宋"/>
              <w:sz w:val="32"/>
              <w:szCs w:val="32"/>
            </w:rPr>
          </w:pPr>
          <w:hyperlink w:anchor="_Toc147678514" w:history="1">
            <w:r w:rsidR="00EC62F9">
              <w:rPr>
                <w:rFonts w:ascii="仿宋" w:eastAsia="仿宋" w:hAnsi="仿宋" w:hint="eastAsia"/>
                <w:sz w:val="32"/>
                <w:szCs w:val="32"/>
              </w:rPr>
              <w:t>一、主要职责</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_Toc147678514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1</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15" w:history="1">
            <w:r w:rsidR="00EC62F9">
              <w:rPr>
                <w:rFonts w:ascii="仿宋" w:eastAsia="仿宋" w:hAnsi="仿宋" w:hint="eastAsia"/>
                <w:sz w:val="32"/>
                <w:szCs w:val="32"/>
              </w:rPr>
              <w:t>二、机构设置</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_Toc147678515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3</w:t>
            </w:r>
            <w:r>
              <w:rPr>
                <w:rFonts w:ascii="仿宋" w:eastAsia="仿宋" w:hAnsi="仿宋"/>
                <w:sz w:val="32"/>
                <w:szCs w:val="32"/>
              </w:rPr>
              <w:fldChar w:fldCharType="end"/>
            </w:r>
          </w:hyperlink>
        </w:p>
        <w:p w:rsidR="00E539E2" w:rsidRDefault="000525F8">
          <w:pPr>
            <w:pStyle w:val="10"/>
            <w:jc w:val="both"/>
            <w:rPr>
              <w:sz w:val="32"/>
              <w:szCs w:val="32"/>
            </w:rPr>
          </w:pPr>
          <w:hyperlink w:anchor="_Toc147678516" w:history="1">
            <w:r w:rsidR="00EC62F9">
              <w:rPr>
                <w:rFonts w:hint="eastAsia"/>
                <w:sz w:val="32"/>
                <w:szCs w:val="32"/>
              </w:rPr>
              <w:t>第二部分</w:t>
            </w:r>
            <w:r w:rsidR="00EC62F9">
              <w:rPr>
                <w:sz w:val="32"/>
                <w:szCs w:val="32"/>
              </w:rPr>
              <w:t>2022</w:t>
            </w:r>
            <w:r w:rsidR="00EC62F9">
              <w:rPr>
                <w:rFonts w:hint="eastAsia"/>
                <w:sz w:val="32"/>
                <w:szCs w:val="32"/>
              </w:rPr>
              <w:t>年度单位决算情况说明</w:t>
            </w:r>
            <w:r w:rsidR="00EC62F9">
              <w:rPr>
                <w:sz w:val="32"/>
                <w:szCs w:val="32"/>
              </w:rPr>
              <w:tab/>
            </w:r>
            <w:r>
              <w:rPr>
                <w:sz w:val="32"/>
                <w:szCs w:val="32"/>
              </w:rPr>
              <w:fldChar w:fldCharType="begin"/>
            </w:r>
            <w:r w:rsidR="00EC62F9">
              <w:rPr>
                <w:sz w:val="32"/>
                <w:szCs w:val="32"/>
              </w:rPr>
              <w:instrText xml:space="preserve"> PAGEREF _Toc147678516 \h </w:instrText>
            </w:r>
            <w:r>
              <w:rPr>
                <w:sz w:val="32"/>
                <w:szCs w:val="32"/>
              </w:rPr>
            </w:r>
            <w:r>
              <w:rPr>
                <w:sz w:val="32"/>
                <w:szCs w:val="32"/>
              </w:rPr>
              <w:fldChar w:fldCharType="separate"/>
            </w:r>
            <w:r w:rsidR="00EC62F9">
              <w:rPr>
                <w:sz w:val="32"/>
                <w:szCs w:val="32"/>
              </w:rPr>
              <w:t>4</w:t>
            </w:r>
            <w:r>
              <w:rPr>
                <w:sz w:val="32"/>
                <w:szCs w:val="32"/>
              </w:rPr>
              <w:fldChar w:fldCharType="end"/>
            </w:r>
          </w:hyperlink>
        </w:p>
        <w:p w:rsidR="00E539E2" w:rsidRDefault="000525F8">
          <w:pPr>
            <w:pStyle w:val="20"/>
            <w:rPr>
              <w:rFonts w:ascii="仿宋" w:eastAsia="仿宋" w:hAnsi="仿宋"/>
              <w:sz w:val="32"/>
              <w:szCs w:val="32"/>
            </w:rPr>
          </w:pPr>
          <w:hyperlink w:anchor="_Toc147678517" w:history="1">
            <w:r w:rsidR="00EC62F9">
              <w:rPr>
                <w:rFonts w:ascii="仿宋" w:eastAsia="仿宋" w:hAnsi="仿宋" w:hint="eastAsia"/>
                <w:sz w:val="32"/>
                <w:szCs w:val="32"/>
              </w:rPr>
              <w:t>一、收入支出决算总体情况说明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_Toc147678517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4</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18" w:history="1">
            <w:r w:rsidR="00EC62F9">
              <w:rPr>
                <w:rFonts w:ascii="仿宋" w:eastAsia="仿宋" w:hAnsi="仿宋" w:hint="eastAsia"/>
                <w:sz w:val="32"/>
                <w:szCs w:val="32"/>
              </w:rPr>
              <w:t>二、收入决算情况说明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_Toc147678518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4</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20" w:history="1">
            <w:r w:rsidR="00EC62F9">
              <w:rPr>
                <w:rFonts w:ascii="仿宋" w:eastAsia="仿宋" w:hAnsi="仿宋" w:hint="eastAsia"/>
                <w:sz w:val="32"/>
                <w:szCs w:val="32"/>
              </w:rPr>
              <w:t>三、支出决算情况说明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_Toc147678520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22" w:history="1">
            <w:r w:rsidR="00EC62F9">
              <w:rPr>
                <w:rFonts w:ascii="仿宋" w:eastAsia="仿宋" w:hAnsi="仿宋" w:hint="eastAsia"/>
                <w:sz w:val="32"/>
                <w:szCs w:val="32"/>
              </w:rPr>
              <w:t>四、财政拨款收入支出决算总体情况说明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_Toc147678522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6</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23" w:history="1">
            <w:r w:rsidR="00EC62F9">
              <w:rPr>
                <w:rFonts w:ascii="仿宋" w:eastAsia="仿宋" w:hAnsi="仿宋" w:hint="eastAsia"/>
                <w:sz w:val="32"/>
                <w:szCs w:val="32"/>
              </w:rPr>
              <w:t>五、一般公共预算财政拨款支出决算情况说明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_Toc147678523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6</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28" w:history="1">
            <w:r w:rsidR="00EC62F9">
              <w:rPr>
                <w:rFonts w:ascii="仿宋" w:eastAsia="仿宋" w:hAnsi="仿宋" w:hint="eastAsia"/>
                <w:sz w:val="32"/>
                <w:szCs w:val="32"/>
              </w:rPr>
              <w:t>六、一般公共预算财政拨款基本支出决算情况说明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_Toc147678528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9</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29" w:history="1">
            <w:r w:rsidR="00EC62F9">
              <w:rPr>
                <w:rFonts w:ascii="仿宋" w:eastAsia="仿宋" w:hAnsi="仿宋" w:hint="eastAsia"/>
                <w:sz w:val="32"/>
                <w:szCs w:val="32"/>
              </w:rPr>
              <w:t>七、财政拨款“三公”经费支出决算情况说明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_Toc147678529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9</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32" w:history="1">
            <w:r w:rsidR="00EC62F9">
              <w:rPr>
                <w:rFonts w:ascii="仿宋" w:eastAsia="仿宋" w:hAnsi="仿宋" w:hint="eastAsia"/>
                <w:sz w:val="32"/>
                <w:szCs w:val="32"/>
              </w:rPr>
              <w:t>八、政府性基金预算支出决算情况说明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_Toc147678532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11</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33" w:history="1">
            <w:r w:rsidR="00EC62F9">
              <w:rPr>
                <w:rFonts w:ascii="仿宋" w:eastAsia="仿宋" w:hAnsi="仿宋" w:hint="eastAsia"/>
                <w:sz w:val="32"/>
                <w:szCs w:val="32"/>
              </w:rPr>
              <w:t>九、国有资本经营预算支出决算情况说明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_Toc147678533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11</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34" w:history="1">
            <w:r w:rsidR="00EC62F9">
              <w:rPr>
                <w:rFonts w:ascii="仿宋" w:eastAsia="仿宋" w:hAnsi="仿宋" w:hint="eastAsia"/>
                <w:sz w:val="32"/>
                <w:szCs w:val="32"/>
              </w:rPr>
              <w:t>十、其他重要事项的情况说明</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_Toc147678534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11</w:t>
            </w:r>
            <w:r>
              <w:rPr>
                <w:rFonts w:ascii="仿宋" w:eastAsia="仿宋" w:hAnsi="仿宋"/>
                <w:sz w:val="32"/>
                <w:szCs w:val="32"/>
              </w:rPr>
              <w:fldChar w:fldCharType="end"/>
            </w:r>
          </w:hyperlink>
        </w:p>
        <w:p w:rsidR="00E539E2" w:rsidRDefault="000525F8">
          <w:pPr>
            <w:pStyle w:val="10"/>
            <w:jc w:val="both"/>
            <w:rPr>
              <w:sz w:val="32"/>
              <w:szCs w:val="32"/>
            </w:rPr>
          </w:pPr>
          <w:hyperlink w:anchor="_Toc147678539" w:history="1">
            <w:r w:rsidR="00EC62F9">
              <w:rPr>
                <w:rFonts w:hint="eastAsia"/>
                <w:sz w:val="32"/>
                <w:szCs w:val="32"/>
              </w:rPr>
              <w:t>第三部分名词解释</w:t>
            </w:r>
            <w:r w:rsidR="00EC62F9">
              <w:rPr>
                <w:sz w:val="32"/>
                <w:szCs w:val="32"/>
              </w:rPr>
              <w:tab/>
            </w:r>
            <w:r>
              <w:rPr>
                <w:sz w:val="32"/>
                <w:szCs w:val="32"/>
              </w:rPr>
              <w:fldChar w:fldCharType="begin"/>
            </w:r>
            <w:r w:rsidR="00EC62F9">
              <w:rPr>
                <w:sz w:val="32"/>
                <w:szCs w:val="32"/>
              </w:rPr>
              <w:instrText xml:space="preserve"> PAGEREF _Toc147678539 \h </w:instrText>
            </w:r>
            <w:r>
              <w:rPr>
                <w:sz w:val="32"/>
                <w:szCs w:val="32"/>
              </w:rPr>
            </w:r>
            <w:r>
              <w:rPr>
                <w:sz w:val="32"/>
                <w:szCs w:val="32"/>
              </w:rPr>
              <w:fldChar w:fldCharType="separate"/>
            </w:r>
            <w:r w:rsidR="00EC62F9">
              <w:rPr>
                <w:sz w:val="32"/>
                <w:szCs w:val="32"/>
              </w:rPr>
              <w:t>13</w:t>
            </w:r>
            <w:r>
              <w:rPr>
                <w:sz w:val="32"/>
                <w:szCs w:val="32"/>
              </w:rPr>
              <w:fldChar w:fldCharType="end"/>
            </w:r>
          </w:hyperlink>
        </w:p>
        <w:p w:rsidR="00E539E2" w:rsidRDefault="000525F8">
          <w:pPr>
            <w:pStyle w:val="10"/>
            <w:jc w:val="both"/>
            <w:rPr>
              <w:sz w:val="32"/>
              <w:szCs w:val="32"/>
            </w:rPr>
          </w:pPr>
          <w:hyperlink w:anchor="_Toc147678540" w:history="1">
            <w:r w:rsidR="00EC62F9">
              <w:rPr>
                <w:rFonts w:hint="eastAsia"/>
                <w:sz w:val="32"/>
                <w:szCs w:val="32"/>
              </w:rPr>
              <w:t>第四部分附件</w:t>
            </w:r>
            <w:r w:rsidR="00EC62F9">
              <w:rPr>
                <w:sz w:val="32"/>
                <w:szCs w:val="32"/>
              </w:rPr>
              <w:tab/>
            </w:r>
            <w:r>
              <w:rPr>
                <w:sz w:val="32"/>
                <w:szCs w:val="32"/>
              </w:rPr>
              <w:fldChar w:fldCharType="begin"/>
            </w:r>
            <w:r w:rsidR="00EC62F9">
              <w:rPr>
                <w:sz w:val="32"/>
                <w:szCs w:val="32"/>
              </w:rPr>
              <w:instrText xml:space="preserve"> PAGEREF _Toc147678540 \h </w:instrText>
            </w:r>
            <w:r>
              <w:rPr>
                <w:sz w:val="32"/>
                <w:szCs w:val="32"/>
              </w:rPr>
            </w:r>
            <w:r>
              <w:rPr>
                <w:sz w:val="32"/>
                <w:szCs w:val="32"/>
              </w:rPr>
              <w:fldChar w:fldCharType="separate"/>
            </w:r>
            <w:r w:rsidR="00EC62F9">
              <w:rPr>
                <w:sz w:val="32"/>
                <w:szCs w:val="32"/>
              </w:rPr>
              <w:t>16</w:t>
            </w:r>
            <w:r>
              <w:rPr>
                <w:sz w:val="32"/>
                <w:szCs w:val="32"/>
              </w:rPr>
              <w:fldChar w:fldCharType="end"/>
            </w:r>
          </w:hyperlink>
        </w:p>
        <w:p w:rsidR="00E539E2" w:rsidRDefault="000525F8">
          <w:pPr>
            <w:pStyle w:val="10"/>
            <w:jc w:val="both"/>
            <w:rPr>
              <w:sz w:val="32"/>
              <w:szCs w:val="32"/>
            </w:rPr>
          </w:pPr>
          <w:hyperlink w:anchor="_Toc147678544" w:history="1">
            <w:r w:rsidR="00EC62F9">
              <w:rPr>
                <w:rFonts w:hint="eastAsia"/>
                <w:sz w:val="32"/>
                <w:szCs w:val="32"/>
              </w:rPr>
              <w:t>第五部分附表</w:t>
            </w:r>
            <w:r w:rsidR="00EC62F9">
              <w:rPr>
                <w:sz w:val="32"/>
                <w:szCs w:val="32"/>
              </w:rPr>
              <w:tab/>
            </w:r>
            <w:r>
              <w:rPr>
                <w:sz w:val="32"/>
                <w:szCs w:val="32"/>
              </w:rPr>
              <w:fldChar w:fldCharType="begin"/>
            </w:r>
            <w:r w:rsidR="00EC62F9">
              <w:rPr>
                <w:sz w:val="32"/>
                <w:szCs w:val="32"/>
              </w:rPr>
              <w:instrText xml:space="preserve"> PAGEREF _Toc147678544 \h </w:instrText>
            </w:r>
            <w:r>
              <w:rPr>
                <w:sz w:val="32"/>
                <w:szCs w:val="32"/>
              </w:rPr>
            </w:r>
            <w:r>
              <w:rPr>
                <w:sz w:val="32"/>
                <w:szCs w:val="32"/>
              </w:rPr>
              <w:fldChar w:fldCharType="separate"/>
            </w:r>
            <w:r w:rsidR="00EC62F9">
              <w:rPr>
                <w:sz w:val="32"/>
                <w:szCs w:val="32"/>
              </w:rPr>
              <w:t>53</w:t>
            </w:r>
            <w:r>
              <w:rPr>
                <w:sz w:val="32"/>
                <w:szCs w:val="32"/>
              </w:rPr>
              <w:fldChar w:fldCharType="end"/>
            </w:r>
          </w:hyperlink>
        </w:p>
        <w:p w:rsidR="00E539E2" w:rsidRDefault="000525F8">
          <w:pPr>
            <w:pStyle w:val="20"/>
            <w:rPr>
              <w:rFonts w:ascii="仿宋" w:eastAsia="仿宋" w:hAnsi="仿宋"/>
              <w:sz w:val="32"/>
              <w:szCs w:val="32"/>
            </w:rPr>
          </w:pPr>
          <w:hyperlink w:anchor="_Toc147678545" w:history="1">
            <w:r w:rsidR="00EC62F9">
              <w:rPr>
                <w:rFonts w:ascii="仿宋" w:eastAsia="仿宋" w:hAnsi="仿宋" w:hint="eastAsia"/>
                <w:sz w:val="32"/>
                <w:szCs w:val="32"/>
              </w:rPr>
              <w:t>一、收入支出决算总表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_Toc147678545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46" w:history="1">
            <w:r w:rsidR="00EC62F9">
              <w:rPr>
                <w:rFonts w:ascii="仿宋" w:eastAsia="仿宋" w:hAnsi="仿宋" w:hint="eastAsia"/>
                <w:sz w:val="32"/>
                <w:szCs w:val="32"/>
              </w:rPr>
              <w:t>二、收入决算表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_Toc147678546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47" w:history="1">
            <w:r w:rsidR="00EC62F9">
              <w:rPr>
                <w:rFonts w:ascii="仿宋" w:eastAsia="仿宋" w:hAnsi="仿宋" w:hint="eastAsia"/>
                <w:sz w:val="32"/>
                <w:szCs w:val="32"/>
              </w:rPr>
              <w:t>三、支出决算表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_Toc147678547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48" w:history="1">
            <w:r w:rsidR="00EC62F9">
              <w:rPr>
                <w:rFonts w:ascii="仿宋" w:eastAsia="仿宋" w:hAnsi="仿宋" w:hint="eastAsia"/>
                <w:sz w:val="32"/>
                <w:szCs w:val="32"/>
              </w:rPr>
              <w:t>四、财政拨款收入支出决算总表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_Toc147678548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49" w:history="1">
            <w:r w:rsidR="00EC62F9">
              <w:rPr>
                <w:rFonts w:ascii="仿宋" w:eastAsia="仿宋" w:hAnsi="仿宋" w:hint="eastAsia"/>
                <w:sz w:val="32"/>
                <w:szCs w:val="32"/>
              </w:rPr>
              <w:t>五、财政拨款支出决算明细表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_Toc147678549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0" w:history="1">
            <w:r w:rsidR="00EC62F9">
              <w:rPr>
                <w:rFonts w:ascii="仿宋" w:eastAsia="仿宋" w:hAnsi="仿宋" w:hint="eastAsia"/>
                <w:sz w:val="32"/>
                <w:szCs w:val="32"/>
              </w:rPr>
              <w:t>六、一般公共预算财政拨款支出决算表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_Toc147678550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1" w:history="1">
            <w:r w:rsidR="00EC62F9">
              <w:rPr>
                <w:rFonts w:ascii="仿宋" w:eastAsia="仿宋" w:hAnsi="仿宋" w:hint="eastAsia"/>
                <w:sz w:val="32"/>
                <w:szCs w:val="32"/>
              </w:rPr>
              <w:t>七、一般公共预算财政拨款支出决算明细表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_Toc147678551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2" w:history="1">
            <w:r w:rsidR="00EC62F9">
              <w:rPr>
                <w:rFonts w:ascii="仿宋" w:eastAsia="仿宋" w:hAnsi="仿宋" w:hint="eastAsia"/>
                <w:sz w:val="32"/>
                <w:szCs w:val="32"/>
              </w:rPr>
              <w:t>八、一般公共预算财政拨款基本支出决算表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_Toc147678552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3" w:history="1">
            <w:r w:rsidR="00EC62F9">
              <w:rPr>
                <w:rFonts w:ascii="仿宋" w:eastAsia="仿宋" w:hAnsi="仿宋" w:hint="eastAsia"/>
                <w:sz w:val="32"/>
                <w:szCs w:val="32"/>
              </w:rPr>
              <w:t>九、一般公共预算财政拨款项目支出决算表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_Toc147678553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4" w:history="1">
            <w:r w:rsidR="00EC62F9">
              <w:rPr>
                <w:rFonts w:ascii="仿宋" w:eastAsia="仿宋" w:hAnsi="仿宋" w:hint="eastAsia"/>
                <w:sz w:val="32"/>
                <w:szCs w:val="32"/>
              </w:rPr>
              <w:t>十、政府性基金预算财政拨款收入支出决算表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_Toc147678554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5" w:history="1">
            <w:r w:rsidR="00EC62F9">
              <w:rPr>
                <w:rFonts w:ascii="仿宋" w:eastAsia="仿宋" w:hAnsi="仿宋" w:hint="eastAsia"/>
                <w:sz w:val="32"/>
                <w:szCs w:val="32"/>
              </w:rPr>
              <w:t>十一、国有资本经营预算财政拨款收入支出决算表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_Toc147678555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6" w:history="1">
            <w:r w:rsidR="00EC62F9">
              <w:rPr>
                <w:rFonts w:ascii="仿宋" w:eastAsia="仿宋" w:hAnsi="仿宋" w:hint="eastAsia"/>
                <w:sz w:val="32"/>
                <w:szCs w:val="32"/>
              </w:rPr>
              <w:t>十二、国有资本经营预算财政拨款支出决算表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_Toc147678556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pPr>
            <w:pStyle w:val="20"/>
            <w:rPr>
              <w:rFonts w:ascii="仿宋" w:eastAsia="仿宋" w:hAnsi="仿宋"/>
              <w:sz w:val="32"/>
              <w:szCs w:val="32"/>
            </w:rPr>
          </w:pPr>
          <w:hyperlink w:anchor="_Toc147678557" w:history="1">
            <w:r w:rsidR="00EC62F9">
              <w:rPr>
                <w:rFonts w:ascii="仿宋" w:eastAsia="仿宋" w:hAnsi="仿宋" w:hint="eastAsia"/>
                <w:sz w:val="32"/>
                <w:szCs w:val="32"/>
              </w:rPr>
              <w:t>十三、财政拨款“三公”经费支出决算表</w:t>
            </w:r>
            <w:r w:rsidR="00EC62F9">
              <w:rPr>
                <w:rFonts w:ascii="仿宋" w:eastAsia="仿宋" w:hAnsi="仿宋"/>
                <w:sz w:val="32"/>
                <w:szCs w:val="32"/>
              </w:rPr>
              <w:tab/>
            </w:r>
            <w:r>
              <w:rPr>
                <w:rFonts w:ascii="仿宋" w:eastAsia="仿宋" w:hAnsi="仿宋"/>
                <w:sz w:val="32"/>
                <w:szCs w:val="32"/>
              </w:rPr>
              <w:fldChar w:fldCharType="begin"/>
            </w:r>
            <w:r w:rsidR="00EC62F9">
              <w:rPr>
                <w:rFonts w:ascii="仿宋" w:eastAsia="仿宋" w:hAnsi="仿宋"/>
                <w:sz w:val="32"/>
                <w:szCs w:val="32"/>
              </w:rPr>
              <w:instrText xml:space="preserve"> PAGEREF _Toc147678557 \h </w:instrText>
            </w:r>
            <w:r>
              <w:rPr>
                <w:rFonts w:ascii="仿宋" w:eastAsia="仿宋" w:hAnsi="仿宋"/>
                <w:sz w:val="32"/>
                <w:szCs w:val="32"/>
              </w:rPr>
            </w:r>
            <w:r>
              <w:rPr>
                <w:rFonts w:ascii="仿宋" w:eastAsia="仿宋" w:hAnsi="仿宋"/>
                <w:sz w:val="32"/>
                <w:szCs w:val="32"/>
              </w:rPr>
              <w:fldChar w:fldCharType="separate"/>
            </w:r>
            <w:r w:rsidR="00EC62F9">
              <w:rPr>
                <w:rFonts w:ascii="仿宋" w:eastAsia="仿宋" w:hAnsi="仿宋"/>
                <w:sz w:val="32"/>
                <w:szCs w:val="32"/>
              </w:rPr>
              <w:t>53</w:t>
            </w:r>
            <w:r>
              <w:rPr>
                <w:rFonts w:ascii="仿宋" w:eastAsia="仿宋" w:hAnsi="仿宋"/>
                <w:sz w:val="32"/>
                <w:szCs w:val="32"/>
              </w:rPr>
              <w:fldChar w:fldCharType="end"/>
            </w:r>
          </w:hyperlink>
        </w:p>
        <w:p w:rsidR="00E539E2" w:rsidRDefault="000525F8">
          <w:r>
            <w:rPr>
              <w:rFonts w:ascii="仿宋" w:eastAsia="仿宋" w:hAnsi="仿宋"/>
              <w:sz w:val="32"/>
              <w:szCs w:val="32"/>
            </w:rPr>
            <w:fldChar w:fldCharType="end"/>
          </w:r>
        </w:p>
      </w:sdtContent>
    </w:sdt>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sectPr w:rsidR="00E539E2">
          <w:pgSz w:w="11906" w:h="16838"/>
          <w:pgMar w:top="1418" w:right="1418" w:bottom="1134" w:left="1418" w:header="851" w:footer="964" w:gutter="0"/>
          <w:pgNumType w:start="1"/>
          <w:cols w:space="425"/>
          <w:docGrid w:type="lines" w:linePitch="312"/>
        </w:sectPr>
      </w:pPr>
    </w:p>
    <w:p w:rsidR="00E539E2" w:rsidRDefault="00EC62F9">
      <w:pPr>
        <w:pStyle w:val="1"/>
        <w:jc w:val="center"/>
        <w:rPr>
          <w:rFonts w:ascii="方正小标宋简体" w:eastAsia="方正小标宋简体" w:hAnsi="方正小标宋简体" w:cs="方正小标宋简体"/>
          <w:b w:val="0"/>
          <w:bCs w:val="0"/>
          <w:kern w:val="2"/>
        </w:rPr>
      </w:pPr>
      <w:bookmarkStart w:id="14" w:name="_Toc147676455"/>
      <w:bookmarkStart w:id="15" w:name="_Toc147678513"/>
      <w:r>
        <w:rPr>
          <w:rFonts w:ascii="方正小标宋简体" w:eastAsia="方正小标宋简体" w:hAnsi="方正小标宋简体" w:cs="方正小标宋简体" w:hint="eastAsia"/>
          <w:b w:val="0"/>
          <w:bCs w:val="0"/>
          <w:kern w:val="2"/>
        </w:rPr>
        <w:lastRenderedPageBreak/>
        <w:t>第一部分单位概况</w:t>
      </w:r>
      <w:bookmarkEnd w:id="14"/>
      <w:bookmarkEnd w:id="15"/>
    </w:p>
    <w:p w:rsidR="00E539E2" w:rsidRDefault="00EC62F9">
      <w:pPr>
        <w:pStyle w:val="2"/>
        <w:spacing w:line="415" w:lineRule="auto"/>
        <w:ind w:firstLineChars="200" w:firstLine="640"/>
        <w:rPr>
          <w:rFonts w:ascii="黑体" w:eastAsia="黑体"/>
          <w:b w:val="0"/>
        </w:rPr>
      </w:pPr>
      <w:bookmarkStart w:id="16" w:name="_Toc147678514"/>
      <w:bookmarkStart w:id="17" w:name="_Toc147676456"/>
      <w:bookmarkStart w:id="18" w:name="_Toc15396600"/>
      <w:bookmarkStart w:id="19" w:name="_Toc15377197"/>
      <w:bookmarkEnd w:id="13"/>
      <w:bookmarkEnd w:id="12"/>
      <w:r>
        <w:rPr>
          <w:rFonts w:ascii="黑体" w:eastAsia="黑体" w:hint="eastAsia"/>
          <w:b w:val="0"/>
        </w:rPr>
        <w:t>一、主要职责</w:t>
      </w:r>
      <w:bookmarkEnd w:id="16"/>
      <w:bookmarkEnd w:id="17"/>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1.负责经开区市场监督管理工作。组织实施质量强区、食品安全、标准化和知识产权战略，拟订并组织实施全区食品、药品安全等规划，规范和维护市场秩序，营造诚实守信、公平竞争的市场环境。</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2.负责全区市场主体统一登记注册。负责全区各类企业、农民专业合作社和从事经营活动的单位、个体工商户等市场主体的登记注册和监督管理工作。建立市场主体信息公示和共享机制，依法公示和共享有关信息，加强信用监管，推动市场主体信用体系建设。</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3.负责组织全区市场监管综合执法工作。规范市场交易执法行为。组织查处各类违反市场监管法律法规的案件。</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4.负责监督管理全区市场经济秩序。依法监督管理市场交易，网络商品交易及有关服务的行为。组织查处价格收费违法违规、不正当竞争、违法直销、传销、侵犯商标专利知识产权和制售假冒伪劣行为。指导广告业发展，监督管理广告活动。依法查处无照生产经营和相关无证生产经营行为。</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5.负责全区宏观质量管理。拟订并实施质量发展的制度措施。会同有关单位组织实施重大工程设备质量监理制度，组织重大质</w:t>
      </w:r>
      <w:r>
        <w:rPr>
          <w:rFonts w:ascii="仿宋" w:eastAsia="仿宋" w:hAnsi="仿宋" w:hint="eastAsia"/>
          <w:sz w:val="32"/>
          <w:szCs w:val="32"/>
        </w:rPr>
        <w:lastRenderedPageBreak/>
        <w:t>量事故调查，贯彻实施缺陷产品召回制度，监督管理产品防伪工作。</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6.负责全区产品质量安全监督管理。负责产品质量监督抽检和安全风险监控工作，组织实施质量分级制度、质量安全追溯制度。负责纤维质量监督工作。</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7.负责全区特种设备安全监督管理。综合管理特种设备安全监察、监督工作，监督检查高耗能特种设备节能标准和锅炉产品环境保护标准的执行情况。</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8.负责全区食品安全监督管理综合协调。统筹指导全区食品安全工作。负责食品安全应急体系建设，组织指导重大食品安全事件应急处置和调查处理工作。建立健全食品安全重要信息直报制度。承担区食品安全委员会日常工作。</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9.负责全区食品安全监督管理。建立覆盖食品生产、流通、消费全过程的监督检查制度和隐患排查治理机制并组织实施，防范区域性、系统性食品安全风险。负责食品经营许可。推动建立食品生产经营者落实主体责任的机制，健全食品安全追溯体系。指导督促食品生产经营企业的安全生产工作，组织开展食品安全监督抽检、风险监测、核查处置和风险预警、风险交流工作。</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10.负责统一管理全区计量工作。推行法定计量单位，执行国家计量制度，管理计量器具及量值传递和比对工作。规范、监督商品量和市场计量行为。</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11.协助市局统一管理全区标准化工作。依法承担本级地方性</w:t>
      </w:r>
      <w:r>
        <w:rPr>
          <w:rFonts w:ascii="仿宋" w:eastAsia="仿宋" w:hAnsi="仿宋" w:hint="eastAsia"/>
          <w:sz w:val="32"/>
          <w:szCs w:val="32"/>
        </w:rPr>
        <w:lastRenderedPageBreak/>
        <w:t>标准的立项、编号发布工作。依法对标准制定和实施情况开展监督。</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12.协助市局统一管理全区检验检测工作。规范检验检测市场，完善检验检测体系，指导协调检验检测行业发展。</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13.协助市局统一管理全区认证认可工作。监督管理认证认可和合格评定工作。</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14.协助市局开展全区市场监督管理科技和信息化建设、新闻宣传。</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15.贯彻执行国家有关药品、医疗器械和化妆品监督管理的方针政策和法律法规。</w:t>
      </w:r>
    </w:p>
    <w:p w:rsidR="00E539E2" w:rsidRDefault="00EC62F9">
      <w:pPr>
        <w:ind w:firstLineChars="200" w:firstLine="640"/>
        <w:rPr>
          <w:rFonts w:ascii="仿宋" w:eastAsia="仿宋" w:hAnsi="仿宋"/>
          <w:sz w:val="32"/>
          <w:szCs w:val="32"/>
        </w:rPr>
      </w:pPr>
      <w:r>
        <w:rPr>
          <w:rFonts w:ascii="仿宋" w:eastAsia="仿宋" w:hAnsi="仿宋" w:hint="eastAsia"/>
          <w:sz w:val="32"/>
          <w:szCs w:val="32"/>
        </w:rPr>
        <w:t>16.依职责监督和指导实施药品、医疗器械经营、使用质量管理规范，监督实施标准和技术规范。负责全区药品、医疗器械和化妆品上市后风险管理。组织开展药品不良反应、医疗器械不良事件和化妆品不良反应的监测工作。依法承担药品、医疗器械和化妆品安全应急管理和投诉举报处置工作。</w:t>
      </w:r>
    </w:p>
    <w:p w:rsidR="00E539E2" w:rsidRDefault="00EC62F9" w:rsidP="001A6401">
      <w:pPr>
        <w:pStyle w:val="2"/>
        <w:numPr>
          <w:ilvl w:val="0"/>
          <w:numId w:val="2"/>
        </w:numPr>
        <w:spacing w:line="415" w:lineRule="auto"/>
        <w:rPr>
          <w:rFonts w:ascii="黑体" w:eastAsia="黑体"/>
          <w:b w:val="0"/>
        </w:rPr>
      </w:pPr>
      <w:bookmarkStart w:id="20" w:name="_Toc147678515"/>
      <w:bookmarkStart w:id="21" w:name="_Toc147676457"/>
      <w:r>
        <w:rPr>
          <w:rFonts w:ascii="黑体" w:eastAsia="黑体" w:hint="eastAsia"/>
          <w:b w:val="0"/>
        </w:rPr>
        <w:t>机构设置</w:t>
      </w:r>
      <w:bookmarkEnd w:id="20"/>
      <w:bookmarkEnd w:id="21"/>
    </w:p>
    <w:p w:rsidR="00E539E2" w:rsidRPr="001A6401" w:rsidRDefault="00EC62F9" w:rsidP="001A6401">
      <w:pPr>
        <w:widowControl/>
        <w:spacing w:line="500" w:lineRule="exact"/>
        <w:ind w:firstLineChars="200" w:firstLine="640"/>
        <w:jc w:val="left"/>
        <w:rPr>
          <w:rFonts w:ascii="仿宋" w:eastAsia="仿宋" w:hAnsi="仿宋"/>
          <w:sz w:val="32"/>
          <w:szCs w:val="32"/>
        </w:rPr>
      </w:pPr>
      <w:bookmarkStart w:id="22" w:name="_GoBack"/>
      <w:r w:rsidRPr="001A6401">
        <w:rPr>
          <w:rFonts w:ascii="仿宋" w:eastAsia="仿宋" w:hAnsi="仿宋" w:hint="eastAsia"/>
          <w:sz w:val="32"/>
          <w:szCs w:val="32"/>
        </w:rPr>
        <w:t>广元市市场监督管理局广元经开区分局</w:t>
      </w:r>
      <w:r w:rsidRPr="001A6401">
        <w:rPr>
          <w:rFonts w:ascii="仿宋" w:eastAsia="仿宋" w:hAnsi="仿宋"/>
          <w:sz w:val="32"/>
          <w:szCs w:val="32"/>
        </w:rPr>
        <w:t>属于广元市市场监督管理部门下属</w:t>
      </w:r>
      <w:r w:rsidR="00B24FF4">
        <w:rPr>
          <w:rFonts w:ascii="仿宋" w:eastAsia="仿宋" w:hAnsi="仿宋" w:hint="eastAsia"/>
          <w:sz w:val="32"/>
          <w:szCs w:val="32"/>
        </w:rPr>
        <w:t>的</w:t>
      </w:r>
      <w:r w:rsidRPr="001A6401">
        <w:rPr>
          <w:rFonts w:ascii="仿宋" w:eastAsia="仿宋" w:hAnsi="仿宋" w:hint="eastAsia"/>
          <w:sz w:val="32"/>
          <w:szCs w:val="32"/>
        </w:rPr>
        <w:t>二级预算单位</w:t>
      </w:r>
      <w:r w:rsidR="001A6401">
        <w:rPr>
          <w:rFonts w:ascii="仿宋" w:eastAsia="仿宋" w:hAnsi="仿宋" w:hint="eastAsia"/>
          <w:sz w:val="32"/>
          <w:szCs w:val="32"/>
        </w:rPr>
        <w:t>，</w:t>
      </w:r>
      <w:r w:rsidR="00B24FF4">
        <w:rPr>
          <w:rFonts w:ascii="仿宋" w:eastAsia="仿宋" w:hAnsi="仿宋" w:hint="eastAsia"/>
          <w:sz w:val="32"/>
          <w:szCs w:val="32"/>
        </w:rPr>
        <w:t>是独立</w:t>
      </w:r>
      <w:r w:rsidR="00D34E4E">
        <w:rPr>
          <w:rFonts w:ascii="仿宋" w:eastAsia="仿宋" w:hAnsi="仿宋" w:hint="eastAsia"/>
          <w:sz w:val="32"/>
          <w:szCs w:val="32"/>
        </w:rPr>
        <w:t>开展核算的</w:t>
      </w:r>
      <w:r w:rsidR="00B24FF4">
        <w:rPr>
          <w:rFonts w:ascii="仿宋" w:eastAsia="仿宋" w:hAnsi="仿宋" w:hint="eastAsia"/>
          <w:sz w:val="32"/>
          <w:szCs w:val="32"/>
        </w:rPr>
        <w:t>行政机构</w:t>
      </w:r>
      <w:r w:rsidRPr="001A6401">
        <w:rPr>
          <w:rFonts w:ascii="仿宋" w:eastAsia="仿宋" w:hAnsi="仿宋" w:hint="eastAsia"/>
          <w:sz w:val="32"/>
          <w:szCs w:val="32"/>
        </w:rPr>
        <w:t>。</w:t>
      </w:r>
    </w:p>
    <w:p w:rsidR="00E539E2" w:rsidRDefault="00E539E2" w:rsidP="00853EC2">
      <w:pPr>
        <w:pStyle w:val="a0"/>
        <w:spacing w:before="93"/>
        <w:rPr>
          <w:rFonts w:ascii="仿宋" w:eastAsia="仿宋" w:hAnsi="仿宋"/>
          <w:sz w:val="32"/>
          <w:szCs w:val="32"/>
          <w:highlight w:val="yellow"/>
        </w:rPr>
      </w:pPr>
    </w:p>
    <w:bookmarkEnd w:id="18"/>
    <w:bookmarkEnd w:id="19"/>
    <w:p w:rsidR="00E539E2" w:rsidRPr="001A6401" w:rsidRDefault="00E539E2" w:rsidP="00853EC2">
      <w:pPr>
        <w:pStyle w:val="a0"/>
        <w:spacing w:before="93"/>
        <w:rPr>
          <w:rFonts w:ascii="仿宋" w:eastAsia="仿宋" w:hAnsi="仿宋"/>
          <w:sz w:val="32"/>
          <w:szCs w:val="32"/>
          <w:highlight w:val="yellow"/>
        </w:rPr>
        <w:sectPr w:rsidR="00E539E2" w:rsidRPr="001A6401">
          <w:footerReference w:type="default" r:id="rId9"/>
          <w:pgSz w:w="11906" w:h="16838"/>
          <w:pgMar w:top="1418" w:right="1418" w:bottom="1134" w:left="1418" w:header="851" w:footer="964" w:gutter="0"/>
          <w:pgNumType w:start="1"/>
          <w:cols w:space="425"/>
          <w:docGrid w:type="lines" w:linePitch="312"/>
        </w:sectPr>
      </w:pPr>
    </w:p>
    <w:p w:rsidR="00E539E2" w:rsidRDefault="00EC62F9">
      <w:pPr>
        <w:pStyle w:val="1"/>
        <w:ind w:right="440"/>
        <w:jc w:val="center"/>
        <w:rPr>
          <w:rFonts w:ascii="黑体" w:eastAsia="黑体" w:hAnsi="黑体"/>
          <w:b w:val="0"/>
        </w:rPr>
      </w:pPr>
      <w:bookmarkStart w:id="23" w:name="_Toc15396602"/>
      <w:bookmarkStart w:id="24" w:name="_Toc15377204"/>
      <w:bookmarkStart w:id="25" w:name="_Toc147678516"/>
      <w:bookmarkStart w:id="26" w:name="_Toc147676458"/>
      <w:bookmarkEnd w:id="22"/>
      <w:r>
        <w:rPr>
          <w:rFonts w:ascii="黑体" w:eastAsia="黑体" w:hAnsi="黑体" w:hint="eastAsia"/>
          <w:b w:val="0"/>
        </w:rPr>
        <w:lastRenderedPageBreak/>
        <w:t>第二部分2022年度</w:t>
      </w:r>
      <w:r>
        <w:rPr>
          <w:rStyle w:val="1Char"/>
          <w:rFonts w:ascii="黑体" w:eastAsia="黑体" w:hAnsi="黑体" w:hint="eastAsia"/>
          <w:bCs/>
        </w:rPr>
        <w:t>单位决算情况说明</w:t>
      </w:r>
      <w:bookmarkEnd w:id="23"/>
      <w:bookmarkEnd w:id="24"/>
      <w:bookmarkEnd w:id="25"/>
      <w:bookmarkEnd w:id="26"/>
    </w:p>
    <w:p w:rsidR="00E539E2" w:rsidRDefault="00EC62F9">
      <w:pPr>
        <w:pStyle w:val="2"/>
        <w:spacing w:line="415" w:lineRule="auto"/>
        <w:ind w:firstLineChars="200" w:firstLine="640"/>
        <w:rPr>
          <w:rFonts w:ascii="黑体" w:eastAsia="黑体"/>
          <w:b w:val="0"/>
          <w:bCs w:val="0"/>
        </w:rPr>
      </w:pPr>
      <w:bookmarkStart w:id="27" w:name="_Toc15396603"/>
      <w:bookmarkStart w:id="28" w:name="_Toc147676459"/>
      <w:bookmarkStart w:id="29" w:name="_Toc15377205"/>
      <w:bookmarkStart w:id="30" w:name="_Toc147678517"/>
      <w:r>
        <w:rPr>
          <w:rFonts w:ascii="黑体" w:eastAsia="黑体" w:hint="eastAsia"/>
          <w:b w:val="0"/>
        </w:rPr>
        <w:t>一、收</w:t>
      </w:r>
      <w:r>
        <w:rPr>
          <w:rFonts w:ascii="黑体" w:eastAsia="黑体" w:hint="eastAsia"/>
          <w:b w:val="0"/>
          <w:bCs w:val="0"/>
        </w:rPr>
        <w:t>入支出决算总体情况说明</w:t>
      </w:r>
      <w:bookmarkEnd w:id="27"/>
      <w:bookmarkEnd w:id="28"/>
      <w:bookmarkEnd w:id="29"/>
      <w:bookmarkEnd w:id="30"/>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2022年度收、支总计389.43万元。与2021年相比，收、支总计各减少1.51万元，下降0.39</w:t>
      </w:r>
      <w:r>
        <w:rPr>
          <w:rFonts w:ascii="仿宋" w:eastAsia="仿宋" w:hAnsi="仿宋"/>
          <w:sz w:val="32"/>
          <w:szCs w:val="32"/>
        </w:rPr>
        <w:t>%</w:t>
      </w:r>
      <w:r>
        <w:rPr>
          <w:rFonts w:ascii="仿宋" w:eastAsia="仿宋" w:hAnsi="仿宋" w:hint="eastAsia"/>
          <w:sz w:val="32"/>
          <w:szCs w:val="32"/>
        </w:rPr>
        <w:t>。主要变动原因是项目支出预算减少。</w:t>
      </w:r>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（图</w:t>
      </w:r>
      <w:r>
        <w:rPr>
          <w:rFonts w:ascii="仿宋" w:eastAsia="仿宋" w:hAnsi="仿宋"/>
          <w:sz w:val="32"/>
          <w:szCs w:val="32"/>
        </w:rPr>
        <w:t>1</w:t>
      </w:r>
      <w:r>
        <w:rPr>
          <w:rFonts w:ascii="仿宋" w:eastAsia="仿宋" w:hAnsi="仿宋" w:hint="eastAsia"/>
          <w:sz w:val="32"/>
          <w:szCs w:val="32"/>
        </w:rPr>
        <w:t>：收、支决算总计变动情况图）（柱状图）</w:t>
      </w:r>
    </w:p>
    <w:p w:rsidR="00E539E2" w:rsidRDefault="00EC62F9">
      <w:pPr>
        <w:spacing w:line="600" w:lineRule="exact"/>
        <w:ind w:firstLineChars="200" w:firstLine="640"/>
        <w:jc w:val="left"/>
        <w:rPr>
          <w:rFonts w:ascii="仿宋_GB2312" w:eastAsia="仿宋_GB2312"/>
          <w:sz w:val="32"/>
          <w:szCs w:val="32"/>
        </w:rPr>
      </w:pPr>
      <w:r>
        <w:rPr>
          <w:rFonts w:ascii="仿宋_GB2312" w:eastAsia="仿宋_GB2312" w:hint="eastAsia"/>
          <w:noProof/>
          <w:sz w:val="32"/>
          <w:szCs w:val="32"/>
        </w:rPr>
        <w:drawing>
          <wp:anchor distT="0" distB="0" distL="114300" distR="114300" simplePos="0" relativeHeight="251661312" behindDoc="0" locked="0" layoutInCell="1" allowOverlap="1">
            <wp:simplePos x="0" y="0"/>
            <wp:positionH relativeFrom="column">
              <wp:posOffset>466725</wp:posOffset>
            </wp:positionH>
            <wp:positionV relativeFrom="paragraph">
              <wp:posOffset>116840</wp:posOffset>
            </wp:positionV>
            <wp:extent cx="4434840" cy="3028950"/>
            <wp:effectExtent l="19050" t="0" r="22860" b="0"/>
            <wp:wrapNone/>
            <wp:docPr id="5" name="对象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rsidR="00E539E2" w:rsidRDefault="00E539E2">
      <w:pPr>
        <w:spacing w:line="600" w:lineRule="exact"/>
        <w:ind w:firstLineChars="200" w:firstLine="640"/>
        <w:jc w:val="left"/>
        <w:rPr>
          <w:rFonts w:ascii="仿宋_GB2312" w:eastAsia="仿宋_GB2312"/>
          <w:sz w:val="32"/>
          <w:szCs w:val="32"/>
        </w:rPr>
      </w:pPr>
    </w:p>
    <w:p w:rsidR="00E539E2" w:rsidRDefault="00E539E2">
      <w:pPr>
        <w:spacing w:line="600" w:lineRule="exact"/>
        <w:ind w:firstLineChars="200" w:firstLine="640"/>
        <w:jc w:val="left"/>
        <w:rPr>
          <w:rFonts w:ascii="仿宋_GB2312" w:eastAsia="仿宋_GB2312"/>
          <w:sz w:val="32"/>
          <w:szCs w:val="32"/>
        </w:rPr>
      </w:pPr>
    </w:p>
    <w:p w:rsidR="00E539E2" w:rsidRDefault="00E539E2">
      <w:pPr>
        <w:spacing w:line="600" w:lineRule="exact"/>
        <w:ind w:firstLineChars="200" w:firstLine="640"/>
        <w:jc w:val="left"/>
        <w:rPr>
          <w:rFonts w:ascii="仿宋_GB2312" w:eastAsia="仿宋_GB2312"/>
          <w:sz w:val="32"/>
          <w:szCs w:val="32"/>
        </w:rPr>
      </w:pPr>
    </w:p>
    <w:p w:rsidR="00E539E2" w:rsidRDefault="00E539E2">
      <w:pPr>
        <w:spacing w:line="600" w:lineRule="exact"/>
        <w:ind w:firstLineChars="200" w:firstLine="640"/>
        <w:jc w:val="left"/>
        <w:rPr>
          <w:rFonts w:ascii="仿宋_GB2312" w:eastAsia="仿宋_GB2312"/>
          <w:sz w:val="32"/>
          <w:szCs w:val="32"/>
        </w:rPr>
      </w:pPr>
    </w:p>
    <w:p w:rsidR="00E539E2" w:rsidRDefault="00E539E2">
      <w:pPr>
        <w:spacing w:line="600" w:lineRule="exact"/>
        <w:ind w:firstLineChars="200" w:firstLine="640"/>
        <w:jc w:val="left"/>
        <w:rPr>
          <w:rFonts w:ascii="仿宋_GB2312" w:eastAsia="仿宋_GB2312"/>
          <w:sz w:val="32"/>
          <w:szCs w:val="32"/>
        </w:rPr>
      </w:pPr>
    </w:p>
    <w:p w:rsidR="00E539E2" w:rsidRDefault="00E539E2">
      <w:pPr>
        <w:spacing w:line="600" w:lineRule="exact"/>
        <w:ind w:firstLineChars="200" w:firstLine="640"/>
        <w:jc w:val="left"/>
        <w:rPr>
          <w:rFonts w:ascii="仿宋_GB2312" w:eastAsia="仿宋_GB2312"/>
          <w:sz w:val="32"/>
          <w:szCs w:val="32"/>
        </w:rPr>
      </w:pPr>
    </w:p>
    <w:p w:rsidR="00E539E2" w:rsidRDefault="00E539E2">
      <w:pPr>
        <w:pStyle w:val="a0"/>
        <w:spacing w:before="93"/>
      </w:pPr>
    </w:p>
    <w:p w:rsidR="00E539E2" w:rsidRDefault="00EC62F9">
      <w:pPr>
        <w:pStyle w:val="2"/>
        <w:spacing w:line="415" w:lineRule="auto"/>
        <w:ind w:firstLineChars="200" w:firstLine="640"/>
        <w:rPr>
          <w:rStyle w:val="2Char"/>
          <w:rFonts w:ascii="黑体" w:eastAsia="黑体"/>
          <w:b/>
          <w:bCs/>
        </w:rPr>
      </w:pPr>
      <w:bookmarkStart w:id="31" w:name="_Toc147676460"/>
      <w:bookmarkStart w:id="32" w:name="_Toc15377206"/>
      <w:bookmarkStart w:id="33" w:name="_Toc15396604"/>
      <w:bookmarkStart w:id="34" w:name="_Toc147678518"/>
      <w:r>
        <w:rPr>
          <w:rFonts w:ascii="黑体" w:eastAsia="黑体" w:hint="eastAsia"/>
          <w:b w:val="0"/>
        </w:rPr>
        <w:t>二、收</w:t>
      </w:r>
      <w:r>
        <w:rPr>
          <w:rStyle w:val="2Char"/>
          <w:rFonts w:ascii="黑体" w:eastAsia="黑体" w:hint="eastAsia"/>
          <w:bCs/>
        </w:rPr>
        <w:t>入决算情况说明</w:t>
      </w:r>
      <w:bookmarkEnd w:id="31"/>
      <w:bookmarkEnd w:id="32"/>
      <w:bookmarkEnd w:id="33"/>
      <w:bookmarkEnd w:id="34"/>
    </w:p>
    <w:p w:rsidR="00E539E2" w:rsidRDefault="00EC62F9">
      <w:pPr>
        <w:spacing w:line="600" w:lineRule="exact"/>
        <w:ind w:firstLineChars="200" w:firstLine="640"/>
        <w:outlineLvl w:val="1"/>
        <w:rPr>
          <w:rFonts w:ascii="仿宋" w:eastAsia="仿宋" w:hAnsi="仿宋"/>
          <w:sz w:val="32"/>
          <w:szCs w:val="32"/>
        </w:rPr>
      </w:pPr>
      <w:bookmarkStart w:id="35" w:name="_Toc147676461"/>
      <w:bookmarkStart w:id="36" w:name="_Toc147678519"/>
      <w:r>
        <w:rPr>
          <w:rFonts w:ascii="仿宋" w:eastAsia="仿宋" w:hAnsi="仿宋"/>
          <w:sz w:val="32"/>
          <w:szCs w:val="32"/>
        </w:rPr>
        <w:t>20</w:t>
      </w:r>
      <w:r>
        <w:rPr>
          <w:rFonts w:ascii="仿宋" w:eastAsia="仿宋" w:hAnsi="仿宋" w:hint="eastAsia"/>
          <w:sz w:val="32"/>
          <w:szCs w:val="32"/>
        </w:rPr>
        <w:t>22年本年收入合计351.71万元，其中：一般公共预算财政拨款收入351.71万元，占100</w:t>
      </w:r>
      <w:r>
        <w:rPr>
          <w:rFonts w:ascii="仿宋" w:eastAsia="仿宋" w:hAnsi="仿宋"/>
          <w:sz w:val="32"/>
          <w:szCs w:val="32"/>
        </w:rPr>
        <w:t>%</w:t>
      </w:r>
      <w:r>
        <w:rPr>
          <w:rFonts w:ascii="仿宋" w:eastAsia="仿宋" w:hAnsi="仿宋" w:hint="eastAsia"/>
          <w:sz w:val="32"/>
          <w:szCs w:val="32"/>
        </w:rPr>
        <w:t>。</w:t>
      </w:r>
      <w:bookmarkEnd w:id="35"/>
      <w:bookmarkEnd w:id="36"/>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（图2：收入决算结构图）（饼状图）</w:t>
      </w:r>
    </w:p>
    <w:p w:rsidR="00E539E2" w:rsidRDefault="00E539E2">
      <w:pPr>
        <w:spacing w:line="600" w:lineRule="exact"/>
        <w:ind w:firstLineChars="200" w:firstLine="640"/>
        <w:rPr>
          <w:rFonts w:ascii="仿宋_GB2312" w:eastAsia="仿宋_GB2312"/>
          <w:sz w:val="32"/>
          <w:szCs w:val="32"/>
        </w:rPr>
      </w:pPr>
    </w:p>
    <w:p w:rsidR="00E539E2" w:rsidRDefault="00E539E2">
      <w:pPr>
        <w:pStyle w:val="a0"/>
        <w:spacing w:before="93"/>
      </w:pPr>
    </w:p>
    <w:p w:rsidR="00E539E2" w:rsidRDefault="00EC62F9">
      <w:pPr>
        <w:pStyle w:val="a0"/>
        <w:spacing w:before="93"/>
      </w:pPr>
      <w:r>
        <w:rPr>
          <w:noProof/>
        </w:rPr>
        <w:lastRenderedPageBreak/>
        <w:drawing>
          <wp:anchor distT="0" distB="0" distL="114300" distR="114300" simplePos="0" relativeHeight="251662336" behindDoc="1" locked="0" layoutInCell="1" allowOverlap="1">
            <wp:simplePos x="0" y="0"/>
            <wp:positionH relativeFrom="column">
              <wp:posOffset>454025</wp:posOffset>
            </wp:positionH>
            <wp:positionV relativeFrom="paragraph">
              <wp:posOffset>-238125</wp:posOffset>
            </wp:positionV>
            <wp:extent cx="4447540" cy="2886075"/>
            <wp:effectExtent l="19050" t="0" r="10160" b="0"/>
            <wp:wrapTight wrapText="bothSides">
              <wp:wrapPolygon edited="0">
                <wp:start x="-93" y="0"/>
                <wp:lineTo x="-93" y="21529"/>
                <wp:lineTo x="21649" y="21529"/>
                <wp:lineTo x="21649" y="0"/>
                <wp:lineTo x="-93" y="0"/>
              </wp:wrapPolygon>
            </wp:wrapTight>
            <wp:docPr id="1" name="对象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2"/>
        <w:spacing w:line="415" w:lineRule="auto"/>
        <w:ind w:firstLineChars="200" w:firstLine="640"/>
        <w:rPr>
          <w:rFonts w:ascii="黑体" w:eastAsia="黑体"/>
          <w:b w:val="0"/>
        </w:rPr>
      </w:pPr>
      <w:bookmarkStart w:id="37" w:name="_Toc15377207"/>
      <w:bookmarkStart w:id="38" w:name="_Toc147676462"/>
      <w:bookmarkStart w:id="39" w:name="_Toc15396605"/>
      <w:bookmarkStart w:id="40" w:name="_Toc147678520"/>
      <w:r>
        <w:rPr>
          <w:rFonts w:ascii="黑体" w:eastAsia="黑体" w:hint="eastAsia"/>
          <w:b w:val="0"/>
        </w:rPr>
        <w:t>三、支出决算情况说明</w:t>
      </w:r>
      <w:bookmarkEnd w:id="37"/>
      <w:bookmarkEnd w:id="38"/>
      <w:bookmarkEnd w:id="39"/>
      <w:bookmarkEnd w:id="40"/>
    </w:p>
    <w:p w:rsidR="00E539E2" w:rsidRDefault="00EC62F9">
      <w:pPr>
        <w:spacing w:line="600" w:lineRule="exact"/>
        <w:ind w:firstLineChars="200" w:firstLine="640"/>
        <w:outlineLvl w:val="1"/>
        <w:rPr>
          <w:rFonts w:ascii="仿宋" w:eastAsia="仿宋" w:hAnsi="仿宋"/>
          <w:sz w:val="32"/>
          <w:szCs w:val="32"/>
        </w:rPr>
      </w:pPr>
      <w:bookmarkStart w:id="41" w:name="_Toc147678521"/>
      <w:bookmarkStart w:id="42" w:name="_Toc147676463"/>
      <w:r>
        <w:rPr>
          <w:rFonts w:ascii="仿宋" w:eastAsia="仿宋" w:hAnsi="仿宋"/>
          <w:sz w:val="32"/>
          <w:szCs w:val="32"/>
        </w:rPr>
        <w:t>20</w:t>
      </w:r>
      <w:r>
        <w:rPr>
          <w:rFonts w:ascii="仿宋" w:eastAsia="仿宋" w:hAnsi="仿宋" w:hint="eastAsia"/>
          <w:sz w:val="32"/>
          <w:szCs w:val="32"/>
        </w:rPr>
        <w:t>22年本年支出合计389.43万元，其中：基本支出322.88万元，占82.91</w:t>
      </w:r>
      <w:r>
        <w:rPr>
          <w:rFonts w:ascii="仿宋" w:eastAsia="仿宋" w:hAnsi="仿宋"/>
          <w:sz w:val="32"/>
          <w:szCs w:val="32"/>
        </w:rPr>
        <w:t>%</w:t>
      </w:r>
      <w:r>
        <w:rPr>
          <w:rFonts w:ascii="仿宋" w:eastAsia="仿宋" w:hAnsi="仿宋" w:hint="eastAsia"/>
          <w:sz w:val="32"/>
          <w:szCs w:val="32"/>
        </w:rPr>
        <w:t>；项目支出66.55万元，占17.09</w:t>
      </w:r>
      <w:r>
        <w:rPr>
          <w:rFonts w:ascii="仿宋" w:eastAsia="仿宋" w:hAnsi="仿宋"/>
          <w:sz w:val="32"/>
          <w:szCs w:val="32"/>
        </w:rPr>
        <w:t>%</w:t>
      </w:r>
      <w:r>
        <w:rPr>
          <w:rFonts w:ascii="仿宋" w:eastAsia="仿宋" w:hAnsi="仿宋" w:hint="eastAsia"/>
          <w:sz w:val="32"/>
          <w:szCs w:val="32"/>
        </w:rPr>
        <w:t>。</w:t>
      </w:r>
      <w:bookmarkEnd w:id="41"/>
      <w:bookmarkEnd w:id="42"/>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（图3：支出决算结构图）（饼状图）</w:t>
      </w:r>
    </w:p>
    <w:p w:rsidR="00E539E2" w:rsidRDefault="00EC62F9">
      <w:pPr>
        <w:spacing w:line="600" w:lineRule="exact"/>
        <w:ind w:firstLineChars="200" w:firstLine="640"/>
        <w:rPr>
          <w:rFonts w:ascii="仿宋_GB2312" w:eastAsia="仿宋_GB2312"/>
          <w:sz w:val="32"/>
          <w:szCs w:val="32"/>
        </w:rPr>
      </w:pPr>
      <w:r>
        <w:rPr>
          <w:rFonts w:ascii="仿宋_GB2312" w:eastAsia="仿宋_GB2312" w:hint="eastAsia"/>
          <w:noProof/>
          <w:sz w:val="32"/>
          <w:szCs w:val="32"/>
        </w:rPr>
        <w:drawing>
          <wp:anchor distT="0" distB="0" distL="114300" distR="114300" simplePos="0" relativeHeight="251663360" behindDoc="0" locked="0" layoutInCell="1" allowOverlap="1">
            <wp:simplePos x="0" y="0"/>
            <wp:positionH relativeFrom="column">
              <wp:posOffset>457200</wp:posOffset>
            </wp:positionH>
            <wp:positionV relativeFrom="paragraph">
              <wp:posOffset>201930</wp:posOffset>
            </wp:positionV>
            <wp:extent cx="4476115" cy="3171825"/>
            <wp:effectExtent l="19050" t="0" r="19685" b="0"/>
            <wp:wrapNone/>
            <wp:docPr id="7" name="对象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rsidR="00E539E2" w:rsidRDefault="00E539E2">
      <w:pPr>
        <w:spacing w:line="600" w:lineRule="exact"/>
        <w:ind w:firstLineChars="200" w:firstLine="640"/>
        <w:rPr>
          <w:rFonts w:ascii="仿宋_GB2312" w:eastAsia="仿宋_GB2312"/>
          <w:sz w:val="32"/>
          <w:szCs w:val="32"/>
        </w:rPr>
      </w:pPr>
    </w:p>
    <w:p w:rsidR="00E539E2" w:rsidRDefault="00E539E2">
      <w:pPr>
        <w:spacing w:line="600" w:lineRule="exact"/>
        <w:ind w:firstLineChars="200" w:firstLine="640"/>
        <w:rPr>
          <w:rFonts w:ascii="仿宋_GB2312" w:eastAsia="仿宋_GB2312"/>
          <w:sz w:val="32"/>
          <w:szCs w:val="32"/>
        </w:rPr>
      </w:pPr>
    </w:p>
    <w:p w:rsidR="00E539E2" w:rsidRDefault="00E539E2">
      <w:pPr>
        <w:spacing w:line="600" w:lineRule="exact"/>
        <w:ind w:firstLineChars="200" w:firstLine="640"/>
        <w:rPr>
          <w:rFonts w:ascii="仿宋_GB2312" w:eastAsia="仿宋_GB2312"/>
          <w:sz w:val="32"/>
          <w:szCs w:val="32"/>
        </w:rPr>
      </w:pPr>
    </w:p>
    <w:p w:rsidR="00E539E2" w:rsidRDefault="00E539E2">
      <w:pPr>
        <w:spacing w:line="600" w:lineRule="exact"/>
        <w:ind w:firstLineChars="200" w:firstLine="640"/>
        <w:rPr>
          <w:rFonts w:ascii="仿宋_GB2312" w:eastAsia="仿宋_GB2312"/>
          <w:sz w:val="32"/>
          <w:szCs w:val="32"/>
        </w:rPr>
      </w:pPr>
    </w:p>
    <w:p w:rsidR="00E539E2" w:rsidRDefault="00E539E2">
      <w:pPr>
        <w:spacing w:line="600" w:lineRule="exact"/>
        <w:ind w:firstLineChars="200" w:firstLine="640"/>
        <w:rPr>
          <w:rFonts w:ascii="仿宋_GB2312" w:eastAsia="仿宋_GB2312"/>
          <w:sz w:val="32"/>
          <w:szCs w:val="32"/>
        </w:rPr>
      </w:pPr>
    </w:p>
    <w:p w:rsidR="00E539E2" w:rsidRDefault="00E539E2">
      <w:pPr>
        <w:spacing w:line="600" w:lineRule="exact"/>
        <w:ind w:firstLineChars="200" w:firstLine="640"/>
        <w:rPr>
          <w:rFonts w:ascii="仿宋_GB2312" w:eastAsia="仿宋_GB2312"/>
          <w:sz w:val="32"/>
          <w:szCs w:val="32"/>
        </w:rPr>
      </w:pPr>
    </w:p>
    <w:p w:rsidR="00E539E2" w:rsidRDefault="00E539E2">
      <w:pPr>
        <w:spacing w:line="600" w:lineRule="exact"/>
        <w:ind w:firstLineChars="200" w:firstLine="640"/>
        <w:rPr>
          <w:rFonts w:ascii="仿宋_GB2312" w:eastAsia="仿宋_GB2312"/>
          <w:sz w:val="32"/>
          <w:szCs w:val="32"/>
        </w:rPr>
      </w:pPr>
    </w:p>
    <w:p w:rsidR="00E539E2" w:rsidRDefault="00E539E2">
      <w:pPr>
        <w:spacing w:line="600" w:lineRule="exact"/>
        <w:rPr>
          <w:rFonts w:ascii="仿宋_GB2312" w:eastAsia="仿宋_GB2312"/>
          <w:sz w:val="32"/>
          <w:szCs w:val="32"/>
        </w:rPr>
      </w:pPr>
    </w:p>
    <w:p w:rsidR="00E539E2" w:rsidRDefault="00EC62F9">
      <w:pPr>
        <w:pStyle w:val="2"/>
        <w:spacing w:line="415" w:lineRule="auto"/>
        <w:ind w:firstLineChars="200" w:firstLine="640"/>
        <w:rPr>
          <w:rFonts w:ascii="黑体" w:eastAsia="黑体"/>
          <w:b w:val="0"/>
        </w:rPr>
      </w:pPr>
      <w:bookmarkStart w:id="43" w:name="_Toc147676464"/>
      <w:bookmarkStart w:id="44" w:name="_Toc147678522"/>
      <w:bookmarkStart w:id="45" w:name="_Toc15377208"/>
      <w:bookmarkStart w:id="46" w:name="_Toc15396606"/>
      <w:r>
        <w:rPr>
          <w:rFonts w:ascii="黑体" w:eastAsia="黑体" w:hint="eastAsia"/>
          <w:b w:val="0"/>
        </w:rPr>
        <w:lastRenderedPageBreak/>
        <w:t>四、财政拨款收入支出决算总体情况说明</w:t>
      </w:r>
      <w:bookmarkEnd w:id="43"/>
      <w:bookmarkEnd w:id="44"/>
      <w:bookmarkEnd w:id="45"/>
      <w:bookmarkEnd w:id="46"/>
    </w:p>
    <w:p w:rsidR="00E539E2" w:rsidRDefault="00EC62F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22年财政拨款收、支总计389.43万元。与</w:t>
      </w:r>
      <w:r>
        <w:rPr>
          <w:rFonts w:ascii="仿宋" w:eastAsia="仿宋" w:hAnsi="仿宋"/>
          <w:sz w:val="32"/>
          <w:szCs w:val="32"/>
        </w:rPr>
        <w:t>20</w:t>
      </w:r>
      <w:r>
        <w:rPr>
          <w:rFonts w:ascii="仿宋" w:eastAsia="仿宋" w:hAnsi="仿宋" w:hint="eastAsia"/>
          <w:sz w:val="32"/>
          <w:szCs w:val="32"/>
        </w:rPr>
        <w:t>21年相比，财政拨款收、支总计各减少1.51万元，下降0.39</w:t>
      </w:r>
      <w:r>
        <w:rPr>
          <w:rFonts w:ascii="仿宋" w:eastAsia="仿宋" w:hAnsi="仿宋"/>
          <w:sz w:val="32"/>
          <w:szCs w:val="32"/>
        </w:rPr>
        <w:t>%</w:t>
      </w:r>
      <w:r>
        <w:rPr>
          <w:rFonts w:ascii="仿宋" w:eastAsia="仿宋" w:hAnsi="仿宋" w:hint="eastAsia"/>
          <w:sz w:val="32"/>
          <w:szCs w:val="32"/>
        </w:rPr>
        <w:t>。主要变动原因是项目支出预算减少。</w:t>
      </w:r>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（图4：财政拨款收、支决算总计变动情况）（柱状图）</w:t>
      </w:r>
    </w:p>
    <w:p w:rsidR="00E539E2" w:rsidRDefault="00EC62F9">
      <w:pPr>
        <w:spacing w:line="600" w:lineRule="exact"/>
        <w:ind w:firstLine="640"/>
        <w:rPr>
          <w:rFonts w:ascii="仿宋" w:eastAsia="仿宋" w:hAnsi="仿宋"/>
          <w:b/>
          <w:sz w:val="32"/>
          <w:szCs w:val="32"/>
        </w:rPr>
      </w:pPr>
      <w:r>
        <w:rPr>
          <w:rFonts w:ascii="仿宋" w:eastAsia="仿宋" w:hAnsi="仿宋" w:hint="eastAsia"/>
          <w:b/>
          <w:noProof/>
          <w:sz w:val="32"/>
          <w:szCs w:val="32"/>
        </w:rPr>
        <w:drawing>
          <wp:anchor distT="0" distB="0" distL="114300" distR="114300" simplePos="0" relativeHeight="251664384" behindDoc="0" locked="0" layoutInCell="1" allowOverlap="1">
            <wp:simplePos x="0" y="0"/>
            <wp:positionH relativeFrom="column">
              <wp:posOffset>552450</wp:posOffset>
            </wp:positionH>
            <wp:positionV relativeFrom="paragraph">
              <wp:posOffset>172085</wp:posOffset>
            </wp:positionV>
            <wp:extent cx="4434840" cy="2867025"/>
            <wp:effectExtent l="19050" t="0" r="22860" b="0"/>
            <wp:wrapNone/>
            <wp:docPr id="2" name="对象 1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2"/>
        <w:spacing w:line="415" w:lineRule="auto"/>
        <w:ind w:firstLineChars="200" w:firstLine="640"/>
        <w:rPr>
          <w:rFonts w:ascii="黑体" w:eastAsia="黑体"/>
          <w:b w:val="0"/>
        </w:rPr>
      </w:pPr>
      <w:bookmarkStart w:id="47" w:name="_Toc15377209"/>
      <w:bookmarkStart w:id="48" w:name="_Toc147676465"/>
      <w:bookmarkStart w:id="49" w:name="_Toc15396607"/>
      <w:bookmarkStart w:id="50" w:name="_Toc147678523"/>
      <w:r>
        <w:rPr>
          <w:rFonts w:ascii="黑体" w:eastAsia="黑体" w:hint="eastAsia"/>
          <w:b w:val="0"/>
        </w:rPr>
        <w:t>五、一般公共预算财政拨款支出决算情况说明</w:t>
      </w:r>
      <w:bookmarkEnd w:id="47"/>
      <w:bookmarkEnd w:id="48"/>
      <w:bookmarkEnd w:id="49"/>
      <w:bookmarkEnd w:id="50"/>
    </w:p>
    <w:p w:rsidR="00E539E2" w:rsidRDefault="00EC62F9" w:rsidP="00853EC2">
      <w:pPr>
        <w:spacing w:line="600" w:lineRule="exact"/>
        <w:ind w:firstLineChars="200" w:firstLine="643"/>
        <w:outlineLvl w:val="2"/>
        <w:rPr>
          <w:rFonts w:ascii="仿宋" w:eastAsia="仿宋" w:hAnsi="仿宋"/>
          <w:b/>
          <w:sz w:val="32"/>
          <w:szCs w:val="32"/>
        </w:rPr>
      </w:pPr>
      <w:bookmarkStart w:id="51" w:name="_Toc147678524"/>
      <w:bookmarkStart w:id="52" w:name="_Toc15377210"/>
      <w:r>
        <w:rPr>
          <w:rFonts w:ascii="仿宋" w:eastAsia="仿宋" w:hAnsi="仿宋" w:hint="eastAsia"/>
          <w:b/>
          <w:sz w:val="32"/>
          <w:szCs w:val="32"/>
        </w:rPr>
        <w:t>（一）一般公共预算财政拨款支出决算总体情况</w:t>
      </w:r>
      <w:bookmarkEnd w:id="51"/>
      <w:bookmarkEnd w:id="52"/>
    </w:p>
    <w:p w:rsidR="00E539E2" w:rsidRDefault="00EC62F9">
      <w:pPr>
        <w:spacing w:line="600" w:lineRule="exact"/>
        <w:ind w:firstLineChars="200"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22年一般公共预算财政拨款支出389.43万元，占本年支出合计的100</w:t>
      </w:r>
      <w:r>
        <w:rPr>
          <w:rFonts w:ascii="仿宋" w:eastAsia="仿宋" w:hAnsi="仿宋"/>
          <w:sz w:val="32"/>
          <w:szCs w:val="32"/>
        </w:rPr>
        <w:t>%</w:t>
      </w:r>
      <w:r>
        <w:rPr>
          <w:rFonts w:ascii="仿宋" w:eastAsia="仿宋" w:hAnsi="仿宋" w:hint="eastAsia"/>
          <w:sz w:val="32"/>
          <w:szCs w:val="32"/>
        </w:rPr>
        <w:t>。与</w:t>
      </w:r>
      <w:r>
        <w:rPr>
          <w:rFonts w:ascii="仿宋" w:eastAsia="仿宋" w:hAnsi="仿宋"/>
          <w:sz w:val="32"/>
          <w:szCs w:val="32"/>
        </w:rPr>
        <w:t>20</w:t>
      </w:r>
      <w:r>
        <w:rPr>
          <w:rFonts w:ascii="仿宋" w:eastAsia="仿宋" w:hAnsi="仿宋" w:hint="eastAsia"/>
          <w:sz w:val="32"/>
          <w:szCs w:val="32"/>
        </w:rPr>
        <w:t>21年相比，一般公共预算财政拨款支出增加36.21万元，增长10.25</w:t>
      </w:r>
      <w:r>
        <w:rPr>
          <w:rFonts w:ascii="仿宋" w:eastAsia="仿宋" w:hAnsi="仿宋"/>
          <w:sz w:val="32"/>
          <w:szCs w:val="32"/>
        </w:rPr>
        <w:t>%</w:t>
      </w:r>
      <w:r>
        <w:rPr>
          <w:rFonts w:ascii="仿宋" w:eastAsia="仿宋" w:hAnsi="仿宋" w:hint="eastAsia"/>
          <w:sz w:val="32"/>
          <w:szCs w:val="32"/>
        </w:rPr>
        <w:t>。主要变动原因是上年结转资金实现支出。</w:t>
      </w:r>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（图5：一般公共预算财政拨款支出决算变动情况）（柱状图）</w:t>
      </w:r>
    </w:p>
    <w:p w:rsidR="00E539E2" w:rsidRDefault="00EC62F9">
      <w:pPr>
        <w:pStyle w:val="a0"/>
        <w:spacing w:before="93"/>
      </w:pPr>
      <w:r>
        <w:rPr>
          <w:rFonts w:hint="eastAsia"/>
          <w:noProof/>
        </w:rPr>
        <w:lastRenderedPageBreak/>
        <w:drawing>
          <wp:anchor distT="0" distB="0" distL="114300" distR="114300" simplePos="0" relativeHeight="251665408" behindDoc="1" locked="0" layoutInCell="1" allowOverlap="1">
            <wp:simplePos x="0" y="0"/>
            <wp:positionH relativeFrom="column">
              <wp:posOffset>552450</wp:posOffset>
            </wp:positionH>
            <wp:positionV relativeFrom="paragraph">
              <wp:posOffset>190500</wp:posOffset>
            </wp:positionV>
            <wp:extent cx="4486275" cy="2905125"/>
            <wp:effectExtent l="19050" t="0" r="9525" b="0"/>
            <wp:wrapNone/>
            <wp:docPr id="10" name="对象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rsidP="00853EC2">
      <w:pPr>
        <w:spacing w:line="600" w:lineRule="exact"/>
        <w:ind w:firstLineChars="200" w:firstLine="643"/>
        <w:outlineLvl w:val="2"/>
        <w:rPr>
          <w:rFonts w:ascii="仿宋" w:eastAsia="仿宋" w:hAnsi="仿宋"/>
          <w:b/>
          <w:sz w:val="32"/>
          <w:szCs w:val="32"/>
        </w:rPr>
      </w:pPr>
      <w:bookmarkStart w:id="53" w:name="_Toc15377211"/>
      <w:bookmarkStart w:id="54" w:name="_Toc147678525"/>
      <w:r>
        <w:rPr>
          <w:rFonts w:ascii="仿宋" w:eastAsia="仿宋" w:hAnsi="仿宋" w:hint="eastAsia"/>
          <w:b/>
          <w:sz w:val="32"/>
          <w:szCs w:val="32"/>
        </w:rPr>
        <w:t>（二）一般公共预算财政拨款支出决算结构情况</w:t>
      </w:r>
      <w:bookmarkEnd w:id="53"/>
      <w:bookmarkEnd w:id="54"/>
    </w:p>
    <w:p w:rsidR="00E539E2" w:rsidRDefault="00EC62F9">
      <w:pPr>
        <w:spacing w:line="600" w:lineRule="exact"/>
        <w:ind w:firstLine="640"/>
        <w:rPr>
          <w:rFonts w:ascii="仿宋" w:eastAsia="仿宋" w:hAnsi="仿宋"/>
          <w:b/>
          <w:sz w:val="32"/>
          <w:szCs w:val="32"/>
        </w:rPr>
      </w:pPr>
      <w:r>
        <w:rPr>
          <w:rFonts w:ascii="仿宋" w:eastAsia="仿宋" w:hAnsi="仿宋"/>
          <w:sz w:val="32"/>
          <w:szCs w:val="32"/>
        </w:rPr>
        <w:t>20</w:t>
      </w:r>
      <w:r>
        <w:rPr>
          <w:rFonts w:ascii="仿宋" w:eastAsia="仿宋" w:hAnsi="仿宋" w:hint="eastAsia"/>
          <w:sz w:val="32"/>
          <w:szCs w:val="32"/>
        </w:rPr>
        <w:t>22年一般公共预算财政拨款支出389.43万元，主要用于以下方面：</w:t>
      </w:r>
      <w:r>
        <w:rPr>
          <w:rFonts w:ascii="仿宋" w:eastAsia="仿宋" w:hAnsi="仿宋" w:hint="eastAsia"/>
          <w:b/>
          <w:sz w:val="32"/>
          <w:szCs w:val="32"/>
        </w:rPr>
        <w:t>一般公共服务</w:t>
      </w:r>
      <w:r>
        <w:rPr>
          <w:rFonts w:ascii="仿宋" w:eastAsia="仿宋" w:hAnsi="仿宋" w:hint="eastAsia"/>
          <w:b/>
          <w:bCs/>
          <w:sz w:val="32"/>
          <w:szCs w:val="32"/>
        </w:rPr>
        <w:t>支出</w:t>
      </w:r>
      <w:r>
        <w:rPr>
          <w:rFonts w:ascii="仿宋" w:eastAsia="仿宋" w:hAnsi="仿宋" w:hint="eastAsia"/>
          <w:sz w:val="32"/>
          <w:szCs w:val="32"/>
        </w:rPr>
        <w:t>339.70万元，占87.23</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sz w:val="32"/>
          <w:szCs w:val="32"/>
        </w:rPr>
        <w:t>社会保障和就业</w:t>
      </w:r>
      <w:r>
        <w:rPr>
          <w:rFonts w:ascii="仿宋" w:eastAsia="仿宋" w:hAnsi="仿宋" w:hint="eastAsia"/>
          <w:b/>
          <w:bCs/>
          <w:sz w:val="32"/>
          <w:szCs w:val="32"/>
        </w:rPr>
        <w:t>支出</w:t>
      </w:r>
      <w:r>
        <w:rPr>
          <w:rFonts w:ascii="仿宋" w:eastAsia="仿宋" w:hAnsi="仿宋" w:hint="eastAsia"/>
          <w:sz w:val="32"/>
          <w:szCs w:val="32"/>
        </w:rPr>
        <w:t>20.17万元，占5.18</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卫生健康支出</w:t>
      </w:r>
      <w:r>
        <w:rPr>
          <w:rFonts w:ascii="仿宋" w:eastAsia="仿宋" w:hAnsi="仿宋" w:hint="eastAsia"/>
          <w:sz w:val="32"/>
          <w:szCs w:val="32"/>
        </w:rPr>
        <w:t>10.04万元，占2.58</w:t>
      </w:r>
      <w:r>
        <w:rPr>
          <w:rFonts w:ascii="仿宋" w:eastAsia="仿宋" w:hAnsi="仿宋"/>
          <w:sz w:val="32"/>
          <w:szCs w:val="32"/>
        </w:rPr>
        <w:t>%</w:t>
      </w:r>
      <w:r>
        <w:rPr>
          <w:rFonts w:ascii="仿宋" w:eastAsia="仿宋" w:hAnsi="仿宋" w:hint="eastAsia"/>
          <w:sz w:val="32"/>
          <w:szCs w:val="32"/>
        </w:rPr>
        <w:t>；</w:t>
      </w:r>
      <w:r>
        <w:rPr>
          <w:rFonts w:ascii="仿宋" w:eastAsia="仿宋" w:hAnsi="仿宋" w:hint="eastAsia"/>
          <w:b/>
          <w:bCs/>
          <w:sz w:val="32"/>
          <w:szCs w:val="32"/>
        </w:rPr>
        <w:t>住房保障支出</w:t>
      </w:r>
      <w:r>
        <w:rPr>
          <w:rFonts w:ascii="仿宋" w:eastAsia="仿宋" w:hAnsi="仿宋" w:hint="eastAsia"/>
          <w:sz w:val="32"/>
          <w:szCs w:val="32"/>
        </w:rPr>
        <w:t>19.52万元，占5.01</w:t>
      </w:r>
      <w:r>
        <w:rPr>
          <w:rFonts w:ascii="仿宋" w:eastAsia="仿宋" w:hAnsi="仿宋"/>
          <w:sz w:val="32"/>
          <w:szCs w:val="32"/>
        </w:rPr>
        <w:t>%</w:t>
      </w:r>
      <w:r>
        <w:rPr>
          <w:rFonts w:ascii="仿宋" w:eastAsia="仿宋" w:hAnsi="仿宋" w:hint="eastAsia"/>
          <w:sz w:val="32"/>
          <w:szCs w:val="32"/>
        </w:rPr>
        <w:t>。</w:t>
      </w:r>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（图6：一般公共预算财政拨款支出决算结构）（饼状图）</w:t>
      </w:r>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noProof/>
          <w:sz w:val="32"/>
          <w:szCs w:val="32"/>
        </w:rPr>
        <w:drawing>
          <wp:anchor distT="0" distB="0" distL="114300" distR="114300" simplePos="0" relativeHeight="251666432" behindDoc="0" locked="0" layoutInCell="1" allowOverlap="1">
            <wp:simplePos x="0" y="0"/>
            <wp:positionH relativeFrom="column">
              <wp:posOffset>514350</wp:posOffset>
            </wp:positionH>
            <wp:positionV relativeFrom="paragraph">
              <wp:posOffset>177165</wp:posOffset>
            </wp:positionV>
            <wp:extent cx="4629150" cy="2905125"/>
            <wp:effectExtent l="19050" t="0" r="19050" b="0"/>
            <wp:wrapNone/>
            <wp:docPr id="11" name="对象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rsidP="00853EC2">
      <w:pPr>
        <w:spacing w:line="600" w:lineRule="exact"/>
        <w:ind w:firstLineChars="200" w:firstLine="643"/>
        <w:outlineLvl w:val="2"/>
        <w:rPr>
          <w:rFonts w:ascii="仿宋" w:eastAsia="仿宋" w:hAnsi="仿宋"/>
          <w:b/>
          <w:sz w:val="32"/>
          <w:szCs w:val="32"/>
        </w:rPr>
      </w:pPr>
      <w:bookmarkStart w:id="55" w:name="_Toc15377212"/>
    </w:p>
    <w:p w:rsidR="00E539E2" w:rsidRDefault="00E539E2" w:rsidP="00853EC2">
      <w:pPr>
        <w:spacing w:line="600" w:lineRule="exact"/>
        <w:ind w:firstLineChars="200" w:firstLine="643"/>
        <w:outlineLvl w:val="2"/>
        <w:rPr>
          <w:rFonts w:ascii="仿宋" w:eastAsia="仿宋" w:hAnsi="仿宋"/>
          <w:b/>
          <w:sz w:val="32"/>
          <w:szCs w:val="32"/>
        </w:rPr>
      </w:pPr>
    </w:p>
    <w:p w:rsidR="00E539E2" w:rsidRDefault="00EC62F9" w:rsidP="00853EC2">
      <w:pPr>
        <w:spacing w:line="600" w:lineRule="exact"/>
        <w:ind w:firstLineChars="200" w:firstLine="643"/>
        <w:outlineLvl w:val="2"/>
        <w:rPr>
          <w:rFonts w:ascii="仿宋" w:eastAsia="仿宋" w:hAnsi="仿宋"/>
          <w:b/>
          <w:sz w:val="32"/>
          <w:szCs w:val="32"/>
        </w:rPr>
      </w:pPr>
      <w:bookmarkStart w:id="56" w:name="_Toc147678526"/>
      <w:r>
        <w:rPr>
          <w:rFonts w:ascii="仿宋" w:eastAsia="仿宋" w:hAnsi="仿宋" w:hint="eastAsia"/>
          <w:b/>
          <w:sz w:val="32"/>
          <w:szCs w:val="32"/>
        </w:rPr>
        <w:lastRenderedPageBreak/>
        <w:t>（三）一般公共预算财政拨款支出决算具体情况</w:t>
      </w:r>
      <w:bookmarkStart w:id="57" w:name="_Toc15378460"/>
      <w:bookmarkStart w:id="58" w:name="_Toc15377213"/>
      <w:bookmarkStart w:id="59" w:name="_Toc15377444"/>
      <w:bookmarkEnd w:id="55"/>
      <w:bookmarkEnd w:id="56"/>
    </w:p>
    <w:p w:rsidR="00E539E2" w:rsidRDefault="00EC62F9" w:rsidP="00853EC2">
      <w:pPr>
        <w:spacing w:line="600" w:lineRule="exact"/>
        <w:ind w:firstLineChars="200" w:firstLine="643"/>
        <w:outlineLvl w:val="2"/>
        <w:rPr>
          <w:rFonts w:ascii="仿宋" w:eastAsia="仿宋" w:hAnsi="仿宋"/>
          <w:sz w:val="32"/>
          <w:szCs w:val="32"/>
        </w:rPr>
      </w:pPr>
      <w:bookmarkStart w:id="60" w:name="_Toc147678527"/>
      <w:r>
        <w:rPr>
          <w:rFonts w:ascii="仿宋" w:eastAsia="仿宋" w:hAnsi="仿宋" w:hint="eastAsia"/>
          <w:b/>
          <w:sz w:val="32"/>
          <w:szCs w:val="32"/>
        </w:rPr>
        <w:t>2022年一般公共预算支出决算数为389.43万元</w:t>
      </w:r>
      <w:r>
        <w:rPr>
          <w:rFonts w:ascii="仿宋" w:eastAsia="仿宋" w:hAnsi="仿宋" w:hint="eastAsia"/>
          <w:sz w:val="32"/>
          <w:szCs w:val="32"/>
        </w:rPr>
        <w:t>，</w:t>
      </w:r>
      <w:r>
        <w:rPr>
          <w:rStyle w:val="a9"/>
          <w:rFonts w:ascii="仿宋" w:eastAsia="仿宋" w:hAnsi="仿宋" w:hint="eastAsia"/>
          <w:bCs/>
          <w:sz w:val="32"/>
          <w:szCs w:val="32"/>
        </w:rPr>
        <w:t>完成预算100</w:t>
      </w:r>
      <w:r>
        <w:rPr>
          <w:rStyle w:val="a9"/>
          <w:rFonts w:ascii="仿宋" w:eastAsia="仿宋" w:hAnsi="仿宋"/>
          <w:bCs/>
          <w:sz w:val="32"/>
          <w:szCs w:val="32"/>
        </w:rPr>
        <w:t>%</w:t>
      </w:r>
      <w:r>
        <w:rPr>
          <w:rStyle w:val="a9"/>
          <w:rFonts w:ascii="仿宋" w:eastAsia="仿宋" w:hAnsi="仿宋" w:hint="eastAsia"/>
          <w:bCs/>
          <w:sz w:val="32"/>
          <w:szCs w:val="32"/>
        </w:rPr>
        <w:t>。其中：</w:t>
      </w:r>
      <w:bookmarkEnd w:id="57"/>
      <w:bookmarkEnd w:id="58"/>
      <w:bookmarkEnd w:id="59"/>
      <w:bookmarkEnd w:id="60"/>
    </w:p>
    <w:p w:rsidR="00E539E2" w:rsidRDefault="00EC62F9" w:rsidP="00853EC2">
      <w:pPr>
        <w:spacing w:line="600" w:lineRule="exact"/>
        <w:ind w:firstLineChars="200" w:firstLine="643"/>
        <w:rPr>
          <w:rFonts w:ascii="仿宋" w:eastAsia="仿宋" w:hAnsi="仿宋"/>
          <w:sz w:val="32"/>
          <w:szCs w:val="32"/>
        </w:rPr>
      </w:pPr>
      <w:r>
        <w:rPr>
          <w:b/>
          <w:sz w:val="32"/>
          <w:szCs w:val="32"/>
        </w:rPr>
        <w:t>1.</w:t>
      </w:r>
      <w:r>
        <w:rPr>
          <w:rFonts w:ascii="仿宋" w:eastAsia="仿宋" w:hint="eastAsia"/>
          <w:b/>
          <w:sz w:val="32"/>
          <w:szCs w:val="32"/>
        </w:rPr>
        <w:t>一般公共服务（类）市场监督管理事务（款）行政运行（项）：</w:t>
      </w:r>
      <w:r>
        <w:rPr>
          <w:rFonts w:ascii="仿宋" w:eastAsia="仿宋" w:hint="eastAsia"/>
          <w:sz w:val="32"/>
          <w:szCs w:val="32"/>
        </w:rPr>
        <w:t>支出决算为273.15万元，完成预算100%。</w:t>
      </w:r>
    </w:p>
    <w:p w:rsidR="00E539E2" w:rsidRDefault="00EC62F9" w:rsidP="00853EC2">
      <w:pPr>
        <w:spacing w:line="600" w:lineRule="exact"/>
        <w:ind w:firstLineChars="200" w:firstLine="643"/>
        <w:rPr>
          <w:rFonts w:ascii="仿宋" w:eastAsia="仿宋" w:hAnsi="仿宋"/>
          <w:sz w:val="32"/>
          <w:szCs w:val="32"/>
        </w:rPr>
      </w:pPr>
      <w:r>
        <w:rPr>
          <w:b/>
          <w:sz w:val="32"/>
          <w:szCs w:val="32"/>
        </w:rPr>
        <w:t>2.</w:t>
      </w:r>
      <w:r>
        <w:rPr>
          <w:rFonts w:ascii="仿宋" w:eastAsia="仿宋" w:hint="eastAsia"/>
          <w:b/>
          <w:sz w:val="32"/>
          <w:szCs w:val="32"/>
        </w:rPr>
        <w:t>一般公共服务（类）</w:t>
      </w:r>
      <w:r>
        <w:rPr>
          <w:rFonts w:ascii="仿宋" w:eastAsia="仿宋" w:hAnsi="仿宋" w:hint="eastAsia"/>
          <w:b/>
          <w:sz w:val="32"/>
          <w:szCs w:val="32"/>
        </w:rPr>
        <w:t>市场监督管理事务</w:t>
      </w:r>
      <w:r>
        <w:rPr>
          <w:rFonts w:ascii="仿宋" w:eastAsia="仿宋" w:hint="eastAsia"/>
          <w:b/>
          <w:sz w:val="32"/>
          <w:szCs w:val="32"/>
        </w:rPr>
        <w:t>（款）一般行政管理事务（项）：</w:t>
      </w:r>
      <w:r>
        <w:rPr>
          <w:rFonts w:ascii="仿宋" w:eastAsia="仿宋" w:hint="eastAsia"/>
          <w:sz w:val="32"/>
          <w:szCs w:val="32"/>
        </w:rPr>
        <w:t>支出决算为14.7万元，完成预算100%。</w:t>
      </w:r>
    </w:p>
    <w:p w:rsidR="00E539E2" w:rsidRDefault="00EC62F9">
      <w:pPr>
        <w:spacing w:line="600" w:lineRule="exact"/>
        <w:ind w:firstLineChars="200" w:firstLine="640"/>
        <w:rPr>
          <w:rFonts w:ascii="仿宋" w:eastAsia="仿宋"/>
          <w:b/>
          <w:sz w:val="32"/>
          <w:szCs w:val="32"/>
        </w:rPr>
      </w:pPr>
      <w:r>
        <w:rPr>
          <w:rFonts w:ascii="仿宋" w:eastAsia="仿宋" w:hAnsi="仿宋" w:hint="eastAsia"/>
          <w:sz w:val="32"/>
          <w:szCs w:val="32"/>
        </w:rPr>
        <w:t>3.</w:t>
      </w:r>
      <w:r>
        <w:rPr>
          <w:rFonts w:ascii="仿宋" w:eastAsia="仿宋" w:hint="eastAsia"/>
          <w:b/>
          <w:sz w:val="32"/>
          <w:szCs w:val="32"/>
        </w:rPr>
        <w:t>一般公共服务（类）</w:t>
      </w:r>
      <w:r>
        <w:rPr>
          <w:rFonts w:ascii="仿宋" w:eastAsia="仿宋" w:hAnsi="仿宋" w:hint="eastAsia"/>
          <w:b/>
          <w:sz w:val="32"/>
          <w:szCs w:val="32"/>
        </w:rPr>
        <w:t>市场监督管理事务</w:t>
      </w:r>
      <w:r>
        <w:rPr>
          <w:rFonts w:ascii="仿宋" w:eastAsia="仿宋" w:hint="eastAsia"/>
          <w:b/>
          <w:sz w:val="32"/>
          <w:szCs w:val="32"/>
        </w:rPr>
        <w:t>（款）市场主体管理（项）：</w:t>
      </w:r>
      <w:r>
        <w:rPr>
          <w:rFonts w:ascii="仿宋" w:eastAsia="仿宋" w:hint="eastAsia"/>
          <w:sz w:val="32"/>
          <w:szCs w:val="32"/>
        </w:rPr>
        <w:t>支出决算为14.11万元，完成预算100%。</w:t>
      </w:r>
    </w:p>
    <w:p w:rsidR="00E539E2" w:rsidRDefault="00EC62F9" w:rsidP="00853EC2">
      <w:pPr>
        <w:spacing w:line="600" w:lineRule="exact"/>
        <w:ind w:firstLineChars="200" w:firstLine="643"/>
        <w:rPr>
          <w:rFonts w:ascii="仿宋" w:eastAsia="仿宋" w:hAnsi="仿宋"/>
          <w:sz w:val="32"/>
          <w:szCs w:val="32"/>
        </w:rPr>
      </w:pPr>
      <w:r>
        <w:rPr>
          <w:rFonts w:ascii="仿宋" w:eastAsia="仿宋" w:hint="eastAsia"/>
          <w:b/>
          <w:sz w:val="32"/>
          <w:szCs w:val="32"/>
        </w:rPr>
        <w:t>4.一般公共服务（类）</w:t>
      </w:r>
      <w:r>
        <w:rPr>
          <w:rFonts w:ascii="仿宋" w:eastAsia="仿宋" w:hAnsi="仿宋" w:hint="eastAsia"/>
          <w:b/>
          <w:sz w:val="32"/>
          <w:szCs w:val="32"/>
        </w:rPr>
        <w:t>市场监督管理事务</w:t>
      </w:r>
      <w:r>
        <w:rPr>
          <w:rFonts w:ascii="仿宋" w:eastAsia="仿宋" w:hint="eastAsia"/>
          <w:b/>
          <w:sz w:val="32"/>
          <w:szCs w:val="32"/>
        </w:rPr>
        <w:t>（款）市场秩序执法（项）：</w:t>
      </w:r>
      <w:r>
        <w:rPr>
          <w:rFonts w:ascii="仿宋" w:eastAsia="仿宋" w:hint="eastAsia"/>
          <w:sz w:val="32"/>
          <w:szCs w:val="32"/>
        </w:rPr>
        <w:t>支出决算为9.78万元，完成预算100%。</w:t>
      </w:r>
    </w:p>
    <w:p w:rsidR="00E539E2" w:rsidRDefault="00EC62F9" w:rsidP="00853EC2">
      <w:pPr>
        <w:spacing w:line="600" w:lineRule="exact"/>
        <w:ind w:firstLineChars="200" w:firstLine="643"/>
        <w:rPr>
          <w:rFonts w:ascii="仿宋" w:eastAsia="仿宋" w:hAnsi="仿宋"/>
          <w:sz w:val="32"/>
          <w:szCs w:val="32"/>
        </w:rPr>
      </w:pPr>
      <w:r>
        <w:rPr>
          <w:rFonts w:ascii="仿宋" w:eastAsia="仿宋" w:hint="eastAsia"/>
          <w:b/>
          <w:sz w:val="32"/>
          <w:szCs w:val="32"/>
        </w:rPr>
        <w:t>5.一般公共服务（类）</w:t>
      </w:r>
      <w:r>
        <w:rPr>
          <w:rFonts w:ascii="仿宋" w:eastAsia="仿宋" w:hAnsi="仿宋" w:hint="eastAsia"/>
          <w:b/>
          <w:sz w:val="32"/>
          <w:szCs w:val="32"/>
        </w:rPr>
        <w:t>市场监督管理事务</w:t>
      </w:r>
      <w:r>
        <w:rPr>
          <w:rFonts w:ascii="仿宋" w:eastAsia="仿宋" w:hint="eastAsia"/>
          <w:b/>
          <w:sz w:val="32"/>
          <w:szCs w:val="32"/>
        </w:rPr>
        <w:t>（款）药品事务（项）：</w:t>
      </w:r>
      <w:r>
        <w:rPr>
          <w:rFonts w:ascii="仿宋" w:eastAsia="仿宋" w:hint="eastAsia"/>
          <w:sz w:val="32"/>
          <w:szCs w:val="32"/>
        </w:rPr>
        <w:t>支出决算为2.1万元，完成预算100%。</w:t>
      </w:r>
    </w:p>
    <w:p w:rsidR="00E539E2" w:rsidRDefault="00EC62F9" w:rsidP="00853EC2">
      <w:pPr>
        <w:spacing w:line="600" w:lineRule="exact"/>
        <w:ind w:firstLineChars="200" w:firstLine="643"/>
        <w:rPr>
          <w:rFonts w:ascii="仿宋" w:eastAsia="仿宋" w:hAnsi="仿宋"/>
          <w:sz w:val="32"/>
          <w:szCs w:val="32"/>
        </w:rPr>
      </w:pPr>
      <w:r>
        <w:rPr>
          <w:rFonts w:ascii="仿宋" w:eastAsia="仿宋" w:hint="eastAsia"/>
          <w:b/>
          <w:sz w:val="32"/>
          <w:szCs w:val="32"/>
        </w:rPr>
        <w:t>6.一般公共服务（类）</w:t>
      </w:r>
      <w:r>
        <w:rPr>
          <w:rFonts w:ascii="仿宋" w:eastAsia="仿宋" w:hAnsi="仿宋" w:hint="eastAsia"/>
          <w:b/>
          <w:sz w:val="32"/>
          <w:szCs w:val="32"/>
        </w:rPr>
        <w:t>市场监督管理事务</w:t>
      </w:r>
      <w:r>
        <w:rPr>
          <w:rFonts w:ascii="仿宋" w:eastAsia="仿宋" w:hint="eastAsia"/>
          <w:b/>
          <w:sz w:val="32"/>
          <w:szCs w:val="32"/>
        </w:rPr>
        <w:t>（款）其他市场监督管理事务（项）：</w:t>
      </w:r>
      <w:r>
        <w:rPr>
          <w:rFonts w:ascii="仿宋" w:eastAsia="仿宋" w:hint="eastAsia"/>
          <w:sz w:val="32"/>
          <w:szCs w:val="32"/>
        </w:rPr>
        <w:t>支出决算为25.86万元，完成预算100%</w:t>
      </w:r>
      <w:r>
        <w:rPr>
          <w:rFonts w:ascii="仿宋" w:eastAsia="仿宋" w:hint="eastAsia"/>
          <w:b/>
          <w:sz w:val="32"/>
          <w:szCs w:val="32"/>
        </w:rPr>
        <w:t>。</w:t>
      </w:r>
    </w:p>
    <w:p w:rsidR="00E539E2" w:rsidRDefault="00EC62F9" w:rsidP="00853EC2">
      <w:pPr>
        <w:pStyle w:val="a0"/>
        <w:spacing w:before="93"/>
        <w:ind w:firstLineChars="196" w:firstLine="630"/>
        <w:rPr>
          <w:rFonts w:ascii="仿宋" w:eastAsia="仿宋" w:hAnsi="仿宋"/>
          <w:kern w:val="2"/>
          <w:sz w:val="32"/>
          <w:szCs w:val="32"/>
        </w:rPr>
      </w:pPr>
      <w:r>
        <w:rPr>
          <w:rFonts w:ascii="仿宋" w:eastAsia="仿宋" w:hint="eastAsia"/>
          <w:b/>
          <w:kern w:val="2"/>
          <w:sz w:val="32"/>
          <w:szCs w:val="32"/>
        </w:rPr>
        <w:t>7.社会保障和就业（类）行政事业单位养老支出（款）机关事业单位基本养老保险缴费支出（项）：</w:t>
      </w:r>
      <w:r>
        <w:rPr>
          <w:rFonts w:ascii="仿宋" w:eastAsia="仿宋" w:hint="eastAsia"/>
          <w:kern w:val="2"/>
          <w:sz w:val="32"/>
          <w:szCs w:val="32"/>
        </w:rPr>
        <w:t>支出决算为20.17万元，完成预算100%。</w:t>
      </w:r>
    </w:p>
    <w:p w:rsidR="00E539E2" w:rsidRDefault="00EC62F9" w:rsidP="00853EC2">
      <w:pPr>
        <w:pStyle w:val="a0"/>
        <w:spacing w:before="93"/>
        <w:ind w:firstLineChars="196" w:firstLine="630"/>
        <w:rPr>
          <w:rFonts w:ascii="仿宋" w:eastAsia="仿宋"/>
          <w:b/>
          <w:kern w:val="2"/>
          <w:sz w:val="32"/>
          <w:szCs w:val="32"/>
        </w:rPr>
      </w:pPr>
      <w:r>
        <w:rPr>
          <w:rFonts w:ascii="仿宋" w:eastAsia="仿宋" w:hAnsi="仿宋" w:hint="eastAsia"/>
          <w:b/>
          <w:kern w:val="2"/>
          <w:sz w:val="32"/>
          <w:szCs w:val="32"/>
        </w:rPr>
        <w:t>8.卫生健康</w:t>
      </w:r>
      <w:r>
        <w:rPr>
          <w:rFonts w:ascii="仿宋" w:eastAsia="仿宋" w:hint="eastAsia"/>
          <w:b/>
          <w:kern w:val="2"/>
          <w:sz w:val="32"/>
          <w:szCs w:val="32"/>
        </w:rPr>
        <w:t>（类）行政事业单位医疗（款）行政单位医疗（项）：</w:t>
      </w:r>
      <w:r>
        <w:rPr>
          <w:rFonts w:ascii="仿宋" w:eastAsia="仿宋" w:hint="eastAsia"/>
          <w:kern w:val="2"/>
          <w:sz w:val="32"/>
          <w:szCs w:val="32"/>
        </w:rPr>
        <w:t>支出决算为10.04万元，完成预算100%。</w:t>
      </w:r>
    </w:p>
    <w:p w:rsidR="00E539E2" w:rsidRDefault="00EC62F9" w:rsidP="00853EC2">
      <w:pPr>
        <w:spacing w:line="600" w:lineRule="exact"/>
        <w:ind w:firstLineChars="200" w:firstLine="643"/>
        <w:rPr>
          <w:rFonts w:ascii="仿宋" w:eastAsia="仿宋" w:hAnsi="仿宋"/>
          <w:sz w:val="32"/>
          <w:szCs w:val="32"/>
        </w:rPr>
      </w:pPr>
      <w:r>
        <w:rPr>
          <w:rFonts w:ascii="仿宋" w:eastAsia="仿宋" w:hint="eastAsia"/>
          <w:b/>
          <w:sz w:val="32"/>
          <w:szCs w:val="32"/>
        </w:rPr>
        <w:t>9.</w:t>
      </w:r>
      <w:r>
        <w:rPr>
          <w:rFonts w:ascii="仿宋" w:eastAsia="仿宋" w:hAnsi="仿宋" w:hint="eastAsia"/>
          <w:b/>
          <w:sz w:val="32"/>
          <w:szCs w:val="32"/>
        </w:rPr>
        <w:t>住房保障支出</w:t>
      </w:r>
      <w:r>
        <w:rPr>
          <w:rFonts w:ascii="仿宋" w:eastAsia="仿宋" w:hint="eastAsia"/>
          <w:b/>
          <w:sz w:val="32"/>
          <w:szCs w:val="32"/>
        </w:rPr>
        <w:t>（类）住房改革支出（款）住房公积金</w:t>
      </w:r>
      <w:r>
        <w:rPr>
          <w:rFonts w:ascii="仿宋" w:eastAsia="仿宋" w:hint="eastAsia"/>
          <w:b/>
          <w:sz w:val="32"/>
          <w:szCs w:val="32"/>
        </w:rPr>
        <w:lastRenderedPageBreak/>
        <w:t>（项）：</w:t>
      </w:r>
      <w:r>
        <w:rPr>
          <w:rFonts w:ascii="仿宋" w:eastAsia="仿宋" w:hint="eastAsia"/>
          <w:sz w:val="32"/>
          <w:szCs w:val="32"/>
        </w:rPr>
        <w:t>支出决算为19.52万元，完成预算100%。</w:t>
      </w:r>
    </w:p>
    <w:p w:rsidR="00E539E2" w:rsidRDefault="00EC62F9">
      <w:pPr>
        <w:pStyle w:val="2"/>
        <w:spacing w:line="415" w:lineRule="auto"/>
        <w:ind w:firstLineChars="200" w:firstLine="640"/>
        <w:rPr>
          <w:rStyle w:val="2Char"/>
          <w:rFonts w:ascii="黑体" w:eastAsia="黑体"/>
          <w:b/>
        </w:rPr>
      </w:pPr>
      <w:bookmarkStart w:id="61" w:name="_Toc15396608"/>
      <w:bookmarkStart w:id="62" w:name="_Toc15377214"/>
      <w:bookmarkStart w:id="63" w:name="_Toc147676466"/>
      <w:bookmarkStart w:id="64" w:name="_Toc147678528"/>
      <w:r>
        <w:rPr>
          <w:rFonts w:ascii="黑体" w:eastAsia="黑体" w:hint="eastAsia"/>
          <w:b w:val="0"/>
        </w:rPr>
        <w:t>六、一般公共预算财政拨款基本支出决算情况说明</w:t>
      </w:r>
      <w:bookmarkEnd w:id="61"/>
      <w:bookmarkEnd w:id="62"/>
      <w:bookmarkEnd w:id="63"/>
      <w:bookmarkEnd w:id="64"/>
      <w:r>
        <w:rPr>
          <w:rStyle w:val="2Char"/>
          <w:rFonts w:ascii="黑体" w:eastAsia="黑体" w:hAnsi="黑体" w:hint="eastAsia"/>
          <w:b/>
        </w:rPr>
        <w:tab/>
      </w:r>
    </w:p>
    <w:p w:rsidR="00E539E2" w:rsidRDefault="00EC62F9">
      <w:pPr>
        <w:spacing w:line="600" w:lineRule="exact"/>
        <w:ind w:firstLine="645"/>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22年一般公共预算财政拨款基本支出322.88万元，其中：</w:t>
      </w:r>
    </w:p>
    <w:p w:rsidR="00E539E2" w:rsidRDefault="00EC62F9">
      <w:pPr>
        <w:spacing w:line="600" w:lineRule="exact"/>
        <w:ind w:firstLine="645"/>
        <w:rPr>
          <w:rFonts w:ascii="仿宋" w:eastAsia="仿宋" w:hAnsi="仿宋"/>
          <w:sz w:val="32"/>
          <w:szCs w:val="32"/>
        </w:rPr>
      </w:pPr>
      <w:r>
        <w:rPr>
          <w:rFonts w:ascii="仿宋" w:eastAsia="仿宋" w:hAnsi="仿宋" w:hint="eastAsia"/>
          <w:sz w:val="32"/>
          <w:szCs w:val="32"/>
        </w:rPr>
        <w:t>人员经费276.19万元，主要包括：基本工资、津贴补贴、奖金、机关事业单位基本养老保险缴费、职工基本医疗保险缴费、其他社会保障缴费、住房公积金、其他工资福利支出、生活补助、奖励金。</w:t>
      </w:r>
      <w:r>
        <w:rPr>
          <w:rFonts w:ascii="仿宋" w:eastAsia="仿宋" w:hAnsi="仿宋"/>
          <w:sz w:val="32"/>
          <w:szCs w:val="32"/>
        </w:rPr>
        <w:br/>
      </w:r>
      <w:r>
        <w:rPr>
          <w:rFonts w:ascii="仿宋" w:eastAsia="仿宋" w:hAnsi="仿宋" w:hint="eastAsia"/>
          <w:sz w:val="32"/>
          <w:szCs w:val="32"/>
        </w:rPr>
        <w:t xml:space="preserve">　　公用经费46.69万元，主要包括：办公费、水费、电费、邮电费、物业管理费、差旅费、维修（护）费、租赁费、会议费、培训费、公务接待费、劳务费、委托业务费、工会经费、福利费、公务用车运行维护费、其他交通费用、其他商品和服务支出。</w:t>
      </w:r>
    </w:p>
    <w:p w:rsidR="00E539E2" w:rsidRDefault="00EC62F9">
      <w:pPr>
        <w:pStyle w:val="2"/>
        <w:spacing w:line="415" w:lineRule="auto"/>
        <w:ind w:firstLineChars="200" w:firstLine="640"/>
        <w:rPr>
          <w:rFonts w:ascii="黑体" w:eastAsia="黑体"/>
          <w:b w:val="0"/>
        </w:rPr>
      </w:pPr>
      <w:bookmarkStart w:id="65" w:name="_Toc147676467"/>
      <w:bookmarkStart w:id="66" w:name="_Toc147678529"/>
      <w:bookmarkStart w:id="67" w:name="_Toc15377215"/>
      <w:bookmarkStart w:id="68" w:name="_Toc15396609"/>
      <w:r>
        <w:rPr>
          <w:rFonts w:ascii="黑体" w:eastAsia="黑体" w:hint="eastAsia"/>
          <w:b w:val="0"/>
        </w:rPr>
        <w:t>七、财政拨款“三公”经费支出决算情况说明</w:t>
      </w:r>
      <w:bookmarkEnd w:id="65"/>
      <w:bookmarkEnd w:id="66"/>
      <w:bookmarkEnd w:id="67"/>
      <w:bookmarkEnd w:id="68"/>
    </w:p>
    <w:p w:rsidR="00E539E2" w:rsidRDefault="00EC62F9">
      <w:pPr>
        <w:spacing w:line="600" w:lineRule="exact"/>
        <w:ind w:firstLine="640"/>
        <w:outlineLvl w:val="2"/>
        <w:rPr>
          <w:rFonts w:ascii="仿宋" w:eastAsia="仿宋" w:hAnsi="仿宋"/>
          <w:b/>
          <w:sz w:val="32"/>
          <w:szCs w:val="32"/>
        </w:rPr>
      </w:pPr>
      <w:bookmarkStart w:id="69" w:name="_Toc15377216"/>
      <w:bookmarkStart w:id="70" w:name="_Toc147678530"/>
      <w:r>
        <w:rPr>
          <w:rFonts w:ascii="仿宋" w:eastAsia="仿宋" w:hAnsi="仿宋" w:hint="eastAsia"/>
          <w:b/>
          <w:sz w:val="32"/>
          <w:szCs w:val="32"/>
        </w:rPr>
        <w:t>（一）“三公”经费财政拨款支出决算总体情况说明</w:t>
      </w:r>
      <w:bookmarkEnd w:id="69"/>
      <w:bookmarkEnd w:id="70"/>
    </w:p>
    <w:p w:rsidR="00E539E2" w:rsidRDefault="00EC62F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22年“三公”经费财政拨款支出决算为7.52万元，完成预算89.95</w:t>
      </w:r>
      <w:r>
        <w:rPr>
          <w:rFonts w:ascii="仿宋" w:eastAsia="仿宋" w:hAnsi="仿宋"/>
          <w:sz w:val="32"/>
          <w:szCs w:val="32"/>
        </w:rPr>
        <w:t>%</w:t>
      </w:r>
      <w:r>
        <w:rPr>
          <w:rFonts w:ascii="仿宋" w:eastAsia="仿宋" w:hAnsi="仿宋" w:hint="eastAsia"/>
          <w:sz w:val="32"/>
          <w:szCs w:val="32"/>
        </w:rPr>
        <w:t>，较上年减少1.18万元，下降13.56%。决算数小于预算数的主要原因是严格控制“三公”经费，压缩支出。</w:t>
      </w:r>
    </w:p>
    <w:p w:rsidR="00E539E2" w:rsidRDefault="00EC62F9">
      <w:pPr>
        <w:spacing w:line="600" w:lineRule="exact"/>
        <w:ind w:firstLine="640"/>
        <w:outlineLvl w:val="2"/>
        <w:rPr>
          <w:rFonts w:ascii="仿宋" w:eastAsia="仿宋" w:hAnsi="仿宋"/>
          <w:b/>
          <w:sz w:val="32"/>
          <w:szCs w:val="32"/>
        </w:rPr>
      </w:pPr>
      <w:bookmarkStart w:id="71" w:name="_Toc147678531"/>
      <w:bookmarkStart w:id="72" w:name="_Toc15377217"/>
      <w:r>
        <w:rPr>
          <w:rFonts w:ascii="仿宋" w:eastAsia="仿宋" w:hAnsi="仿宋" w:hint="eastAsia"/>
          <w:b/>
          <w:sz w:val="32"/>
          <w:szCs w:val="32"/>
        </w:rPr>
        <w:t>（二）“三公”经费财政拨款支出决算具体情况说明</w:t>
      </w:r>
      <w:bookmarkEnd w:id="71"/>
      <w:bookmarkEnd w:id="72"/>
    </w:p>
    <w:p w:rsidR="00E539E2" w:rsidRDefault="00EC62F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22年“三公”经费财政拨款支出决算中，因公出国</w:t>
      </w:r>
      <w:r>
        <w:rPr>
          <w:rFonts w:ascii="仿宋" w:eastAsia="仿宋" w:hAnsi="仿宋" w:hint="eastAsia"/>
          <w:sz w:val="32"/>
          <w:szCs w:val="32"/>
        </w:rPr>
        <w:lastRenderedPageBreak/>
        <w:t>（境）费支出决算0万元，占0</w:t>
      </w:r>
      <w:r>
        <w:rPr>
          <w:rFonts w:ascii="仿宋" w:eastAsia="仿宋" w:hAnsi="仿宋"/>
          <w:sz w:val="32"/>
          <w:szCs w:val="32"/>
        </w:rPr>
        <w:t>%</w:t>
      </w:r>
      <w:r>
        <w:rPr>
          <w:rFonts w:ascii="仿宋" w:eastAsia="仿宋" w:hAnsi="仿宋" w:hint="eastAsia"/>
          <w:sz w:val="32"/>
          <w:szCs w:val="32"/>
        </w:rPr>
        <w:t>；公务用车购置及运行维护费支出决算7.21万元，占95.88</w:t>
      </w:r>
      <w:r>
        <w:rPr>
          <w:rFonts w:ascii="仿宋" w:eastAsia="仿宋" w:hAnsi="仿宋"/>
          <w:sz w:val="32"/>
          <w:szCs w:val="32"/>
        </w:rPr>
        <w:t>%</w:t>
      </w:r>
      <w:r>
        <w:rPr>
          <w:rFonts w:ascii="仿宋" w:eastAsia="仿宋" w:hAnsi="仿宋" w:hint="eastAsia"/>
          <w:sz w:val="32"/>
          <w:szCs w:val="32"/>
        </w:rPr>
        <w:t>；公务接待费支出决算0.31万元，占4.12</w:t>
      </w:r>
      <w:r>
        <w:rPr>
          <w:rFonts w:ascii="仿宋" w:eastAsia="仿宋" w:hAnsi="仿宋"/>
          <w:sz w:val="32"/>
          <w:szCs w:val="32"/>
        </w:rPr>
        <w:t>%</w:t>
      </w:r>
      <w:r>
        <w:rPr>
          <w:rFonts w:ascii="仿宋" w:eastAsia="仿宋" w:hAnsi="仿宋" w:hint="eastAsia"/>
          <w:sz w:val="32"/>
          <w:szCs w:val="32"/>
        </w:rPr>
        <w:t>。具体情况如下：</w:t>
      </w:r>
    </w:p>
    <w:p w:rsidR="00E539E2" w:rsidRDefault="00EC62F9">
      <w:pPr>
        <w:spacing w:line="600" w:lineRule="exact"/>
        <w:ind w:firstLine="640"/>
        <w:rPr>
          <w:rFonts w:ascii="仿宋" w:eastAsia="仿宋" w:hAnsi="仿宋"/>
          <w:sz w:val="32"/>
          <w:szCs w:val="32"/>
        </w:rPr>
      </w:pPr>
      <w:r>
        <w:rPr>
          <w:rFonts w:ascii="仿宋" w:eastAsia="仿宋" w:hAnsi="仿宋" w:hint="eastAsia"/>
          <w:sz w:val="32"/>
          <w:szCs w:val="32"/>
        </w:rPr>
        <w:t>（图7：“三公”经费财政拨款支出结构图）（饼状图）</w:t>
      </w:r>
    </w:p>
    <w:p w:rsidR="00E539E2" w:rsidRDefault="00EC62F9">
      <w:pPr>
        <w:pStyle w:val="a0"/>
        <w:spacing w:before="93"/>
      </w:pPr>
      <w:r>
        <w:rPr>
          <w:rFonts w:hint="eastAsia"/>
          <w:noProof/>
        </w:rPr>
        <w:drawing>
          <wp:anchor distT="0" distB="0" distL="114300" distR="114300" simplePos="0" relativeHeight="251667456" behindDoc="1" locked="0" layoutInCell="1" allowOverlap="1">
            <wp:simplePos x="0" y="0"/>
            <wp:positionH relativeFrom="column">
              <wp:posOffset>352425</wp:posOffset>
            </wp:positionH>
            <wp:positionV relativeFrom="paragraph">
              <wp:posOffset>133350</wp:posOffset>
            </wp:positionV>
            <wp:extent cx="4685665" cy="2905125"/>
            <wp:effectExtent l="19050" t="0" r="19685" b="0"/>
            <wp:wrapNone/>
            <wp:docPr id="16" name="对象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anchor>
        </w:drawing>
      </w: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spacing w:line="600" w:lineRule="exact"/>
        <w:ind w:firstLine="640"/>
        <w:rPr>
          <w:rFonts w:ascii="仿宋" w:eastAsia="仿宋" w:hAnsi="仿宋"/>
          <w:sz w:val="32"/>
          <w:szCs w:val="32"/>
        </w:rPr>
      </w:pPr>
      <w:r>
        <w:rPr>
          <w:rFonts w:ascii="仿宋" w:eastAsia="仿宋" w:hAnsi="仿宋"/>
          <w:b/>
          <w:sz w:val="32"/>
          <w:szCs w:val="32"/>
        </w:rPr>
        <w:t>1.</w:t>
      </w:r>
      <w:r>
        <w:rPr>
          <w:rFonts w:ascii="仿宋" w:eastAsia="仿宋" w:hAnsi="仿宋" w:hint="eastAsia"/>
          <w:b/>
          <w:sz w:val="32"/>
          <w:szCs w:val="32"/>
        </w:rPr>
        <w:t>因公出国（境）经费支出</w:t>
      </w:r>
      <w:r>
        <w:rPr>
          <w:rFonts w:ascii="仿宋" w:eastAsia="仿宋" w:hAnsi="仿宋" w:hint="eastAsia"/>
          <w:sz w:val="32"/>
          <w:szCs w:val="32"/>
        </w:rPr>
        <w:t>0万元，年初未安排预算，因公出国（境）支出决算较2021年无变化。</w:t>
      </w:r>
    </w:p>
    <w:p w:rsidR="00E539E2" w:rsidRDefault="00EC62F9">
      <w:pPr>
        <w:spacing w:line="600" w:lineRule="exact"/>
        <w:ind w:firstLine="640"/>
        <w:rPr>
          <w:rFonts w:ascii="仿宋" w:eastAsia="仿宋" w:hAnsi="仿宋"/>
          <w:sz w:val="32"/>
          <w:szCs w:val="32"/>
        </w:rPr>
      </w:pPr>
      <w:r>
        <w:rPr>
          <w:rFonts w:ascii="仿宋" w:eastAsia="仿宋" w:hAnsi="仿宋"/>
          <w:b/>
          <w:sz w:val="32"/>
          <w:szCs w:val="32"/>
        </w:rPr>
        <w:t>2.</w:t>
      </w:r>
      <w:r>
        <w:rPr>
          <w:rFonts w:ascii="仿宋" w:eastAsia="仿宋" w:hAnsi="仿宋" w:hint="eastAsia"/>
          <w:b/>
          <w:sz w:val="32"/>
          <w:szCs w:val="32"/>
        </w:rPr>
        <w:t>公务用车购置及运行维护费支出</w:t>
      </w:r>
      <w:r>
        <w:rPr>
          <w:rFonts w:ascii="仿宋" w:eastAsia="仿宋" w:hAnsi="仿宋" w:hint="eastAsia"/>
          <w:sz w:val="32"/>
          <w:szCs w:val="32"/>
        </w:rPr>
        <w:t>7.21万元，</w:t>
      </w:r>
      <w:r>
        <w:rPr>
          <w:rFonts w:ascii="仿宋" w:eastAsia="仿宋" w:hAnsi="仿宋" w:hint="eastAsia"/>
          <w:b/>
          <w:sz w:val="32"/>
          <w:szCs w:val="32"/>
        </w:rPr>
        <w:t>完成预算96.13</w:t>
      </w:r>
      <w:r>
        <w:rPr>
          <w:rFonts w:ascii="仿宋" w:eastAsia="仿宋" w:hAnsi="仿宋"/>
          <w:b/>
          <w:sz w:val="32"/>
          <w:szCs w:val="32"/>
        </w:rPr>
        <w:t>%</w:t>
      </w:r>
      <w:r>
        <w:rPr>
          <w:rFonts w:ascii="仿宋" w:eastAsia="仿宋" w:hAnsi="仿宋" w:hint="eastAsia"/>
          <w:b/>
          <w:sz w:val="32"/>
          <w:szCs w:val="32"/>
        </w:rPr>
        <w:t>。</w:t>
      </w:r>
      <w:r>
        <w:rPr>
          <w:rFonts w:ascii="仿宋" w:eastAsia="仿宋" w:hAnsi="仿宋" w:hint="eastAsia"/>
          <w:sz w:val="32"/>
          <w:szCs w:val="32"/>
        </w:rPr>
        <w:t>公务用车购置及运行维护费支出决算比</w:t>
      </w:r>
      <w:r>
        <w:rPr>
          <w:rFonts w:ascii="仿宋" w:eastAsia="仿宋" w:hAnsi="仿宋"/>
          <w:sz w:val="32"/>
          <w:szCs w:val="32"/>
        </w:rPr>
        <w:t>20</w:t>
      </w:r>
      <w:r>
        <w:rPr>
          <w:rFonts w:ascii="仿宋" w:eastAsia="仿宋" w:hAnsi="仿宋" w:hint="eastAsia"/>
          <w:sz w:val="32"/>
          <w:szCs w:val="32"/>
        </w:rPr>
        <w:t>21年减少0.85万元，下降10.55</w:t>
      </w:r>
      <w:r>
        <w:rPr>
          <w:rFonts w:ascii="仿宋" w:eastAsia="仿宋" w:hAnsi="仿宋"/>
          <w:sz w:val="32"/>
          <w:szCs w:val="32"/>
        </w:rPr>
        <w:t>%</w:t>
      </w:r>
      <w:r>
        <w:rPr>
          <w:rFonts w:ascii="仿宋" w:eastAsia="仿宋" w:hAnsi="仿宋" w:hint="eastAsia"/>
          <w:sz w:val="32"/>
          <w:szCs w:val="32"/>
        </w:rPr>
        <w:t>。主要原因是严格控制“三公”经费，压缩支出。</w:t>
      </w:r>
    </w:p>
    <w:p w:rsidR="00E539E2" w:rsidRDefault="00EC62F9">
      <w:pPr>
        <w:spacing w:line="600" w:lineRule="exact"/>
        <w:ind w:firstLineChars="200" w:firstLine="640"/>
        <w:rPr>
          <w:rFonts w:ascii="仿宋" w:eastAsia="仿宋" w:hAnsi="仿宋"/>
          <w:sz w:val="32"/>
          <w:szCs w:val="32"/>
        </w:rPr>
      </w:pPr>
      <w:r>
        <w:rPr>
          <w:rFonts w:ascii="仿宋" w:eastAsia="仿宋" w:hAnsi="仿宋" w:hint="eastAsia"/>
          <w:sz w:val="32"/>
          <w:szCs w:val="32"/>
        </w:rPr>
        <w:t>其中</w:t>
      </w:r>
      <w:r>
        <w:rPr>
          <w:rFonts w:ascii="仿宋" w:eastAsia="仿宋" w:hAnsi="仿宋" w:hint="eastAsia"/>
          <w:b/>
          <w:sz w:val="32"/>
          <w:szCs w:val="32"/>
        </w:rPr>
        <w:t>：公务用车购置支出</w:t>
      </w:r>
      <w:r>
        <w:rPr>
          <w:rFonts w:ascii="仿宋" w:eastAsia="仿宋" w:hAnsi="仿宋" w:hint="eastAsia"/>
          <w:sz w:val="32"/>
          <w:szCs w:val="32"/>
        </w:rPr>
        <w:t>0万元。截至</w:t>
      </w:r>
      <w:r>
        <w:rPr>
          <w:rFonts w:ascii="仿宋" w:eastAsia="仿宋" w:hAnsi="仿宋"/>
          <w:sz w:val="32"/>
          <w:szCs w:val="32"/>
        </w:rPr>
        <w:t>20</w:t>
      </w:r>
      <w:r>
        <w:rPr>
          <w:rFonts w:ascii="仿宋" w:eastAsia="仿宋" w:hAnsi="仿宋" w:hint="eastAsia"/>
          <w:sz w:val="32"/>
          <w:szCs w:val="32"/>
        </w:rPr>
        <w:t>22年</w:t>
      </w:r>
      <w:r>
        <w:rPr>
          <w:rFonts w:ascii="仿宋" w:eastAsia="仿宋" w:hAnsi="仿宋"/>
          <w:sz w:val="32"/>
          <w:szCs w:val="32"/>
        </w:rPr>
        <w:t>12</w:t>
      </w:r>
      <w:r>
        <w:rPr>
          <w:rFonts w:ascii="仿宋" w:eastAsia="仿宋" w:hAnsi="仿宋" w:hint="eastAsia"/>
          <w:sz w:val="32"/>
          <w:szCs w:val="32"/>
        </w:rPr>
        <w:t>月底，单位共有公务用车3辆，其中：轿车2辆、越野车1辆。</w:t>
      </w:r>
    </w:p>
    <w:p w:rsidR="00E539E2" w:rsidRDefault="00EC62F9">
      <w:pPr>
        <w:spacing w:line="600" w:lineRule="exact"/>
        <w:ind w:firstLine="640"/>
        <w:rPr>
          <w:rFonts w:ascii="仿宋" w:eastAsia="仿宋" w:hAnsi="仿宋"/>
          <w:sz w:val="32"/>
          <w:szCs w:val="32"/>
        </w:rPr>
      </w:pPr>
      <w:r>
        <w:rPr>
          <w:rFonts w:ascii="仿宋" w:eastAsia="仿宋" w:hAnsi="仿宋" w:hint="eastAsia"/>
          <w:b/>
          <w:sz w:val="32"/>
          <w:szCs w:val="32"/>
        </w:rPr>
        <w:t>公务用车运行维护费支出</w:t>
      </w:r>
      <w:r>
        <w:rPr>
          <w:rFonts w:ascii="仿宋" w:eastAsia="仿宋" w:hAnsi="仿宋" w:hint="eastAsia"/>
          <w:sz w:val="32"/>
          <w:szCs w:val="32"/>
        </w:rPr>
        <w:t>7.21万元。主要用于质量安全监管、食品药品、医疗器械等市场监督管理事务，消费者</w:t>
      </w:r>
      <w:r>
        <w:rPr>
          <w:rFonts w:ascii="仿宋" w:eastAsia="仿宋" w:hAnsi="仿宋" w:hint="eastAsia"/>
          <w:sz w:val="32"/>
          <w:szCs w:val="32"/>
        </w:rPr>
        <w:lastRenderedPageBreak/>
        <w:t>权益保护等市场秩序执法工作所需的公务用车燃料费、维修费、过路过桥费、保险费等支出。</w:t>
      </w:r>
    </w:p>
    <w:p w:rsidR="00E539E2" w:rsidRDefault="00EC62F9">
      <w:pPr>
        <w:spacing w:line="600" w:lineRule="exact"/>
        <w:ind w:firstLine="640"/>
        <w:rPr>
          <w:rFonts w:ascii="仿宋" w:eastAsia="仿宋" w:hAnsi="仿宋"/>
          <w:sz w:val="32"/>
          <w:szCs w:val="32"/>
        </w:rPr>
      </w:pPr>
      <w:r>
        <w:rPr>
          <w:rFonts w:ascii="仿宋" w:eastAsia="仿宋" w:hAnsi="仿宋"/>
          <w:b/>
          <w:sz w:val="32"/>
          <w:szCs w:val="32"/>
        </w:rPr>
        <w:t>3.</w:t>
      </w:r>
      <w:r>
        <w:rPr>
          <w:rFonts w:ascii="仿宋" w:eastAsia="仿宋" w:hAnsi="仿宋" w:hint="eastAsia"/>
          <w:b/>
          <w:sz w:val="32"/>
          <w:szCs w:val="32"/>
        </w:rPr>
        <w:t>公务接待费支出</w:t>
      </w:r>
      <w:r>
        <w:rPr>
          <w:rFonts w:ascii="仿宋" w:eastAsia="仿宋" w:hAnsi="仿宋" w:hint="eastAsia"/>
          <w:sz w:val="32"/>
          <w:szCs w:val="32"/>
        </w:rPr>
        <w:t>0.31万元，</w:t>
      </w:r>
      <w:r>
        <w:rPr>
          <w:rFonts w:ascii="仿宋" w:eastAsia="仿宋" w:hAnsi="仿宋" w:hint="eastAsia"/>
          <w:b/>
          <w:sz w:val="32"/>
          <w:szCs w:val="32"/>
        </w:rPr>
        <w:t>完成预算36.05</w:t>
      </w:r>
      <w:r>
        <w:rPr>
          <w:rFonts w:ascii="仿宋" w:eastAsia="仿宋" w:hAnsi="仿宋"/>
          <w:b/>
          <w:sz w:val="32"/>
          <w:szCs w:val="32"/>
        </w:rPr>
        <w:t>%</w:t>
      </w:r>
      <w:r>
        <w:rPr>
          <w:rFonts w:ascii="仿宋" w:eastAsia="仿宋" w:hAnsi="仿宋" w:hint="eastAsia"/>
          <w:b/>
          <w:sz w:val="32"/>
          <w:szCs w:val="32"/>
        </w:rPr>
        <w:t>。</w:t>
      </w:r>
      <w:r>
        <w:rPr>
          <w:rFonts w:ascii="仿宋" w:eastAsia="仿宋" w:hAnsi="仿宋" w:hint="eastAsia"/>
          <w:sz w:val="32"/>
          <w:szCs w:val="32"/>
        </w:rPr>
        <w:t>公务接待费支出决算比</w:t>
      </w:r>
      <w:r>
        <w:rPr>
          <w:rFonts w:ascii="仿宋" w:eastAsia="仿宋" w:hAnsi="仿宋"/>
          <w:sz w:val="32"/>
          <w:szCs w:val="32"/>
        </w:rPr>
        <w:t>20</w:t>
      </w:r>
      <w:r>
        <w:rPr>
          <w:rFonts w:ascii="仿宋" w:eastAsia="仿宋" w:hAnsi="仿宋" w:hint="eastAsia"/>
          <w:sz w:val="32"/>
          <w:szCs w:val="32"/>
        </w:rPr>
        <w:t>21年减少0.34万元，下降52.31</w:t>
      </w:r>
      <w:r>
        <w:rPr>
          <w:rFonts w:ascii="仿宋" w:eastAsia="仿宋" w:hAnsi="仿宋"/>
          <w:sz w:val="32"/>
          <w:szCs w:val="32"/>
        </w:rPr>
        <w:t>%</w:t>
      </w:r>
      <w:r>
        <w:rPr>
          <w:rFonts w:ascii="仿宋" w:eastAsia="仿宋" w:hAnsi="仿宋" w:hint="eastAsia"/>
          <w:sz w:val="32"/>
          <w:szCs w:val="32"/>
        </w:rPr>
        <w:t>。主要原因是受疫情影响，相关业务检查工作接待减少。其中：</w:t>
      </w:r>
    </w:p>
    <w:p w:rsidR="00E539E2" w:rsidRDefault="00EC62F9">
      <w:pPr>
        <w:spacing w:line="600" w:lineRule="exact"/>
        <w:ind w:firstLine="640"/>
        <w:rPr>
          <w:rFonts w:ascii="仿宋" w:eastAsia="仿宋" w:hAnsi="仿宋"/>
          <w:sz w:val="32"/>
          <w:szCs w:val="32"/>
        </w:rPr>
      </w:pPr>
      <w:r>
        <w:rPr>
          <w:rFonts w:ascii="仿宋" w:eastAsia="仿宋" w:hAnsi="仿宋" w:hint="eastAsia"/>
          <w:b/>
          <w:sz w:val="32"/>
          <w:szCs w:val="32"/>
        </w:rPr>
        <w:t>国内公务接待支出</w:t>
      </w:r>
      <w:r>
        <w:rPr>
          <w:rFonts w:ascii="仿宋" w:eastAsia="仿宋" w:hAnsi="仿宋" w:hint="eastAsia"/>
          <w:sz w:val="32"/>
          <w:szCs w:val="32"/>
        </w:rPr>
        <w:t>0.31万元，主要用于执行公务、开展业务活动开支的用餐费等。国内公务接待4批次，20人次（不包括陪同人员），共计支出0.31万元，具体内容包括：上级部门各类检查调研、市州及县区市场监督管理局来我单位交流汇报等。</w:t>
      </w:r>
    </w:p>
    <w:p w:rsidR="00E539E2" w:rsidRDefault="00EC62F9">
      <w:pPr>
        <w:spacing w:line="600" w:lineRule="exact"/>
        <w:ind w:firstLine="640"/>
        <w:rPr>
          <w:rFonts w:ascii="仿宋" w:eastAsia="仿宋" w:hAnsi="仿宋"/>
          <w:sz w:val="32"/>
          <w:szCs w:val="32"/>
        </w:rPr>
      </w:pPr>
      <w:r>
        <w:rPr>
          <w:rFonts w:ascii="仿宋" w:eastAsia="仿宋" w:hAnsi="仿宋" w:hint="eastAsia"/>
          <w:b/>
          <w:sz w:val="32"/>
          <w:szCs w:val="32"/>
        </w:rPr>
        <w:t>外事接待支出</w:t>
      </w:r>
      <w:r>
        <w:rPr>
          <w:rFonts w:ascii="仿宋" w:eastAsia="仿宋" w:hAnsi="仿宋" w:hint="eastAsia"/>
          <w:sz w:val="32"/>
          <w:szCs w:val="32"/>
        </w:rPr>
        <w:t>0万元。</w:t>
      </w:r>
    </w:p>
    <w:p w:rsidR="00E539E2" w:rsidRDefault="00EC62F9">
      <w:pPr>
        <w:pStyle w:val="2"/>
        <w:spacing w:line="415" w:lineRule="auto"/>
        <w:ind w:firstLineChars="200" w:firstLine="640"/>
        <w:rPr>
          <w:rFonts w:ascii="黑体" w:eastAsia="黑体"/>
          <w:b w:val="0"/>
        </w:rPr>
      </w:pPr>
      <w:bookmarkStart w:id="73" w:name="_Toc147678532"/>
      <w:bookmarkStart w:id="74" w:name="_Toc15396610"/>
      <w:bookmarkStart w:id="75" w:name="_Toc15377218"/>
      <w:bookmarkStart w:id="76" w:name="_Toc147676468"/>
      <w:r>
        <w:rPr>
          <w:rFonts w:ascii="黑体" w:eastAsia="黑体" w:hint="eastAsia"/>
          <w:b w:val="0"/>
        </w:rPr>
        <w:t>八、政府性基金预算支出决算情况说明</w:t>
      </w:r>
      <w:bookmarkEnd w:id="73"/>
      <w:bookmarkEnd w:id="74"/>
      <w:bookmarkEnd w:id="75"/>
      <w:bookmarkEnd w:id="76"/>
    </w:p>
    <w:p w:rsidR="00E539E2" w:rsidRDefault="00EC62F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22年政府性基金预算财政拨款支出0万元。</w:t>
      </w:r>
    </w:p>
    <w:p w:rsidR="00E539E2" w:rsidRDefault="00EC62F9">
      <w:pPr>
        <w:pStyle w:val="2"/>
        <w:spacing w:line="415" w:lineRule="auto"/>
        <w:ind w:firstLineChars="200" w:firstLine="640"/>
        <w:rPr>
          <w:rFonts w:ascii="黑体" w:eastAsia="黑体"/>
          <w:b w:val="0"/>
        </w:rPr>
      </w:pPr>
      <w:bookmarkStart w:id="77" w:name="_Toc147678533"/>
      <w:bookmarkStart w:id="78" w:name="_Toc147676469"/>
      <w:bookmarkStart w:id="79" w:name="_Toc15377219"/>
      <w:bookmarkStart w:id="80" w:name="_Toc15396611"/>
      <w:r>
        <w:rPr>
          <w:rFonts w:ascii="黑体" w:eastAsia="黑体" w:hint="eastAsia"/>
          <w:b w:val="0"/>
        </w:rPr>
        <w:t>九、国有资本经营预算支出决算情况说明</w:t>
      </w:r>
      <w:bookmarkEnd w:id="77"/>
      <w:bookmarkEnd w:id="78"/>
      <w:bookmarkEnd w:id="79"/>
      <w:bookmarkEnd w:id="80"/>
    </w:p>
    <w:p w:rsidR="00E539E2" w:rsidRDefault="00EC62F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22年国有资本经营预算财政拨款支出0万元。</w:t>
      </w:r>
    </w:p>
    <w:p w:rsidR="00E539E2" w:rsidRDefault="00EC62F9">
      <w:pPr>
        <w:pStyle w:val="2"/>
        <w:spacing w:line="415" w:lineRule="auto"/>
        <w:ind w:firstLineChars="200" w:firstLine="640"/>
        <w:rPr>
          <w:rFonts w:ascii="黑体" w:eastAsia="黑体"/>
          <w:b w:val="0"/>
        </w:rPr>
      </w:pPr>
      <w:bookmarkStart w:id="81" w:name="_Toc15396612"/>
      <w:bookmarkStart w:id="82" w:name="_Toc147676470"/>
      <w:bookmarkStart w:id="83" w:name="_Toc147678534"/>
      <w:bookmarkStart w:id="84" w:name="_Toc15377221"/>
      <w:r>
        <w:rPr>
          <w:rFonts w:ascii="黑体" w:eastAsia="黑体" w:hint="eastAsia"/>
          <w:b w:val="0"/>
        </w:rPr>
        <w:t>十、其他重要事项的情况说明</w:t>
      </w:r>
      <w:bookmarkEnd w:id="81"/>
      <w:bookmarkEnd w:id="82"/>
      <w:bookmarkEnd w:id="83"/>
      <w:bookmarkEnd w:id="84"/>
    </w:p>
    <w:p w:rsidR="00E539E2" w:rsidRDefault="00EC62F9" w:rsidP="00853EC2">
      <w:pPr>
        <w:spacing w:line="600" w:lineRule="exact"/>
        <w:ind w:firstLineChars="200" w:firstLine="643"/>
        <w:outlineLvl w:val="2"/>
        <w:rPr>
          <w:rFonts w:ascii="仿宋" w:eastAsia="仿宋" w:hAnsi="仿宋"/>
          <w:sz w:val="32"/>
          <w:szCs w:val="32"/>
        </w:rPr>
      </w:pPr>
      <w:bookmarkStart w:id="85" w:name="_Toc147678535"/>
      <w:bookmarkStart w:id="86" w:name="_Toc15377222"/>
      <w:r>
        <w:rPr>
          <w:rFonts w:ascii="仿宋" w:eastAsia="仿宋" w:hAnsi="仿宋" w:hint="eastAsia"/>
          <w:b/>
          <w:sz w:val="32"/>
          <w:szCs w:val="32"/>
        </w:rPr>
        <w:t>（一）机关运行经费支出情况</w:t>
      </w:r>
      <w:bookmarkEnd w:id="85"/>
      <w:bookmarkEnd w:id="86"/>
    </w:p>
    <w:p w:rsidR="00E539E2" w:rsidRDefault="00EC62F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22年，广元市市场监督管理局广元经开区分局机关运行经费支出46.69万元，比</w:t>
      </w:r>
      <w:r>
        <w:rPr>
          <w:rFonts w:ascii="仿宋" w:eastAsia="仿宋" w:hAnsi="仿宋"/>
          <w:sz w:val="32"/>
          <w:szCs w:val="32"/>
        </w:rPr>
        <w:t>20</w:t>
      </w:r>
      <w:r>
        <w:rPr>
          <w:rFonts w:ascii="仿宋" w:eastAsia="仿宋" w:hAnsi="仿宋" w:hint="eastAsia"/>
          <w:sz w:val="32"/>
          <w:szCs w:val="32"/>
        </w:rPr>
        <w:t>21年减少3.08万元，下降6.19</w:t>
      </w:r>
      <w:r>
        <w:rPr>
          <w:rFonts w:ascii="仿宋" w:eastAsia="仿宋" w:hAnsi="仿宋"/>
          <w:sz w:val="32"/>
          <w:szCs w:val="32"/>
        </w:rPr>
        <w:t>%</w:t>
      </w:r>
      <w:r>
        <w:rPr>
          <w:rFonts w:ascii="仿宋" w:eastAsia="仿宋" w:hAnsi="仿宋" w:hint="eastAsia"/>
          <w:sz w:val="32"/>
          <w:szCs w:val="32"/>
        </w:rPr>
        <w:t>。主要原因是有2名在职人员调出，日常公用经费预</w:t>
      </w:r>
      <w:r>
        <w:rPr>
          <w:rFonts w:ascii="仿宋" w:eastAsia="仿宋" w:hAnsi="仿宋" w:hint="eastAsia"/>
          <w:sz w:val="32"/>
          <w:szCs w:val="32"/>
        </w:rPr>
        <w:lastRenderedPageBreak/>
        <w:t>算减少。</w:t>
      </w:r>
    </w:p>
    <w:p w:rsidR="00E539E2" w:rsidRDefault="00EC62F9" w:rsidP="00853EC2">
      <w:pPr>
        <w:autoSpaceDE w:val="0"/>
        <w:autoSpaceDN w:val="0"/>
        <w:adjustRightInd w:val="0"/>
        <w:spacing w:line="600" w:lineRule="exact"/>
        <w:ind w:firstLineChars="200" w:firstLine="643"/>
        <w:jc w:val="left"/>
        <w:outlineLvl w:val="2"/>
        <w:rPr>
          <w:rFonts w:ascii="仿宋" w:eastAsia="仿宋" w:hAnsi="仿宋"/>
          <w:b/>
          <w:sz w:val="32"/>
          <w:szCs w:val="32"/>
        </w:rPr>
      </w:pPr>
      <w:bookmarkStart w:id="87" w:name="_Toc15377223"/>
      <w:bookmarkStart w:id="88" w:name="_Toc147678536"/>
      <w:r>
        <w:rPr>
          <w:rFonts w:ascii="仿宋" w:eastAsia="仿宋" w:hAnsi="仿宋" w:hint="eastAsia"/>
          <w:b/>
          <w:sz w:val="32"/>
          <w:szCs w:val="32"/>
        </w:rPr>
        <w:t>（二）政府采购支出情况</w:t>
      </w:r>
      <w:bookmarkEnd w:id="87"/>
      <w:bookmarkEnd w:id="88"/>
    </w:p>
    <w:p w:rsidR="00E539E2" w:rsidRDefault="00EC62F9">
      <w:pPr>
        <w:spacing w:line="600" w:lineRule="exact"/>
        <w:ind w:firstLine="640"/>
        <w:rPr>
          <w:rFonts w:ascii="仿宋" w:eastAsia="仿宋" w:hAnsi="仿宋"/>
          <w:sz w:val="32"/>
          <w:szCs w:val="32"/>
        </w:rPr>
      </w:pPr>
      <w:r>
        <w:rPr>
          <w:rFonts w:ascii="仿宋" w:eastAsia="仿宋" w:hAnsi="仿宋"/>
          <w:sz w:val="32"/>
          <w:szCs w:val="32"/>
        </w:rPr>
        <w:t>20</w:t>
      </w:r>
      <w:r>
        <w:rPr>
          <w:rFonts w:ascii="仿宋" w:eastAsia="仿宋" w:hAnsi="仿宋" w:hint="eastAsia"/>
          <w:sz w:val="32"/>
          <w:szCs w:val="32"/>
        </w:rPr>
        <w:t>22年，广元市市场监督管理局广元经开区分局政府采购支出总额0万元。</w:t>
      </w:r>
    </w:p>
    <w:p w:rsidR="00E539E2" w:rsidRDefault="00EC62F9" w:rsidP="00853EC2">
      <w:pPr>
        <w:autoSpaceDE w:val="0"/>
        <w:autoSpaceDN w:val="0"/>
        <w:adjustRightInd w:val="0"/>
        <w:spacing w:line="600" w:lineRule="exact"/>
        <w:ind w:firstLineChars="200" w:firstLine="643"/>
        <w:jc w:val="left"/>
        <w:outlineLvl w:val="2"/>
        <w:rPr>
          <w:rFonts w:ascii="仿宋" w:eastAsia="仿宋" w:hAnsi="仿宋"/>
          <w:b/>
          <w:sz w:val="32"/>
          <w:szCs w:val="32"/>
        </w:rPr>
      </w:pPr>
      <w:bookmarkStart w:id="89" w:name="_Toc147678537"/>
      <w:bookmarkStart w:id="90" w:name="_Toc15377224"/>
      <w:r>
        <w:rPr>
          <w:rFonts w:ascii="仿宋" w:eastAsia="仿宋" w:hAnsi="仿宋" w:hint="eastAsia"/>
          <w:b/>
          <w:sz w:val="32"/>
          <w:szCs w:val="32"/>
        </w:rPr>
        <w:t>（三）国有资产占有使用情况</w:t>
      </w:r>
      <w:bookmarkEnd w:id="89"/>
      <w:bookmarkEnd w:id="90"/>
    </w:p>
    <w:p w:rsidR="00E539E2" w:rsidRDefault="00EC62F9">
      <w:pPr>
        <w:spacing w:line="600" w:lineRule="exact"/>
        <w:ind w:firstLine="640"/>
        <w:rPr>
          <w:rFonts w:ascii="仿宋" w:eastAsia="仿宋" w:hAnsi="仿宋"/>
          <w:sz w:val="32"/>
          <w:szCs w:val="32"/>
        </w:rPr>
      </w:pPr>
      <w:r>
        <w:rPr>
          <w:rFonts w:ascii="仿宋" w:eastAsia="仿宋" w:hAnsi="仿宋" w:hint="eastAsia"/>
          <w:sz w:val="32"/>
          <w:szCs w:val="32"/>
        </w:rPr>
        <w:t>截至</w:t>
      </w:r>
      <w:r>
        <w:rPr>
          <w:rFonts w:ascii="仿宋" w:eastAsia="仿宋" w:hAnsi="仿宋"/>
          <w:sz w:val="32"/>
          <w:szCs w:val="32"/>
        </w:rPr>
        <w:t>20</w:t>
      </w:r>
      <w:r>
        <w:rPr>
          <w:rFonts w:ascii="仿宋" w:eastAsia="仿宋" w:hAnsi="仿宋" w:hint="eastAsia"/>
          <w:sz w:val="32"/>
          <w:szCs w:val="32"/>
        </w:rPr>
        <w:t>22年</w:t>
      </w:r>
      <w:r>
        <w:rPr>
          <w:rFonts w:ascii="仿宋" w:eastAsia="仿宋" w:hAnsi="仿宋"/>
          <w:sz w:val="32"/>
          <w:szCs w:val="32"/>
        </w:rPr>
        <w:t>12</w:t>
      </w:r>
      <w:r>
        <w:rPr>
          <w:rFonts w:ascii="仿宋" w:eastAsia="仿宋" w:hAnsi="仿宋" w:hint="eastAsia"/>
          <w:sz w:val="32"/>
          <w:szCs w:val="32"/>
        </w:rPr>
        <w:t>月</w:t>
      </w:r>
      <w:r>
        <w:rPr>
          <w:rFonts w:ascii="仿宋" w:eastAsia="仿宋" w:hAnsi="仿宋"/>
          <w:sz w:val="32"/>
          <w:szCs w:val="32"/>
        </w:rPr>
        <w:t>31</w:t>
      </w:r>
      <w:r>
        <w:rPr>
          <w:rFonts w:ascii="仿宋" w:eastAsia="仿宋" w:hAnsi="仿宋" w:hint="eastAsia"/>
          <w:sz w:val="32"/>
          <w:szCs w:val="32"/>
        </w:rPr>
        <w:t>日，广元市市场监督管理局广元经开区分局共有车辆3辆，其中：其他用车3辆，其他用车主要是用于质量安全监管、食品药品、医疗器械等市场监督管理事务，消费者权益保护等市场秩序执法工作。单价</w:t>
      </w:r>
      <w:r>
        <w:rPr>
          <w:rFonts w:ascii="仿宋" w:eastAsia="仿宋" w:hAnsi="仿宋"/>
          <w:sz w:val="32"/>
          <w:szCs w:val="32"/>
        </w:rPr>
        <w:t>100</w:t>
      </w:r>
      <w:r>
        <w:rPr>
          <w:rFonts w:ascii="仿宋" w:eastAsia="仿宋" w:hAnsi="仿宋" w:hint="eastAsia"/>
          <w:sz w:val="32"/>
          <w:szCs w:val="32"/>
        </w:rPr>
        <w:t>万元以上专用设备0台（套）。</w:t>
      </w:r>
    </w:p>
    <w:p w:rsidR="00E539E2" w:rsidRDefault="00EC62F9" w:rsidP="00853EC2">
      <w:pPr>
        <w:autoSpaceDE w:val="0"/>
        <w:autoSpaceDN w:val="0"/>
        <w:adjustRightInd w:val="0"/>
        <w:spacing w:line="600" w:lineRule="exact"/>
        <w:ind w:firstLineChars="200" w:firstLine="643"/>
        <w:jc w:val="left"/>
        <w:outlineLvl w:val="2"/>
        <w:rPr>
          <w:rFonts w:ascii="仿宋" w:eastAsia="仿宋" w:hAnsi="仿宋"/>
          <w:b/>
          <w:sz w:val="32"/>
          <w:szCs w:val="32"/>
        </w:rPr>
      </w:pPr>
      <w:bookmarkStart w:id="91" w:name="_Toc147678538"/>
      <w:r>
        <w:rPr>
          <w:rFonts w:ascii="仿宋" w:eastAsia="仿宋" w:hAnsi="仿宋" w:hint="eastAsia"/>
          <w:b/>
          <w:sz w:val="32"/>
          <w:szCs w:val="32"/>
        </w:rPr>
        <w:t>（四）预算绩效管理情况</w:t>
      </w:r>
      <w:bookmarkEnd w:id="91"/>
    </w:p>
    <w:p w:rsidR="00E539E2" w:rsidRDefault="00EC62F9">
      <w:pPr>
        <w:spacing w:line="600" w:lineRule="exact"/>
        <w:ind w:firstLine="640"/>
        <w:rPr>
          <w:rFonts w:ascii="仿宋" w:eastAsia="仿宋" w:hAnsi="仿宋"/>
          <w:sz w:val="32"/>
          <w:szCs w:val="32"/>
        </w:rPr>
      </w:pPr>
      <w:r>
        <w:rPr>
          <w:rFonts w:ascii="仿宋" w:eastAsia="仿宋" w:hAnsi="仿宋" w:hint="eastAsia"/>
          <w:sz w:val="32"/>
          <w:szCs w:val="32"/>
        </w:rPr>
        <w:t>根据预算绩效管理要求，本单位在2022年度预算编制阶段，组织对市场综合监管专项项目、市场秩序执法办案专项项目、信息化建设运行及维护项目、其他市场综合监管专项项目等15个项目开展了预算事前绩效评估，对15个项目编制了绩效目标，预算执行过程中，选取15个项目开展绩效监控，组织对15个项目开展绩效自评，绩效自评表详见第四部分附件。</w:t>
      </w:r>
    </w:p>
    <w:p w:rsidR="00E539E2" w:rsidRDefault="00EC62F9">
      <w:pPr>
        <w:widowControl/>
        <w:jc w:val="left"/>
        <w:rPr>
          <w:rFonts w:ascii="仿宋_GB2312" w:eastAsia="仿宋_GB2312"/>
          <w:b/>
          <w:sz w:val="32"/>
          <w:szCs w:val="32"/>
        </w:rPr>
      </w:pPr>
      <w:r>
        <w:rPr>
          <w:rFonts w:ascii="仿宋_GB2312" w:eastAsia="仿宋_GB2312"/>
          <w:b/>
          <w:sz w:val="32"/>
          <w:szCs w:val="32"/>
        </w:rPr>
        <w:br w:type="page"/>
      </w:r>
    </w:p>
    <w:p w:rsidR="00E539E2" w:rsidRDefault="00EC62F9">
      <w:pPr>
        <w:pStyle w:val="1"/>
        <w:jc w:val="center"/>
        <w:rPr>
          <w:rFonts w:ascii="方正小标宋简体" w:eastAsia="方正小标宋简体" w:hAnsi="方正小标宋简体" w:cs="方正小标宋简体"/>
          <w:b w:val="0"/>
          <w:kern w:val="2"/>
        </w:rPr>
      </w:pPr>
      <w:bookmarkStart w:id="92" w:name="_Toc147676471"/>
      <w:bookmarkStart w:id="93" w:name="_Toc147678539"/>
      <w:bookmarkStart w:id="94" w:name="_Toc15377225"/>
      <w:bookmarkStart w:id="95" w:name="_Toc15396613"/>
      <w:r>
        <w:rPr>
          <w:rFonts w:ascii="方正小标宋简体" w:eastAsia="方正小标宋简体" w:hAnsi="方正小标宋简体" w:cs="方正小标宋简体" w:hint="eastAsia"/>
          <w:b w:val="0"/>
          <w:bCs w:val="0"/>
          <w:kern w:val="2"/>
        </w:rPr>
        <w:lastRenderedPageBreak/>
        <w:t>第三部分名</w:t>
      </w:r>
      <w:r>
        <w:rPr>
          <w:rFonts w:ascii="方正小标宋简体" w:eastAsia="方正小标宋简体" w:hAnsi="方正小标宋简体" w:cs="方正小标宋简体" w:hint="eastAsia"/>
          <w:b w:val="0"/>
          <w:kern w:val="2"/>
        </w:rPr>
        <w:t>词解释</w:t>
      </w:r>
      <w:bookmarkEnd w:id="92"/>
      <w:bookmarkEnd w:id="93"/>
      <w:bookmarkEnd w:id="94"/>
      <w:bookmarkEnd w:id="95"/>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color w:val="auto"/>
          <w:kern w:val="2"/>
          <w:sz w:val="32"/>
          <w:szCs w:val="32"/>
        </w:rPr>
        <w:t>1.</w:t>
      </w:r>
      <w:r>
        <w:rPr>
          <w:rFonts w:hAnsi="仿宋" w:cs="Times New Roman" w:hint="eastAsia"/>
          <w:color w:val="auto"/>
          <w:kern w:val="2"/>
          <w:sz w:val="32"/>
          <w:szCs w:val="32"/>
        </w:rPr>
        <w:t>财政拨款收入：指单位从同级财政部门取得的财政预算资金。</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2</w:t>
      </w:r>
      <w:r>
        <w:rPr>
          <w:rFonts w:hAnsi="仿宋" w:cs="Times New Roman"/>
          <w:color w:val="auto"/>
          <w:kern w:val="2"/>
          <w:sz w:val="32"/>
          <w:szCs w:val="32"/>
        </w:rPr>
        <w:t>.</w:t>
      </w:r>
      <w:r>
        <w:rPr>
          <w:rFonts w:hAnsi="仿宋" w:cs="Times New Roman" w:hint="eastAsia"/>
          <w:color w:val="auto"/>
          <w:kern w:val="2"/>
          <w:sz w:val="32"/>
          <w:szCs w:val="32"/>
        </w:rPr>
        <w:t>年初结转和结余：指以前年度尚未完成、结转到本年按有关规定继续使用的资金。</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3</w:t>
      </w:r>
      <w:r>
        <w:rPr>
          <w:rFonts w:hAnsi="仿宋" w:cs="Times New Roman"/>
          <w:color w:val="auto"/>
          <w:kern w:val="2"/>
          <w:sz w:val="32"/>
          <w:szCs w:val="32"/>
        </w:rPr>
        <w:t>.</w:t>
      </w:r>
      <w:r>
        <w:rPr>
          <w:rFonts w:hAnsi="仿宋" w:cs="Times New Roman" w:hint="eastAsia"/>
          <w:color w:val="auto"/>
          <w:kern w:val="2"/>
          <w:sz w:val="32"/>
          <w:szCs w:val="32"/>
        </w:rPr>
        <w:t>一般公共服务（类）市场监督管理事务（款）行政运行（项）：指广元市市场监督管理局广元经开区分局用于行政单位的基本支出。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4.一般公共服务（类）市场监督管理事务（款）一般行政管理事务（项）：指广元市市场监督管理局广元经开区分局用于未单独设置项级科目的其他项目支出。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5.一般公共服务（类）市场监督管理事务（款）市场主体管理（项）：指广元市市场监督管理局广元经开区分局用于市场准入、许可审批、信用监管等市场主体管理专项工作的支出。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6.一般公共服务（类）市场监督管理事务（款）市场秩序执法（项）：指广元市市场监督管理局广元经开区分局用于反垄断、价格监督、反不正当竞争、规范直销与打击传销、网络交易监管、广告监管、消费者权益保护、综合执法等市场秩序执法专项工作的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7.一般公共服务（类）市场监督管理事务（款）药品事务（项）：指广元市市场监督管理局广元经开区分局用于药品（含中药、民族药）监督管理方面的支出。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lastRenderedPageBreak/>
        <w:t>8.一般公共服务（类）市场监督管理事务（款）其他市场监督管理事务支出（项）：指广元市市场监督管理局广元经开区分局用于除上述项目以外其他市场监督管理事务方面的支出。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9.社会保障和就业支出（类）行政事业单位养老支出（款）机关事业单位基本养老保险缴费支出（项）：指广元市市场监督管理局广元经开区分局用于实施养老保险制度由单位缴纳的基本养老保险费支出。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10.卫生健康支出（类）行政事业单位医疗（款）行政单位医疗（项）：指广元市市场监督管理局广元经开区分局用于行政单位基本医疗保险缴费。</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11.住房保障支出（类）住房改革支出（款）住房公积金（项）：指广元市市场监督管理局广元经开区分局用于按规定的工资基数以及规定比例为职工缴纳的住房公积金。</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12.基本支出：指为保障机构正常运转、完成日常工作任务而发生的人员支出和公用支出。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13.项目支出：指在基本支出之外为完成特定行政任务和事业发展目标所发生的支出。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14.“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w:t>
      </w:r>
      <w:r>
        <w:rPr>
          <w:rFonts w:hAnsi="仿宋" w:cs="Times New Roman" w:hint="eastAsia"/>
          <w:color w:val="auto"/>
          <w:kern w:val="2"/>
          <w:sz w:val="32"/>
          <w:szCs w:val="32"/>
        </w:rPr>
        <w:lastRenderedPageBreak/>
        <w:t>支出；公务接待费反映单位按规定开支的各类公务接待（含外宾接待）支出。</w:t>
      </w:r>
    </w:p>
    <w:p w:rsidR="00E539E2" w:rsidRDefault="00EC62F9">
      <w:pPr>
        <w:pStyle w:val="Default"/>
        <w:spacing w:line="560" w:lineRule="exact"/>
        <w:ind w:firstLineChars="200" w:firstLine="640"/>
        <w:rPr>
          <w:rFonts w:hAnsi="仿宋" w:cs="Times New Roman"/>
          <w:color w:val="auto"/>
          <w:kern w:val="2"/>
          <w:sz w:val="32"/>
          <w:szCs w:val="32"/>
        </w:rPr>
      </w:pPr>
      <w:r>
        <w:rPr>
          <w:rFonts w:hAnsi="仿宋" w:cs="Times New Roman" w:hint="eastAsia"/>
          <w:color w:val="auto"/>
          <w:kern w:val="2"/>
          <w:sz w:val="32"/>
          <w:szCs w:val="32"/>
        </w:rPr>
        <w:t>15.机关运行经费：为保障行政单位（含参照公务员法管理的事业单位）运行用于购买货物和服务的各项资金，包括办公及印刷费、邮电费、差旅费、会议费、福利费、日常维修费、办公用房水电费、办公用房物业管理费、公务用车运行维护费以及其他费用。</w:t>
      </w:r>
    </w:p>
    <w:p w:rsidR="00E539E2" w:rsidRDefault="00E539E2">
      <w:pPr>
        <w:spacing w:line="600" w:lineRule="exact"/>
        <w:jc w:val="center"/>
        <w:outlineLvl w:val="0"/>
        <w:rPr>
          <w:rFonts w:ascii="黑体" w:eastAsia="黑体" w:hAnsi="黑体"/>
          <w:sz w:val="44"/>
          <w:szCs w:val="44"/>
        </w:rPr>
      </w:pPr>
      <w:bookmarkStart w:id="96" w:name="_Toc15396614"/>
      <w:bookmarkStart w:id="97" w:name="_Toc15377226"/>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pPr>
    </w:p>
    <w:p w:rsidR="00E539E2" w:rsidRDefault="00E539E2">
      <w:pPr>
        <w:spacing w:line="600" w:lineRule="exact"/>
        <w:jc w:val="center"/>
        <w:outlineLvl w:val="0"/>
        <w:rPr>
          <w:rFonts w:ascii="黑体" w:eastAsia="黑体" w:hAnsi="黑体"/>
          <w:sz w:val="44"/>
          <w:szCs w:val="44"/>
        </w:rPr>
        <w:sectPr w:rsidR="00E539E2">
          <w:headerReference w:type="default" r:id="rId17"/>
          <w:footerReference w:type="default" r:id="rId18"/>
          <w:footerReference w:type="first" r:id="rId19"/>
          <w:pgSz w:w="11906" w:h="16838"/>
          <w:pgMar w:top="1440" w:right="1800" w:bottom="1440" w:left="1800" w:header="851" w:footer="992" w:gutter="0"/>
          <w:cols w:space="425"/>
          <w:titlePg/>
          <w:docGrid w:type="lines" w:linePitch="312"/>
        </w:sectPr>
      </w:pPr>
    </w:p>
    <w:p w:rsidR="00E539E2" w:rsidRDefault="00EC62F9">
      <w:pPr>
        <w:pStyle w:val="1"/>
        <w:jc w:val="center"/>
        <w:rPr>
          <w:rStyle w:val="1Char"/>
          <w:rFonts w:ascii="方正小标宋简体" w:eastAsia="方正小标宋简体" w:hAnsi="方正小标宋简体" w:cs="方正小标宋简体"/>
          <w:kern w:val="2"/>
        </w:rPr>
      </w:pPr>
      <w:bookmarkStart w:id="98" w:name="_Toc147676472"/>
      <w:bookmarkStart w:id="99" w:name="_Toc147678540"/>
      <w:r>
        <w:rPr>
          <w:rFonts w:ascii="方正小标宋简体" w:eastAsia="方正小标宋简体" w:hAnsi="方正小标宋简体" w:cs="方正小标宋简体" w:hint="eastAsia"/>
          <w:b w:val="0"/>
          <w:bCs w:val="0"/>
          <w:kern w:val="2"/>
        </w:rPr>
        <w:lastRenderedPageBreak/>
        <w:t>第四部分附件</w:t>
      </w:r>
      <w:bookmarkEnd w:id="96"/>
      <w:bookmarkEnd w:id="98"/>
      <w:bookmarkEnd w:id="99"/>
    </w:p>
    <w:p w:rsidR="00E539E2" w:rsidRDefault="00EC62F9">
      <w:pPr>
        <w:spacing w:line="572" w:lineRule="exact"/>
        <w:jc w:val="left"/>
        <w:outlineLvl w:val="0"/>
        <w:rPr>
          <w:rFonts w:ascii="仿宋_GB2312" w:eastAsia="仿宋_GB2312" w:hAnsi="仿宋_GB2312" w:cs="仿宋_GB2312"/>
          <w:sz w:val="32"/>
          <w:szCs w:val="32"/>
        </w:rPr>
      </w:pPr>
      <w:bookmarkStart w:id="100" w:name="_Toc147676473"/>
      <w:bookmarkStart w:id="101" w:name="_Toc147678541"/>
      <w:r>
        <w:rPr>
          <w:rFonts w:ascii="仿宋_GB2312" w:eastAsia="仿宋_GB2312" w:hAnsi="仿宋_GB2312" w:cs="仿宋_GB2312" w:hint="eastAsia"/>
          <w:sz w:val="32"/>
          <w:szCs w:val="32"/>
        </w:rPr>
        <w:t>附表1：</w:t>
      </w:r>
      <w:bookmarkEnd w:id="100"/>
      <w:bookmarkEnd w:id="101"/>
    </w:p>
    <w:tbl>
      <w:tblPr>
        <w:tblW w:w="13871" w:type="dxa"/>
        <w:tblInd w:w="93" w:type="dxa"/>
        <w:tblLook w:val="04A0"/>
      </w:tblPr>
      <w:tblGrid>
        <w:gridCol w:w="996"/>
        <w:gridCol w:w="118"/>
        <w:gridCol w:w="1420"/>
        <w:gridCol w:w="1113"/>
        <w:gridCol w:w="1567"/>
        <w:gridCol w:w="411"/>
        <w:gridCol w:w="292"/>
        <w:gridCol w:w="818"/>
        <w:gridCol w:w="868"/>
        <w:gridCol w:w="142"/>
        <w:gridCol w:w="1213"/>
        <w:gridCol w:w="1111"/>
        <w:gridCol w:w="1111"/>
        <w:gridCol w:w="2691"/>
      </w:tblGrid>
      <w:tr w:rsidR="00E539E2">
        <w:trPr>
          <w:trHeight w:val="546"/>
        </w:trPr>
        <w:tc>
          <w:tcPr>
            <w:tcW w:w="13871"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412"/>
        </w:trPr>
        <w:tc>
          <w:tcPr>
            <w:tcW w:w="25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337"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51000021R000000019951-工资性支出</w:t>
            </w:r>
          </w:p>
        </w:tc>
      </w:tr>
      <w:tr w:rsidR="00E539E2">
        <w:trPr>
          <w:trHeight w:val="492"/>
        </w:trPr>
        <w:tc>
          <w:tcPr>
            <w:tcW w:w="2534"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5211"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213"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491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98"/>
        </w:trPr>
        <w:tc>
          <w:tcPr>
            <w:tcW w:w="99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1538" w:type="dxa"/>
            <w:gridSpan w:val="2"/>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5211"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612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55"/>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5211"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严格执行相关政策，保障工资及时发放、足额发放，预算编制科学合理，减少结余资金</w:t>
            </w:r>
          </w:p>
        </w:tc>
        <w:tc>
          <w:tcPr>
            <w:tcW w:w="612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保障了人员工资、保险、绩效及时足额发放。</w:t>
            </w:r>
          </w:p>
        </w:tc>
      </w:tr>
      <w:tr w:rsidR="00E539E2">
        <w:trPr>
          <w:trHeight w:val="827"/>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337"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“工资性支出”项目由财务股负责组织实施，通过制定专项工作计划方案、确定工作目标、明确组织实施措施和策略，有效地指导工作的正常有序开展。</w:t>
            </w:r>
          </w:p>
        </w:tc>
      </w:tr>
      <w:tr w:rsidR="00E539E2">
        <w:trPr>
          <w:trHeight w:val="492"/>
        </w:trPr>
        <w:tc>
          <w:tcPr>
            <w:tcW w:w="99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38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6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512"/>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217.46</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263.55</w:t>
            </w:r>
          </w:p>
        </w:tc>
        <w:tc>
          <w:tcPr>
            <w:tcW w:w="238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253.32</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96.12%</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9.6</w:t>
            </w:r>
          </w:p>
        </w:tc>
        <w:tc>
          <w:tcPr>
            <w:tcW w:w="2690"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MS Mincho" w:cs="MS Mincho"/>
                <w:iCs/>
                <w:color w:val="000000"/>
                <w:kern w:val="0"/>
                <w:sz w:val="22"/>
                <w:szCs w:val="22"/>
              </w:rPr>
            </w:pPr>
            <w:r>
              <w:rPr>
                <w:rFonts w:ascii="仿宋_GB2312" w:eastAsia="仿宋_GB2312" w:hAnsi="黑体" w:cs="宋体" w:hint="eastAsia"/>
                <w:iCs/>
                <w:color w:val="000000"/>
                <w:kern w:val="0"/>
                <w:sz w:val="22"/>
                <w:szCs w:val="22"/>
              </w:rPr>
              <w:t>调整追加</w:t>
            </w:r>
            <w:r>
              <w:rPr>
                <w:rFonts w:ascii="仿宋_GB2312" w:eastAsia="仿宋_GB2312" w:hAnsi="MS Mincho" w:cs="MS Mincho" w:hint="eastAsia"/>
                <w:iCs/>
                <w:color w:val="000000"/>
                <w:kern w:val="0"/>
                <w:sz w:val="22"/>
                <w:szCs w:val="22"/>
              </w:rPr>
              <w:t>预算46.09万元，主要是由于追加了基本工资和基础绩效奖预算。</w:t>
            </w:r>
          </w:p>
        </w:tc>
      </w:tr>
      <w:tr w:rsidR="00E539E2">
        <w:trPr>
          <w:trHeight w:val="492"/>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217.46</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263.55</w:t>
            </w:r>
          </w:p>
        </w:tc>
        <w:tc>
          <w:tcPr>
            <w:tcW w:w="238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253.32</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96.12%</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92"/>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w:t>
            </w:r>
            <w:r>
              <w:rPr>
                <w:rFonts w:ascii="仿宋_GB2312" w:eastAsia="仿宋_GB2312" w:hAnsi="宋体" w:cs="宋体" w:hint="eastAsia"/>
                <w:color w:val="000000"/>
                <w:kern w:val="0"/>
                <w:sz w:val="22"/>
                <w:szCs w:val="22"/>
              </w:rPr>
              <w:lastRenderedPageBreak/>
              <w:t>资金</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0.00</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38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608"/>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38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76"/>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38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296"/>
        </w:trPr>
        <w:tc>
          <w:tcPr>
            <w:tcW w:w="99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绩效指标（90分）</w:t>
            </w: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70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81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8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6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79"/>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11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足额保障率</w:t>
            </w:r>
          </w:p>
        </w:tc>
        <w:tc>
          <w:tcPr>
            <w:tcW w:w="70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81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6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32"/>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11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70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81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8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0</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6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80"/>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按时发放率</w:t>
            </w:r>
          </w:p>
        </w:tc>
        <w:tc>
          <w:tcPr>
            <w:tcW w:w="70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81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6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985"/>
        </w:trPr>
        <w:tc>
          <w:tcPr>
            <w:tcW w:w="99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3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11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15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结余率（计算方法为：结余数/预算数）</w:t>
            </w:r>
          </w:p>
        </w:tc>
        <w:tc>
          <w:tcPr>
            <w:tcW w:w="70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81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8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5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3.92</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6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13"/>
        </w:trPr>
        <w:tc>
          <w:tcPr>
            <w:tcW w:w="895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11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99.6</w:t>
            </w:r>
          </w:p>
        </w:tc>
        <w:tc>
          <w:tcPr>
            <w:tcW w:w="2690"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482"/>
        </w:trPr>
        <w:tc>
          <w:tcPr>
            <w:tcW w:w="1114" w:type="dxa"/>
            <w:gridSpan w:val="2"/>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2757"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“工资性支出”项目按时顺利开展，</w:t>
            </w:r>
            <w:r>
              <w:rPr>
                <w:rFonts w:ascii="仿宋_GB2312" w:eastAsia="仿宋_GB2312" w:hAnsi="黑体" w:cs="宋体" w:hint="eastAsia"/>
                <w:color w:val="000000"/>
                <w:kern w:val="0"/>
                <w:sz w:val="22"/>
                <w:szCs w:val="22"/>
              </w:rPr>
              <w:t>保障了人员工资、保险、绩效及时足额发放，自评得分99.6分。</w:t>
            </w:r>
          </w:p>
        </w:tc>
      </w:tr>
      <w:tr w:rsidR="00E539E2">
        <w:trPr>
          <w:trHeight w:val="560"/>
        </w:trPr>
        <w:tc>
          <w:tcPr>
            <w:tcW w:w="1114" w:type="dxa"/>
            <w:gridSpan w:val="2"/>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2757"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预算执行效率未达100%，预算执行存在一定偏差。</w:t>
            </w:r>
          </w:p>
        </w:tc>
      </w:tr>
      <w:tr w:rsidR="00E539E2">
        <w:trPr>
          <w:trHeight w:val="571"/>
        </w:trPr>
        <w:tc>
          <w:tcPr>
            <w:tcW w:w="1114" w:type="dxa"/>
            <w:gridSpan w:val="2"/>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2757"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仿宋_GB2312" w:cs="仿宋_GB2312" w:hint="eastAsia"/>
                <w:kern w:val="21"/>
                <w:sz w:val="22"/>
                <w:szCs w:val="22"/>
              </w:rPr>
              <w:t>加强预算资金管理，加大对预算编制与执行的监督管理力度，提高预算资金使用效率。</w:t>
            </w:r>
          </w:p>
        </w:tc>
      </w:tr>
      <w:tr w:rsidR="00E539E2">
        <w:trPr>
          <w:trHeight w:val="468"/>
        </w:trPr>
        <w:tc>
          <w:tcPr>
            <w:tcW w:w="5625"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黑体" w:hAnsi="黑体" w:cs="宋体"/>
                <w:color w:val="000000"/>
                <w:kern w:val="0"/>
                <w:sz w:val="22"/>
                <w:szCs w:val="22"/>
              </w:rPr>
            </w:pPr>
            <w:r>
              <w:rPr>
                <w:rFonts w:ascii="黑体" w:hAnsi="黑体" w:cs="宋体"/>
                <w:color w:val="000000"/>
                <w:kern w:val="0"/>
                <w:sz w:val="22"/>
                <w:szCs w:val="22"/>
              </w:rPr>
              <w:t>项目负责人：</w:t>
            </w:r>
            <w:r>
              <w:rPr>
                <w:rFonts w:ascii="黑体" w:hAnsi="黑体" w:cs="宋体" w:hint="eastAsia"/>
                <w:color w:val="000000"/>
                <w:kern w:val="0"/>
                <w:sz w:val="22"/>
                <w:szCs w:val="22"/>
              </w:rPr>
              <w:t>廖红</w:t>
            </w:r>
          </w:p>
        </w:tc>
        <w:tc>
          <w:tcPr>
            <w:tcW w:w="8246" w:type="dxa"/>
            <w:gridSpan w:val="8"/>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黑体" w:hAnsi="黑体" w:cs="宋体"/>
                <w:color w:val="000000"/>
                <w:kern w:val="0"/>
                <w:sz w:val="22"/>
                <w:szCs w:val="22"/>
              </w:rPr>
            </w:pPr>
            <w:r>
              <w:rPr>
                <w:rFonts w:ascii="黑体" w:hAnsi="黑体" w:cs="宋体"/>
                <w:color w:val="000000"/>
                <w:kern w:val="0"/>
                <w:sz w:val="22"/>
                <w:szCs w:val="22"/>
              </w:rPr>
              <w:t>财务负责人：</w:t>
            </w:r>
            <w:r>
              <w:rPr>
                <w:rFonts w:ascii="黑体" w:hAnsi="黑体" w:cs="宋体" w:hint="eastAsia"/>
                <w:color w:val="000000"/>
                <w:kern w:val="0"/>
                <w:sz w:val="22"/>
                <w:szCs w:val="22"/>
              </w:rPr>
              <w:t>岳林</w:t>
            </w:r>
          </w:p>
        </w:tc>
      </w:tr>
    </w:tbl>
    <w:p w:rsidR="00E539E2" w:rsidRDefault="00E539E2">
      <w:pPr>
        <w:pStyle w:val="a0"/>
        <w:spacing w:before="93"/>
      </w:pPr>
    </w:p>
    <w:p w:rsidR="00E539E2" w:rsidRDefault="00EC62F9">
      <w:pPr>
        <w:pStyle w:val="a0"/>
        <w:spacing w:before="93"/>
      </w:pPr>
      <w:r>
        <w:rPr>
          <w:rFonts w:hint="eastAsia"/>
        </w:rPr>
        <w:lastRenderedPageBreak/>
        <w:t>附表2：</w:t>
      </w:r>
    </w:p>
    <w:tbl>
      <w:tblPr>
        <w:tblW w:w="14049" w:type="dxa"/>
        <w:tblInd w:w="93" w:type="dxa"/>
        <w:tblLook w:val="04A0"/>
      </w:tblPr>
      <w:tblGrid>
        <w:gridCol w:w="677"/>
        <w:gridCol w:w="1997"/>
        <w:gridCol w:w="1501"/>
        <w:gridCol w:w="1825"/>
        <w:gridCol w:w="514"/>
        <w:gridCol w:w="203"/>
        <w:gridCol w:w="1236"/>
        <w:gridCol w:w="851"/>
        <w:gridCol w:w="1239"/>
        <w:gridCol w:w="656"/>
        <w:gridCol w:w="656"/>
        <w:gridCol w:w="2694"/>
      </w:tblGrid>
      <w:tr w:rsidR="00E539E2">
        <w:trPr>
          <w:trHeight w:val="640"/>
        </w:trPr>
        <w:tc>
          <w:tcPr>
            <w:tcW w:w="14049"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9"/>
        </w:trPr>
        <w:tc>
          <w:tcPr>
            <w:tcW w:w="26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375"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51000021R000000019956-离退休费支出</w:t>
            </w:r>
          </w:p>
        </w:tc>
      </w:tr>
      <w:tr w:rsidR="00E539E2">
        <w:trPr>
          <w:trHeight w:val="514"/>
        </w:trPr>
        <w:tc>
          <w:tcPr>
            <w:tcW w:w="267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130"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239"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400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82"/>
        </w:trPr>
        <w:tc>
          <w:tcPr>
            <w:tcW w:w="67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199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130"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524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130"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严格执行相关政策，保障工资及时发放、足额发放，预算编制科学合理，减少结余资金。</w:t>
            </w:r>
          </w:p>
        </w:tc>
        <w:tc>
          <w:tcPr>
            <w:tcW w:w="524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按时、足额发放了4名退休人员的生活补助。</w:t>
            </w:r>
          </w:p>
        </w:tc>
      </w:tr>
      <w:tr w:rsidR="00E539E2">
        <w:trPr>
          <w:trHeight w:val="694"/>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375"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“离退休费支出”项目由财务股负责组织实施，通过制定专项工作计划方案、确定工作目标、明确组织实施措施和策略，有效地指导工作的正常有序开展。</w:t>
            </w:r>
          </w:p>
        </w:tc>
      </w:tr>
      <w:tr w:rsidR="00E539E2">
        <w:trPr>
          <w:trHeight w:val="360"/>
        </w:trPr>
        <w:tc>
          <w:tcPr>
            <w:tcW w:w="67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80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69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5.60</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5.60</w:t>
            </w:r>
          </w:p>
        </w:tc>
        <w:tc>
          <w:tcPr>
            <w:tcW w:w="280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5.60</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69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无。</w:t>
            </w:r>
          </w:p>
        </w:tc>
      </w:tr>
      <w:tr w:rsidR="00E539E2">
        <w:trPr>
          <w:trHeight w:val="627"/>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5.60</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5.60</w:t>
            </w:r>
          </w:p>
        </w:tc>
        <w:tc>
          <w:tcPr>
            <w:tcW w:w="280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5.60</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80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15"/>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80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66"/>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80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702"/>
        </w:trPr>
        <w:tc>
          <w:tcPr>
            <w:tcW w:w="67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绩效指标（90分）</w:t>
            </w: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71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23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8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69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561"/>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50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足额保障率</w:t>
            </w:r>
          </w:p>
        </w:tc>
        <w:tc>
          <w:tcPr>
            <w:tcW w:w="71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3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710"/>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0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71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3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8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90"/>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按时发放率</w:t>
            </w:r>
          </w:p>
        </w:tc>
        <w:tc>
          <w:tcPr>
            <w:tcW w:w="71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3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1138"/>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5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结余率（计算方法为：结余数/预算数）</w:t>
            </w:r>
          </w:p>
        </w:tc>
        <w:tc>
          <w:tcPr>
            <w:tcW w:w="71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3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8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70"/>
        </w:trPr>
        <w:tc>
          <w:tcPr>
            <w:tcW w:w="1004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2694"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704"/>
        </w:trPr>
        <w:tc>
          <w:tcPr>
            <w:tcW w:w="677"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37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“离退休费支出”项目按时顺利开展，</w:t>
            </w:r>
            <w:r>
              <w:rPr>
                <w:rFonts w:ascii="仿宋_GB2312" w:eastAsia="仿宋_GB2312" w:hAnsi="黑体" w:cs="宋体" w:hint="eastAsia"/>
                <w:color w:val="000000"/>
                <w:kern w:val="0"/>
                <w:sz w:val="22"/>
                <w:szCs w:val="22"/>
              </w:rPr>
              <w:t>保障了4名退休人员的生活补助按时足额发放，自评得分100分。</w:t>
            </w:r>
          </w:p>
        </w:tc>
      </w:tr>
      <w:tr w:rsidR="00E539E2">
        <w:trPr>
          <w:trHeight w:val="574"/>
        </w:trPr>
        <w:tc>
          <w:tcPr>
            <w:tcW w:w="677"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37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34"/>
        </w:trPr>
        <w:tc>
          <w:tcPr>
            <w:tcW w:w="677"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37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18"/>
        </w:trPr>
        <w:tc>
          <w:tcPr>
            <w:tcW w:w="65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7535"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附表3：</w:t>
      </w:r>
    </w:p>
    <w:tbl>
      <w:tblPr>
        <w:tblW w:w="14049" w:type="dxa"/>
        <w:tblInd w:w="93" w:type="dxa"/>
        <w:tblLook w:val="04A0"/>
      </w:tblPr>
      <w:tblGrid>
        <w:gridCol w:w="679"/>
        <w:gridCol w:w="1997"/>
        <w:gridCol w:w="1500"/>
        <w:gridCol w:w="1825"/>
        <w:gridCol w:w="516"/>
        <w:gridCol w:w="161"/>
        <w:gridCol w:w="1275"/>
        <w:gridCol w:w="851"/>
        <w:gridCol w:w="145"/>
        <w:gridCol w:w="1095"/>
        <w:gridCol w:w="656"/>
        <w:gridCol w:w="656"/>
        <w:gridCol w:w="2693"/>
      </w:tblGrid>
      <w:tr w:rsidR="00E539E2">
        <w:trPr>
          <w:trHeight w:val="640"/>
        </w:trPr>
        <w:tc>
          <w:tcPr>
            <w:tcW w:w="14049"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5"/>
        </w:trPr>
        <w:tc>
          <w:tcPr>
            <w:tcW w:w="2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373"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51000021R000000019958-其他支出</w:t>
            </w:r>
          </w:p>
        </w:tc>
      </w:tr>
      <w:tr w:rsidR="00E539E2">
        <w:trPr>
          <w:trHeight w:val="514"/>
        </w:trPr>
        <w:tc>
          <w:tcPr>
            <w:tcW w:w="2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128"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240"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400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82"/>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199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128"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524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128"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严格执行相关政策，保障工资及时发放、足额发放，预算编制科学合理，减少结余资金。</w:t>
            </w:r>
          </w:p>
        </w:tc>
        <w:tc>
          <w:tcPr>
            <w:tcW w:w="524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保障了1名遗属人员的生活补助及时足额发放。</w:t>
            </w:r>
          </w:p>
        </w:tc>
      </w:tr>
      <w:tr w:rsidR="00E539E2">
        <w:trPr>
          <w:trHeight w:val="69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373"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“其他支出”项目由财务股负责组织实施，通过制定专项工作计划方案、确定工作目标、明确组织实施措施和策略，有效地指导工作的正常有序开展。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94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47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0.92</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0.92</w:t>
            </w:r>
          </w:p>
        </w:tc>
        <w:tc>
          <w:tcPr>
            <w:tcW w:w="294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0.92</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26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无。</w:t>
            </w:r>
          </w:p>
        </w:tc>
      </w:tr>
      <w:tr w:rsidR="00E539E2">
        <w:trPr>
          <w:trHeight w:val="56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0.92</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0.92</w:t>
            </w:r>
          </w:p>
        </w:tc>
        <w:tc>
          <w:tcPr>
            <w:tcW w:w="294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0.92</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4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94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5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94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94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6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61"/>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w:t>
            </w:r>
            <w:r>
              <w:rPr>
                <w:rFonts w:ascii="仿宋_GB2312" w:eastAsia="仿宋_GB2312" w:hAnsi="宋体" w:cs="宋体" w:hint="eastAsia"/>
                <w:color w:val="000000"/>
                <w:kern w:val="0"/>
                <w:sz w:val="22"/>
                <w:szCs w:val="22"/>
              </w:rPr>
              <w:lastRenderedPageBreak/>
              <w:t>（90分）</w:t>
            </w: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一级指标</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67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27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99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500"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足额保障率</w:t>
            </w:r>
          </w:p>
        </w:tc>
        <w:tc>
          <w:tcPr>
            <w:tcW w:w="67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7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9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3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0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67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7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99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0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61"/>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按时发放率</w:t>
            </w:r>
          </w:p>
        </w:tc>
        <w:tc>
          <w:tcPr>
            <w:tcW w:w="67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7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9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5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18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结余率（计算方法为：结余数/预算数）</w:t>
            </w:r>
          </w:p>
        </w:tc>
        <w:tc>
          <w:tcPr>
            <w:tcW w:w="67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7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99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0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10"/>
        </w:trPr>
        <w:tc>
          <w:tcPr>
            <w:tcW w:w="1004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370"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“其他支出”项目按时顺利开展，</w:t>
            </w:r>
            <w:r>
              <w:rPr>
                <w:rFonts w:ascii="仿宋_GB2312" w:eastAsia="仿宋_GB2312" w:hAnsi="黑体" w:cs="宋体" w:hint="eastAsia"/>
                <w:color w:val="000000"/>
                <w:kern w:val="0"/>
                <w:sz w:val="22"/>
                <w:szCs w:val="22"/>
              </w:rPr>
              <w:t>保障了1名遗属人员的生活补助及时足额发放，自评得分100分。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370"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3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370"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10"/>
        </w:trPr>
        <w:tc>
          <w:tcPr>
            <w:tcW w:w="651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7532" w:type="dxa"/>
            <w:gridSpan w:val="8"/>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附表4：</w:t>
      </w:r>
    </w:p>
    <w:tbl>
      <w:tblPr>
        <w:tblW w:w="13820" w:type="dxa"/>
        <w:tblInd w:w="93" w:type="dxa"/>
        <w:tblLook w:val="04A0"/>
      </w:tblPr>
      <w:tblGrid>
        <w:gridCol w:w="678"/>
        <w:gridCol w:w="1993"/>
        <w:gridCol w:w="1504"/>
        <w:gridCol w:w="1833"/>
        <w:gridCol w:w="516"/>
        <w:gridCol w:w="154"/>
        <w:gridCol w:w="1134"/>
        <w:gridCol w:w="992"/>
        <w:gridCol w:w="1134"/>
        <w:gridCol w:w="110"/>
        <w:gridCol w:w="656"/>
        <w:gridCol w:w="793"/>
        <w:gridCol w:w="2323"/>
      </w:tblGrid>
      <w:tr w:rsidR="00E539E2">
        <w:trPr>
          <w:trHeight w:val="640"/>
        </w:trPr>
        <w:tc>
          <w:tcPr>
            <w:tcW w:w="1382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5"/>
        </w:trPr>
        <w:tc>
          <w:tcPr>
            <w:tcW w:w="26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149"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51000021Y000000011490-定额公用经费</w:t>
            </w:r>
          </w:p>
        </w:tc>
      </w:tr>
      <w:tr w:rsidR="00E539E2">
        <w:trPr>
          <w:trHeight w:val="514"/>
        </w:trPr>
        <w:tc>
          <w:tcPr>
            <w:tcW w:w="267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133"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244"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77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624"/>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19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133"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5016"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133"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保障单位日常运转，提高预算编制质量，严格执行预算</w:t>
            </w:r>
          </w:p>
        </w:tc>
        <w:tc>
          <w:tcPr>
            <w:tcW w:w="5016"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仿宋_GB2312" w:cs="仿宋_GB2312" w:hint="eastAsia"/>
                <w:sz w:val="22"/>
                <w:szCs w:val="22"/>
              </w:rPr>
              <w:t>保障了分局机关及3个基层所的办公正常运行支出。</w:t>
            </w:r>
          </w:p>
        </w:tc>
      </w:tr>
      <w:tr w:rsidR="00E539E2">
        <w:trPr>
          <w:trHeight w:val="69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149"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“定额公用经费”项目由财务股负责组织实施，通过制定专项工作计划方案、确定工作目标、明确组织实施措施和策略，有效地指导工作的正常有序开展。</w:t>
            </w:r>
          </w:p>
        </w:tc>
      </w:tr>
      <w:tr w:rsidR="00E539E2">
        <w:trPr>
          <w:trHeight w:val="360"/>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32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491"/>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25.50</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25.20</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25.20</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232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追减原因：严格落实“过紧日子”要求，压减三公经费支出。</w:t>
            </w:r>
          </w:p>
        </w:tc>
      </w:tr>
      <w:tr w:rsidR="00E539E2">
        <w:trPr>
          <w:trHeight w:val="541"/>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25.50</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25.20</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25.20</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2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6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2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57"/>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2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65"/>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79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2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绩效指标（90分）</w:t>
            </w:r>
          </w:p>
        </w:tc>
        <w:tc>
          <w:tcPr>
            <w:tcW w:w="19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67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9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32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640"/>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67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9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0　</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2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79"/>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预算编制准确率（计算方法为：</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（执行数-预算数）/预算数</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w:t>
            </w:r>
          </w:p>
        </w:tc>
        <w:tc>
          <w:tcPr>
            <w:tcW w:w="67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9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0　</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2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90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50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“三公经费”控制率[计算方法为：（三公经费实际支出数/预算安排数]×100%）</w:t>
            </w:r>
          </w:p>
        </w:tc>
        <w:tc>
          <w:tcPr>
            <w:tcW w:w="67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89.95</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2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50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8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运转保障率</w:t>
            </w:r>
          </w:p>
        </w:tc>
        <w:tc>
          <w:tcPr>
            <w:tcW w:w="67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100</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2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60"/>
        </w:trPr>
        <w:tc>
          <w:tcPr>
            <w:tcW w:w="993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766"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7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2323"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r>
      <w:tr w:rsidR="00E539E2">
        <w:trPr>
          <w:trHeight w:val="60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142"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仿宋_GB2312" w:cs="仿宋_GB2312" w:hint="eastAsia"/>
                <w:bCs/>
                <w:szCs w:val="32"/>
              </w:rPr>
              <w:t>保障了分局机关及3个基层所的办公正常运行支出，自评得分为100分。</w:t>
            </w:r>
          </w:p>
        </w:tc>
      </w:tr>
      <w:tr w:rsidR="00E539E2">
        <w:trPr>
          <w:trHeight w:val="57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142"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3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142"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481"/>
        </w:trPr>
        <w:tc>
          <w:tcPr>
            <w:tcW w:w="652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7296" w:type="dxa"/>
            <w:gridSpan w:val="8"/>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C62F9">
      <w:pPr>
        <w:pStyle w:val="a0"/>
        <w:spacing w:before="93"/>
      </w:pPr>
      <w:r>
        <w:rPr>
          <w:rFonts w:hint="eastAsia"/>
        </w:rPr>
        <w:lastRenderedPageBreak/>
        <w:t>附件5：</w:t>
      </w:r>
    </w:p>
    <w:tbl>
      <w:tblPr>
        <w:tblW w:w="13820" w:type="dxa"/>
        <w:tblInd w:w="93" w:type="dxa"/>
        <w:tblLook w:val="04A0"/>
      </w:tblPr>
      <w:tblGrid>
        <w:gridCol w:w="679"/>
        <w:gridCol w:w="2054"/>
        <w:gridCol w:w="1393"/>
        <w:gridCol w:w="144"/>
        <w:gridCol w:w="1876"/>
        <w:gridCol w:w="520"/>
        <w:gridCol w:w="153"/>
        <w:gridCol w:w="766"/>
        <w:gridCol w:w="758"/>
        <w:gridCol w:w="177"/>
        <w:gridCol w:w="642"/>
        <w:gridCol w:w="492"/>
        <w:gridCol w:w="607"/>
        <w:gridCol w:w="102"/>
        <w:gridCol w:w="444"/>
        <w:gridCol w:w="265"/>
        <w:gridCol w:w="195"/>
        <w:gridCol w:w="2553"/>
      </w:tblGrid>
      <w:tr w:rsidR="00E539E2">
        <w:trPr>
          <w:trHeight w:val="640"/>
        </w:trPr>
        <w:tc>
          <w:tcPr>
            <w:tcW w:w="13820" w:type="dxa"/>
            <w:gridSpan w:val="18"/>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48"/>
        </w:trPr>
        <w:tc>
          <w:tcPr>
            <w:tcW w:w="2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087" w:type="dxa"/>
            <w:gridSpan w:val="1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51080021T000000050898-市场综合监管专项</w:t>
            </w:r>
          </w:p>
        </w:tc>
      </w:tr>
      <w:tr w:rsidR="00E539E2">
        <w:trPr>
          <w:trHeight w:val="514"/>
        </w:trPr>
        <w:tc>
          <w:tcPr>
            <w:tcW w:w="2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429" w:type="dxa"/>
            <w:gridSpan w:val="9"/>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099"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55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96"/>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429" w:type="dxa"/>
            <w:gridSpan w:val="9"/>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658"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24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429" w:type="dxa"/>
            <w:gridSpan w:val="9"/>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加强市场主体信用监督管，营造公平诚信的市场和社会环境。注册登记商事制度改革，优化营商环境，提高监管效能，增强经济发展内生动力。非公党建工作，促进非公有制企业的健康发展。开展安全形势教育和执法检查，遏制和减少事故发生。2、负责辖区内食品（含特殊食品）、药械化、特种设备安全生产经营安全监管。加强冷链食品监管，监督指导企业常态化防疫工作。</w:t>
            </w:r>
            <w:r>
              <w:rPr>
                <w:rFonts w:ascii="仿宋_GB2312" w:eastAsia="仿宋_GB2312" w:hAnsi="宋体" w:cs="宋体" w:hint="eastAsia"/>
                <w:color w:val="000000"/>
                <w:kern w:val="0"/>
                <w:sz w:val="22"/>
                <w:szCs w:val="22"/>
              </w:rPr>
              <w:br/>
              <w:t>3、综合协调指导食品工作、药械化工作、培育知名品牌，计量，认证工作。</w:t>
            </w:r>
            <w:r>
              <w:rPr>
                <w:rFonts w:ascii="仿宋_GB2312" w:eastAsia="仿宋_GB2312" w:hAnsi="宋体" w:cs="宋体" w:hint="eastAsia"/>
                <w:color w:val="000000"/>
                <w:kern w:val="0"/>
                <w:sz w:val="22"/>
                <w:szCs w:val="22"/>
              </w:rPr>
              <w:br/>
              <w:t>4、开展食品安全宣传周、药品安全宣传月、5.25国际爱肤日、质量安全宣传月等宣传活动。</w:t>
            </w:r>
            <w:r>
              <w:rPr>
                <w:rFonts w:ascii="仿宋_GB2312" w:eastAsia="仿宋_GB2312" w:hAnsi="宋体" w:cs="宋体" w:hint="eastAsia"/>
                <w:color w:val="000000"/>
                <w:kern w:val="0"/>
                <w:sz w:val="22"/>
                <w:szCs w:val="22"/>
              </w:rPr>
              <w:br/>
              <w:t>5、关于食品、药械化各个专项整治工作，标准化管理工作。</w:t>
            </w:r>
          </w:p>
        </w:tc>
        <w:tc>
          <w:tcPr>
            <w:tcW w:w="4658"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营造了更加公平诚信的社会环境，保证区域内无重大事故发生，保证了人民生命财产健康安全。进一步优化了营商环境，坚守了“三大”安全底线，切实保障民生实事，保障了消费者合法权益，人民群众满意度大幅攀升。</w:t>
            </w:r>
          </w:p>
        </w:tc>
      </w:tr>
      <w:tr w:rsidR="00E539E2">
        <w:trPr>
          <w:trHeight w:val="1350"/>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087" w:type="dxa"/>
            <w:gridSpan w:val="1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2022年市场综合监管专项项目由主体股、食药股、质监股牵头负责工作方案规划、组织、指导市场主体监管、食药械化、质量监管及疫情防控等工作的实施。通过制定专项工作计划方案、确定工作目标、明确组织实施措施和策略，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w:t>
            </w:r>
            <w:r>
              <w:rPr>
                <w:rFonts w:ascii="仿宋_GB2312" w:eastAsia="仿宋_GB2312" w:hAnsi="宋体" w:cs="宋体" w:hint="eastAsia"/>
                <w:color w:val="000000"/>
                <w:kern w:val="0"/>
                <w:sz w:val="22"/>
                <w:szCs w:val="22"/>
              </w:rPr>
              <w:lastRenderedPageBreak/>
              <w:t>执行情况（10分）</w:t>
            </w: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年度预算数（万元）</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37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w:t>
            </w:r>
            <w:r>
              <w:rPr>
                <w:rFonts w:ascii="仿宋_GB2312" w:eastAsia="仿宋_GB2312" w:hAnsi="宋体" w:cs="宋体" w:hint="eastAsia"/>
                <w:color w:val="000000"/>
                <w:kern w:val="0"/>
                <w:sz w:val="22"/>
                <w:szCs w:val="22"/>
              </w:rPr>
              <w:lastRenderedPageBreak/>
              <w:t>率</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权重</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640"/>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24.15</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24.15</w:t>
            </w:r>
          </w:p>
        </w:tc>
        <w:tc>
          <w:tcPr>
            <w:tcW w:w="237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14.11</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58.43%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0　</w:t>
            </w:r>
          </w:p>
        </w:tc>
        <w:tc>
          <w:tcPr>
            <w:tcW w:w="2748" w:type="dxa"/>
            <w:gridSpan w:val="2"/>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预算执行率未达90%的原因：2021年、2022年我单位工作重心转向市场的疫情防控、冷链食品监管工作，相关业务工作计划未能正常开展，加之上年结转项目资金6.6万在本年实现支出，因此2022年资金使用进度较慢。</w:t>
            </w:r>
          </w:p>
        </w:tc>
      </w:tr>
      <w:tr w:rsidR="00E539E2">
        <w:trPr>
          <w:trHeight w:val="661"/>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17.55</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17.55</w:t>
            </w:r>
          </w:p>
        </w:tc>
        <w:tc>
          <w:tcPr>
            <w:tcW w:w="237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7.51</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42.81%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748" w:type="dxa"/>
            <w:gridSpan w:val="2"/>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653"/>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37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748" w:type="dxa"/>
            <w:gridSpan w:val="2"/>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62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37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748" w:type="dxa"/>
            <w:gridSpan w:val="2"/>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56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6.60</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6.60</w:t>
            </w:r>
          </w:p>
        </w:tc>
        <w:tc>
          <w:tcPr>
            <w:tcW w:w="237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6.60</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100.00%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748" w:type="dxa"/>
            <w:gridSpan w:val="2"/>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绩效指标（90分）</w:t>
            </w: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3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培育广元市市长质量奖企业</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家</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4</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0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改、建非公党支部</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个</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5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双随机一公开检查</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4</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50"/>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食药械化专项整治</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12</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15</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30"/>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食药械化抽检监测</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批次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151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食药械化法律法规宣传、质量强区宣传各</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6</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应急救援演练</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新注册主体</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户</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705</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食药械化质量管控培训</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学时</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144</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走访挂联企业</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61"/>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市场主体信用监管</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4000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户</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5571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0"/>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非洲猪瘟防控</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特种设备安全培训、主体培训各</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市场主体专项整治</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审查3C认证获证单位完成率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市场主体失信惩戒率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市场主体年报公示率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92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企业在用标准自我公开率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90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7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质监抽样合格率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96</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96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食药械化抽检不合格产品处置率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食药械化监管覆盖率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特种设备使用单位</w:t>
            </w:r>
            <w:r>
              <w:rPr>
                <w:rFonts w:ascii="仿宋_GB2312" w:eastAsia="仿宋_GB2312" w:hAnsi="宋体" w:cs="宋体" w:hint="eastAsia"/>
                <w:color w:val="000000"/>
                <w:kern w:val="0"/>
                <w:sz w:val="22"/>
                <w:szCs w:val="22"/>
              </w:rPr>
              <w:lastRenderedPageBreak/>
              <w:t>巡查率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00"/>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任务完成时间</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12</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月</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按时完成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15"/>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成本指标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宣传成本每次</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按标准执行</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差旅补助成本每人每天</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180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按标准执行</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培训成本</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130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元/人</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按标准执行</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食品抽检平均成本每批次</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1250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按标准执行</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改、建企业非公党支部</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元/户</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按标准执行　</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1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3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社会效益指标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双随机监督抽查率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3</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安全监管水平、公众安全科普知识</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级　</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市场主体监管覆盖率</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75</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75</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系统性、区域性重大安全事故</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0</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可持续影响指标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通过监督检查、风向监测等保障人民生命财产健康安全</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级</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满意度指标</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服务对象满意度指标</w:t>
            </w:r>
          </w:p>
        </w:tc>
        <w:tc>
          <w:tcPr>
            <w:tcW w:w="20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服务对象满意度</w:t>
            </w:r>
          </w:p>
        </w:tc>
        <w:tc>
          <w:tcPr>
            <w:tcW w:w="67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76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w:t>
            </w:r>
          </w:p>
        </w:tc>
        <w:tc>
          <w:tcPr>
            <w:tcW w:w="935"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级</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　</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74"/>
        </w:trPr>
        <w:tc>
          <w:tcPr>
            <w:tcW w:w="9654"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合计</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709"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90</w:t>
            </w:r>
          </w:p>
        </w:tc>
        <w:tc>
          <w:tcPr>
            <w:tcW w:w="274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106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141" w:type="dxa"/>
            <w:gridSpan w:val="1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我单位严格按照财政绩效管理要求执行绩效目标，预算编制规范合理，财政资金管理合法合规，项目工作顺利完成，营造了更加公平诚信的社会环境，保证了人民生命财产健康安全，进一步强化了主体责任落实，切实保障民生实事，保障了消费者合法权益，人民群众满意度大幅攀升，总体绩效自评得分为90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141" w:type="dxa"/>
            <w:gridSpan w:val="1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对食品、药品、化妆品、医疗器械、特种设备等行业的监管是行政管理更是专业化的技术管理，分局作为基层单位，工作任务繁重、人员结构复杂、业务能力参差不齐，直接面对被监管企业时，若达不到专业水准，就难以履行该领域的专业工作。</w:t>
            </w:r>
          </w:p>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2.绩效目标编制不够科学、准确，有待进一步完善。作为基层单位财务人员，未接受过系统化培训，存在预算编制、执行、绩效评价等方面能力不足的问题。</w:t>
            </w:r>
          </w:p>
        </w:tc>
      </w:tr>
      <w:tr w:rsidR="00E539E2">
        <w:trPr>
          <w:trHeight w:val="1137"/>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141" w:type="dxa"/>
            <w:gridSpan w:val="1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1.加强各专业领域业务能力提升，积极组织干部职工参与业务培训，打造专业化、法制化执法监管队伍，加强市场监管综合执法工作，进一步提升市场监管的效能，促进市场秩序的进一步规范。</w:t>
            </w:r>
          </w:p>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2.加强预算整体绩效管理的指导和培训，增强提高绩效管理业务人员绩效管理能力、专业素质和思想水平。</w:t>
            </w:r>
          </w:p>
        </w:tc>
      </w:tr>
      <w:tr w:rsidR="00E539E2">
        <w:trPr>
          <w:trHeight w:val="630"/>
        </w:trPr>
        <w:tc>
          <w:tcPr>
            <w:tcW w:w="666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项目负责人：石坚、穆伟、钟军</w:t>
            </w:r>
          </w:p>
        </w:tc>
        <w:tc>
          <w:tcPr>
            <w:tcW w:w="7154"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r w:rsidR="00E539E2">
        <w:trPr>
          <w:trHeight w:val="285"/>
        </w:trPr>
        <w:tc>
          <w:tcPr>
            <w:tcW w:w="679"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2054"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1537"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1876"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520"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1677" w:type="dxa"/>
            <w:gridSpan w:val="3"/>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819"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1099"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546"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460"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c>
          <w:tcPr>
            <w:tcW w:w="2553"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宋体" w:cs="宋体"/>
                <w:kern w:val="0"/>
                <w:sz w:val="22"/>
                <w:szCs w:val="22"/>
              </w:rPr>
            </w:pPr>
            <w:r>
              <w:rPr>
                <w:rFonts w:ascii="仿宋_GB2312" w:eastAsia="仿宋_GB2312" w:hAnsi="宋体" w:cs="宋体" w:hint="eastAsia"/>
                <w:kern w:val="0"/>
                <w:sz w:val="22"/>
                <w:szCs w:val="22"/>
              </w:rPr>
              <w:t xml:space="preserve">　</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附件6：</w:t>
      </w:r>
    </w:p>
    <w:tbl>
      <w:tblPr>
        <w:tblW w:w="14140" w:type="dxa"/>
        <w:tblInd w:w="93" w:type="dxa"/>
        <w:tblLook w:val="04A0"/>
      </w:tblPr>
      <w:tblGrid>
        <w:gridCol w:w="679"/>
        <w:gridCol w:w="2055"/>
        <w:gridCol w:w="1776"/>
        <w:gridCol w:w="2026"/>
        <w:gridCol w:w="748"/>
        <w:gridCol w:w="244"/>
        <w:gridCol w:w="1134"/>
        <w:gridCol w:w="284"/>
        <w:gridCol w:w="534"/>
        <w:gridCol w:w="1025"/>
        <w:gridCol w:w="75"/>
        <w:gridCol w:w="546"/>
        <w:gridCol w:w="460"/>
        <w:gridCol w:w="2554"/>
      </w:tblGrid>
      <w:tr w:rsidR="00E539E2">
        <w:trPr>
          <w:trHeight w:val="640"/>
        </w:trPr>
        <w:tc>
          <w:tcPr>
            <w:tcW w:w="14140"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5"/>
        </w:trPr>
        <w:tc>
          <w:tcPr>
            <w:tcW w:w="27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406"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51080021T000000051097-市场秩序执法办案专项</w:t>
            </w:r>
          </w:p>
        </w:tc>
      </w:tr>
      <w:tr w:rsidR="00E539E2">
        <w:trPr>
          <w:trHeight w:val="514"/>
        </w:trPr>
        <w:tc>
          <w:tcPr>
            <w:tcW w:w="27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21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559"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w:t>
            </w:r>
          </w:p>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（盖章）</w:t>
            </w:r>
          </w:p>
        </w:tc>
        <w:tc>
          <w:tcPr>
            <w:tcW w:w="363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82"/>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55"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21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5194"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21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加强价格监督、网络交易监管、广告监管，保护消费者合法权益，开展各类市场秩序专项工作，整治市场乱象，优化营商环境，提升基层监管队伍执法能力和监管水平。</w:t>
            </w:r>
          </w:p>
        </w:tc>
        <w:tc>
          <w:tcPr>
            <w:tcW w:w="5194"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市场秩序执法办案专项的实施，保护了消费者合法权益，整治了市场乱象，假冒伪劣产品制售行为不断减少，优化了营商环境，积极处理了“12315”消费者投诉，保障了消费者合法权益，公众对消费投诉处理的满意度不断提升。</w:t>
            </w:r>
          </w:p>
        </w:tc>
      </w:tr>
      <w:tr w:rsidR="00E539E2">
        <w:trPr>
          <w:trHeight w:val="83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406"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2022年市场秩序执法办案专项项目由综合股牵头负责工作方案规划、组织、指导市场秩序执法工作。通过制定专项工作计划方案、确定工作目标、明确组织实施措施和策略，更有效地指导工作的正常有序开展。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94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10.13</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7.20</w:t>
            </w:r>
          </w:p>
        </w:tc>
        <w:tc>
          <w:tcPr>
            <w:tcW w:w="294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5.51</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54.39%</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0　</w:t>
            </w:r>
          </w:p>
        </w:tc>
        <w:tc>
          <w:tcPr>
            <w:tcW w:w="25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预算执行进度慢的原因：受疫情防控出行限制的影响，许多跨区域的案件未能及时办理，培训计划以及需要外地公司配合的抽检计划均未能按时间节点正常开展，以及上</w:t>
            </w:r>
            <w:r>
              <w:rPr>
                <w:rFonts w:ascii="仿宋_GB2312" w:eastAsia="仿宋_GB2312" w:hAnsi="黑体" w:cs="宋体" w:hint="eastAsia"/>
                <w:iCs/>
                <w:color w:val="000000"/>
                <w:kern w:val="0"/>
                <w:sz w:val="22"/>
                <w:szCs w:val="22"/>
              </w:rPr>
              <w:lastRenderedPageBreak/>
              <w:t>年结转2.93万元，导致资金使用进度较慢。</w:t>
            </w:r>
          </w:p>
        </w:tc>
      </w:tr>
      <w:tr w:rsidR="00E539E2">
        <w:trPr>
          <w:trHeight w:val="43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7.20</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7.20</w:t>
            </w:r>
          </w:p>
        </w:tc>
        <w:tc>
          <w:tcPr>
            <w:tcW w:w="294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2.58</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35.82%</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94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94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2.93</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2.93</w:t>
            </w:r>
          </w:p>
        </w:tc>
        <w:tc>
          <w:tcPr>
            <w:tcW w:w="2944"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2.93</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绩效指标（90分）</w:t>
            </w: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23"/>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77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网络交易执法</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商品抽检</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批次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合同监管执法</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价格监督</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消费者权益日宣传</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打击传销</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诉转案</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3</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广告执法</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抽检不合格商品处置率</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投诉处置率</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8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案件查办率</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6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任务完成时间</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12</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月</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按时完成</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成本指标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宣传成本每次</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按标准执行</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差旅补助成本每人每天</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180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按标准执行</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抽检平均成本（每批次）</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3000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按标准执行</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5</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61"/>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77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社会效益指标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市场秩序监管率</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70</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70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打击假冒伪劣产品</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优良中低差</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级　</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　</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可持续影响指标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优化营商环境</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优良中低差</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级　</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满意度指标</w:t>
            </w:r>
          </w:p>
        </w:tc>
        <w:tc>
          <w:tcPr>
            <w:tcW w:w="17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服务对象满意度指标</w:t>
            </w:r>
          </w:p>
        </w:tc>
        <w:tc>
          <w:tcPr>
            <w:tcW w:w="20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处理消费者投诉满意度</w:t>
            </w:r>
          </w:p>
        </w:tc>
        <w:tc>
          <w:tcPr>
            <w:tcW w:w="992"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优良中低差</w:t>
            </w:r>
          </w:p>
        </w:tc>
        <w:tc>
          <w:tcPr>
            <w:tcW w:w="818"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级　</w:t>
            </w:r>
          </w:p>
        </w:tc>
        <w:tc>
          <w:tcPr>
            <w:tcW w:w="110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16"/>
        </w:trPr>
        <w:tc>
          <w:tcPr>
            <w:tcW w:w="1058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89</w:t>
            </w:r>
          </w:p>
        </w:tc>
        <w:tc>
          <w:tcPr>
            <w:tcW w:w="2554"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461" w:type="dxa"/>
            <w:gridSpan w:val="1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通过市场秩序执法办案专项项目的实施，保护了消费者合法权益，整治了市场乱象，假冒伪劣产品制售行为不断减少，优化了营商环境，积极处理了“12315”消费者投诉，保障了消费者合法权益，公众对消费投诉处理的满意度不断提升。各项成本支出均按标准执行，资金使用无违规记录。项目自评得分为89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461" w:type="dxa"/>
            <w:gridSpan w:val="1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1.监管力量不足。全市商业业态调整，商贸业逐渐向我区集中，工业生产不断聚集，市场秩序监管难度越来越高，基层监管力量薄弱。2.受疫情等影响，预算执行进度较慢。</w:t>
            </w:r>
          </w:p>
        </w:tc>
      </w:tr>
      <w:tr w:rsidR="00E539E2">
        <w:trPr>
          <w:trHeight w:val="63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461" w:type="dxa"/>
            <w:gridSpan w:val="1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积极组织干部职工参与业务培训，打造专业化、法制化执法监管队伍，加强市场监管综合执法工作，提升执法能力。积极组织职工参与基层执法办案，进一步提升市场监管的效能，为基层监管注入力量。2.针对资金使用较慢的情况，认真分析，查找原因，在疫情结束后，及时完成未正常开展的执法工作，查漏补缺，加快执行进度。</w:t>
            </w:r>
          </w:p>
        </w:tc>
      </w:tr>
      <w:tr w:rsidR="00E539E2">
        <w:trPr>
          <w:trHeight w:val="568"/>
        </w:trPr>
        <w:tc>
          <w:tcPr>
            <w:tcW w:w="728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项目负责人：王安华</w:t>
            </w:r>
          </w:p>
        </w:tc>
        <w:tc>
          <w:tcPr>
            <w:tcW w:w="6856" w:type="dxa"/>
            <w:gridSpan w:val="9"/>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附件7：</w:t>
      </w:r>
    </w:p>
    <w:tbl>
      <w:tblPr>
        <w:tblW w:w="14190" w:type="dxa"/>
        <w:tblInd w:w="93" w:type="dxa"/>
        <w:tblLook w:val="04A0"/>
      </w:tblPr>
      <w:tblGrid>
        <w:gridCol w:w="679"/>
        <w:gridCol w:w="2054"/>
        <w:gridCol w:w="1393"/>
        <w:gridCol w:w="1985"/>
        <w:gridCol w:w="1172"/>
        <w:gridCol w:w="954"/>
        <w:gridCol w:w="1134"/>
        <w:gridCol w:w="1209"/>
        <w:gridCol w:w="765"/>
        <w:gridCol w:w="719"/>
        <w:gridCol w:w="2126"/>
      </w:tblGrid>
      <w:tr w:rsidR="00E539E2">
        <w:trPr>
          <w:trHeight w:val="640"/>
        </w:trPr>
        <w:tc>
          <w:tcPr>
            <w:tcW w:w="14190"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53"/>
        </w:trPr>
        <w:tc>
          <w:tcPr>
            <w:tcW w:w="2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457" w:type="dxa"/>
            <w:gridSpan w:val="9"/>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51080021T000000051139-信息化建设运行及维护</w:t>
            </w:r>
          </w:p>
        </w:tc>
      </w:tr>
      <w:tr w:rsidR="00E539E2">
        <w:trPr>
          <w:trHeight w:val="514"/>
        </w:trPr>
        <w:tc>
          <w:tcPr>
            <w:tcW w:w="27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63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209"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61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96"/>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63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81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638"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进一步完善信息化建设工作，推进分局机关及基层所网络化办公。</w:t>
            </w:r>
          </w:p>
        </w:tc>
        <w:tc>
          <w:tcPr>
            <w:tcW w:w="4819"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通过信息化建设运行及维护项目的实施，实现了分局机关网络化办公，通过短信平台的构建，业务监管更加便捷高效。基层网络化建设，使得职工办公开展更加便捷，职工满意度大幅度提升。</w:t>
            </w:r>
          </w:p>
        </w:tc>
      </w:tr>
      <w:tr w:rsidR="00E539E2">
        <w:trPr>
          <w:trHeight w:val="69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457" w:type="dxa"/>
            <w:gridSpan w:val="9"/>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2022年信息化建设运行及维护专项项目由办公室牵头负责工作方案规划、组织、指导信息化建设工作。通过制定专项工作计划方案、确定工作目标、明确组织实施措施和策略，更有效地指导工作的正常有序开展。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3260" w:type="dxa"/>
            <w:gridSpan w:val="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2.70</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2.70</w:t>
            </w:r>
          </w:p>
        </w:tc>
        <w:tc>
          <w:tcPr>
            <w:tcW w:w="3260" w:type="dxa"/>
            <w:gridSpan w:val="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2.70</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126"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无。</w:t>
            </w:r>
          </w:p>
        </w:tc>
      </w:tr>
      <w:tr w:rsidR="00E539E2">
        <w:trPr>
          <w:trHeight w:val="43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2.70</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2.70</w:t>
            </w:r>
          </w:p>
        </w:tc>
        <w:tc>
          <w:tcPr>
            <w:tcW w:w="3260" w:type="dxa"/>
            <w:gridSpan w:val="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2.70</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12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3260" w:type="dxa"/>
            <w:gridSpan w:val="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12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3260" w:type="dxa"/>
            <w:gridSpan w:val="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12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3260" w:type="dxa"/>
            <w:gridSpan w:val="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126"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w:t>
            </w:r>
            <w:r>
              <w:rPr>
                <w:rFonts w:ascii="仿宋_GB2312" w:eastAsia="仿宋_GB2312" w:hAnsi="宋体" w:cs="宋体" w:hint="eastAsia"/>
                <w:color w:val="000000"/>
                <w:kern w:val="0"/>
                <w:sz w:val="22"/>
                <w:szCs w:val="22"/>
              </w:rPr>
              <w:lastRenderedPageBreak/>
              <w:t>指标（90分）</w:t>
            </w: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一级指标</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393"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移动OA办公业务系统网络接入服务</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完成　</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云MAS短信平台业务服务</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完成</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信息网络覆盖率（百分比）</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95</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95%　</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任务完成时间</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12</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月</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按时完成</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20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成本指标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信息网络建设费</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27000</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元/年</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38160元</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社会效益指标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安全监管水平，公众安全科普知识</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优良中低差</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级</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可持续影响指标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信息化系统支撑办公运行</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优良中低差</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级</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满意度指标</w:t>
            </w:r>
          </w:p>
        </w:tc>
        <w:tc>
          <w:tcPr>
            <w:tcW w:w="13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服务对象满意度指标</w:t>
            </w:r>
          </w:p>
        </w:tc>
        <w:tc>
          <w:tcPr>
            <w:tcW w:w="198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职工满意度（百分比）</w:t>
            </w:r>
          </w:p>
        </w:tc>
        <w:tc>
          <w:tcPr>
            <w:tcW w:w="117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95</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285"/>
        </w:trPr>
        <w:tc>
          <w:tcPr>
            <w:tcW w:w="1058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76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71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95</w:t>
            </w:r>
          </w:p>
        </w:tc>
        <w:tc>
          <w:tcPr>
            <w:tcW w:w="212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511"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通过信息化建设运行及维护项目的实施，实现了分局机关网络化办公，通过短信平台的构建，业务监管更加便捷高效。基层网络化建设，使得职工办公开展更加便捷，职工满意度大幅度提升。项目自评得分为95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511"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绩效管理观念不深入，单位对绩效管理工作重视程度不够，预算管理，资金管理，绩效评价专业性不足，缺乏主动性，导致预算编制、预算执行不够科学，与工作脱节。</w:t>
            </w:r>
          </w:p>
        </w:tc>
      </w:tr>
      <w:tr w:rsidR="00E539E2">
        <w:trPr>
          <w:trHeight w:val="456"/>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511"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由于绩效评价工作要求高、工作量大，项目涉及业务、财务、效益等多方面专业知识，建议对相关人员通过业务培训不断提升绩效人员业务能力。</w:t>
            </w:r>
          </w:p>
        </w:tc>
      </w:tr>
      <w:tr w:rsidR="00E539E2">
        <w:trPr>
          <w:trHeight w:val="432"/>
        </w:trPr>
        <w:tc>
          <w:tcPr>
            <w:tcW w:w="728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项目负责人：雷明瀚</w:t>
            </w:r>
          </w:p>
        </w:tc>
        <w:tc>
          <w:tcPr>
            <w:tcW w:w="6907"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C62F9">
      <w:pPr>
        <w:pStyle w:val="a0"/>
        <w:spacing w:before="93"/>
      </w:pPr>
      <w:r>
        <w:rPr>
          <w:rFonts w:hint="eastAsia"/>
        </w:rPr>
        <w:lastRenderedPageBreak/>
        <w:t>附件8：</w:t>
      </w:r>
    </w:p>
    <w:tbl>
      <w:tblPr>
        <w:tblW w:w="14140" w:type="dxa"/>
        <w:tblInd w:w="93" w:type="dxa"/>
        <w:tblLook w:val="04A0"/>
      </w:tblPr>
      <w:tblGrid>
        <w:gridCol w:w="678"/>
        <w:gridCol w:w="1949"/>
        <w:gridCol w:w="1691"/>
        <w:gridCol w:w="2133"/>
        <w:gridCol w:w="512"/>
        <w:gridCol w:w="282"/>
        <w:gridCol w:w="1325"/>
        <w:gridCol w:w="876"/>
        <w:gridCol w:w="1081"/>
        <w:gridCol w:w="546"/>
        <w:gridCol w:w="656"/>
        <w:gridCol w:w="2411"/>
      </w:tblGrid>
      <w:tr w:rsidR="00E539E2">
        <w:trPr>
          <w:trHeight w:val="640"/>
        </w:trPr>
        <w:tc>
          <w:tcPr>
            <w:tcW w:w="141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5"/>
        </w:trPr>
        <w:tc>
          <w:tcPr>
            <w:tcW w:w="26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51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51080021T000000051163-其他市场监督管理专项</w:t>
            </w:r>
          </w:p>
        </w:tc>
      </w:tr>
      <w:tr w:rsidR="00E539E2">
        <w:trPr>
          <w:trHeight w:val="514"/>
        </w:trPr>
        <w:tc>
          <w:tcPr>
            <w:tcW w:w="262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819"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081"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61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44"/>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194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819"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69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819"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全面推进知识产权保护工作，专利、商标培育工作，脱贫帮扶工作，新冠肺炎疫情防控及其他临时性专项工作。</w:t>
            </w:r>
          </w:p>
        </w:tc>
        <w:tc>
          <w:tcPr>
            <w:tcW w:w="4694"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推进了知识产权保护，激发了产业创新活力，文明城市创建工作的开展，展现了辖区市场良好的风貌，推动了市场的文明进步。疫情防控工作，保护了川陕甘市场的安全，稳住了广元的“菜篮子”，更保障了人民的生命健康。</w:t>
            </w:r>
          </w:p>
        </w:tc>
      </w:tr>
      <w:tr w:rsidR="00E539E2">
        <w:trPr>
          <w:trHeight w:val="69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51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2022年其他市场监督管理专项项目由相关股室牵头负责工作方案规划、组织、开展知识产权保护、专利商标培育等工作。通过制定专项工作计划方案、确定工作目标、明确组织实施措施和策略，更有效地组织工作的正常有序开展。</w:t>
            </w:r>
          </w:p>
        </w:tc>
      </w:tr>
      <w:tr w:rsidR="00E539E2">
        <w:trPr>
          <w:trHeight w:val="360"/>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99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9.00</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9.00</w:t>
            </w:r>
          </w:p>
        </w:tc>
        <w:tc>
          <w:tcPr>
            <w:tcW w:w="299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8.53</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94.81%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9.5　</w:t>
            </w:r>
          </w:p>
        </w:tc>
        <w:tc>
          <w:tcPr>
            <w:tcW w:w="241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w:t>
            </w:r>
          </w:p>
        </w:tc>
      </w:tr>
      <w:tr w:rsidR="00E539E2">
        <w:trPr>
          <w:trHeight w:val="432"/>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9.00</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9.00</w:t>
            </w:r>
          </w:p>
        </w:tc>
        <w:tc>
          <w:tcPr>
            <w:tcW w:w="299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8.53</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94.81%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1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99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1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99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1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995"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1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绩效指标（90分）</w:t>
            </w: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发明专利新申请量</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件</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2件</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8.6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上级部门最终下达任务26件，完成了年度考核目标。　</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商标培育量</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件</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未开展</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年度工作任务变化，该项工作不再开展</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专利保有量</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30</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件</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26</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开展铝产业专利导航课题研究</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未开展</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年度工作任务变化，该项工作不再开展　</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疫情防控覆盖率</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铝产业专利导航课题研究</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50</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未开展</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年度工作任务变化，该项工作不再开展　</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任务完成时间</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12</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月</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按时完成</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79"/>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成本指标</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差旅费</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180</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元/人·次</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按标准执行</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开展铝产业专利导航课题研究</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40000</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元</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未开展</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年度工作任务变化，该项工作不再开展　</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69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社会效益指标</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侵权处置率</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69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疫情防控效果</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优良中低差</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级</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5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4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满意度指标</w:t>
            </w:r>
          </w:p>
        </w:tc>
        <w:tc>
          <w:tcPr>
            <w:tcW w:w="16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服务对象满意度指标</w:t>
            </w:r>
          </w:p>
        </w:tc>
        <w:tc>
          <w:tcPr>
            <w:tcW w:w="213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社会满意度（百分比）</w:t>
            </w:r>
          </w:p>
        </w:tc>
        <w:tc>
          <w:tcPr>
            <w:tcW w:w="79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3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70</w:t>
            </w:r>
          </w:p>
        </w:tc>
        <w:tc>
          <w:tcPr>
            <w:tcW w:w="8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8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90%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285"/>
        </w:trPr>
        <w:tc>
          <w:tcPr>
            <w:tcW w:w="1052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98.1</w:t>
            </w:r>
          </w:p>
        </w:tc>
        <w:tc>
          <w:tcPr>
            <w:tcW w:w="2411"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评价结论</w:t>
            </w:r>
          </w:p>
        </w:tc>
        <w:tc>
          <w:tcPr>
            <w:tcW w:w="1346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通过其他市场监督管理专项项目的实施，推进了知识产权保护，激发了产业创新活力。文明城市创建工作的开展，展现了辖区市场良好的风貌，推动了市场的文明进步。疫情防控工作，保护了川陕甘市场的安全，稳住了广元的“菜篮子”，更保障了人民的生命健康。项目自评得分为98.1分。</w:t>
            </w:r>
          </w:p>
        </w:tc>
      </w:tr>
      <w:tr w:rsidR="00E539E2">
        <w:trPr>
          <w:trHeight w:val="57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46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绩效管理观念不深入，单位对绩效管理工作重视程度不够，预算管理，资金管理，绩效评价专业性不足，缺乏主动性，导致工作脱节。</w:t>
            </w:r>
          </w:p>
        </w:tc>
      </w:tr>
      <w:tr w:rsidR="00E539E2">
        <w:trPr>
          <w:trHeight w:val="63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46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由于绩效评价工作要求高、工作量大，项目涉及业务、财务、效益等多方面专业知识，建议对相关人员通过业务培训不断提升绩效人员业务能力。</w:t>
            </w:r>
          </w:p>
        </w:tc>
      </w:tr>
      <w:tr w:rsidR="00E539E2">
        <w:trPr>
          <w:trHeight w:val="506"/>
        </w:trPr>
        <w:tc>
          <w:tcPr>
            <w:tcW w:w="696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项目负责人：穆伟</w:t>
            </w:r>
          </w:p>
        </w:tc>
        <w:tc>
          <w:tcPr>
            <w:tcW w:w="7177"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附件9：</w:t>
      </w:r>
    </w:p>
    <w:tbl>
      <w:tblPr>
        <w:tblW w:w="14140" w:type="dxa"/>
        <w:tblInd w:w="93" w:type="dxa"/>
        <w:tblLook w:val="04A0"/>
      </w:tblPr>
      <w:tblGrid>
        <w:gridCol w:w="678"/>
        <w:gridCol w:w="1995"/>
        <w:gridCol w:w="1733"/>
        <w:gridCol w:w="2196"/>
        <w:gridCol w:w="512"/>
        <w:gridCol w:w="297"/>
        <w:gridCol w:w="1120"/>
        <w:gridCol w:w="731"/>
        <w:gridCol w:w="108"/>
        <w:gridCol w:w="987"/>
        <w:gridCol w:w="656"/>
        <w:gridCol w:w="656"/>
        <w:gridCol w:w="2471"/>
      </w:tblGrid>
      <w:tr w:rsidR="00E539E2">
        <w:trPr>
          <w:trHeight w:val="640"/>
        </w:trPr>
        <w:tc>
          <w:tcPr>
            <w:tcW w:w="14140" w:type="dxa"/>
            <w:gridSpan w:val="1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5"/>
        </w:trPr>
        <w:tc>
          <w:tcPr>
            <w:tcW w:w="2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427"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51080021Y000000176770-其他公用经费（福利、工会、公车补贴、党建、退休活动）</w:t>
            </w:r>
          </w:p>
        </w:tc>
      </w:tr>
      <w:tr w:rsidR="00E539E2">
        <w:trPr>
          <w:trHeight w:val="514"/>
        </w:trPr>
        <w:tc>
          <w:tcPr>
            <w:tcW w:w="27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690"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097"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64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82"/>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3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690"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737"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690"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保障单位日常运转，提高预算编制质量，严格执行预算</w:t>
            </w:r>
          </w:p>
        </w:tc>
        <w:tc>
          <w:tcPr>
            <w:tcW w:w="4737"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仿宋_GB2312" w:cs="仿宋_GB2312" w:hint="eastAsia"/>
                <w:bCs/>
                <w:sz w:val="22"/>
                <w:szCs w:val="22"/>
              </w:rPr>
              <w:t>保障16名在职人员工会经费、职工福利费、其他交通费等所需的支出，保障4名退休职工所需的活动费等支出。</w:t>
            </w:r>
          </w:p>
        </w:tc>
      </w:tr>
      <w:tr w:rsidR="00E539E2">
        <w:trPr>
          <w:trHeight w:val="69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427"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“其他公用经费”项目由财务股负责组织实施，通过制定专项工作计划方案、确定工作目标、明确组织实施措施和策略，有效地指导工作的正常有序开展。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80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52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20.81</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20.81</w:t>
            </w:r>
          </w:p>
        </w:tc>
        <w:tc>
          <w:tcPr>
            <w:tcW w:w="280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20.81</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52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无。</w:t>
            </w:r>
          </w:p>
        </w:tc>
      </w:tr>
      <w:tr w:rsidR="00E539E2">
        <w:trPr>
          <w:trHeight w:val="43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20.81</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20.81</w:t>
            </w:r>
          </w:p>
        </w:tc>
        <w:tc>
          <w:tcPr>
            <w:tcW w:w="280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20.81</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2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80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2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80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2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7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80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52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w:t>
            </w:r>
            <w:r>
              <w:rPr>
                <w:rFonts w:ascii="仿宋_GB2312" w:eastAsia="仿宋_GB2312" w:hAnsi="宋体" w:cs="宋体" w:hint="eastAsia"/>
                <w:color w:val="000000"/>
                <w:kern w:val="0"/>
                <w:sz w:val="22"/>
                <w:szCs w:val="22"/>
              </w:rPr>
              <w:lastRenderedPageBreak/>
              <w:t>指标（90分）</w:t>
            </w:r>
          </w:p>
        </w:tc>
        <w:tc>
          <w:tcPr>
            <w:tcW w:w="20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一级指标</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8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w:t>
            </w:r>
            <w:r>
              <w:rPr>
                <w:rFonts w:ascii="仿宋_GB2312" w:eastAsia="仿宋_GB2312" w:hAnsi="宋体" w:cs="宋体" w:hint="eastAsia"/>
                <w:color w:val="000000"/>
                <w:kern w:val="0"/>
                <w:sz w:val="22"/>
                <w:szCs w:val="22"/>
              </w:rPr>
              <w:lastRenderedPageBreak/>
              <w:t>性质</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指标值</w:t>
            </w:r>
          </w:p>
        </w:tc>
        <w:tc>
          <w:tcPr>
            <w:tcW w:w="85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w:t>
            </w:r>
            <w:r>
              <w:rPr>
                <w:rFonts w:ascii="仿宋_GB2312" w:eastAsia="仿宋_GB2312" w:hAnsi="宋体" w:cs="宋体" w:hint="eastAsia"/>
                <w:color w:val="000000"/>
                <w:kern w:val="0"/>
                <w:sz w:val="22"/>
                <w:szCs w:val="22"/>
              </w:rPr>
              <w:lastRenderedPageBreak/>
              <w:t>单位</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完成值</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52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8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8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85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52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6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预算编制准确率（计算方法为：</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（执行数-预算数）/预算数</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w:t>
            </w:r>
          </w:p>
        </w:tc>
        <w:tc>
          <w:tcPr>
            <w:tcW w:w="8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85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52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90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76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“三公经费”控制率[计算方法为：（三公经费实际支出数/预算安排数]×100%）</w:t>
            </w:r>
          </w:p>
        </w:tc>
        <w:tc>
          <w:tcPr>
            <w:tcW w:w="8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5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89.95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52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9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6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2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运转保障率</w:t>
            </w:r>
          </w:p>
        </w:tc>
        <w:tc>
          <w:tcPr>
            <w:tcW w:w="82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5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98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52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04"/>
        </w:trPr>
        <w:tc>
          <w:tcPr>
            <w:tcW w:w="10500"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46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2524"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461"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仿宋_GB2312" w:cs="仿宋_GB2312" w:hint="eastAsia"/>
                <w:bCs/>
                <w:sz w:val="22"/>
                <w:szCs w:val="22"/>
              </w:rPr>
              <w:t>保障了16名在职人员工会经费、职工福利费、其他交通费等所需的支出，保障了4名退休职工所需的活动费等支出，自评得分为100分。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461"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3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461"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462"/>
        </w:trPr>
        <w:tc>
          <w:tcPr>
            <w:tcW w:w="722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6914" w:type="dxa"/>
            <w:gridSpan w:val="8"/>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附件10：</w:t>
      </w:r>
    </w:p>
    <w:tbl>
      <w:tblPr>
        <w:tblW w:w="14140" w:type="dxa"/>
        <w:tblInd w:w="93" w:type="dxa"/>
        <w:tblLook w:val="04A0"/>
      </w:tblPr>
      <w:tblGrid>
        <w:gridCol w:w="677"/>
        <w:gridCol w:w="2000"/>
        <w:gridCol w:w="1732"/>
        <w:gridCol w:w="2192"/>
        <w:gridCol w:w="513"/>
        <w:gridCol w:w="237"/>
        <w:gridCol w:w="1107"/>
        <w:gridCol w:w="804"/>
        <w:gridCol w:w="1096"/>
        <w:gridCol w:w="656"/>
        <w:gridCol w:w="656"/>
        <w:gridCol w:w="2470"/>
      </w:tblGrid>
      <w:tr w:rsidR="00E539E2">
        <w:trPr>
          <w:trHeight w:val="640"/>
        </w:trPr>
        <w:tc>
          <w:tcPr>
            <w:tcW w:w="141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427"/>
        </w:trPr>
        <w:tc>
          <w:tcPr>
            <w:tcW w:w="2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46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51080022R000006844873-退休“中人”一次性退休补贴</w:t>
            </w:r>
          </w:p>
        </w:tc>
      </w:tr>
      <w:tr w:rsidR="00E539E2">
        <w:trPr>
          <w:trHeight w:val="514"/>
        </w:trPr>
        <w:tc>
          <w:tcPr>
            <w:tcW w:w="267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585"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096"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78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65"/>
        </w:trPr>
        <w:tc>
          <w:tcPr>
            <w:tcW w:w="67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00"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585"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878"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585"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保障单位日常运转，提高预算编制质量，严格执行预算</w:t>
            </w:r>
          </w:p>
        </w:tc>
        <w:tc>
          <w:tcPr>
            <w:tcW w:w="4878"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保障了2名退休人员“独生子女”奖励金补贴的足额发放。</w:t>
            </w:r>
          </w:p>
        </w:tc>
      </w:tr>
      <w:tr w:rsidR="00E539E2">
        <w:trPr>
          <w:trHeight w:val="694"/>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46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“退休“中人”一次性退休补贴”项目由财务股负责组织实施，通过制定专项工作计划方案、确定工作目标、明确组织实施措施和策略，有效地指导工作的正常有序开展。</w:t>
            </w:r>
          </w:p>
        </w:tc>
      </w:tr>
      <w:tr w:rsidR="00E539E2">
        <w:trPr>
          <w:trHeight w:val="360"/>
        </w:trPr>
        <w:tc>
          <w:tcPr>
            <w:tcW w:w="67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6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7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4.43</w:t>
            </w:r>
          </w:p>
        </w:tc>
        <w:tc>
          <w:tcPr>
            <w:tcW w:w="26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4.43</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470"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无。</w:t>
            </w:r>
          </w:p>
        </w:tc>
      </w:tr>
      <w:tr w:rsidR="00E539E2">
        <w:trPr>
          <w:trHeight w:val="432"/>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4.43</w:t>
            </w:r>
          </w:p>
        </w:tc>
        <w:tc>
          <w:tcPr>
            <w:tcW w:w="26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4.43</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6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0"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7"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绩效指标（90分）</w:t>
            </w: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10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8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7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86"/>
        </w:trPr>
        <w:tc>
          <w:tcPr>
            <w:tcW w:w="677"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产出指标　</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8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45</w:t>
            </w:r>
          </w:p>
        </w:tc>
        <w:tc>
          <w:tcPr>
            <w:tcW w:w="247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19"/>
        </w:trPr>
        <w:tc>
          <w:tcPr>
            <w:tcW w:w="677"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73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219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运转保障率</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45</w:t>
            </w:r>
          </w:p>
        </w:tc>
        <w:tc>
          <w:tcPr>
            <w:tcW w:w="247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95"/>
        </w:trPr>
        <w:tc>
          <w:tcPr>
            <w:tcW w:w="10358"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2470"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7"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463"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保障了2名退休人员“独生子女”奖励金补贴的足额发放，自评得分为100分。</w:t>
            </w:r>
          </w:p>
        </w:tc>
      </w:tr>
      <w:tr w:rsidR="00E539E2">
        <w:trPr>
          <w:trHeight w:val="574"/>
        </w:trPr>
        <w:tc>
          <w:tcPr>
            <w:tcW w:w="677"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463"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34"/>
        </w:trPr>
        <w:tc>
          <w:tcPr>
            <w:tcW w:w="677"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463"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558"/>
        </w:trPr>
        <w:tc>
          <w:tcPr>
            <w:tcW w:w="711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7026"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附件11：</w:t>
      </w:r>
    </w:p>
    <w:tbl>
      <w:tblPr>
        <w:tblW w:w="13907" w:type="dxa"/>
        <w:tblInd w:w="93" w:type="dxa"/>
        <w:tblLayout w:type="fixed"/>
        <w:tblLook w:val="04A0"/>
      </w:tblPr>
      <w:tblGrid>
        <w:gridCol w:w="679"/>
        <w:gridCol w:w="2039"/>
        <w:gridCol w:w="1125"/>
        <w:gridCol w:w="2693"/>
        <w:gridCol w:w="704"/>
        <w:gridCol w:w="430"/>
        <w:gridCol w:w="850"/>
        <w:gridCol w:w="851"/>
        <w:gridCol w:w="50"/>
        <w:gridCol w:w="1098"/>
        <w:gridCol w:w="269"/>
        <w:gridCol w:w="709"/>
        <w:gridCol w:w="709"/>
        <w:gridCol w:w="1701"/>
      </w:tblGrid>
      <w:tr w:rsidR="00E539E2">
        <w:trPr>
          <w:trHeight w:val="498"/>
        </w:trPr>
        <w:tc>
          <w:tcPr>
            <w:tcW w:w="13907"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49"/>
        </w:trPr>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189"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51080022T000006134984-食品药品监管补助资金</w:t>
            </w:r>
          </w:p>
        </w:tc>
      </w:tr>
      <w:tr w:rsidR="00E539E2">
        <w:trPr>
          <w:trHeight w:val="514"/>
        </w:trPr>
        <w:tc>
          <w:tcPr>
            <w:tcW w:w="271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653"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148" w:type="dxa"/>
            <w:gridSpan w:val="2"/>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388"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9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3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653"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536"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653"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药品、医疗器械抽验各5批次，化妆品抽验3批次；2.药品监管企业数10家，化妆品监管企业数2家，医疗器械监管企业数5家；3.药品监管人员专业化培训32学时/人；培训人员覆盖率100%4.药品、化妆品、医疗器械抽检、抽验完成率100%，不合格产品处置率100%；5.药品、医疗器械、化妆品监管水平与队伍素质和装备配置水平总体提升，群众对药品安全满意度达80%以上。</w:t>
            </w:r>
          </w:p>
        </w:tc>
        <w:tc>
          <w:tcPr>
            <w:tcW w:w="4536"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tabs>
                <w:tab w:val="left" w:pos="3195"/>
              </w:tabs>
              <w:adjustRightInd w:val="0"/>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“两品一械”总体安全水平提升，“两品一械”安全科普知识宣传覆盖面拓宽，公众自我保护意识不断提高，假冒伪劣产品制售行为不断下降。</w:t>
            </w:r>
          </w:p>
          <w:p w:rsidR="00E539E2" w:rsidRDefault="00E539E2">
            <w:pPr>
              <w:widowControl/>
              <w:jc w:val="left"/>
              <w:rPr>
                <w:rFonts w:ascii="仿宋_GB2312" w:eastAsia="仿宋_GB2312" w:hAnsi="黑体" w:cs="宋体"/>
                <w:color w:val="000000"/>
                <w:kern w:val="0"/>
                <w:sz w:val="22"/>
                <w:szCs w:val="22"/>
              </w:rPr>
            </w:pPr>
          </w:p>
        </w:tc>
      </w:tr>
      <w:tr w:rsidR="00E539E2">
        <w:trPr>
          <w:trHeight w:val="69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189" w:type="dxa"/>
            <w:gridSpan w:val="12"/>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“食品药品监管补助资金”项目由食药股负责组织实施，通过制定专项工作计划方案、确定工作目标、明确组织实施措施和策略，有效地指导工作的正常有序开展。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1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88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17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1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14.00</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28.50</w:t>
            </w:r>
          </w:p>
        </w:tc>
        <w:tc>
          <w:tcPr>
            <w:tcW w:w="288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17.71</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62.14%</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6　</w:t>
            </w:r>
          </w:p>
        </w:tc>
        <w:tc>
          <w:tcPr>
            <w:tcW w:w="170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追加原因：年终追加预算资金14.5万元。</w:t>
            </w:r>
          </w:p>
        </w:tc>
      </w:tr>
      <w:tr w:rsidR="00E539E2">
        <w:trPr>
          <w:trHeight w:val="43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1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14.50</w:t>
            </w:r>
          </w:p>
        </w:tc>
        <w:tc>
          <w:tcPr>
            <w:tcW w:w="288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3.71</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25.58%</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70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1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88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70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1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88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70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3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1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14.00　</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highlight w:val="yellow"/>
              </w:rPr>
            </w:pPr>
            <w:r>
              <w:rPr>
                <w:rFonts w:ascii="仿宋_GB2312" w:eastAsia="仿宋_GB2312" w:hAnsi="微软雅黑" w:cs="宋体" w:hint="eastAsia"/>
                <w:iCs/>
                <w:color w:val="000000"/>
                <w:kern w:val="0"/>
                <w:sz w:val="22"/>
                <w:szCs w:val="22"/>
              </w:rPr>
              <w:t xml:space="preserve">14.00　</w:t>
            </w:r>
          </w:p>
        </w:tc>
        <w:tc>
          <w:tcPr>
            <w:tcW w:w="2885" w:type="dxa"/>
            <w:gridSpan w:val="5"/>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highlight w:val="yellow"/>
              </w:rPr>
            </w:pPr>
            <w:r>
              <w:rPr>
                <w:rFonts w:ascii="仿宋_GB2312" w:eastAsia="仿宋_GB2312" w:hAnsi="微软雅黑" w:cs="宋体" w:hint="eastAsia"/>
                <w:iCs/>
                <w:color w:val="000000"/>
                <w:kern w:val="0"/>
                <w:sz w:val="22"/>
                <w:szCs w:val="22"/>
              </w:rPr>
              <w:t xml:space="preserve">14.00　</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100.00%　</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70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绩效指标（90分）</w:t>
            </w:r>
          </w:p>
        </w:tc>
        <w:tc>
          <w:tcPr>
            <w:tcW w:w="203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12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170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p w:rsidR="00E539E2" w:rsidRDefault="00EC62F9">
            <w:pPr>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1125"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p w:rsidR="00E539E2" w:rsidRDefault="00EC62F9">
            <w:pPr>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药品抽验品种/批次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5</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批次</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化妆品抽验批次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3</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批次</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14</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医疗器械检验批次</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5</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批次</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6</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药品监管企业数</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家</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22</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化妆品监管企业数</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2</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家</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医疗器械监管企业数</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5</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家</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44</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bottom w:val="single" w:sz="4" w:space="0" w:color="auto"/>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药品监管人员人均培训学时</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8</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学时/人</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8</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val="restart"/>
            <w:tcBorders>
              <w:top w:val="single" w:sz="4" w:space="0" w:color="auto"/>
              <w:left w:val="single" w:sz="4" w:space="0" w:color="000000"/>
              <w:right w:val="single" w:sz="4" w:space="0" w:color="auto"/>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2693" w:type="dxa"/>
            <w:tcBorders>
              <w:top w:val="nil"/>
              <w:left w:val="single" w:sz="4" w:space="0" w:color="auto"/>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药品抽检完成率</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single" w:sz="4" w:space="0" w:color="000000"/>
              <w:right w:val="single" w:sz="4" w:space="0" w:color="auto"/>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single" w:sz="4" w:space="0" w:color="auto"/>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化妆品抽验完成率</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54"/>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single" w:sz="4" w:space="0" w:color="000000"/>
              <w:right w:val="single" w:sz="4" w:space="0" w:color="auto"/>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single" w:sz="4" w:space="0" w:color="auto"/>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医疗器械抽验完成率</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single" w:sz="4" w:space="0" w:color="000000"/>
              <w:right w:val="single" w:sz="4" w:space="0" w:color="auto"/>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single" w:sz="4" w:space="0" w:color="auto"/>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不合格产品处置率</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70"/>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single" w:sz="4" w:space="0" w:color="000000"/>
              <w:bottom w:val="single" w:sz="4" w:space="0" w:color="000000"/>
              <w:right w:val="single" w:sz="4" w:space="0" w:color="auto"/>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single" w:sz="4" w:space="0" w:color="auto"/>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培训人员覆盖率</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tcBorders>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任务完成时间</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12</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月</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12</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4</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val="restart"/>
            <w:tcBorders>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成本指标</w:t>
            </w:r>
          </w:p>
        </w:tc>
        <w:tc>
          <w:tcPr>
            <w:tcW w:w="1125" w:type="dxa"/>
            <w:vMerge w:val="restart"/>
            <w:tcBorders>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经济成本指标</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培训成本</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200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元/学时</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按标准执行</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14"/>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药品抽验平均标准</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1500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元/样</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按标准执行</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50"/>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医疗器械抽验平均标准</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1500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元/样</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按标准执行</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化妆品抽验平均标准</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1000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元/样</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按标准执行</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val="restart"/>
            <w:tcBorders>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125" w:type="dxa"/>
            <w:vMerge w:val="restart"/>
            <w:tcBorders>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社会效益</w:t>
            </w:r>
          </w:p>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“两品一械”总体安全水平</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宋体" w:cs="宋体"/>
                <w:color w:val="000000"/>
                <w:sz w:val="22"/>
                <w:szCs w:val="22"/>
              </w:rPr>
            </w:pPr>
            <w:r>
              <w:rPr>
                <w:rFonts w:ascii="仿宋_GB2312" w:eastAsia="仿宋_GB2312" w:hint="eastAsia"/>
                <w:color w:val="000000"/>
                <w:sz w:val="22"/>
                <w:szCs w:val="22"/>
              </w:rPr>
              <w:t>优</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级</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提高“两品一械”安全科普知识宣传覆盖面，公众自我保护意识不断提高</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级</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优</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假冒伪劣产品制售行为</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850" w:type="dxa"/>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低</w:t>
            </w:r>
          </w:p>
        </w:tc>
        <w:tc>
          <w:tcPr>
            <w:tcW w:w="901"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级</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低</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val="restart"/>
            <w:tcBorders>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可持续</w:t>
            </w:r>
          </w:p>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影响指标</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药品监管水平</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850" w:type="dxa"/>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901"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级</w:t>
            </w:r>
          </w:p>
        </w:tc>
        <w:tc>
          <w:tcPr>
            <w:tcW w:w="1367"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化妆品监管水平</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850" w:type="dxa"/>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901"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级</w:t>
            </w:r>
          </w:p>
        </w:tc>
        <w:tc>
          <w:tcPr>
            <w:tcW w:w="1367"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医疗器械监管水平</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850" w:type="dxa"/>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901"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级</w:t>
            </w:r>
          </w:p>
        </w:tc>
        <w:tc>
          <w:tcPr>
            <w:tcW w:w="1367"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125"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队伍素质和装备配置水平</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850" w:type="dxa"/>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901"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Ansi="宋体" w:cs="宋体" w:hint="eastAsia"/>
                <w:color w:val="000000"/>
                <w:kern w:val="0"/>
                <w:sz w:val="22"/>
                <w:szCs w:val="22"/>
              </w:rPr>
              <w:t>级</w:t>
            </w:r>
          </w:p>
        </w:tc>
        <w:tc>
          <w:tcPr>
            <w:tcW w:w="1367" w:type="dxa"/>
            <w:gridSpan w:val="2"/>
            <w:tcBorders>
              <w:top w:val="nil"/>
              <w:left w:val="nil"/>
              <w:bottom w:val="single" w:sz="4" w:space="0" w:color="000000"/>
              <w:right w:val="single" w:sz="4" w:space="0" w:color="000000"/>
            </w:tcBorders>
            <w:shd w:val="clear" w:color="auto" w:fill="auto"/>
          </w:tcPr>
          <w:p w:rsidR="00E539E2" w:rsidRDefault="00EC62F9">
            <w:pPr>
              <w:jc w:val="center"/>
              <w:rPr>
                <w:rFonts w:ascii="仿宋_GB2312" w:eastAsia="仿宋_GB2312"/>
                <w:sz w:val="22"/>
                <w:szCs w:val="22"/>
              </w:rPr>
            </w:pPr>
            <w:r>
              <w:rPr>
                <w:rFonts w:ascii="仿宋_GB2312" w:eastAsia="仿宋_GB2312" w:hint="eastAsia"/>
                <w:color w:val="000000"/>
                <w:sz w:val="22"/>
                <w:szCs w:val="22"/>
              </w:rPr>
              <w:t>优</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3.5</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vMerge/>
            <w:tcBorders>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39" w:type="dxa"/>
            <w:tcBorders>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满意度指标</w:t>
            </w:r>
          </w:p>
        </w:tc>
        <w:tc>
          <w:tcPr>
            <w:tcW w:w="1125" w:type="dxa"/>
            <w:tcBorders>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服务对象</w:t>
            </w:r>
            <w:r>
              <w:rPr>
                <w:rFonts w:ascii="仿宋_GB2312" w:eastAsia="仿宋_GB2312" w:hint="eastAsia"/>
                <w:sz w:val="22"/>
                <w:szCs w:val="22"/>
              </w:rPr>
              <w:br/>
              <w:t>满意度指标</w:t>
            </w:r>
          </w:p>
        </w:tc>
        <w:tc>
          <w:tcPr>
            <w:tcW w:w="2693"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sz w:val="22"/>
                <w:szCs w:val="22"/>
              </w:rPr>
            </w:pPr>
            <w:r>
              <w:rPr>
                <w:rFonts w:ascii="仿宋_GB2312" w:eastAsia="仿宋_GB2312" w:hint="eastAsia"/>
                <w:sz w:val="22"/>
                <w:szCs w:val="22"/>
              </w:rPr>
              <w:t>社会公众对药品安全满意度</w:t>
            </w:r>
          </w:p>
        </w:tc>
        <w:tc>
          <w:tcPr>
            <w:tcW w:w="1134"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85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sz w:val="22"/>
                <w:szCs w:val="22"/>
              </w:rPr>
            </w:pPr>
            <w:r>
              <w:rPr>
                <w:rFonts w:ascii="仿宋_GB2312" w:eastAsia="仿宋_GB2312" w:hint="eastAsia"/>
                <w:sz w:val="22"/>
                <w:szCs w:val="22"/>
              </w:rPr>
              <w:t>80</w:t>
            </w:r>
          </w:p>
        </w:tc>
        <w:tc>
          <w:tcPr>
            <w:tcW w:w="901"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int="eastAsia"/>
                <w:sz w:val="22"/>
                <w:szCs w:val="22"/>
              </w:rPr>
              <w:t>%</w:t>
            </w:r>
          </w:p>
        </w:tc>
        <w:tc>
          <w:tcPr>
            <w:tcW w:w="136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82.93</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08"/>
        </w:trPr>
        <w:tc>
          <w:tcPr>
            <w:tcW w:w="10788" w:type="dxa"/>
            <w:gridSpan w:val="11"/>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70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94</w:t>
            </w:r>
          </w:p>
        </w:tc>
        <w:tc>
          <w:tcPr>
            <w:tcW w:w="1701"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r>
      <w:tr w:rsidR="00E539E2">
        <w:trPr>
          <w:trHeight w:val="60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228" w:type="dxa"/>
            <w:gridSpan w:val="1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宋体" w:cs="宋体" w:hint="eastAsia"/>
                <w:color w:val="000000"/>
                <w:kern w:val="0"/>
                <w:sz w:val="22"/>
                <w:szCs w:val="22"/>
              </w:rPr>
              <w:t>通过食品药品监管补助资金</w:t>
            </w:r>
            <w:r>
              <w:rPr>
                <w:rFonts w:ascii="仿宋_GB2312" w:eastAsia="仿宋_GB2312" w:hAnsi="微软雅黑" w:cs="宋体" w:hint="eastAsia"/>
                <w:iCs/>
                <w:color w:val="000000"/>
                <w:kern w:val="0"/>
                <w:sz w:val="22"/>
                <w:szCs w:val="22"/>
              </w:rPr>
              <w:t>项目的实施，</w:t>
            </w:r>
            <w:r>
              <w:rPr>
                <w:rFonts w:ascii="仿宋_GB2312" w:eastAsia="仿宋_GB2312" w:hAnsi="宋体" w:cs="宋体" w:hint="eastAsia"/>
                <w:color w:val="000000"/>
                <w:kern w:val="0"/>
                <w:sz w:val="22"/>
                <w:szCs w:val="22"/>
              </w:rPr>
              <w:t>“两品一械”总体安全水平提升，“两品一械”安全科普知识宣传覆盖面拓宽，公众自我保护意识不断提高，假冒伪劣产品制售行为不断下降，药品、化妆品、医疗器械监管水平得到提升，队伍素质和装备配置水平有效提高，项目自评总分为94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228" w:type="dxa"/>
            <w:gridSpan w:val="1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我单位辖区覆盖面广，职工少、任务重，加之绩效目标工作专业性强，导致我单位绩效目标设定不够科学，预算执行进度较慢。</w:t>
            </w:r>
          </w:p>
        </w:tc>
      </w:tr>
      <w:tr w:rsidR="00E539E2">
        <w:trPr>
          <w:trHeight w:val="63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228" w:type="dxa"/>
            <w:gridSpan w:val="13"/>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宋体" w:cs="宋体" w:hint="eastAsia"/>
                <w:color w:val="000000"/>
                <w:kern w:val="0"/>
                <w:sz w:val="22"/>
                <w:szCs w:val="22"/>
              </w:rPr>
              <w:t>今后将加强与上级部门的沟通，进一步完善预算目标的设定方法和标准，确保目标设定的可操作性；同时做到早安排、早谋划，加强资金使用和绩效目标相结合，提高资金使用效率。</w:t>
            </w:r>
          </w:p>
        </w:tc>
      </w:tr>
      <w:tr w:rsidR="00E539E2">
        <w:trPr>
          <w:trHeight w:val="524"/>
        </w:trPr>
        <w:tc>
          <w:tcPr>
            <w:tcW w:w="7240"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项目负责人：石坚</w:t>
            </w:r>
          </w:p>
        </w:tc>
        <w:tc>
          <w:tcPr>
            <w:tcW w:w="6667" w:type="dxa"/>
            <w:gridSpan w:val="9"/>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附件12：</w:t>
      </w:r>
    </w:p>
    <w:tbl>
      <w:tblPr>
        <w:tblW w:w="14140" w:type="dxa"/>
        <w:tblInd w:w="93" w:type="dxa"/>
        <w:tblLook w:val="04A0"/>
      </w:tblPr>
      <w:tblGrid>
        <w:gridCol w:w="678"/>
        <w:gridCol w:w="1998"/>
        <w:gridCol w:w="1730"/>
        <w:gridCol w:w="2189"/>
        <w:gridCol w:w="513"/>
        <w:gridCol w:w="237"/>
        <w:gridCol w:w="1246"/>
        <w:gridCol w:w="667"/>
        <w:gridCol w:w="1095"/>
        <w:gridCol w:w="656"/>
        <w:gridCol w:w="656"/>
        <w:gridCol w:w="2475"/>
      </w:tblGrid>
      <w:tr w:rsidR="00E539E2">
        <w:trPr>
          <w:trHeight w:val="904"/>
        </w:trPr>
        <w:tc>
          <w:tcPr>
            <w:tcW w:w="141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9"/>
        </w:trPr>
        <w:tc>
          <w:tcPr>
            <w:tcW w:w="2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464"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51080022T000005716592-人员经费（结转）</w:t>
            </w:r>
          </w:p>
        </w:tc>
      </w:tr>
      <w:tr w:rsidR="00E539E2">
        <w:trPr>
          <w:trHeight w:val="514"/>
        </w:trPr>
        <w:tc>
          <w:tcPr>
            <w:tcW w:w="2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58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095"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787"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285"/>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199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58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882"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58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保障单位日常运转，提高预算编制质量，严格执行预算</w:t>
            </w:r>
          </w:p>
        </w:tc>
        <w:tc>
          <w:tcPr>
            <w:tcW w:w="4882"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保障了人员工资、保险、绩效及时足额发放。</w:t>
            </w:r>
          </w:p>
        </w:tc>
      </w:tr>
      <w:tr w:rsidR="00E539E2">
        <w:trPr>
          <w:trHeight w:val="694"/>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464"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“人员经费（结转）”项目由财务股负责组织实施，通过制定专项工作计划方案、确定工作目标、明确组织实施措施和策略，有效地指导工作的正常有序开展。</w:t>
            </w:r>
          </w:p>
        </w:tc>
      </w:tr>
      <w:tr w:rsidR="00E539E2">
        <w:trPr>
          <w:trHeight w:val="360"/>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663"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7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2.19</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2.19</w:t>
            </w:r>
          </w:p>
        </w:tc>
        <w:tc>
          <w:tcPr>
            <w:tcW w:w="2663"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2.19</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475"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无。</w:t>
            </w:r>
          </w:p>
        </w:tc>
      </w:tr>
      <w:tr w:rsidR="00E539E2">
        <w:trPr>
          <w:trHeight w:val="432"/>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2.19</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2.19</w:t>
            </w:r>
          </w:p>
        </w:tc>
        <w:tc>
          <w:tcPr>
            <w:tcW w:w="2663"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2.19</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63"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63"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663"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w:t>
            </w:r>
            <w:r>
              <w:rPr>
                <w:rFonts w:ascii="仿宋_GB2312" w:eastAsia="仿宋_GB2312" w:hAnsi="宋体" w:cs="宋体" w:hint="eastAsia"/>
                <w:color w:val="000000"/>
                <w:kern w:val="0"/>
                <w:sz w:val="22"/>
                <w:szCs w:val="22"/>
              </w:rPr>
              <w:lastRenderedPageBreak/>
              <w:t>（90分）</w:t>
            </w: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一级指标</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2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6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7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88"/>
        </w:trPr>
        <w:tc>
          <w:tcPr>
            <w:tcW w:w="6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730"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足额保障率</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475"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88"/>
        </w:trPr>
        <w:tc>
          <w:tcPr>
            <w:tcW w:w="678"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730"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475"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88"/>
        </w:trPr>
        <w:tc>
          <w:tcPr>
            <w:tcW w:w="678"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时效指标</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按时发放率</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475"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88"/>
        </w:trPr>
        <w:tc>
          <w:tcPr>
            <w:tcW w:w="678"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73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218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结余率（计算方法为：结余数/预算数）</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66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2475"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285"/>
        </w:trPr>
        <w:tc>
          <w:tcPr>
            <w:tcW w:w="10353"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2475"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46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黑体" w:cs="宋体" w:hint="eastAsia"/>
                <w:color w:val="000000"/>
                <w:kern w:val="0"/>
                <w:sz w:val="22"/>
                <w:szCs w:val="22"/>
              </w:rPr>
              <w:t>保障了人员工资、保险、绩效及时足额发放，</w:t>
            </w:r>
            <w:r>
              <w:rPr>
                <w:rFonts w:ascii="仿宋_GB2312" w:eastAsia="仿宋_GB2312" w:hAnsi="微软雅黑" w:cs="宋体" w:hint="eastAsia"/>
                <w:iCs/>
                <w:color w:val="000000"/>
                <w:kern w:val="0"/>
                <w:sz w:val="22"/>
                <w:szCs w:val="22"/>
              </w:rPr>
              <w:t>项目自评总分为100分。</w:t>
            </w:r>
          </w:p>
        </w:tc>
      </w:tr>
      <w:tr w:rsidR="00E539E2">
        <w:trPr>
          <w:trHeight w:val="57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46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34"/>
        </w:trPr>
        <w:tc>
          <w:tcPr>
            <w:tcW w:w="678"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462"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rsidTr="00853EC2">
        <w:trPr>
          <w:trHeight w:val="468"/>
        </w:trPr>
        <w:tc>
          <w:tcPr>
            <w:tcW w:w="7108"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7032"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附件13：</w:t>
      </w:r>
    </w:p>
    <w:tbl>
      <w:tblPr>
        <w:tblW w:w="13907" w:type="dxa"/>
        <w:tblInd w:w="93" w:type="dxa"/>
        <w:tblLayout w:type="fixed"/>
        <w:tblLook w:val="04A0"/>
      </w:tblPr>
      <w:tblGrid>
        <w:gridCol w:w="679"/>
        <w:gridCol w:w="2055"/>
        <w:gridCol w:w="1534"/>
        <w:gridCol w:w="2497"/>
        <w:gridCol w:w="520"/>
        <w:gridCol w:w="243"/>
        <w:gridCol w:w="1276"/>
        <w:gridCol w:w="677"/>
        <w:gridCol w:w="1100"/>
        <w:gridCol w:w="546"/>
        <w:gridCol w:w="512"/>
        <w:gridCol w:w="2268"/>
      </w:tblGrid>
      <w:tr w:rsidR="00E539E2">
        <w:trPr>
          <w:trHeight w:val="640"/>
        </w:trPr>
        <w:tc>
          <w:tcPr>
            <w:tcW w:w="1390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5"/>
        </w:trPr>
        <w:tc>
          <w:tcPr>
            <w:tcW w:w="27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17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51080022T000007120163-市场监管专项资金</w:t>
            </w:r>
          </w:p>
        </w:tc>
      </w:tr>
      <w:tr w:rsidR="00E539E2">
        <w:trPr>
          <w:trHeight w:val="514"/>
        </w:trPr>
        <w:tc>
          <w:tcPr>
            <w:tcW w:w="27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747"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100"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326"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82"/>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55"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747"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42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747"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加强市场主体信用监督管，营造公平诚信的市场和社会环境。注册登记商事制度改革，优化营商环境，提高监管效能，增强经济发展内生动力。非公党建工作，促进非公有制企业的健康发展。开展安全形势教育和执法检查，遏制和减少事故发生。2、负责辖区内食品（含特殊食品）、药械化、特种设备安全生产经营安全监管。加强冷链食品监管，监督指导企业常态化防疫工作。</w:t>
            </w:r>
          </w:p>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3、综合协调指导食品工作、药械化工作、培育知名品牌，计量，认证工作。</w:t>
            </w:r>
          </w:p>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4、开展食品安全宣传周、药品安全宣传月、5.25国际爱肤日、质量安全宣传月等宣传活动。</w:t>
            </w:r>
          </w:p>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5、关于食品、药械化各个专项整治工作，标准化管理工作。</w:t>
            </w:r>
          </w:p>
        </w:tc>
        <w:tc>
          <w:tcPr>
            <w:tcW w:w="442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宋体" w:cs="宋体" w:hint="eastAsia"/>
                <w:color w:val="000000"/>
                <w:kern w:val="0"/>
                <w:sz w:val="22"/>
                <w:szCs w:val="22"/>
              </w:rPr>
              <w:t>严厉打击了假冒伪劣产品制售等各类违法行为，筑牢防疫堤坝，坚守安全底线，持续净化市场竞争环境，营造健康有序的市场消费环境，进一步强化主体责任落实，保障人民生命财产健康安全，提升社会公众满意度。</w:t>
            </w:r>
          </w:p>
        </w:tc>
      </w:tr>
      <w:tr w:rsidR="00E539E2">
        <w:trPr>
          <w:trHeight w:val="69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17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pStyle w:val="21"/>
              <w:spacing w:line="320" w:lineRule="exact"/>
              <w:ind w:leftChars="0" w:left="0" w:firstLineChars="0" w:firstLine="0"/>
              <w:rPr>
                <w:rFonts w:ascii="仿宋_GB2312" w:eastAsia="仿宋_GB2312" w:hAnsi="仿宋_GB2312" w:cs="仿宋_GB2312"/>
                <w:color w:val="000000"/>
                <w:kern w:val="0"/>
                <w:sz w:val="22"/>
                <w:szCs w:val="22"/>
              </w:rPr>
            </w:pPr>
            <w:r>
              <w:rPr>
                <w:rFonts w:ascii="仿宋_GB2312" w:eastAsia="仿宋_GB2312" w:hAnsi="宋体" w:cs="宋体" w:hint="eastAsia"/>
                <w:color w:val="000000"/>
                <w:kern w:val="0"/>
                <w:sz w:val="22"/>
                <w:szCs w:val="22"/>
              </w:rPr>
              <w:t>2022年省级市场监管专项项目资金由相关股室牵头负责工作方案规划、组织、指导，食品安全及疫情防控宣传等工作的实施。通过制定专项工作计划方案、确定工作目标、明确组织实施措施和策略，更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w:t>
            </w:r>
            <w:r>
              <w:rPr>
                <w:rFonts w:ascii="仿宋_GB2312" w:eastAsia="仿宋_GB2312" w:hAnsi="宋体" w:cs="宋体" w:hint="eastAsia"/>
                <w:color w:val="000000"/>
                <w:kern w:val="0"/>
                <w:sz w:val="22"/>
                <w:szCs w:val="22"/>
              </w:rPr>
              <w:lastRenderedPageBreak/>
              <w:t>情况（10分）</w:t>
            </w: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年度预算数（万元）</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71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2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12.00</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23.00</w:t>
            </w:r>
          </w:p>
        </w:tc>
        <w:tc>
          <w:tcPr>
            <w:tcW w:w="271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17.98</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54.37%</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5　</w:t>
            </w:r>
          </w:p>
        </w:tc>
        <w:tc>
          <w:tcPr>
            <w:tcW w:w="226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追加预算：根据市场监管工作安排，追加预算资金11万。</w:t>
            </w:r>
          </w:p>
        </w:tc>
      </w:tr>
      <w:tr w:rsidR="00E539E2">
        <w:trPr>
          <w:trHeight w:val="43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11.00</w:t>
            </w:r>
          </w:p>
        </w:tc>
        <w:tc>
          <w:tcPr>
            <w:tcW w:w="271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5.98</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54.37%</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26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71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26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71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26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12.00　</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12.00</w:t>
            </w:r>
          </w:p>
        </w:tc>
        <w:tc>
          <w:tcPr>
            <w:tcW w:w="2716"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12.00</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100.00%　</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26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绩效指标（90分）</w:t>
            </w: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一级指标</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2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产出指标　</w:t>
            </w:r>
          </w:p>
        </w:tc>
        <w:tc>
          <w:tcPr>
            <w:tcW w:w="1534" w:type="dxa"/>
            <w:vMerge w:val="restart"/>
            <w:tcBorders>
              <w:top w:val="nil"/>
              <w:left w:val="nil"/>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数量指标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食药械化抽检监测任务批次</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r>
              <w:rPr>
                <w:rFonts w:ascii="仿宋_GB2312" w:eastAsia="仿宋_GB2312" w:hAnsi="宋体" w:cs="宋体" w:hint="eastAsia"/>
                <w:color w:val="000000"/>
                <w:kern w:val="0"/>
                <w:sz w:val="22"/>
                <w:szCs w:val="22"/>
              </w:rPr>
              <w:t xml:space="preserve">　</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30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批次　</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157</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市场主体信用监管</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4000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户</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5571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新登记市场主体户数</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250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户</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705</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培育广元市市长质量奖企业户数</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4</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户</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4</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00"/>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特种设备安全培训次数</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食药械化专项整治行动次数</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12</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已完成</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val="restart"/>
            <w:tcBorders>
              <w:top w:val="nil"/>
              <w:left w:val="nil"/>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质量指标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抽检不合格食品核查处置率</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100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市场主体年报公示率</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90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91%</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特种设备使用单位巡查率</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100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100%</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49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时效指标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项目完成时间</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12</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月</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按时间节点完成</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4</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成本指标</w:t>
            </w:r>
          </w:p>
        </w:tc>
        <w:tc>
          <w:tcPr>
            <w:tcW w:w="1534" w:type="dxa"/>
            <w:vMerge w:val="restart"/>
            <w:tcBorders>
              <w:top w:val="nil"/>
              <w:left w:val="nil"/>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经济成本指标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食品抽检监测成本</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2000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元/批次</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按标准执行</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10</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差旅补助成本每人每天</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180</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华文楷体" w:hint="eastAsia"/>
                <w:color w:val="000000"/>
                <w:sz w:val="22"/>
                <w:szCs w:val="22"/>
              </w:rPr>
              <w:t>元</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按标准执行</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10</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社会效益指标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安全监管水平、公众安全科普知识</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优</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级</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优</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10</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可持续</w:t>
            </w:r>
            <w:r>
              <w:rPr>
                <w:rFonts w:ascii="仿宋_GB2312" w:eastAsia="仿宋_GB2312" w:hAnsi="华文楷体" w:hint="eastAsia"/>
                <w:color w:val="000000"/>
                <w:sz w:val="22"/>
                <w:szCs w:val="22"/>
              </w:rPr>
              <w:br/>
              <w:t>影响指标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通过监督抽查、风险监测、证后监管等保障人民生命财产健康安全</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优</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级</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优</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10</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55"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满意度指标</w:t>
            </w:r>
          </w:p>
        </w:tc>
        <w:tc>
          <w:tcPr>
            <w:tcW w:w="1534"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公众满意度</w:t>
            </w:r>
            <w:r>
              <w:rPr>
                <w:rFonts w:ascii="仿宋_GB2312" w:eastAsia="仿宋_GB2312" w:hAnsi="华文楷体" w:hint="eastAsia"/>
                <w:color w:val="000000"/>
                <w:sz w:val="22"/>
                <w:szCs w:val="22"/>
              </w:rPr>
              <w:br/>
              <w:t>指标</w:t>
            </w:r>
          </w:p>
        </w:tc>
        <w:tc>
          <w:tcPr>
            <w:tcW w:w="2497" w:type="dxa"/>
            <w:tcBorders>
              <w:top w:val="nil"/>
              <w:left w:val="nil"/>
              <w:bottom w:val="single" w:sz="4" w:space="0" w:color="000000"/>
              <w:right w:val="single" w:sz="4" w:space="0" w:color="000000"/>
            </w:tcBorders>
            <w:shd w:val="clear" w:color="auto" w:fill="auto"/>
            <w:vAlign w:val="center"/>
          </w:tcPr>
          <w:p w:rsidR="00E539E2" w:rsidRDefault="00EC62F9">
            <w:pP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公众满意度</w:t>
            </w:r>
          </w:p>
        </w:tc>
        <w:tc>
          <w:tcPr>
            <w:tcW w:w="763"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定性</w:t>
            </w:r>
          </w:p>
        </w:tc>
        <w:tc>
          <w:tcPr>
            <w:tcW w:w="1276"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优</w:t>
            </w:r>
          </w:p>
        </w:tc>
        <w:tc>
          <w:tcPr>
            <w:tcW w:w="677"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级</w:t>
            </w:r>
          </w:p>
        </w:tc>
        <w:tc>
          <w:tcPr>
            <w:tcW w:w="1100" w:type="dxa"/>
            <w:tcBorders>
              <w:top w:val="nil"/>
              <w:left w:val="nil"/>
              <w:bottom w:val="single" w:sz="4" w:space="0" w:color="000000"/>
              <w:right w:val="single" w:sz="4" w:space="0" w:color="000000"/>
            </w:tcBorders>
            <w:shd w:val="clear" w:color="auto" w:fill="auto"/>
            <w:vAlign w:val="center"/>
          </w:tcPr>
          <w:p w:rsidR="00E539E2" w:rsidRDefault="00EC62F9">
            <w:pPr>
              <w:jc w:val="center"/>
              <w:rPr>
                <w:rFonts w:ascii="仿宋_GB2312" w:eastAsia="仿宋_GB2312" w:hAnsi="华文楷体" w:cs="宋体"/>
                <w:color w:val="000000"/>
                <w:sz w:val="22"/>
                <w:szCs w:val="22"/>
              </w:rPr>
            </w:pPr>
            <w:r>
              <w:rPr>
                <w:rFonts w:ascii="仿宋_GB2312" w:eastAsia="仿宋_GB2312" w:hAnsi="华文楷体" w:hint="eastAsia"/>
                <w:color w:val="000000"/>
                <w:sz w:val="22"/>
                <w:szCs w:val="22"/>
              </w:rPr>
              <w:t>优</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jc w:val="center"/>
            </w:pPr>
            <w:r>
              <w:rPr>
                <w:rFonts w:ascii="仿宋_GB2312" w:eastAsia="仿宋_GB2312" w:hAnsi="宋体" w:cs="宋体" w:hint="eastAsia"/>
                <w:color w:val="000000"/>
                <w:kern w:val="0"/>
                <w:sz w:val="22"/>
                <w:szCs w:val="22"/>
              </w:rPr>
              <w:t>10</w:t>
            </w:r>
          </w:p>
        </w:tc>
        <w:tc>
          <w:tcPr>
            <w:tcW w:w="226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微软雅黑" w:cs="宋体"/>
                <w:iCs/>
                <w:color w:val="000000"/>
                <w:kern w:val="0"/>
                <w:sz w:val="22"/>
                <w:szCs w:val="22"/>
              </w:rPr>
            </w:pPr>
          </w:p>
        </w:tc>
      </w:tr>
      <w:tr w:rsidR="00E539E2">
        <w:trPr>
          <w:trHeight w:val="562"/>
        </w:trPr>
        <w:tc>
          <w:tcPr>
            <w:tcW w:w="10581"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54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512"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95</w:t>
            </w:r>
          </w:p>
        </w:tc>
        <w:tc>
          <w:tcPr>
            <w:tcW w:w="2268"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1123"/>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228"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spacing w:line="320" w:lineRule="exact"/>
              <w:jc w:val="left"/>
              <w:rPr>
                <w:rFonts w:ascii="仿宋_GB2312" w:eastAsia="仿宋_GB2312" w:hAnsi="华文楷体"/>
                <w:color w:val="000000"/>
                <w:sz w:val="22"/>
                <w:szCs w:val="22"/>
              </w:rPr>
            </w:pPr>
            <w:r>
              <w:rPr>
                <w:rFonts w:ascii="仿宋_GB2312" w:eastAsia="仿宋_GB2312" w:hAnsi="华文楷体" w:hint="eastAsia"/>
                <w:color w:val="000000"/>
                <w:sz w:val="22"/>
                <w:szCs w:val="22"/>
              </w:rPr>
              <w:t>通过省级市场监管专项项目的实施，严厉打击了假冒伪劣产品制售等各类违法行为，筑牢防疫堤坝，坚守安全底线，持续净化市场竞争环境，营造健康有序的市场消费环境，进一步强化主体责任落实，加强协同监管，促进社会共治，保障了人民生命财产健康安全，提升了社会公众满意度，项目自评得分为95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228"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pStyle w:val="21"/>
              <w:spacing w:line="550" w:lineRule="exact"/>
              <w:ind w:leftChars="0" w:left="0" w:firstLineChars="0" w:firstLine="0"/>
              <w:rPr>
                <w:rFonts w:ascii="仿宋_GB2312" w:eastAsia="仿宋_GB2312" w:hAnsi="华文楷体"/>
                <w:color w:val="000000"/>
                <w:sz w:val="22"/>
                <w:szCs w:val="22"/>
              </w:rPr>
            </w:pPr>
            <w:r>
              <w:rPr>
                <w:rFonts w:ascii="仿宋_GB2312" w:eastAsia="仿宋_GB2312" w:hAnsi="华文楷体" w:hint="eastAsia"/>
                <w:color w:val="000000"/>
                <w:sz w:val="22"/>
                <w:szCs w:val="22"/>
              </w:rPr>
              <w:t>我单位作为基层单位，工作任务繁重、人员结构复杂、业务能力参差不齐，存在人手严重短缺，监管力量不足的问题。</w:t>
            </w:r>
          </w:p>
        </w:tc>
      </w:tr>
      <w:tr w:rsidR="00E539E2">
        <w:trPr>
          <w:trHeight w:val="866"/>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228"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spacing w:line="320" w:lineRule="exact"/>
              <w:rPr>
                <w:rFonts w:ascii="仿宋_GB2312" w:eastAsia="仿宋_GB2312" w:hAnsi="华文楷体"/>
                <w:color w:val="000000"/>
                <w:sz w:val="22"/>
                <w:szCs w:val="22"/>
              </w:rPr>
            </w:pPr>
            <w:r>
              <w:rPr>
                <w:rFonts w:ascii="仿宋_GB2312" w:eastAsia="仿宋_GB2312" w:hAnsi="华文楷体" w:hint="eastAsia"/>
                <w:color w:val="000000"/>
                <w:sz w:val="22"/>
                <w:szCs w:val="22"/>
              </w:rPr>
              <w:t>加强各专业领域业务能力提升，积极组织干部职工参与业务培训，打造专业化、法制化执法监管队伍，加强市场监管综合执法工作，进一步提升市场监管的效能，促进市场秩序的进一步规范。</w:t>
            </w:r>
          </w:p>
        </w:tc>
      </w:tr>
      <w:tr w:rsidR="00E539E2">
        <w:trPr>
          <w:trHeight w:val="562"/>
        </w:trPr>
        <w:tc>
          <w:tcPr>
            <w:tcW w:w="728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项目负责人：穆伟、石坚、钟军</w:t>
            </w:r>
          </w:p>
        </w:tc>
        <w:tc>
          <w:tcPr>
            <w:tcW w:w="6622"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C62F9">
      <w:pPr>
        <w:pStyle w:val="a0"/>
        <w:spacing w:before="93"/>
      </w:pPr>
      <w:r>
        <w:rPr>
          <w:rFonts w:hint="eastAsia"/>
        </w:rPr>
        <w:lastRenderedPageBreak/>
        <w:t>附件14：</w:t>
      </w:r>
    </w:p>
    <w:tbl>
      <w:tblPr>
        <w:tblW w:w="14140" w:type="dxa"/>
        <w:tblInd w:w="93" w:type="dxa"/>
        <w:tblLook w:val="04A0"/>
      </w:tblPr>
      <w:tblGrid>
        <w:gridCol w:w="679"/>
        <w:gridCol w:w="2028"/>
        <w:gridCol w:w="1754"/>
        <w:gridCol w:w="2228"/>
        <w:gridCol w:w="518"/>
        <w:gridCol w:w="179"/>
        <w:gridCol w:w="1134"/>
        <w:gridCol w:w="859"/>
        <w:gridCol w:w="1098"/>
        <w:gridCol w:w="656"/>
        <w:gridCol w:w="656"/>
        <w:gridCol w:w="2351"/>
      </w:tblGrid>
      <w:tr w:rsidR="00E539E2">
        <w:trPr>
          <w:trHeight w:val="498"/>
        </w:trPr>
        <w:tc>
          <w:tcPr>
            <w:tcW w:w="141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565"/>
        </w:trPr>
        <w:tc>
          <w:tcPr>
            <w:tcW w:w="27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43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51080022Y000000267568-定额公用经费（事业）</w:t>
            </w:r>
          </w:p>
        </w:tc>
      </w:tr>
      <w:tr w:rsidR="00E539E2">
        <w:trPr>
          <w:trHeight w:val="514"/>
        </w:trPr>
        <w:tc>
          <w:tcPr>
            <w:tcW w:w="270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67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098"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663"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82"/>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202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67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7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546"/>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67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保障单位日常运转，提高预算编制质量，严格执行预算</w:t>
            </w:r>
          </w:p>
        </w:tc>
        <w:tc>
          <w:tcPr>
            <w:tcW w:w="4761"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保障了单位正常办公运行支出。</w:t>
            </w:r>
          </w:p>
        </w:tc>
      </w:tr>
      <w:tr w:rsidR="00E539E2">
        <w:trPr>
          <w:trHeight w:val="69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433"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“定额公用经费（事业）”项目由财务股负责组织实施，通过制定专项工作计划方案、确定工作目标、明确组织实施措施和策略，有效地指导工作的正常有序开展。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69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3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1.50</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1.50</w:t>
            </w:r>
          </w:p>
        </w:tc>
        <w:tc>
          <w:tcPr>
            <w:tcW w:w="269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1.50</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10　</w:t>
            </w:r>
          </w:p>
        </w:tc>
        <w:tc>
          <w:tcPr>
            <w:tcW w:w="2351"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无。</w:t>
            </w:r>
          </w:p>
        </w:tc>
      </w:tr>
      <w:tr w:rsidR="00E539E2">
        <w:trPr>
          <w:trHeight w:val="43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1.50</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1.50</w:t>
            </w:r>
          </w:p>
        </w:tc>
        <w:tc>
          <w:tcPr>
            <w:tcW w:w="269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1.50</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5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9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5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9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5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69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351"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绩效指标（90</w:t>
            </w:r>
            <w:r>
              <w:rPr>
                <w:rFonts w:ascii="仿宋_GB2312" w:eastAsia="仿宋_GB2312" w:hAnsi="宋体" w:cs="宋体" w:hint="eastAsia"/>
                <w:color w:val="000000"/>
                <w:kern w:val="0"/>
                <w:sz w:val="22"/>
                <w:szCs w:val="22"/>
              </w:rPr>
              <w:lastRenderedPageBreak/>
              <w:t>分）</w:t>
            </w:r>
          </w:p>
        </w:tc>
        <w:tc>
          <w:tcPr>
            <w:tcW w:w="20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一级指标</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69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85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3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46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产出指标</w:t>
            </w: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69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85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6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5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预算编制准确率（计算方法为：</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（执行数-预算数）/预算数</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w:t>
            </w:r>
          </w:p>
        </w:tc>
        <w:tc>
          <w:tcPr>
            <w:tcW w:w="69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85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90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754"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“三公经费”控制率[计算方法为：（三公经费实际支出数/预算安排数]×100%）</w:t>
            </w:r>
          </w:p>
        </w:tc>
        <w:tc>
          <w:tcPr>
            <w:tcW w:w="69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5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89.95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4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02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754"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222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运转保障率</w:t>
            </w:r>
          </w:p>
        </w:tc>
        <w:tc>
          <w:tcPr>
            <w:tcW w:w="697"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3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5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22.5　</w:t>
            </w:r>
          </w:p>
        </w:tc>
        <w:tc>
          <w:tcPr>
            <w:tcW w:w="235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478"/>
        </w:trPr>
        <w:tc>
          <w:tcPr>
            <w:tcW w:w="10477"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2351"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461"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黑体" w:cs="宋体" w:hint="eastAsia"/>
                <w:color w:val="000000"/>
                <w:kern w:val="0"/>
                <w:sz w:val="22"/>
                <w:szCs w:val="22"/>
              </w:rPr>
              <w:t>保障了单位正常办公运行支出，项目自评得分为100分。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461"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63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461"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无。</w:t>
            </w:r>
          </w:p>
        </w:tc>
      </w:tr>
      <w:tr w:rsidR="00E539E2">
        <w:trPr>
          <w:trHeight w:val="482"/>
        </w:trPr>
        <w:tc>
          <w:tcPr>
            <w:tcW w:w="7207"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6933"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C62F9">
      <w:pPr>
        <w:pStyle w:val="a0"/>
        <w:spacing w:before="93"/>
      </w:pPr>
      <w:r>
        <w:rPr>
          <w:rFonts w:hint="eastAsia"/>
        </w:rPr>
        <w:lastRenderedPageBreak/>
        <w:t>附件15：</w:t>
      </w:r>
    </w:p>
    <w:tbl>
      <w:tblPr>
        <w:tblW w:w="14140" w:type="dxa"/>
        <w:tblInd w:w="93" w:type="dxa"/>
        <w:tblLook w:val="04A0"/>
      </w:tblPr>
      <w:tblGrid>
        <w:gridCol w:w="679"/>
        <w:gridCol w:w="1999"/>
        <w:gridCol w:w="1731"/>
        <w:gridCol w:w="2191"/>
        <w:gridCol w:w="513"/>
        <w:gridCol w:w="237"/>
        <w:gridCol w:w="1106"/>
        <w:gridCol w:w="804"/>
        <w:gridCol w:w="1090"/>
        <w:gridCol w:w="656"/>
        <w:gridCol w:w="656"/>
        <w:gridCol w:w="2478"/>
      </w:tblGrid>
      <w:tr w:rsidR="00E539E2">
        <w:trPr>
          <w:trHeight w:val="640"/>
        </w:trPr>
        <w:tc>
          <w:tcPr>
            <w:tcW w:w="14140"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b/>
                <w:bCs/>
                <w:color w:val="000000"/>
                <w:kern w:val="0"/>
                <w:sz w:val="22"/>
                <w:szCs w:val="22"/>
              </w:rPr>
            </w:pPr>
            <w:r>
              <w:rPr>
                <w:rFonts w:ascii="仿宋_GB2312" w:eastAsia="仿宋_GB2312" w:hAnsi="宋体" w:cs="宋体" w:hint="eastAsia"/>
                <w:b/>
                <w:bCs/>
                <w:color w:val="000000"/>
                <w:kern w:val="0"/>
                <w:sz w:val="22"/>
                <w:szCs w:val="22"/>
              </w:rPr>
              <w:t>部门预算项目支出绩效自评表（2022年度）</w:t>
            </w:r>
          </w:p>
        </w:tc>
      </w:tr>
      <w:tr w:rsidR="00E539E2">
        <w:trPr>
          <w:trHeight w:val="427"/>
        </w:trPr>
        <w:tc>
          <w:tcPr>
            <w:tcW w:w="26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项目名称</w:t>
            </w:r>
          </w:p>
        </w:tc>
        <w:tc>
          <w:tcPr>
            <w:tcW w:w="11462"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51080023R000007612345-规范后市级基础绩效奖及生活补助</w:t>
            </w:r>
          </w:p>
        </w:tc>
      </w:tr>
      <w:tr w:rsidR="00E539E2">
        <w:trPr>
          <w:trHeight w:val="514"/>
        </w:trPr>
        <w:tc>
          <w:tcPr>
            <w:tcW w:w="267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主管部门</w:t>
            </w:r>
          </w:p>
        </w:tc>
        <w:tc>
          <w:tcPr>
            <w:tcW w:w="658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广元市市场监督管理局部门</w:t>
            </w:r>
          </w:p>
        </w:tc>
        <w:tc>
          <w:tcPr>
            <w:tcW w:w="1090" w:type="dxa"/>
            <w:tcBorders>
              <w:top w:val="nil"/>
              <w:left w:val="nil"/>
              <w:bottom w:val="nil"/>
              <w:right w:val="nil"/>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实施单位（盖章）</w:t>
            </w:r>
          </w:p>
        </w:tc>
        <w:tc>
          <w:tcPr>
            <w:tcW w:w="379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广元市市场监督管理局广元经开区分局</w:t>
            </w:r>
          </w:p>
        </w:tc>
      </w:tr>
      <w:tr w:rsidR="00E539E2">
        <w:trPr>
          <w:trHeight w:val="498"/>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项目基本情况</w:t>
            </w:r>
          </w:p>
        </w:tc>
        <w:tc>
          <w:tcPr>
            <w:tcW w:w="199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1.项目年度目标完成情况</w:t>
            </w:r>
          </w:p>
        </w:tc>
        <w:tc>
          <w:tcPr>
            <w:tcW w:w="658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项目年度目标</w:t>
            </w:r>
          </w:p>
        </w:tc>
        <w:tc>
          <w:tcPr>
            <w:tcW w:w="488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年度目标完成情况</w:t>
            </w:r>
          </w:p>
        </w:tc>
      </w:tr>
      <w:tr w:rsidR="00E539E2">
        <w:trPr>
          <w:trHeight w:val="70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6582" w:type="dxa"/>
            <w:gridSpan w:val="6"/>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保障单位日常运转，提高预算编制质量，严格执行预算</w:t>
            </w:r>
          </w:p>
        </w:tc>
        <w:tc>
          <w:tcPr>
            <w:tcW w:w="488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保障了单位在职职工基础绩效和退休人员生活补助的足额发放。</w:t>
            </w:r>
          </w:p>
        </w:tc>
      </w:tr>
      <w:tr w:rsidR="00E539E2">
        <w:trPr>
          <w:trHeight w:val="694"/>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2.项目实施内容及过程概述</w:t>
            </w:r>
          </w:p>
        </w:tc>
        <w:tc>
          <w:tcPr>
            <w:tcW w:w="11462" w:type="dxa"/>
            <w:gridSpan w:val="10"/>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“规范后市级基础绩效奖及生活补助”项目由财务股负责组织实施，通过制定专项工作计划方案、确定工作目标、明确组织实施措施和策略，有效地指导工作的正常有序开展。</w:t>
            </w:r>
          </w:p>
        </w:tc>
      </w:tr>
      <w:tr w:rsidR="00E539E2">
        <w:trPr>
          <w:trHeight w:val="360"/>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预算执行情况（10分）</w:t>
            </w: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年度预算数（万元）</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年初预算</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调整后预算数</w:t>
            </w:r>
          </w:p>
        </w:tc>
        <w:tc>
          <w:tcPr>
            <w:tcW w:w="266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预算执行数</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预算执行率</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7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原因</w:t>
            </w:r>
          </w:p>
        </w:tc>
      </w:tr>
      <w:tr w:rsidR="00E539E2">
        <w:trPr>
          <w:trHeight w:val="38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总额</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9.22</w:t>
            </w:r>
          </w:p>
        </w:tc>
        <w:tc>
          <w:tcPr>
            <w:tcW w:w="266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8.91</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96.71%</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9　</w:t>
            </w:r>
          </w:p>
        </w:tc>
        <w:tc>
          <w:tcPr>
            <w:tcW w:w="2478"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iCs/>
                <w:color w:val="000000"/>
                <w:kern w:val="0"/>
                <w:sz w:val="22"/>
                <w:szCs w:val="22"/>
              </w:rPr>
            </w:pPr>
            <w:r>
              <w:rPr>
                <w:rFonts w:ascii="仿宋_GB2312" w:eastAsia="仿宋_GB2312" w:hAnsi="黑体" w:cs="宋体" w:hint="eastAsia"/>
                <w:iCs/>
                <w:color w:val="000000"/>
                <w:kern w:val="0"/>
                <w:sz w:val="22"/>
                <w:szCs w:val="22"/>
              </w:rPr>
              <w:t>追加原因：年中追加基础绩效奖及退休人员生活补助。</w:t>
            </w:r>
          </w:p>
        </w:tc>
      </w:tr>
      <w:tr w:rsidR="00E539E2">
        <w:trPr>
          <w:trHeight w:val="43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其中：财政资金</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9.22</w:t>
            </w:r>
          </w:p>
        </w:tc>
        <w:tc>
          <w:tcPr>
            <w:tcW w:w="266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8.91</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96.71%</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47"/>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财政专户管理资金</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6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02"/>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单位资金</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266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0.00%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379"/>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其他资金</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2660" w:type="dxa"/>
            <w:gridSpan w:val="4"/>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2478"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黑体" w:cs="宋体"/>
                <w:iCs/>
                <w:color w:val="000000"/>
                <w:kern w:val="0"/>
                <w:sz w:val="22"/>
                <w:szCs w:val="22"/>
              </w:rPr>
            </w:pPr>
          </w:p>
        </w:tc>
      </w:tr>
      <w:tr w:rsidR="00E539E2">
        <w:trPr>
          <w:trHeight w:val="454"/>
        </w:trPr>
        <w:tc>
          <w:tcPr>
            <w:tcW w:w="679" w:type="dxa"/>
            <w:vMerge w:val="restart"/>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绩效指标</w:t>
            </w:r>
            <w:r>
              <w:rPr>
                <w:rFonts w:ascii="仿宋_GB2312" w:eastAsia="仿宋_GB2312" w:hAnsi="宋体" w:cs="宋体" w:hint="eastAsia"/>
                <w:color w:val="000000"/>
                <w:kern w:val="0"/>
                <w:sz w:val="22"/>
                <w:szCs w:val="22"/>
              </w:rPr>
              <w:lastRenderedPageBreak/>
              <w:t>（90分）</w:t>
            </w: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lastRenderedPageBreak/>
              <w:t>一级指标</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二级指标</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三级指标</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指标性质</w:t>
            </w:r>
          </w:p>
        </w:tc>
        <w:tc>
          <w:tcPr>
            <w:tcW w:w="110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指标值</w:t>
            </w:r>
          </w:p>
        </w:tc>
        <w:tc>
          <w:tcPr>
            <w:tcW w:w="8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度量单位</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完成值</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权重</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得分</w:t>
            </w:r>
          </w:p>
        </w:tc>
        <w:tc>
          <w:tcPr>
            <w:tcW w:w="247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未完成原因分析</w:t>
            </w:r>
          </w:p>
        </w:tc>
      </w:tr>
      <w:tr w:rsidR="00E539E2">
        <w:trPr>
          <w:trHeight w:val="338"/>
        </w:trPr>
        <w:tc>
          <w:tcPr>
            <w:tcW w:w="679" w:type="dxa"/>
            <w:vMerge/>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vMerge w:val="restart"/>
            <w:tcBorders>
              <w:top w:val="nil"/>
              <w:left w:val="nil"/>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产出指标</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数量指标</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科目调整次数</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w:t>
            </w:r>
          </w:p>
        </w:tc>
        <w:tc>
          <w:tcPr>
            <w:tcW w:w="8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次</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30　</w:t>
            </w:r>
          </w:p>
        </w:tc>
        <w:tc>
          <w:tcPr>
            <w:tcW w:w="247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r>
      <w:tr w:rsidR="00E539E2">
        <w:trPr>
          <w:trHeight w:val="338"/>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vMerge/>
            <w:tcBorders>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质量指标</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预算编制准确率（计算方法为：</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（执行数-预算数）/预算数</w:t>
            </w:r>
            <w:r>
              <w:rPr>
                <w:rFonts w:ascii="仿宋_GB2312" w:hAnsi="宋体" w:cs="宋体" w:hint="eastAsia"/>
                <w:color w:val="000000"/>
                <w:kern w:val="0"/>
                <w:sz w:val="22"/>
                <w:szCs w:val="22"/>
              </w:rPr>
              <w:t>∣</w:t>
            </w:r>
            <w:r>
              <w:rPr>
                <w:rFonts w:ascii="仿宋_GB2312" w:eastAsia="仿宋_GB2312" w:hAnsi="宋体" w:cs="宋体" w:hint="eastAsia"/>
                <w:color w:val="000000"/>
                <w:kern w:val="0"/>
                <w:sz w:val="22"/>
                <w:szCs w:val="22"/>
              </w:rPr>
              <w:t>）</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5</w:t>
            </w:r>
          </w:p>
        </w:tc>
        <w:tc>
          <w:tcPr>
            <w:tcW w:w="8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30　</w:t>
            </w:r>
          </w:p>
        </w:tc>
        <w:tc>
          <w:tcPr>
            <w:tcW w:w="2478"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　</w:t>
            </w:r>
          </w:p>
        </w:tc>
      </w:tr>
      <w:tr w:rsidR="00E539E2">
        <w:trPr>
          <w:trHeight w:val="530"/>
        </w:trPr>
        <w:tc>
          <w:tcPr>
            <w:tcW w:w="679" w:type="dxa"/>
            <w:tcBorders>
              <w:top w:val="nil"/>
              <w:left w:val="single" w:sz="4" w:space="0" w:color="000000"/>
              <w:bottom w:val="single" w:sz="4" w:space="0" w:color="000000"/>
              <w:right w:val="single" w:sz="4" w:space="0" w:color="000000"/>
            </w:tcBorders>
            <w:vAlign w:val="center"/>
          </w:tcPr>
          <w:p w:rsidR="00E539E2" w:rsidRDefault="00E539E2">
            <w:pPr>
              <w:widowControl/>
              <w:jc w:val="left"/>
              <w:rPr>
                <w:rFonts w:ascii="仿宋_GB2312" w:eastAsia="仿宋_GB2312" w:hAnsi="宋体" w:cs="宋体"/>
                <w:color w:val="000000"/>
                <w:kern w:val="0"/>
                <w:sz w:val="22"/>
                <w:szCs w:val="22"/>
              </w:rPr>
            </w:pPr>
          </w:p>
        </w:tc>
        <w:tc>
          <w:tcPr>
            <w:tcW w:w="1999"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效益指标</w:t>
            </w:r>
          </w:p>
        </w:tc>
        <w:tc>
          <w:tcPr>
            <w:tcW w:w="173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经济效益指标</w:t>
            </w:r>
          </w:p>
        </w:tc>
        <w:tc>
          <w:tcPr>
            <w:tcW w:w="2191"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运转保障率</w:t>
            </w:r>
          </w:p>
        </w:tc>
        <w:tc>
          <w:tcPr>
            <w:tcW w:w="750" w:type="dxa"/>
            <w:gridSpan w:val="2"/>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10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804"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w:t>
            </w:r>
          </w:p>
        </w:tc>
        <w:tc>
          <w:tcPr>
            <w:tcW w:w="1090"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 xml:space="preserve">100　</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22.5</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30　</w:t>
            </w:r>
          </w:p>
        </w:tc>
        <w:tc>
          <w:tcPr>
            <w:tcW w:w="2478" w:type="dxa"/>
            <w:tcBorders>
              <w:top w:val="nil"/>
              <w:left w:val="nil"/>
              <w:bottom w:val="single" w:sz="4" w:space="0" w:color="000000"/>
              <w:right w:val="single" w:sz="4" w:space="0" w:color="000000"/>
            </w:tcBorders>
            <w:shd w:val="clear" w:color="auto" w:fill="auto"/>
            <w:vAlign w:val="center"/>
          </w:tcPr>
          <w:p w:rsidR="00E539E2" w:rsidRDefault="00E539E2">
            <w:pPr>
              <w:widowControl/>
              <w:jc w:val="center"/>
              <w:rPr>
                <w:rFonts w:ascii="仿宋_GB2312" w:eastAsia="仿宋_GB2312" w:hAnsi="宋体" w:cs="宋体"/>
                <w:color w:val="000000"/>
                <w:kern w:val="0"/>
                <w:sz w:val="22"/>
                <w:szCs w:val="22"/>
              </w:rPr>
            </w:pPr>
          </w:p>
        </w:tc>
      </w:tr>
      <w:tr w:rsidR="00E539E2">
        <w:trPr>
          <w:trHeight w:val="450"/>
        </w:trPr>
        <w:tc>
          <w:tcPr>
            <w:tcW w:w="10350" w:type="dxa"/>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合计</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100</w:t>
            </w:r>
          </w:p>
        </w:tc>
        <w:tc>
          <w:tcPr>
            <w:tcW w:w="656"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99</w:t>
            </w:r>
          </w:p>
        </w:tc>
        <w:tc>
          <w:tcPr>
            <w:tcW w:w="2478" w:type="dxa"/>
            <w:tcBorders>
              <w:top w:val="nil"/>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 xml:space="preserve">　</w:t>
            </w:r>
          </w:p>
        </w:tc>
      </w:tr>
      <w:tr w:rsidR="00E539E2">
        <w:trPr>
          <w:trHeight w:val="60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评价结论</w:t>
            </w:r>
          </w:p>
        </w:tc>
        <w:tc>
          <w:tcPr>
            <w:tcW w:w="13461"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黑体" w:cs="宋体" w:hint="eastAsia"/>
                <w:color w:val="000000"/>
                <w:kern w:val="0"/>
                <w:sz w:val="22"/>
                <w:szCs w:val="22"/>
              </w:rPr>
              <w:t>保障了单位在职职工基础绩效和退休人员生活补助的足额发放，项目自评得分为99分。</w:t>
            </w:r>
          </w:p>
        </w:tc>
      </w:tr>
      <w:tr w:rsidR="00E539E2">
        <w:trPr>
          <w:trHeight w:val="57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存在问题</w:t>
            </w:r>
          </w:p>
        </w:tc>
        <w:tc>
          <w:tcPr>
            <w:tcW w:w="13461"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预算执行进度未达100%。</w:t>
            </w:r>
          </w:p>
        </w:tc>
      </w:tr>
      <w:tr w:rsidR="00E539E2">
        <w:trPr>
          <w:trHeight w:val="634"/>
        </w:trPr>
        <w:tc>
          <w:tcPr>
            <w:tcW w:w="679" w:type="dxa"/>
            <w:tcBorders>
              <w:top w:val="nil"/>
              <w:left w:val="single" w:sz="4" w:space="0" w:color="000000"/>
              <w:bottom w:val="single" w:sz="4" w:space="0" w:color="000000"/>
              <w:right w:val="single" w:sz="4" w:space="0" w:color="000000"/>
            </w:tcBorders>
            <w:shd w:val="clear" w:color="auto" w:fill="auto"/>
            <w:vAlign w:val="center"/>
          </w:tcPr>
          <w:p w:rsidR="00E539E2" w:rsidRDefault="00EC62F9">
            <w:pPr>
              <w:widowControl/>
              <w:jc w:val="center"/>
              <w:rPr>
                <w:rFonts w:ascii="仿宋_GB2312" w:eastAsia="仿宋_GB2312" w:hAnsi="宋体" w:cs="宋体"/>
                <w:color w:val="000000"/>
                <w:kern w:val="0"/>
                <w:sz w:val="22"/>
                <w:szCs w:val="22"/>
              </w:rPr>
            </w:pPr>
            <w:r>
              <w:rPr>
                <w:rFonts w:ascii="仿宋_GB2312" w:eastAsia="仿宋_GB2312" w:hAnsi="宋体" w:cs="宋体" w:hint="eastAsia"/>
                <w:color w:val="000000"/>
                <w:kern w:val="0"/>
                <w:sz w:val="22"/>
                <w:szCs w:val="22"/>
              </w:rPr>
              <w:t>改进措施</w:t>
            </w:r>
          </w:p>
        </w:tc>
        <w:tc>
          <w:tcPr>
            <w:tcW w:w="13461" w:type="dxa"/>
            <w:gridSpan w:val="11"/>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微软雅黑" w:cs="宋体"/>
                <w:iCs/>
                <w:color w:val="000000"/>
                <w:kern w:val="0"/>
                <w:sz w:val="22"/>
                <w:szCs w:val="22"/>
              </w:rPr>
            </w:pPr>
            <w:r>
              <w:rPr>
                <w:rFonts w:ascii="仿宋_GB2312" w:eastAsia="仿宋_GB2312" w:hAnsi="微软雅黑" w:cs="宋体" w:hint="eastAsia"/>
                <w:iCs/>
                <w:color w:val="000000"/>
                <w:kern w:val="0"/>
                <w:sz w:val="22"/>
                <w:szCs w:val="22"/>
              </w:rPr>
              <w:t>进一步强化预算编制，加强事中、事后绩效监控，及时调整工作目标，提高预算执行的科学性。</w:t>
            </w:r>
          </w:p>
        </w:tc>
      </w:tr>
      <w:tr w:rsidR="00E539E2">
        <w:trPr>
          <w:trHeight w:val="482"/>
        </w:trPr>
        <w:tc>
          <w:tcPr>
            <w:tcW w:w="711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项目负责人：廖红</w:t>
            </w:r>
          </w:p>
        </w:tc>
        <w:tc>
          <w:tcPr>
            <w:tcW w:w="7027" w:type="dxa"/>
            <w:gridSpan w:val="7"/>
            <w:tcBorders>
              <w:top w:val="single" w:sz="4" w:space="0" w:color="000000"/>
              <w:left w:val="nil"/>
              <w:bottom w:val="single" w:sz="4" w:space="0" w:color="000000"/>
              <w:right w:val="single" w:sz="4" w:space="0" w:color="000000"/>
            </w:tcBorders>
            <w:shd w:val="clear" w:color="auto" w:fill="auto"/>
            <w:vAlign w:val="center"/>
          </w:tcPr>
          <w:p w:rsidR="00E539E2" w:rsidRDefault="00EC62F9">
            <w:pPr>
              <w:widowControl/>
              <w:jc w:val="left"/>
              <w:rPr>
                <w:rFonts w:ascii="仿宋_GB2312" w:eastAsia="仿宋_GB2312" w:hAnsi="黑体" w:cs="宋体"/>
                <w:color w:val="000000"/>
                <w:kern w:val="0"/>
                <w:sz w:val="22"/>
                <w:szCs w:val="22"/>
              </w:rPr>
            </w:pPr>
            <w:r>
              <w:rPr>
                <w:rFonts w:ascii="仿宋_GB2312" w:eastAsia="仿宋_GB2312" w:hAnsi="黑体" w:cs="宋体" w:hint="eastAsia"/>
                <w:color w:val="000000"/>
                <w:kern w:val="0"/>
                <w:sz w:val="22"/>
                <w:szCs w:val="22"/>
              </w:rPr>
              <w:t>财务负责人：岳林</w:t>
            </w:r>
          </w:p>
        </w:tc>
      </w:tr>
    </w:tbl>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pPr>
    </w:p>
    <w:p w:rsidR="00E539E2" w:rsidRDefault="00E539E2">
      <w:pPr>
        <w:pStyle w:val="a0"/>
        <w:spacing w:before="93"/>
        <w:sectPr w:rsidR="00E539E2">
          <w:footerReference w:type="default" r:id="rId20"/>
          <w:footerReference w:type="first" r:id="rId21"/>
          <w:pgSz w:w="16838" w:h="11906" w:orient="landscape"/>
          <w:pgMar w:top="1800" w:right="1440" w:bottom="1800" w:left="1440" w:header="851" w:footer="992" w:gutter="0"/>
          <w:cols w:space="425"/>
          <w:titlePg/>
          <w:docGrid w:type="lines" w:linePitch="312"/>
        </w:sectPr>
      </w:pPr>
    </w:p>
    <w:p w:rsidR="00E539E2" w:rsidRDefault="00EC62F9">
      <w:pPr>
        <w:pStyle w:val="1"/>
        <w:jc w:val="center"/>
        <w:rPr>
          <w:rFonts w:ascii="方正小标宋简体" w:eastAsia="方正小标宋简体" w:hAnsi="方正小标宋简体" w:cs="方正小标宋简体"/>
          <w:b w:val="0"/>
          <w:bCs w:val="0"/>
          <w:kern w:val="2"/>
        </w:rPr>
      </w:pPr>
      <w:bookmarkStart w:id="102" w:name="_Toc147676476"/>
      <w:bookmarkStart w:id="103" w:name="_Toc147678544"/>
      <w:bookmarkStart w:id="104" w:name="_Toc15396619"/>
      <w:bookmarkEnd w:id="97"/>
      <w:r>
        <w:rPr>
          <w:rFonts w:ascii="方正小标宋简体" w:eastAsia="方正小标宋简体" w:hAnsi="方正小标宋简体" w:cs="方正小标宋简体" w:hint="eastAsia"/>
          <w:b w:val="0"/>
          <w:bCs w:val="0"/>
          <w:kern w:val="2"/>
        </w:rPr>
        <w:lastRenderedPageBreak/>
        <w:t>第五部分附表</w:t>
      </w:r>
      <w:bookmarkEnd w:id="102"/>
      <w:bookmarkEnd w:id="103"/>
    </w:p>
    <w:p w:rsidR="00E539E2" w:rsidRDefault="00EC62F9">
      <w:pPr>
        <w:pStyle w:val="2"/>
        <w:spacing w:line="415" w:lineRule="auto"/>
        <w:ind w:firstLineChars="200" w:firstLine="640"/>
        <w:rPr>
          <w:rFonts w:ascii="黑体" w:eastAsia="黑体"/>
          <w:b w:val="0"/>
        </w:rPr>
      </w:pPr>
      <w:bookmarkStart w:id="105" w:name="_Toc147676477"/>
      <w:bookmarkStart w:id="106" w:name="_Toc147678545"/>
      <w:r>
        <w:rPr>
          <w:rFonts w:ascii="黑体" w:eastAsia="黑体" w:hint="eastAsia"/>
          <w:b w:val="0"/>
        </w:rPr>
        <w:t>一、收入支出决算总表</w:t>
      </w:r>
      <w:bookmarkEnd w:id="104"/>
      <w:bookmarkEnd w:id="105"/>
      <w:bookmarkEnd w:id="106"/>
    </w:p>
    <w:p w:rsidR="00E539E2" w:rsidRDefault="00EC62F9">
      <w:pPr>
        <w:pStyle w:val="2"/>
        <w:spacing w:line="415" w:lineRule="auto"/>
        <w:ind w:firstLineChars="200" w:firstLine="640"/>
        <w:rPr>
          <w:rFonts w:ascii="黑体" w:eastAsia="黑体"/>
          <w:b w:val="0"/>
        </w:rPr>
      </w:pPr>
      <w:bookmarkStart w:id="107" w:name="_Toc147678546"/>
      <w:bookmarkStart w:id="108" w:name="_Toc15396620"/>
      <w:bookmarkStart w:id="109" w:name="_Toc147676478"/>
      <w:r>
        <w:rPr>
          <w:rFonts w:ascii="黑体" w:eastAsia="黑体" w:hint="eastAsia"/>
          <w:b w:val="0"/>
        </w:rPr>
        <w:t>二、收</w:t>
      </w:r>
      <w:r>
        <w:rPr>
          <w:rFonts w:ascii="黑体" w:eastAsia="黑体" w:hint="eastAsia"/>
          <w:b w:val="0"/>
          <w:bCs w:val="0"/>
        </w:rPr>
        <w:t>入决算表</w:t>
      </w:r>
      <w:bookmarkEnd w:id="107"/>
      <w:bookmarkEnd w:id="108"/>
      <w:bookmarkEnd w:id="109"/>
    </w:p>
    <w:p w:rsidR="00E539E2" w:rsidRDefault="00EC62F9" w:rsidP="00853EC2">
      <w:pPr>
        <w:pStyle w:val="2"/>
        <w:spacing w:line="415" w:lineRule="auto"/>
        <w:ind w:firstLineChars="200" w:firstLine="643"/>
        <w:rPr>
          <w:rFonts w:ascii="黑体" w:eastAsia="黑体"/>
          <w:b w:val="0"/>
          <w:bCs w:val="0"/>
        </w:rPr>
      </w:pPr>
      <w:bookmarkStart w:id="110" w:name="_Toc147676479"/>
      <w:bookmarkStart w:id="111" w:name="_Toc147678547"/>
      <w:bookmarkStart w:id="112" w:name="_Toc15396621"/>
      <w:r>
        <w:rPr>
          <w:rFonts w:ascii="黑体" w:eastAsia="黑体" w:hint="eastAsia"/>
        </w:rPr>
        <w:t>三、</w:t>
      </w:r>
      <w:r>
        <w:rPr>
          <w:rFonts w:ascii="黑体" w:eastAsia="黑体" w:hint="eastAsia"/>
          <w:b w:val="0"/>
          <w:bCs w:val="0"/>
        </w:rPr>
        <w:t>支</w:t>
      </w:r>
      <w:r>
        <w:rPr>
          <w:rFonts w:ascii="黑体" w:eastAsia="黑体" w:hint="eastAsia"/>
          <w:b w:val="0"/>
        </w:rPr>
        <w:t>出决算表</w:t>
      </w:r>
      <w:bookmarkEnd w:id="110"/>
      <w:bookmarkEnd w:id="111"/>
      <w:bookmarkEnd w:id="112"/>
    </w:p>
    <w:p w:rsidR="00E539E2" w:rsidRDefault="00EC62F9">
      <w:pPr>
        <w:pStyle w:val="2"/>
        <w:spacing w:line="415" w:lineRule="auto"/>
        <w:ind w:firstLineChars="200" w:firstLine="640"/>
        <w:rPr>
          <w:rFonts w:ascii="黑体" w:eastAsia="黑体"/>
        </w:rPr>
      </w:pPr>
      <w:bookmarkStart w:id="113" w:name="_Toc147676480"/>
      <w:bookmarkStart w:id="114" w:name="_Toc15396622"/>
      <w:bookmarkStart w:id="115" w:name="_Toc147678548"/>
      <w:r>
        <w:rPr>
          <w:rFonts w:ascii="黑体" w:eastAsia="黑体" w:hint="eastAsia"/>
          <w:b w:val="0"/>
          <w:bCs w:val="0"/>
        </w:rPr>
        <w:t>四、</w:t>
      </w:r>
      <w:r>
        <w:rPr>
          <w:rFonts w:ascii="黑体" w:eastAsia="黑体" w:hint="eastAsia"/>
          <w:b w:val="0"/>
        </w:rPr>
        <w:t>财</w:t>
      </w:r>
      <w:r>
        <w:rPr>
          <w:rFonts w:ascii="黑体" w:eastAsia="黑体" w:hint="eastAsia"/>
          <w:b w:val="0"/>
          <w:bCs w:val="0"/>
        </w:rPr>
        <w:t>政拨款收入支出决算总表</w:t>
      </w:r>
      <w:bookmarkEnd w:id="113"/>
      <w:bookmarkEnd w:id="114"/>
      <w:bookmarkEnd w:id="115"/>
    </w:p>
    <w:p w:rsidR="00E539E2" w:rsidRDefault="00EC62F9">
      <w:pPr>
        <w:pStyle w:val="2"/>
        <w:spacing w:line="415" w:lineRule="auto"/>
        <w:ind w:firstLineChars="200" w:firstLine="640"/>
        <w:rPr>
          <w:rFonts w:ascii="黑体" w:eastAsia="黑体"/>
          <w:b w:val="0"/>
        </w:rPr>
      </w:pPr>
      <w:bookmarkStart w:id="116" w:name="_Toc147678549"/>
      <w:bookmarkStart w:id="117" w:name="_Toc15396623"/>
      <w:bookmarkStart w:id="118" w:name="_Toc147676481"/>
      <w:r>
        <w:rPr>
          <w:rFonts w:ascii="黑体" w:eastAsia="黑体" w:hint="eastAsia"/>
          <w:b w:val="0"/>
        </w:rPr>
        <w:t>五、</w:t>
      </w:r>
      <w:r>
        <w:rPr>
          <w:rFonts w:ascii="黑体" w:eastAsia="黑体" w:hint="eastAsia"/>
          <w:b w:val="0"/>
          <w:bCs w:val="0"/>
        </w:rPr>
        <w:t>财</w:t>
      </w:r>
      <w:r>
        <w:rPr>
          <w:rFonts w:ascii="黑体" w:eastAsia="黑体" w:hint="eastAsia"/>
          <w:b w:val="0"/>
        </w:rPr>
        <w:t>政拨款支出决算明细表</w:t>
      </w:r>
      <w:bookmarkStart w:id="119" w:name="_Toc15396624"/>
      <w:bookmarkEnd w:id="116"/>
      <w:bookmarkEnd w:id="117"/>
      <w:bookmarkEnd w:id="118"/>
    </w:p>
    <w:p w:rsidR="00E539E2" w:rsidRDefault="00EC62F9">
      <w:pPr>
        <w:pStyle w:val="2"/>
        <w:spacing w:line="415" w:lineRule="auto"/>
        <w:ind w:firstLineChars="200" w:firstLine="640"/>
        <w:rPr>
          <w:rFonts w:ascii="黑体" w:eastAsia="黑体"/>
          <w:b w:val="0"/>
        </w:rPr>
      </w:pPr>
      <w:bookmarkStart w:id="120" w:name="_Toc147676482"/>
      <w:bookmarkStart w:id="121" w:name="_Toc147678550"/>
      <w:r>
        <w:rPr>
          <w:rFonts w:ascii="黑体" w:eastAsia="黑体" w:hint="eastAsia"/>
          <w:b w:val="0"/>
          <w:bCs w:val="0"/>
        </w:rPr>
        <w:t>六、</w:t>
      </w:r>
      <w:r>
        <w:rPr>
          <w:rFonts w:ascii="黑体" w:eastAsia="黑体" w:hint="eastAsia"/>
          <w:b w:val="0"/>
        </w:rPr>
        <w:t>一</w:t>
      </w:r>
      <w:r>
        <w:rPr>
          <w:rFonts w:ascii="黑体" w:eastAsia="黑体" w:hint="eastAsia"/>
          <w:b w:val="0"/>
          <w:bCs w:val="0"/>
        </w:rPr>
        <w:t>般公共预算财政拨款支出决算表</w:t>
      </w:r>
      <w:bookmarkEnd w:id="119"/>
      <w:bookmarkEnd w:id="120"/>
      <w:bookmarkEnd w:id="121"/>
    </w:p>
    <w:p w:rsidR="00E539E2" w:rsidRDefault="00EC62F9">
      <w:pPr>
        <w:pStyle w:val="2"/>
        <w:spacing w:line="415" w:lineRule="auto"/>
        <w:ind w:firstLineChars="200" w:firstLine="640"/>
        <w:rPr>
          <w:rFonts w:ascii="黑体" w:eastAsia="黑体"/>
          <w:b w:val="0"/>
          <w:bCs w:val="0"/>
        </w:rPr>
      </w:pPr>
      <w:bookmarkStart w:id="122" w:name="_Toc147676483"/>
      <w:bookmarkStart w:id="123" w:name="_Toc15396625"/>
      <w:bookmarkStart w:id="124" w:name="_Toc147678551"/>
      <w:r>
        <w:rPr>
          <w:rFonts w:ascii="黑体" w:eastAsia="黑体" w:hint="eastAsia"/>
          <w:b w:val="0"/>
        </w:rPr>
        <w:t>七、</w:t>
      </w:r>
      <w:r>
        <w:rPr>
          <w:rFonts w:ascii="黑体" w:eastAsia="黑体" w:hint="eastAsia"/>
          <w:b w:val="0"/>
          <w:bCs w:val="0"/>
        </w:rPr>
        <w:t>一</w:t>
      </w:r>
      <w:r>
        <w:rPr>
          <w:rFonts w:ascii="黑体" w:eastAsia="黑体" w:hint="eastAsia"/>
          <w:b w:val="0"/>
        </w:rPr>
        <w:t>般公共预算财政拨款支出决算明细表</w:t>
      </w:r>
      <w:bookmarkEnd w:id="122"/>
      <w:bookmarkEnd w:id="123"/>
      <w:bookmarkEnd w:id="124"/>
    </w:p>
    <w:p w:rsidR="00E539E2" w:rsidRDefault="00EC62F9">
      <w:pPr>
        <w:pStyle w:val="2"/>
        <w:spacing w:line="415" w:lineRule="auto"/>
        <w:ind w:firstLineChars="200" w:firstLine="640"/>
        <w:rPr>
          <w:rFonts w:ascii="黑体" w:eastAsia="黑体"/>
          <w:b w:val="0"/>
          <w:bCs w:val="0"/>
        </w:rPr>
      </w:pPr>
      <w:bookmarkStart w:id="125" w:name="_Toc147678552"/>
      <w:bookmarkStart w:id="126" w:name="_Toc147676484"/>
      <w:bookmarkStart w:id="127" w:name="_Toc15396626"/>
      <w:r>
        <w:rPr>
          <w:rFonts w:ascii="黑体" w:eastAsia="黑体" w:hint="eastAsia"/>
          <w:b w:val="0"/>
        </w:rPr>
        <w:t>八、</w:t>
      </w:r>
      <w:r>
        <w:rPr>
          <w:rFonts w:ascii="黑体" w:eastAsia="黑体" w:hint="eastAsia"/>
          <w:b w:val="0"/>
          <w:bCs w:val="0"/>
        </w:rPr>
        <w:t>一</w:t>
      </w:r>
      <w:r>
        <w:rPr>
          <w:rFonts w:ascii="黑体" w:eastAsia="黑体" w:hint="eastAsia"/>
          <w:b w:val="0"/>
        </w:rPr>
        <w:t>般公共预算财政拨款基本支出决算表</w:t>
      </w:r>
      <w:bookmarkEnd w:id="125"/>
      <w:bookmarkEnd w:id="126"/>
      <w:bookmarkEnd w:id="127"/>
    </w:p>
    <w:p w:rsidR="00E539E2" w:rsidRDefault="00EC62F9">
      <w:pPr>
        <w:pStyle w:val="2"/>
        <w:spacing w:line="415" w:lineRule="auto"/>
        <w:ind w:firstLineChars="200" w:firstLine="640"/>
        <w:rPr>
          <w:rFonts w:ascii="黑体" w:eastAsia="黑体"/>
          <w:b w:val="0"/>
          <w:bCs w:val="0"/>
        </w:rPr>
      </w:pPr>
      <w:bookmarkStart w:id="128" w:name="_Toc147678553"/>
      <w:bookmarkStart w:id="129" w:name="_Toc147676485"/>
      <w:bookmarkStart w:id="130" w:name="_Toc15396627"/>
      <w:r>
        <w:rPr>
          <w:rFonts w:ascii="黑体" w:eastAsia="黑体" w:hint="eastAsia"/>
          <w:b w:val="0"/>
        </w:rPr>
        <w:t>九、</w:t>
      </w:r>
      <w:r>
        <w:rPr>
          <w:rFonts w:ascii="黑体" w:eastAsia="黑体" w:hint="eastAsia"/>
          <w:b w:val="0"/>
          <w:bCs w:val="0"/>
        </w:rPr>
        <w:t>一</w:t>
      </w:r>
      <w:r>
        <w:rPr>
          <w:rFonts w:ascii="黑体" w:eastAsia="黑体" w:hint="eastAsia"/>
          <w:b w:val="0"/>
        </w:rPr>
        <w:t>般公共预算财政拨款项目支出决算表</w:t>
      </w:r>
      <w:bookmarkEnd w:id="128"/>
      <w:bookmarkEnd w:id="129"/>
      <w:bookmarkEnd w:id="130"/>
    </w:p>
    <w:p w:rsidR="00E539E2" w:rsidRDefault="00EC62F9">
      <w:pPr>
        <w:pStyle w:val="2"/>
        <w:spacing w:line="415" w:lineRule="auto"/>
        <w:ind w:firstLineChars="200" w:firstLine="640"/>
        <w:rPr>
          <w:rFonts w:ascii="黑体" w:eastAsia="黑体"/>
          <w:b w:val="0"/>
          <w:bCs w:val="0"/>
        </w:rPr>
      </w:pPr>
      <w:bookmarkStart w:id="131" w:name="_Toc15396628"/>
      <w:bookmarkStart w:id="132" w:name="_Toc147678554"/>
      <w:bookmarkStart w:id="133" w:name="_Toc147676486"/>
      <w:r>
        <w:rPr>
          <w:rFonts w:ascii="黑体" w:eastAsia="黑体" w:hint="eastAsia"/>
          <w:b w:val="0"/>
        </w:rPr>
        <w:t>十、</w:t>
      </w:r>
      <w:bookmarkEnd w:id="131"/>
      <w:r>
        <w:rPr>
          <w:rFonts w:ascii="黑体" w:eastAsia="黑体" w:hint="eastAsia"/>
          <w:b w:val="0"/>
          <w:bCs w:val="0"/>
        </w:rPr>
        <w:t>政</w:t>
      </w:r>
      <w:r>
        <w:rPr>
          <w:rFonts w:ascii="黑体" w:eastAsia="黑体" w:hint="eastAsia"/>
          <w:b w:val="0"/>
        </w:rPr>
        <w:t>府性基金预算财政拨款收入支出决算表</w:t>
      </w:r>
      <w:bookmarkEnd w:id="132"/>
      <w:bookmarkEnd w:id="133"/>
    </w:p>
    <w:p w:rsidR="00E539E2" w:rsidRDefault="00EC62F9">
      <w:pPr>
        <w:pStyle w:val="2"/>
        <w:spacing w:line="415" w:lineRule="auto"/>
        <w:ind w:firstLineChars="200" w:firstLine="640"/>
        <w:rPr>
          <w:rFonts w:ascii="黑体" w:eastAsia="黑体"/>
          <w:b w:val="0"/>
          <w:bCs w:val="0"/>
        </w:rPr>
      </w:pPr>
      <w:bookmarkStart w:id="134" w:name="_Toc15396629"/>
      <w:bookmarkStart w:id="135" w:name="_Toc147678555"/>
      <w:bookmarkStart w:id="136" w:name="_Toc147676487"/>
      <w:r>
        <w:rPr>
          <w:rFonts w:ascii="黑体" w:eastAsia="黑体" w:hint="eastAsia"/>
          <w:b w:val="0"/>
        </w:rPr>
        <w:t>十一、</w:t>
      </w:r>
      <w:bookmarkEnd w:id="134"/>
      <w:r>
        <w:rPr>
          <w:rFonts w:ascii="黑体" w:eastAsia="黑体" w:hint="eastAsia"/>
          <w:b w:val="0"/>
          <w:bCs w:val="0"/>
        </w:rPr>
        <w:t>国</w:t>
      </w:r>
      <w:r>
        <w:rPr>
          <w:rFonts w:ascii="黑体" w:eastAsia="黑体" w:hint="eastAsia"/>
          <w:b w:val="0"/>
        </w:rPr>
        <w:t>有资本经营预算财政拨款收入支出决算表</w:t>
      </w:r>
      <w:bookmarkEnd w:id="135"/>
      <w:bookmarkEnd w:id="136"/>
    </w:p>
    <w:p w:rsidR="00E539E2" w:rsidRDefault="00EC62F9">
      <w:pPr>
        <w:pStyle w:val="2"/>
        <w:spacing w:line="415" w:lineRule="auto"/>
        <w:ind w:firstLineChars="200" w:firstLine="640"/>
        <w:rPr>
          <w:rFonts w:ascii="黑体" w:eastAsia="黑体"/>
          <w:b w:val="0"/>
          <w:bCs w:val="0"/>
        </w:rPr>
      </w:pPr>
      <w:bookmarkStart w:id="137" w:name="_Toc15396630"/>
      <w:bookmarkStart w:id="138" w:name="_Toc147676488"/>
      <w:bookmarkStart w:id="139" w:name="_Toc147678556"/>
      <w:r>
        <w:rPr>
          <w:rFonts w:ascii="黑体" w:eastAsia="黑体" w:hint="eastAsia"/>
          <w:b w:val="0"/>
        </w:rPr>
        <w:t>十二、</w:t>
      </w:r>
      <w:bookmarkEnd w:id="137"/>
      <w:r>
        <w:rPr>
          <w:rFonts w:ascii="黑体" w:eastAsia="黑体" w:hint="eastAsia"/>
          <w:b w:val="0"/>
        </w:rPr>
        <w:t>国有资本经营预算财政拨款支出决算表</w:t>
      </w:r>
      <w:bookmarkEnd w:id="138"/>
      <w:bookmarkEnd w:id="139"/>
    </w:p>
    <w:p w:rsidR="00E539E2" w:rsidRDefault="00EC62F9">
      <w:pPr>
        <w:pStyle w:val="2"/>
        <w:spacing w:line="415" w:lineRule="auto"/>
        <w:ind w:firstLineChars="200" w:firstLine="640"/>
      </w:pPr>
      <w:bookmarkStart w:id="140" w:name="_Toc15396631"/>
      <w:bookmarkStart w:id="141" w:name="_Toc147678557"/>
      <w:bookmarkStart w:id="142" w:name="_Toc147676489"/>
      <w:r>
        <w:rPr>
          <w:rFonts w:ascii="黑体" w:eastAsia="黑体" w:hint="eastAsia"/>
          <w:b w:val="0"/>
        </w:rPr>
        <w:t>十三、</w:t>
      </w:r>
      <w:bookmarkEnd w:id="140"/>
      <w:r>
        <w:rPr>
          <w:rFonts w:ascii="黑体" w:eastAsia="黑体" w:hint="eastAsia"/>
          <w:b w:val="0"/>
        </w:rPr>
        <w:t>财政拨款“三公”经费支出决算表</w:t>
      </w:r>
      <w:bookmarkEnd w:id="141"/>
      <w:bookmarkEnd w:id="142"/>
    </w:p>
    <w:sectPr w:rsidR="00E539E2" w:rsidSect="00E539E2">
      <w:footerReference w:type="default" r:id="rId22"/>
      <w:footerReference w:type="first" r:id="rId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E2D" w:rsidRDefault="004F4E2D" w:rsidP="00E539E2">
      <w:r>
        <w:separator/>
      </w:r>
    </w:p>
  </w:endnote>
  <w:endnote w:type="continuationSeparator" w:id="1">
    <w:p w:rsidR="004F4E2D" w:rsidRDefault="004F4E2D" w:rsidP="00E539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embedRegular r:id="rId1" w:subsetted="1" w:fontKey="{188B6EB7-94E3-474F-847C-85CD87CED31C}"/>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仿宋_GB2312">
    <w:altName w:val="Arial"/>
    <w:panose1 w:val="02010609030101010101"/>
    <w:charset w:val="86"/>
    <w:family w:val="modern"/>
    <w:pitch w:val="fixed"/>
    <w:sig w:usb0="00000001" w:usb1="080E0000" w:usb2="00000010" w:usb3="00000000" w:csb0="00040000" w:csb1="00000000"/>
    <w:embedRegular r:id="rId2" w:subsetted="1" w:fontKey="{340173A5-CD21-446A-9C0F-4A2706EBE747}"/>
    <w:embedBold r:id="rId3" w:subsetted="1" w:fontKey="{665A27C6-CF8C-4A87-A4D7-DBF349E43368}"/>
  </w:font>
  <w:font w:name="仿宋">
    <w:altName w:val="方正粗黑宋简体"/>
    <w:charset w:val="86"/>
    <w:family w:val="auto"/>
    <w:pitch w:val="default"/>
    <w:sig w:usb0="00000000" w:usb1="00000000" w:usb2="00000016" w:usb3="00000000" w:csb0="00040001" w:csb1="00000000"/>
  </w:font>
  <w:font w:name="方正仿宋简体">
    <w:altName w:val="Arial Unicode MS"/>
    <w:charset w:val="86"/>
    <w:family w:val="script"/>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黑体">
    <w:altName w:val="SimHei"/>
    <w:panose1 w:val="02010600030101010101"/>
    <w:charset w:val="86"/>
    <w:family w:val="auto"/>
    <w:pitch w:val="variable"/>
    <w:sig w:usb0="00000001" w:usb1="080E0000" w:usb2="00000010" w:usb3="00000000" w:csb0="00040000" w:csb1="00000000"/>
    <w:embedRegular r:id="rId4" w:subsetted="1" w:fontKey="{9746612C-0618-4601-B5CE-B78FD4BBFE6D}"/>
    <w:embedBold r:id="rId5" w:subsetted="1" w:fontKey="{EE54CEB9-32F2-4E45-BCA5-302B22F4E043}"/>
  </w:font>
  <w:font w:name="MS Mincho">
    <w:altName w:val="ＭＳ 明朝"/>
    <w:panose1 w:val="02020609040205080304"/>
    <w:charset w:val="80"/>
    <w:family w:val="modern"/>
    <w:pitch w:val="fixed"/>
    <w:sig w:usb0="A00002BF" w:usb1="68C7FCFB" w:usb2="00000010" w:usb3="00000000" w:csb0="0002009F" w:csb1="00000000"/>
  </w:font>
  <w:font w:name="微软雅黑">
    <w:altName w:val="汉仪旗黑KW 55S"/>
    <w:panose1 w:val="020B0503020204020204"/>
    <w:charset w:val="86"/>
    <w:family w:val="swiss"/>
    <w:pitch w:val="variable"/>
    <w:sig w:usb0="80000287" w:usb1="2A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6"/>
    </w:pPr>
    <w:r>
      <w:pict>
        <v:shapetype id="_x0000_t202" coordsize="21600,21600" o:spt="202" path="m,l,21600r21600,l21600,xe">
          <v:stroke joinstyle="miter"/>
          <v:path gradientshapeok="t" o:connecttype="rect"/>
        </v:shapetype>
        <v:shape id="文本框 4" o:spid="_x0000_s1026" type="#_x0000_t202" style="position:absolute;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GRn5xOgBAADH&#10;AwAADgAAAAAAAAABACAAAAAeAQAAZHJzL2Uyb0RvYy54bWxQSwUGAAAAAAYABgBZAQAAeAUAAAAA&#10;" filled="f" stroked="f">
          <v:textbox style="mso-fit-shape-to-text:t" inset="0,0,0,0">
            <w:txbxContent>
              <w:p w:rsidR="00EB3811" w:rsidRDefault="00EB3811">
                <w:pPr>
                  <w:pStyle w:val="a6"/>
                </w:pPr>
                <w:fldSimple w:instr=" PAGE  \* MERGEFORMAT ">
                  <w:r w:rsidR="00441039">
                    <w:rPr>
                      <w:noProof/>
                    </w:rPr>
                    <w:t>3</w:t>
                  </w:r>
                </w:fldSimple>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6"/>
    </w:pPr>
    <w:r>
      <w:pict>
        <v:shapetype id="_x0000_t202" coordsize="21600,21600" o:spt="202" path="m,l,21600r21600,l21600,xe">
          <v:stroke joinstyle="miter"/>
          <v:path gradientshapeok="t" o:connecttype="rect"/>
        </v:shapetype>
        <v:shape id="文本框 5" o:spid="_x0000_s1030" type="#_x0000_t202" style="position:absolute;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vdshF5wEAAMcD&#10;AAAOAAAAAAAAAAEAIAAAAB4BAABkcnMvZTJvRG9jLnhtbFBLBQYAAAAABgAGAFkBAAB3BQAAAAA=&#10;" filled="f" stroked="f">
          <v:textbox style="mso-fit-shape-to-text:t" inset="0,0,0,0">
            <w:txbxContent>
              <w:p w:rsidR="00EB3811" w:rsidRDefault="00EB3811">
                <w:pPr>
                  <w:pStyle w:val="a6"/>
                </w:pPr>
                <w:fldSimple w:instr=" PAGE  \* MERGEFORMAT ">
                  <w:r w:rsidR="00441039">
                    <w:rPr>
                      <w:noProof/>
                    </w:rPr>
                    <w:t>5</w:t>
                  </w:r>
                </w:fldSimple>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6"/>
    </w:pPr>
    <w:r>
      <w:pict>
        <v:shapetype id="_x0000_t202" coordsize="21600,21600" o:spt="202" path="m,l,21600r21600,l21600,xe">
          <v:stroke joinstyle="miter"/>
          <v:path gradientshapeok="t" o:connecttype="rect"/>
        </v:shapetype>
        <v:shape id="文本框 16" o:spid="_x0000_s1031" type="#_x0000_t202" style="position:absolute;margin-left:0;margin-top:0;width:2in;height:2in;z-index:25167155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CJN/bs5wEAAMkD&#10;AAAOAAAAAAAAAAEAIAAAAB4BAABkcnMvZTJvRG9jLnhtbFBLBQYAAAAABgAGAFkBAAB3BQAAAAA=&#10;" filled="f" stroked="f">
          <v:textbox style="mso-fit-shape-to-text:t" inset="0,0,0,0">
            <w:txbxContent>
              <w:p w:rsidR="00EB3811" w:rsidRDefault="00EB3811">
                <w:pPr>
                  <w:pStyle w:val="a6"/>
                </w:pPr>
                <w:fldSimple w:instr=" PAGE  \* MERGEFORMAT ">
                  <w:r w:rsidR="00441039">
                    <w:rPr>
                      <w:noProof/>
                    </w:rPr>
                    <w:t>4</w:t>
                  </w:r>
                </w:fldSimple>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6"/>
    </w:pPr>
    <w:r>
      <w:pict>
        <v:shapetype id="_x0000_t202" coordsize="21600,21600" o:spt="202" path="m,l,21600r21600,l21600,xe">
          <v:stroke joinstyle="miter"/>
          <v:path gradientshapeok="t" o:connecttype="rect"/>
        </v:shapetype>
        <v:shape id="文本框 15" o:spid="_x0000_s1029" type="#_x0000_t202" style="position:absolute;margin-left:0;margin-top:0;width:2in;height:2in;z-index:25167052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mlSTckBAACaAwAADgAAAGRycy9lMm9Eb2MueG1srVPNjtMwEL4j8Q6W&#10;79RpJVCJ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tuGvqbEcYsDv3z/dvnx6/LzK1m+&#10;zPr0AWpMuwuYmIa3fsCtmf2Azkx7UNHmLxIiGEd1z1d15ZCIyI/Wq/W6wpDA2HxBfPbwPERI76S3&#10;JBsNjTi+oio/fYA0ps4puZrzt9qYMkLj/nIgZvaw3PvYY7bSsB8mQnvfnpFPj5NvqMNFp8S8dyhs&#10;XpLZiLOxn41jiPrQlS3K9SC8OSZsovSWK4ywU2EcWWE3rVfeiT/vJevhl9r+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iaVJNyQEAAJoDAAAOAAAAAAAAAAEAIAAAAB4BAABkcnMvZTJvRG9j&#10;LnhtbFBLBQYAAAAABgAGAFkBAABZBQAAAAA=&#10;" filled="f" stroked="f">
          <v:textbox style="mso-fit-shape-to-text:t" inset="0,0,0,0">
            <w:txbxContent>
              <w:p w:rsidR="00EB3811" w:rsidRDefault="00EB3811">
                <w:pPr>
                  <w:pStyle w:val="a6"/>
                </w:pPr>
                <w:fldSimple w:instr=" PAGE  \* MERGEFORMAT ">
                  <w:r>
                    <w:rPr>
                      <w:noProof/>
                    </w:rPr>
                    <w:t>52</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6"/>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6"/>
    </w:pPr>
    <w:r>
      <w:pict>
        <v:shapetype id="_x0000_t202" coordsize="21600,21600" o:spt="202" path="m,l,21600r21600,l21600,xe">
          <v:stroke joinstyle="miter"/>
          <v:path gradientshapeok="t" o:connecttype="rect"/>
        </v:shapetype>
        <v:shape id="文本框 12" o:spid="_x0000_s1027" type="#_x0000_t202" style="position:absolute;margin-left:0;margin-top:0;width:2in;height:2in;z-index:251668480;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M6pebnPAAAABQEAAA8AAAAAAAAAAQAg&#10;AAAAIgAAAGRycy9kb3ducmV2LnhtbFBLAQIUABQAAAAIAIdO4kAeu3FJ3gEAAL8DAAAOAAAAAAAA&#10;AAEAIAAAAB4BAABkcnMvZTJvRG9jLnhtbFBLBQYAAAAABgAGAFkBAABuBQAAAAA=&#10;" filled="f" stroked="f">
          <v:textbox style="mso-fit-shape-to-text:t" inset="0,0,0,0">
            <w:txbxContent>
              <w:p w:rsidR="00EB3811" w:rsidRDefault="00EB3811">
                <w:pPr>
                  <w:pStyle w:val="a6"/>
                </w:pPr>
                <w:fldSimple w:instr=" PAGE  \* MERGEFORMAT ">
                  <w:r>
                    <w:rPr>
                      <w:noProof/>
                    </w:rPr>
                    <w:t>53</w:t>
                  </w:r>
                </w:fldSimple>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6"/>
    </w:pPr>
    <w:r>
      <w:pict>
        <v:shapetype id="_x0000_t202" coordsize="21600,21600" o:spt="202" path="m,l,21600r21600,l21600,xe">
          <v:stroke joinstyle="miter"/>
          <v:path gradientshapeok="t" o:connecttype="rect"/>
        </v:shapetype>
        <v:shape id="文本框 13" o:spid="_x0000_s1028" type="#_x0000_t202" style="position:absolute;margin-left:0;margin-top:0;width:2in;height:2in;z-index:25166950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qXm5zwAAAAUBAAAP&#10;AAAAAAAAAAEAIAAAACIAAABkcnMvZG93bnJldi54bWxQSwECFAAUAAAACACHTuJAoxUwyugBAADI&#10;AwAADgAAAAAAAAABACAAAAAeAQAAZHJzL2Uyb0RvYy54bWxQSwUGAAAAAAYABgBZAQAAeAUAAAAA&#10;" filled="f" stroked="f">
          <v:textbox style="mso-fit-shape-to-text:t" inset="0,0,0,0">
            <w:txbxContent>
              <w:p w:rsidR="00EB3811" w:rsidRDefault="00EB3811">
                <w:pPr>
                  <w:pStyle w:val="a6"/>
                </w:pPr>
                <w:fldSimple w:instr=" PAGE  \* MERGEFORMAT ">
                  <w:r>
                    <w:t>53</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E2D" w:rsidRDefault="004F4E2D" w:rsidP="00E539E2">
      <w:r>
        <w:separator/>
      </w:r>
    </w:p>
  </w:footnote>
  <w:footnote w:type="continuationSeparator" w:id="1">
    <w:p w:rsidR="004F4E2D" w:rsidRDefault="004F4E2D" w:rsidP="00E539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811" w:rsidRDefault="00EB3811">
    <w:pPr>
      <w:pStyle w:val="a7"/>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DFA124D"/>
    <w:multiLevelType w:val="singleLevel"/>
    <w:tmpl w:val="BDFA124D"/>
    <w:lvl w:ilvl="0">
      <w:start w:val="1"/>
      <w:numFmt w:val="decimal"/>
      <w:lvlText w:val="%1."/>
      <w:lvlJc w:val="left"/>
      <w:pPr>
        <w:tabs>
          <w:tab w:val="left" w:pos="312"/>
        </w:tabs>
      </w:pPr>
    </w:lvl>
  </w:abstractNum>
  <w:abstractNum w:abstractNumId="1">
    <w:nsid w:val="39D30C69"/>
    <w:multiLevelType w:val="hybridMultilevel"/>
    <w:tmpl w:val="95D6D7E0"/>
    <w:lvl w:ilvl="0" w:tplc="21005A16">
      <w:start w:val="2"/>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Tc2ZGZiNzZiNDVlOGViOWVmM2JhOTY0NGJkNjUyYzgifQ=="/>
  </w:docVars>
  <w:rsids>
    <w:rsidRoot w:val="00F1361C"/>
    <w:rsid w:val="9E3A10E2"/>
    <w:rsid w:val="BFAE97E5"/>
    <w:rsid w:val="F2E1F9D4"/>
    <w:rsid w:val="F7880819"/>
    <w:rsid w:val="00007F3B"/>
    <w:rsid w:val="00014FF2"/>
    <w:rsid w:val="00017764"/>
    <w:rsid w:val="000222C6"/>
    <w:rsid w:val="0002549F"/>
    <w:rsid w:val="000273AA"/>
    <w:rsid w:val="000468DB"/>
    <w:rsid w:val="000525F8"/>
    <w:rsid w:val="0006487A"/>
    <w:rsid w:val="00065F8F"/>
    <w:rsid w:val="00067CE6"/>
    <w:rsid w:val="00070A43"/>
    <w:rsid w:val="000768F2"/>
    <w:rsid w:val="0009184B"/>
    <w:rsid w:val="000923EB"/>
    <w:rsid w:val="00094236"/>
    <w:rsid w:val="0009593C"/>
    <w:rsid w:val="00097322"/>
    <w:rsid w:val="000A6A92"/>
    <w:rsid w:val="000B047F"/>
    <w:rsid w:val="000B5923"/>
    <w:rsid w:val="000B5A48"/>
    <w:rsid w:val="000B6FF3"/>
    <w:rsid w:val="000C3467"/>
    <w:rsid w:val="000C3CA6"/>
    <w:rsid w:val="000C5713"/>
    <w:rsid w:val="000D0A18"/>
    <w:rsid w:val="000D1267"/>
    <w:rsid w:val="000D1D50"/>
    <w:rsid w:val="000D5782"/>
    <w:rsid w:val="000E6613"/>
    <w:rsid w:val="000E7119"/>
    <w:rsid w:val="001030D2"/>
    <w:rsid w:val="00114E9B"/>
    <w:rsid w:val="001153B7"/>
    <w:rsid w:val="001275E7"/>
    <w:rsid w:val="00127C23"/>
    <w:rsid w:val="00142216"/>
    <w:rsid w:val="00144D6A"/>
    <w:rsid w:val="0014729F"/>
    <w:rsid w:val="00151A18"/>
    <w:rsid w:val="00152ECA"/>
    <w:rsid w:val="00157BAB"/>
    <w:rsid w:val="001654D1"/>
    <w:rsid w:val="00174518"/>
    <w:rsid w:val="0018106D"/>
    <w:rsid w:val="0018179B"/>
    <w:rsid w:val="00182395"/>
    <w:rsid w:val="001825EB"/>
    <w:rsid w:val="00186B1A"/>
    <w:rsid w:val="001877A7"/>
    <w:rsid w:val="00191536"/>
    <w:rsid w:val="00196687"/>
    <w:rsid w:val="001A30DD"/>
    <w:rsid w:val="001A6401"/>
    <w:rsid w:val="001C0962"/>
    <w:rsid w:val="001D60AB"/>
    <w:rsid w:val="001D7531"/>
    <w:rsid w:val="001E737D"/>
    <w:rsid w:val="001F0592"/>
    <w:rsid w:val="001F7506"/>
    <w:rsid w:val="002006CD"/>
    <w:rsid w:val="00202B36"/>
    <w:rsid w:val="00204B7A"/>
    <w:rsid w:val="00204CDE"/>
    <w:rsid w:val="0020775C"/>
    <w:rsid w:val="0021101A"/>
    <w:rsid w:val="00220536"/>
    <w:rsid w:val="00231722"/>
    <w:rsid w:val="00235629"/>
    <w:rsid w:val="00260C38"/>
    <w:rsid w:val="002616C0"/>
    <w:rsid w:val="00265372"/>
    <w:rsid w:val="002662AA"/>
    <w:rsid w:val="00276209"/>
    <w:rsid w:val="00280496"/>
    <w:rsid w:val="002820A0"/>
    <w:rsid w:val="00286DB5"/>
    <w:rsid w:val="00294DC9"/>
    <w:rsid w:val="00295495"/>
    <w:rsid w:val="00297EDE"/>
    <w:rsid w:val="002A31DE"/>
    <w:rsid w:val="002A5AC4"/>
    <w:rsid w:val="002B2613"/>
    <w:rsid w:val="002D6D05"/>
    <w:rsid w:val="002F1818"/>
    <w:rsid w:val="002F567B"/>
    <w:rsid w:val="003006A6"/>
    <w:rsid w:val="003213EC"/>
    <w:rsid w:val="003216A9"/>
    <w:rsid w:val="00335A74"/>
    <w:rsid w:val="003618FA"/>
    <w:rsid w:val="0036420E"/>
    <w:rsid w:val="0036561B"/>
    <w:rsid w:val="0037013F"/>
    <w:rsid w:val="00372919"/>
    <w:rsid w:val="00380C92"/>
    <w:rsid w:val="00383B7B"/>
    <w:rsid w:val="003A3553"/>
    <w:rsid w:val="003A484F"/>
    <w:rsid w:val="003A4883"/>
    <w:rsid w:val="003B0BE0"/>
    <w:rsid w:val="003B0C1B"/>
    <w:rsid w:val="003B2AB9"/>
    <w:rsid w:val="003B3E8E"/>
    <w:rsid w:val="003B688C"/>
    <w:rsid w:val="003C0291"/>
    <w:rsid w:val="003C39AE"/>
    <w:rsid w:val="003C7B60"/>
    <w:rsid w:val="003D0C0F"/>
    <w:rsid w:val="003D1FB2"/>
    <w:rsid w:val="003D5127"/>
    <w:rsid w:val="003D5C46"/>
    <w:rsid w:val="003D66DA"/>
    <w:rsid w:val="003E1310"/>
    <w:rsid w:val="003E6D2B"/>
    <w:rsid w:val="003E6F55"/>
    <w:rsid w:val="00406254"/>
    <w:rsid w:val="0041066F"/>
    <w:rsid w:val="004120C5"/>
    <w:rsid w:val="004223DE"/>
    <w:rsid w:val="00427824"/>
    <w:rsid w:val="00434489"/>
    <w:rsid w:val="00437085"/>
    <w:rsid w:val="00440FEB"/>
    <w:rsid w:val="00441039"/>
    <w:rsid w:val="00443880"/>
    <w:rsid w:val="00443903"/>
    <w:rsid w:val="004464F4"/>
    <w:rsid w:val="00452C2D"/>
    <w:rsid w:val="00462D28"/>
    <w:rsid w:val="004633D0"/>
    <w:rsid w:val="00471401"/>
    <w:rsid w:val="00473F31"/>
    <w:rsid w:val="00480654"/>
    <w:rsid w:val="0048263A"/>
    <w:rsid w:val="00486106"/>
    <w:rsid w:val="00486787"/>
    <w:rsid w:val="00487E5D"/>
    <w:rsid w:val="004A704F"/>
    <w:rsid w:val="004A711F"/>
    <w:rsid w:val="004B199D"/>
    <w:rsid w:val="004B4690"/>
    <w:rsid w:val="004D2034"/>
    <w:rsid w:val="004E0A2D"/>
    <w:rsid w:val="004E206B"/>
    <w:rsid w:val="004E24BD"/>
    <w:rsid w:val="004E6DF7"/>
    <w:rsid w:val="004F0211"/>
    <w:rsid w:val="004F0FBD"/>
    <w:rsid w:val="004F4E2D"/>
    <w:rsid w:val="00505A47"/>
    <w:rsid w:val="00506334"/>
    <w:rsid w:val="00512FDA"/>
    <w:rsid w:val="00515CFB"/>
    <w:rsid w:val="00520DA0"/>
    <w:rsid w:val="00520EBF"/>
    <w:rsid w:val="00533B27"/>
    <w:rsid w:val="00534D76"/>
    <w:rsid w:val="00550F52"/>
    <w:rsid w:val="00551D3B"/>
    <w:rsid w:val="00563D99"/>
    <w:rsid w:val="005664BB"/>
    <w:rsid w:val="00566FFA"/>
    <w:rsid w:val="005713EB"/>
    <w:rsid w:val="0057481D"/>
    <w:rsid w:val="005772A4"/>
    <w:rsid w:val="00582239"/>
    <w:rsid w:val="0058486E"/>
    <w:rsid w:val="00585B33"/>
    <w:rsid w:val="0059014D"/>
    <w:rsid w:val="00593141"/>
    <w:rsid w:val="005B5C64"/>
    <w:rsid w:val="005C1E5F"/>
    <w:rsid w:val="005C2DDD"/>
    <w:rsid w:val="005C5337"/>
    <w:rsid w:val="005C6BD0"/>
    <w:rsid w:val="005C6D6E"/>
    <w:rsid w:val="005D1C8B"/>
    <w:rsid w:val="005D468D"/>
    <w:rsid w:val="005D5CED"/>
    <w:rsid w:val="005F1A4C"/>
    <w:rsid w:val="00605688"/>
    <w:rsid w:val="006070AF"/>
    <w:rsid w:val="00607E6C"/>
    <w:rsid w:val="006101B1"/>
    <w:rsid w:val="00614E44"/>
    <w:rsid w:val="0062270A"/>
    <w:rsid w:val="00622830"/>
    <w:rsid w:val="006239AD"/>
    <w:rsid w:val="00623DA0"/>
    <w:rsid w:val="00630AEF"/>
    <w:rsid w:val="006325F8"/>
    <w:rsid w:val="00633463"/>
    <w:rsid w:val="00634C9A"/>
    <w:rsid w:val="00636254"/>
    <w:rsid w:val="006440E4"/>
    <w:rsid w:val="0066343B"/>
    <w:rsid w:val="00664777"/>
    <w:rsid w:val="0067428E"/>
    <w:rsid w:val="006748A4"/>
    <w:rsid w:val="00681A31"/>
    <w:rsid w:val="00683E73"/>
    <w:rsid w:val="006949A4"/>
    <w:rsid w:val="006A3141"/>
    <w:rsid w:val="006A5E34"/>
    <w:rsid w:val="006B2422"/>
    <w:rsid w:val="006B2B9A"/>
    <w:rsid w:val="006C1937"/>
    <w:rsid w:val="006C774B"/>
    <w:rsid w:val="006C7FEA"/>
    <w:rsid w:val="006D0A36"/>
    <w:rsid w:val="006F020C"/>
    <w:rsid w:val="006F2A58"/>
    <w:rsid w:val="006F70FC"/>
    <w:rsid w:val="0070027E"/>
    <w:rsid w:val="0070337E"/>
    <w:rsid w:val="007127B7"/>
    <w:rsid w:val="00716052"/>
    <w:rsid w:val="0071798E"/>
    <w:rsid w:val="00724DE7"/>
    <w:rsid w:val="007416B6"/>
    <w:rsid w:val="00746F48"/>
    <w:rsid w:val="0075404D"/>
    <w:rsid w:val="007605F0"/>
    <w:rsid w:val="0076182A"/>
    <w:rsid w:val="00767B7E"/>
    <w:rsid w:val="007770C3"/>
    <w:rsid w:val="00782700"/>
    <w:rsid w:val="00784D24"/>
    <w:rsid w:val="00785FBA"/>
    <w:rsid w:val="00786E4A"/>
    <w:rsid w:val="007875EB"/>
    <w:rsid w:val="0079426B"/>
    <w:rsid w:val="007A2DFC"/>
    <w:rsid w:val="007B4458"/>
    <w:rsid w:val="007C2638"/>
    <w:rsid w:val="007C6739"/>
    <w:rsid w:val="007D1682"/>
    <w:rsid w:val="007D312A"/>
    <w:rsid w:val="007D3F19"/>
    <w:rsid w:val="007E1A70"/>
    <w:rsid w:val="007E20FC"/>
    <w:rsid w:val="007E23B0"/>
    <w:rsid w:val="007E23E5"/>
    <w:rsid w:val="007E70A0"/>
    <w:rsid w:val="007F1991"/>
    <w:rsid w:val="007F2C2F"/>
    <w:rsid w:val="007F55FC"/>
    <w:rsid w:val="007F5665"/>
    <w:rsid w:val="007F73B6"/>
    <w:rsid w:val="00800112"/>
    <w:rsid w:val="00813348"/>
    <w:rsid w:val="008253BB"/>
    <w:rsid w:val="00830EE0"/>
    <w:rsid w:val="0083706E"/>
    <w:rsid w:val="008408F6"/>
    <w:rsid w:val="008423A5"/>
    <w:rsid w:val="008451D9"/>
    <w:rsid w:val="00850625"/>
    <w:rsid w:val="00853718"/>
    <w:rsid w:val="00853EC2"/>
    <w:rsid w:val="00855221"/>
    <w:rsid w:val="00855F4A"/>
    <w:rsid w:val="00860645"/>
    <w:rsid w:val="00871F71"/>
    <w:rsid w:val="00872FD8"/>
    <w:rsid w:val="00885AF4"/>
    <w:rsid w:val="008939CD"/>
    <w:rsid w:val="008A1933"/>
    <w:rsid w:val="008A2636"/>
    <w:rsid w:val="008B768C"/>
    <w:rsid w:val="008C4DB1"/>
    <w:rsid w:val="008C4EAF"/>
    <w:rsid w:val="008C5176"/>
    <w:rsid w:val="008C7FD0"/>
    <w:rsid w:val="008D0C42"/>
    <w:rsid w:val="008D1228"/>
    <w:rsid w:val="008E1DE7"/>
    <w:rsid w:val="008E707C"/>
    <w:rsid w:val="00900B08"/>
    <w:rsid w:val="00902155"/>
    <w:rsid w:val="00902FA3"/>
    <w:rsid w:val="0092003E"/>
    <w:rsid w:val="0092116C"/>
    <w:rsid w:val="00922A9C"/>
    <w:rsid w:val="00923564"/>
    <w:rsid w:val="0092392E"/>
    <w:rsid w:val="00925433"/>
    <w:rsid w:val="009315F9"/>
    <w:rsid w:val="009325DD"/>
    <w:rsid w:val="00933499"/>
    <w:rsid w:val="00935B05"/>
    <w:rsid w:val="00935C98"/>
    <w:rsid w:val="00946945"/>
    <w:rsid w:val="00951248"/>
    <w:rsid w:val="0095152F"/>
    <w:rsid w:val="00954C49"/>
    <w:rsid w:val="00955E37"/>
    <w:rsid w:val="00960F0F"/>
    <w:rsid w:val="00961B8A"/>
    <w:rsid w:val="0097099F"/>
    <w:rsid w:val="00971997"/>
    <w:rsid w:val="00971FFC"/>
    <w:rsid w:val="00974B8A"/>
    <w:rsid w:val="0097781D"/>
    <w:rsid w:val="0098660A"/>
    <w:rsid w:val="009931C3"/>
    <w:rsid w:val="00993833"/>
    <w:rsid w:val="009B2C43"/>
    <w:rsid w:val="009B4338"/>
    <w:rsid w:val="009B4EAE"/>
    <w:rsid w:val="009B7573"/>
    <w:rsid w:val="009C22F4"/>
    <w:rsid w:val="009C2A4B"/>
    <w:rsid w:val="009C2E98"/>
    <w:rsid w:val="009C7332"/>
    <w:rsid w:val="009D2336"/>
    <w:rsid w:val="009D3447"/>
    <w:rsid w:val="009D4711"/>
    <w:rsid w:val="009E74A1"/>
    <w:rsid w:val="009F1185"/>
    <w:rsid w:val="009F18CD"/>
    <w:rsid w:val="009F2A13"/>
    <w:rsid w:val="009F7527"/>
    <w:rsid w:val="009F79F8"/>
    <w:rsid w:val="00A01306"/>
    <w:rsid w:val="00A04EB0"/>
    <w:rsid w:val="00A13CC1"/>
    <w:rsid w:val="00A16847"/>
    <w:rsid w:val="00A17046"/>
    <w:rsid w:val="00A237D8"/>
    <w:rsid w:val="00A268C4"/>
    <w:rsid w:val="00A307CD"/>
    <w:rsid w:val="00A3089C"/>
    <w:rsid w:val="00A331C8"/>
    <w:rsid w:val="00A3622B"/>
    <w:rsid w:val="00A40A00"/>
    <w:rsid w:val="00A4142F"/>
    <w:rsid w:val="00A422EB"/>
    <w:rsid w:val="00A4399A"/>
    <w:rsid w:val="00A448EA"/>
    <w:rsid w:val="00A45BB7"/>
    <w:rsid w:val="00A4706A"/>
    <w:rsid w:val="00A56DF2"/>
    <w:rsid w:val="00A56E6E"/>
    <w:rsid w:val="00A607F2"/>
    <w:rsid w:val="00A62CD1"/>
    <w:rsid w:val="00A646EE"/>
    <w:rsid w:val="00A67AB5"/>
    <w:rsid w:val="00A71873"/>
    <w:rsid w:val="00A733B2"/>
    <w:rsid w:val="00A741C2"/>
    <w:rsid w:val="00A80FC9"/>
    <w:rsid w:val="00A811C6"/>
    <w:rsid w:val="00A81FCE"/>
    <w:rsid w:val="00A91760"/>
    <w:rsid w:val="00A932A7"/>
    <w:rsid w:val="00A93B00"/>
    <w:rsid w:val="00A93C21"/>
    <w:rsid w:val="00AB64C9"/>
    <w:rsid w:val="00AC3C6A"/>
    <w:rsid w:val="00AD5620"/>
    <w:rsid w:val="00AD656B"/>
    <w:rsid w:val="00AD6E98"/>
    <w:rsid w:val="00AD7C1B"/>
    <w:rsid w:val="00AE16BA"/>
    <w:rsid w:val="00AE1EBE"/>
    <w:rsid w:val="00AE7DA8"/>
    <w:rsid w:val="00AF00FF"/>
    <w:rsid w:val="00AF3B78"/>
    <w:rsid w:val="00B01830"/>
    <w:rsid w:val="00B03C9D"/>
    <w:rsid w:val="00B060AE"/>
    <w:rsid w:val="00B10517"/>
    <w:rsid w:val="00B14E76"/>
    <w:rsid w:val="00B161B8"/>
    <w:rsid w:val="00B2048C"/>
    <w:rsid w:val="00B24FF4"/>
    <w:rsid w:val="00B304DA"/>
    <w:rsid w:val="00B310B9"/>
    <w:rsid w:val="00B35F3F"/>
    <w:rsid w:val="00B36CBB"/>
    <w:rsid w:val="00B425E0"/>
    <w:rsid w:val="00B440AA"/>
    <w:rsid w:val="00B44B70"/>
    <w:rsid w:val="00B53C56"/>
    <w:rsid w:val="00B57DAF"/>
    <w:rsid w:val="00B63C64"/>
    <w:rsid w:val="00B722E1"/>
    <w:rsid w:val="00B77EA6"/>
    <w:rsid w:val="00B81598"/>
    <w:rsid w:val="00B841F1"/>
    <w:rsid w:val="00B860B5"/>
    <w:rsid w:val="00B944D6"/>
    <w:rsid w:val="00BA2DB7"/>
    <w:rsid w:val="00BB4CE5"/>
    <w:rsid w:val="00BB4DF0"/>
    <w:rsid w:val="00BC289F"/>
    <w:rsid w:val="00BC2D50"/>
    <w:rsid w:val="00BC5361"/>
    <w:rsid w:val="00BC5460"/>
    <w:rsid w:val="00BC6B50"/>
    <w:rsid w:val="00BD0E25"/>
    <w:rsid w:val="00BF0E31"/>
    <w:rsid w:val="00BF5BD6"/>
    <w:rsid w:val="00C03E31"/>
    <w:rsid w:val="00C1579D"/>
    <w:rsid w:val="00C33E72"/>
    <w:rsid w:val="00C354B2"/>
    <w:rsid w:val="00C35554"/>
    <w:rsid w:val="00C42709"/>
    <w:rsid w:val="00C533CC"/>
    <w:rsid w:val="00C5751C"/>
    <w:rsid w:val="00C61BFC"/>
    <w:rsid w:val="00C62B85"/>
    <w:rsid w:val="00C65438"/>
    <w:rsid w:val="00C76CF9"/>
    <w:rsid w:val="00C77E3C"/>
    <w:rsid w:val="00C87FD8"/>
    <w:rsid w:val="00C91381"/>
    <w:rsid w:val="00C91CBB"/>
    <w:rsid w:val="00C931A7"/>
    <w:rsid w:val="00CB4E70"/>
    <w:rsid w:val="00CB6CAE"/>
    <w:rsid w:val="00CC09B6"/>
    <w:rsid w:val="00CC666F"/>
    <w:rsid w:val="00CD1E3F"/>
    <w:rsid w:val="00CD2A59"/>
    <w:rsid w:val="00CE22BA"/>
    <w:rsid w:val="00CE42AB"/>
    <w:rsid w:val="00CE44F6"/>
    <w:rsid w:val="00CE49DA"/>
    <w:rsid w:val="00CE7B61"/>
    <w:rsid w:val="00D00095"/>
    <w:rsid w:val="00D114F0"/>
    <w:rsid w:val="00D20620"/>
    <w:rsid w:val="00D229AE"/>
    <w:rsid w:val="00D254F7"/>
    <w:rsid w:val="00D26091"/>
    <w:rsid w:val="00D2685C"/>
    <w:rsid w:val="00D27840"/>
    <w:rsid w:val="00D33124"/>
    <w:rsid w:val="00D34E4E"/>
    <w:rsid w:val="00D34E7C"/>
    <w:rsid w:val="00D35489"/>
    <w:rsid w:val="00D36AFE"/>
    <w:rsid w:val="00D51276"/>
    <w:rsid w:val="00D60C38"/>
    <w:rsid w:val="00D63DAF"/>
    <w:rsid w:val="00D7035F"/>
    <w:rsid w:val="00D81600"/>
    <w:rsid w:val="00D87381"/>
    <w:rsid w:val="00DA1DAF"/>
    <w:rsid w:val="00DA634F"/>
    <w:rsid w:val="00DA65AC"/>
    <w:rsid w:val="00DB1913"/>
    <w:rsid w:val="00DB1AD2"/>
    <w:rsid w:val="00DC219A"/>
    <w:rsid w:val="00DC410D"/>
    <w:rsid w:val="00DC5A81"/>
    <w:rsid w:val="00DC68CA"/>
    <w:rsid w:val="00DC7CBA"/>
    <w:rsid w:val="00DD73B7"/>
    <w:rsid w:val="00DD7D4F"/>
    <w:rsid w:val="00DE516E"/>
    <w:rsid w:val="00DE5A50"/>
    <w:rsid w:val="00DF28BC"/>
    <w:rsid w:val="00DF34B9"/>
    <w:rsid w:val="00E00EC8"/>
    <w:rsid w:val="00E01053"/>
    <w:rsid w:val="00E07ACF"/>
    <w:rsid w:val="00E2029F"/>
    <w:rsid w:val="00E253D8"/>
    <w:rsid w:val="00E331A1"/>
    <w:rsid w:val="00E33202"/>
    <w:rsid w:val="00E336A9"/>
    <w:rsid w:val="00E355F6"/>
    <w:rsid w:val="00E379DE"/>
    <w:rsid w:val="00E472B1"/>
    <w:rsid w:val="00E50624"/>
    <w:rsid w:val="00E539E2"/>
    <w:rsid w:val="00E550B6"/>
    <w:rsid w:val="00E568DF"/>
    <w:rsid w:val="00E64269"/>
    <w:rsid w:val="00E668DD"/>
    <w:rsid w:val="00E82267"/>
    <w:rsid w:val="00E84C4F"/>
    <w:rsid w:val="00E853CE"/>
    <w:rsid w:val="00E867B6"/>
    <w:rsid w:val="00EA010F"/>
    <w:rsid w:val="00EB30F3"/>
    <w:rsid w:val="00EB3811"/>
    <w:rsid w:val="00EC2A40"/>
    <w:rsid w:val="00EC62F9"/>
    <w:rsid w:val="00ED04C5"/>
    <w:rsid w:val="00ED1B63"/>
    <w:rsid w:val="00ED3C1F"/>
    <w:rsid w:val="00ED4085"/>
    <w:rsid w:val="00ED420E"/>
    <w:rsid w:val="00ED6FBE"/>
    <w:rsid w:val="00EE2F57"/>
    <w:rsid w:val="00EF4C34"/>
    <w:rsid w:val="00EF77C6"/>
    <w:rsid w:val="00F05438"/>
    <w:rsid w:val="00F10236"/>
    <w:rsid w:val="00F10C7F"/>
    <w:rsid w:val="00F1361C"/>
    <w:rsid w:val="00F156F0"/>
    <w:rsid w:val="00F160C7"/>
    <w:rsid w:val="00F2408F"/>
    <w:rsid w:val="00F240E9"/>
    <w:rsid w:val="00F36D8F"/>
    <w:rsid w:val="00F4112D"/>
    <w:rsid w:val="00F417B1"/>
    <w:rsid w:val="00F41962"/>
    <w:rsid w:val="00F45853"/>
    <w:rsid w:val="00F602DF"/>
    <w:rsid w:val="00F700ED"/>
    <w:rsid w:val="00F75413"/>
    <w:rsid w:val="00F754A1"/>
    <w:rsid w:val="00F81FD9"/>
    <w:rsid w:val="00F841AA"/>
    <w:rsid w:val="00F84A94"/>
    <w:rsid w:val="00F87E96"/>
    <w:rsid w:val="00F9209D"/>
    <w:rsid w:val="00FA23E8"/>
    <w:rsid w:val="00FC4619"/>
    <w:rsid w:val="00FD3CC1"/>
    <w:rsid w:val="00FE26FE"/>
    <w:rsid w:val="00FF1E02"/>
    <w:rsid w:val="00FF30B4"/>
    <w:rsid w:val="00FF6032"/>
    <w:rsid w:val="00FF7F6E"/>
    <w:rsid w:val="03D47ED8"/>
    <w:rsid w:val="053A62B5"/>
    <w:rsid w:val="0A2032A3"/>
    <w:rsid w:val="0B8A37D8"/>
    <w:rsid w:val="10C055FF"/>
    <w:rsid w:val="118107EC"/>
    <w:rsid w:val="11DD6519"/>
    <w:rsid w:val="16BB723D"/>
    <w:rsid w:val="18015F3F"/>
    <w:rsid w:val="1B762884"/>
    <w:rsid w:val="1BE8440E"/>
    <w:rsid w:val="1D155CEE"/>
    <w:rsid w:val="20F57F95"/>
    <w:rsid w:val="240371BF"/>
    <w:rsid w:val="25711CC6"/>
    <w:rsid w:val="25C741E6"/>
    <w:rsid w:val="270A165B"/>
    <w:rsid w:val="27842671"/>
    <w:rsid w:val="29FD04D3"/>
    <w:rsid w:val="2ABE7A3E"/>
    <w:rsid w:val="2CA234A8"/>
    <w:rsid w:val="2CE66FE9"/>
    <w:rsid w:val="2EFA178C"/>
    <w:rsid w:val="30B46D73"/>
    <w:rsid w:val="319F7F4E"/>
    <w:rsid w:val="383D272C"/>
    <w:rsid w:val="39AE70AB"/>
    <w:rsid w:val="3C0C0783"/>
    <w:rsid w:val="3CEB4D9C"/>
    <w:rsid w:val="3F9F3A96"/>
    <w:rsid w:val="41085755"/>
    <w:rsid w:val="48BF60AB"/>
    <w:rsid w:val="493C27E9"/>
    <w:rsid w:val="496F39ED"/>
    <w:rsid w:val="49FF41D3"/>
    <w:rsid w:val="4BE068DB"/>
    <w:rsid w:val="4BF6002B"/>
    <w:rsid w:val="4ECE2238"/>
    <w:rsid w:val="51DB4B86"/>
    <w:rsid w:val="52BC34B9"/>
    <w:rsid w:val="548F68F8"/>
    <w:rsid w:val="55333C3E"/>
    <w:rsid w:val="64CA39A1"/>
    <w:rsid w:val="69630ADE"/>
    <w:rsid w:val="6C4A05C8"/>
    <w:rsid w:val="6D3B1A89"/>
    <w:rsid w:val="71BF4EC2"/>
    <w:rsid w:val="72734D90"/>
    <w:rsid w:val="7412278C"/>
    <w:rsid w:val="744E53C9"/>
    <w:rsid w:val="7904082E"/>
    <w:rsid w:val="79E7B28D"/>
    <w:rsid w:val="7F9F20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Body Text" w:semiHidden="0" w:unhideWhenUsed="0" w:qFormat="1"/>
    <w:lsdException w:name="Body Text Indent" w:qFormat="1"/>
    <w:lsdException w:name="Subtitle" w:semiHidden="0" w:uiPriority="11" w:unhideWhenUsed="0" w:qFormat="1"/>
    <w:lsdException w:name="Body Text First Indent 2" w:semiHidden="0" w:uiPriority="0" w:unhideWhenUsed="0" w:qFormat="1"/>
    <w:lsdException w:name="Hyperlink" w:semiHidden="0" w:qFormat="1"/>
    <w:lsdException w:name="Strong" w:semiHidden="0" w:unhideWhenUsed="0" w:qFormat="1"/>
    <w:lsdException w:name="Emphasis" w:semiHidden="0" w:uiPriority="20" w:unhideWhenUsed="0" w:qFormat="1"/>
    <w:lsdException w:name="Normal (Web)" w:semiHidden="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E539E2"/>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E539E2"/>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E539E2"/>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rsid w:val="00E539E2"/>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iPriority w:val="99"/>
    <w:qFormat/>
    <w:rsid w:val="00E539E2"/>
    <w:pPr>
      <w:spacing w:beforeLines="30"/>
    </w:pPr>
    <w:rPr>
      <w:rFonts w:ascii="仿宋_GB2312" w:eastAsia="仿宋_GB2312"/>
      <w:kern w:val="0"/>
      <w:sz w:val="30"/>
    </w:rPr>
  </w:style>
  <w:style w:type="paragraph" w:styleId="a4">
    <w:name w:val="Body Text Indent"/>
    <w:basedOn w:val="a"/>
    <w:link w:val="Char0"/>
    <w:uiPriority w:val="99"/>
    <w:semiHidden/>
    <w:unhideWhenUsed/>
    <w:qFormat/>
    <w:rsid w:val="00E539E2"/>
    <w:pPr>
      <w:spacing w:after="120"/>
      <w:ind w:leftChars="200" w:left="420"/>
    </w:pPr>
  </w:style>
  <w:style w:type="paragraph" w:styleId="30">
    <w:name w:val="toc 3"/>
    <w:basedOn w:val="a"/>
    <w:next w:val="a"/>
    <w:uiPriority w:val="39"/>
    <w:unhideWhenUsed/>
    <w:qFormat/>
    <w:rsid w:val="00E539E2"/>
    <w:pPr>
      <w:tabs>
        <w:tab w:val="right" w:leader="dot" w:pos="8296"/>
      </w:tabs>
      <w:ind w:leftChars="400" w:left="840"/>
    </w:pPr>
  </w:style>
  <w:style w:type="paragraph" w:styleId="a5">
    <w:name w:val="Balloon Text"/>
    <w:basedOn w:val="a"/>
    <w:link w:val="Char1"/>
    <w:uiPriority w:val="99"/>
    <w:semiHidden/>
    <w:unhideWhenUsed/>
    <w:qFormat/>
    <w:rsid w:val="00E539E2"/>
    <w:rPr>
      <w:sz w:val="18"/>
      <w:szCs w:val="18"/>
    </w:rPr>
  </w:style>
  <w:style w:type="paragraph" w:styleId="a6">
    <w:name w:val="footer"/>
    <w:basedOn w:val="a"/>
    <w:link w:val="Char2"/>
    <w:uiPriority w:val="99"/>
    <w:qFormat/>
    <w:rsid w:val="00E539E2"/>
    <w:pPr>
      <w:tabs>
        <w:tab w:val="center" w:pos="4153"/>
        <w:tab w:val="right" w:pos="8306"/>
      </w:tabs>
      <w:snapToGrid w:val="0"/>
      <w:jc w:val="left"/>
    </w:pPr>
    <w:rPr>
      <w:rFonts w:ascii="Calibri" w:hAnsi="Calibri"/>
      <w:kern w:val="0"/>
      <w:sz w:val="18"/>
      <w:szCs w:val="18"/>
    </w:rPr>
  </w:style>
  <w:style w:type="paragraph" w:styleId="a7">
    <w:name w:val="header"/>
    <w:basedOn w:val="a"/>
    <w:link w:val="Char3"/>
    <w:uiPriority w:val="99"/>
    <w:semiHidden/>
    <w:qFormat/>
    <w:rsid w:val="00E539E2"/>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rsid w:val="00E539E2"/>
    <w:pPr>
      <w:tabs>
        <w:tab w:val="right" w:leader="dot" w:pos="8296"/>
      </w:tabs>
      <w:spacing w:before="93"/>
      <w:jc w:val="center"/>
    </w:pPr>
    <w:rPr>
      <w:rFonts w:ascii="仿宋" w:eastAsia="仿宋" w:hAnsi="仿宋"/>
      <w:sz w:val="28"/>
      <w:szCs w:val="28"/>
    </w:rPr>
  </w:style>
  <w:style w:type="paragraph" w:styleId="20">
    <w:name w:val="toc 2"/>
    <w:basedOn w:val="a"/>
    <w:next w:val="a"/>
    <w:uiPriority w:val="39"/>
    <w:unhideWhenUsed/>
    <w:qFormat/>
    <w:rsid w:val="00E539E2"/>
    <w:pPr>
      <w:tabs>
        <w:tab w:val="right" w:leader="dot" w:pos="8296"/>
      </w:tabs>
      <w:ind w:leftChars="200" w:left="420"/>
    </w:pPr>
  </w:style>
  <w:style w:type="paragraph" w:styleId="a8">
    <w:name w:val="Normal (Web)"/>
    <w:basedOn w:val="a"/>
    <w:uiPriority w:val="99"/>
    <w:qFormat/>
    <w:rsid w:val="00E539E2"/>
    <w:pPr>
      <w:widowControl/>
      <w:spacing w:before="100" w:beforeAutospacing="1" w:after="100" w:afterAutospacing="1"/>
      <w:jc w:val="left"/>
    </w:pPr>
    <w:rPr>
      <w:rFonts w:ascii="宋体" w:hAnsi="宋体" w:cs="宋体"/>
      <w:kern w:val="0"/>
      <w:sz w:val="24"/>
    </w:rPr>
  </w:style>
  <w:style w:type="paragraph" w:styleId="21">
    <w:name w:val="Body Text First Indent 2"/>
    <w:basedOn w:val="a4"/>
    <w:link w:val="2Char0"/>
    <w:qFormat/>
    <w:rsid w:val="00E539E2"/>
    <w:pPr>
      <w:ind w:firstLineChars="200" w:firstLine="420"/>
    </w:pPr>
    <w:rPr>
      <w:rFonts w:eastAsia="方正仿宋简体"/>
      <w:sz w:val="32"/>
      <w:szCs w:val="32"/>
    </w:rPr>
  </w:style>
  <w:style w:type="character" w:styleId="a9">
    <w:name w:val="Strong"/>
    <w:basedOn w:val="a1"/>
    <w:uiPriority w:val="99"/>
    <w:qFormat/>
    <w:rsid w:val="00E539E2"/>
    <w:rPr>
      <w:b/>
    </w:rPr>
  </w:style>
  <w:style w:type="character" w:styleId="aa">
    <w:name w:val="Hyperlink"/>
    <w:basedOn w:val="a1"/>
    <w:uiPriority w:val="99"/>
    <w:unhideWhenUsed/>
    <w:qFormat/>
    <w:rsid w:val="00E539E2"/>
    <w:rPr>
      <w:color w:val="0000FF" w:themeColor="hyperlink"/>
      <w:u w:val="single"/>
    </w:rPr>
  </w:style>
  <w:style w:type="character" w:customStyle="1" w:styleId="1Char">
    <w:name w:val="标题 1 Char"/>
    <w:basedOn w:val="a1"/>
    <w:link w:val="1"/>
    <w:uiPriority w:val="9"/>
    <w:qFormat/>
    <w:rsid w:val="00E539E2"/>
    <w:rPr>
      <w:rFonts w:ascii="Times New Roman" w:hAnsi="Times New Roman"/>
      <w:b/>
      <w:bCs/>
      <w:kern w:val="44"/>
      <w:sz w:val="44"/>
      <w:szCs w:val="44"/>
    </w:rPr>
  </w:style>
  <w:style w:type="character" w:customStyle="1" w:styleId="2Char">
    <w:name w:val="标题 2 Char"/>
    <w:basedOn w:val="a1"/>
    <w:link w:val="2"/>
    <w:uiPriority w:val="9"/>
    <w:qFormat/>
    <w:rsid w:val="00E539E2"/>
    <w:rPr>
      <w:rFonts w:asciiTheme="majorHAnsi" w:eastAsiaTheme="majorEastAsia" w:hAnsiTheme="majorHAnsi" w:cstheme="majorBidi"/>
      <w:b/>
      <w:bCs/>
      <w:kern w:val="2"/>
      <w:sz w:val="32"/>
      <w:szCs w:val="32"/>
    </w:rPr>
  </w:style>
  <w:style w:type="character" w:customStyle="1" w:styleId="3Char">
    <w:name w:val="标题 3 Char"/>
    <w:basedOn w:val="a1"/>
    <w:link w:val="3"/>
    <w:uiPriority w:val="9"/>
    <w:qFormat/>
    <w:rsid w:val="00E539E2"/>
    <w:rPr>
      <w:rFonts w:ascii="Times New Roman" w:hAnsi="Times New Roman"/>
      <w:b/>
      <w:bCs/>
      <w:kern w:val="2"/>
      <w:sz w:val="32"/>
      <w:szCs w:val="32"/>
    </w:rPr>
  </w:style>
  <w:style w:type="character" w:customStyle="1" w:styleId="HeaderChar">
    <w:name w:val="Header Char"/>
    <w:basedOn w:val="a1"/>
    <w:uiPriority w:val="99"/>
    <w:semiHidden/>
    <w:qFormat/>
    <w:rsid w:val="00E539E2"/>
    <w:rPr>
      <w:rFonts w:ascii="Times New Roman" w:hAnsi="Times New Roman"/>
      <w:sz w:val="18"/>
      <w:szCs w:val="18"/>
    </w:rPr>
  </w:style>
  <w:style w:type="character" w:customStyle="1" w:styleId="Char3">
    <w:name w:val="页眉 Char"/>
    <w:link w:val="a7"/>
    <w:uiPriority w:val="99"/>
    <w:semiHidden/>
    <w:qFormat/>
    <w:locked/>
    <w:rsid w:val="00E539E2"/>
    <w:rPr>
      <w:sz w:val="18"/>
    </w:rPr>
  </w:style>
  <w:style w:type="character" w:customStyle="1" w:styleId="FooterChar">
    <w:name w:val="Footer Char"/>
    <w:basedOn w:val="a1"/>
    <w:uiPriority w:val="99"/>
    <w:semiHidden/>
    <w:qFormat/>
    <w:rsid w:val="00E539E2"/>
    <w:rPr>
      <w:rFonts w:ascii="Times New Roman" w:hAnsi="Times New Roman"/>
      <w:sz w:val="18"/>
      <w:szCs w:val="18"/>
    </w:rPr>
  </w:style>
  <w:style w:type="character" w:customStyle="1" w:styleId="Char2">
    <w:name w:val="页脚 Char"/>
    <w:link w:val="a6"/>
    <w:uiPriority w:val="99"/>
    <w:qFormat/>
    <w:locked/>
    <w:rsid w:val="00E539E2"/>
    <w:rPr>
      <w:sz w:val="18"/>
    </w:rPr>
  </w:style>
  <w:style w:type="character" w:customStyle="1" w:styleId="BodyTextChar">
    <w:name w:val="Body Text Char"/>
    <w:basedOn w:val="a1"/>
    <w:uiPriority w:val="99"/>
    <w:semiHidden/>
    <w:qFormat/>
    <w:rsid w:val="00E539E2"/>
    <w:rPr>
      <w:rFonts w:ascii="Times New Roman" w:hAnsi="Times New Roman"/>
      <w:szCs w:val="24"/>
    </w:rPr>
  </w:style>
  <w:style w:type="character" w:customStyle="1" w:styleId="Char">
    <w:name w:val="正文文本 Char"/>
    <w:link w:val="a0"/>
    <w:uiPriority w:val="99"/>
    <w:qFormat/>
    <w:locked/>
    <w:rsid w:val="00E539E2"/>
    <w:rPr>
      <w:rFonts w:ascii="仿宋_GB2312" w:eastAsia="仿宋_GB2312" w:hAnsi="Times New Roman"/>
      <w:sz w:val="24"/>
    </w:rPr>
  </w:style>
  <w:style w:type="paragraph" w:customStyle="1" w:styleId="Default">
    <w:name w:val="Default"/>
    <w:uiPriority w:val="99"/>
    <w:qFormat/>
    <w:rsid w:val="00E539E2"/>
    <w:pPr>
      <w:widowControl w:val="0"/>
      <w:autoSpaceDE w:val="0"/>
      <w:autoSpaceDN w:val="0"/>
      <w:adjustRightInd w:val="0"/>
    </w:pPr>
    <w:rPr>
      <w:rFonts w:ascii="仿宋" w:eastAsia="仿宋" w:hAnsi="Calibri" w:cs="仿宋"/>
      <w:color w:val="000000"/>
      <w:sz w:val="24"/>
      <w:szCs w:val="24"/>
    </w:rPr>
  </w:style>
  <w:style w:type="paragraph" w:styleId="ab">
    <w:name w:val="List Paragraph"/>
    <w:basedOn w:val="a"/>
    <w:uiPriority w:val="34"/>
    <w:qFormat/>
    <w:rsid w:val="00E539E2"/>
    <w:pPr>
      <w:ind w:firstLineChars="200" w:firstLine="420"/>
    </w:pPr>
  </w:style>
  <w:style w:type="paragraph" w:customStyle="1" w:styleId="TOC1">
    <w:name w:val="TOC 标题1"/>
    <w:basedOn w:val="1"/>
    <w:next w:val="a"/>
    <w:uiPriority w:val="39"/>
    <w:unhideWhenUsed/>
    <w:qFormat/>
    <w:rsid w:val="00E539E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1">
    <w:name w:val="批注框文本 Char"/>
    <w:basedOn w:val="a1"/>
    <w:link w:val="a5"/>
    <w:uiPriority w:val="99"/>
    <w:semiHidden/>
    <w:qFormat/>
    <w:rsid w:val="00E539E2"/>
    <w:rPr>
      <w:rFonts w:ascii="Times New Roman" w:hAnsi="Times New Roman"/>
      <w:kern w:val="2"/>
      <w:sz w:val="18"/>
      <w:szCs w:val="18"/>
    </w:rPr>
  </w:style>
  <w:style w:type="paragraph" w:customStyle="1" w:styleId="TOC2">
    <w:name w:val="TOC 标题2"/>
    <w:basedOn w:val="1"/>
    <w:next w:val="a"/>
    <w:uiPriority w:val="39"/>
    <w:unhideWhenUsed/>
    <w:qFormat/>
    <w:rsid w:val="00E539E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正文文本缩进 Char"/>
    <w:basedOn w:val="a1"/>
    <w:link w:val="a4"/>
    <w:uiPriority w:val="99"/>
    <w:semiHidden/>
    <w:qFormat/>
    <w:rsid w:val="00E539E2"/>
    <w:rPr>
      <w:rFonts w:ascii="Times New Roman" w:eastAsia="宋体" w:hAnsi="Times New Roman" w:cs="Times New Roman"/>
      <w:kern w:val="2"/>
      <w:sz w:val="21"/>
      <w:szCs w:val="24"/>
    </w:rPr>
  </w:style>
  <w:style w:type="character" w:customStyle="1" w:styleId="2Char0">
    <w:name w:val="正文首行缩进 2 Char"/>
    <w:basedOn w:val="Char0"/>
    <w:link w:val="21"/>
    <w:qFormat/>
    <w:rsid w:val="00E539E2"/>
    <w:rPr>
      <w:rFonts w:eastAsia="方正仿宋简体"/>
      <w:sz w:val="32"/>
      <w:szCs w:val="32"/>
    </w:rPr>
  </w:style>
  <w:style w:type="paragraph" w:customStyle="1" w:styleId="TOC3">
    <w:name w:val="TOC 标题3"/>
    <w:basedOn w:val="1"/>
    <w:next w:val="a"/>
    <w:uiPriority w:val="39"/>
    <w:semiHidden/>
    <w:unhideWhenUsed/>
    <w:qFormat/>
    <w:rsid w:val="00E539E2"/>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hart" Target="charts/chart7.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footer" Target="footer7.xml"/><Relationship Id="rId10" Type="http://schemas.openxmlformats.org/officeDocument/2006/relationships/chart" Target="charts/chart1.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chart" Target="charts/chart5.xml"/><Relationship Id="rId22" Type="http://schemas.openxmlformats.org/officeDocument/2006/relationships/footer" Target="footer6.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565" b="0" i="0" u="none" strike="noStrike" kern="1200" baseline="0">
                <a:solidFill>
                  <a:srgbClr val="000000"/>
                </a:solidFill>
                <a:latin typeface="宋体" charset="-122"/>
                <a:ea typeface="宋体" charset="-122"/>
                <a:cs typeface="宋体" charset="-122"/>
              </a:defRPr>
            </a:pPr>
            <a:r>
              <a:rPr lang="zh-CN" altLang="en-US"/>
              <a:t>收、支决算总计变动情况（万元）</a:t>
            </a:r>
          </a:p>
        </c:rich>
      </c:tx>
      <c:layout>
        <c:manualLayout>
          <c:xMode val="edge"/>
          <c:yMode val="edge"/>
          <c:x val="0.16263736263736417"/>
          <c:y val="1.9480519480519713E-2"/>
        </c:manualLayout>
      </c:layout>
      <c:spPr>
        <a:noFill/>
        <a:ln w="26915">
          <a:noFill/>
        </a:ln>
      </c:spPr>
    </c:title>
    <c:plotArea>
      <c:layout>
        <c:manualLayout>
          <c:layoutTarget val="inner"/>
          <c:xMode val="edge"/>
          <c:yMode val="edge"/>
          <c:x val="9.8901098901100271E-2"/>
          <c:y val="0.17857142857143021"/>
          <c:w val="0.87912087912088877"/>
          <c:h val="0.668831168831169"/>
        </c:manualLayout>
      </c:layout>
      <c:barChart>
        <c:barDir val="col"/>
        <c:grouping val="clustered"/>
        <c:ser>
          <c:idx val="0"/>
          <c:order val="0"/>
          <c:tx>
            <c:strRef>
              <c:f>Sheet1!$A$2</c:f>
              <c:strCache>
                <c:ptCount val="1"/>
              </c:strCache>
            </c:strRef>
          </c:tx>
          <c:spPr>
            <a:solidFill>
              <a:srgbClr val="9999FF"/>
            </a:solidFill>
            <a:ln w="13458">
              <a:solidFill>
                <a:srgbClr val="000000"/>
              </a:solidFill>
              <a:prstDash val="solid"/>
            </a:ln>
          </c:spPr>
          <c:dLbls>
            <c:spPr>
              <a:noFill/>
              <a:ln w="26915">
                <a:noFill/>
              </a:ln>
              <a:effectLst/>
            </c:spPr>
            <c:txPr>
              <a:bodyPr rot="0" spcFirstLastPara="0" vertOverflow="ellipsis" vert="horz" wrap="square" lIns="38100" tIns="19050" rIns="38100" bIns="19050" anchor="ctr" anchorCtr="1"/>
              <a:lstStyle/>
              <a:p>
                <a:pPr>
                  <a:defRPr lang="zh-CN" sz="1565" b="0" i="0" u="none" strike="noStrike" kern="1200" baseline="0">
                    <a:solidFill>
                      <a:srgbClr val="000000"/>
                    </a:solidFill>
                    <a:latin typeface="宋体" charset="-122"/>
                    <a:ea typeface="宋体" charset="-122"/>
                    <a:cs typeface="宋体" charset="-122"/>
                  </a:defRPr>
                </a:pPr>
                <a:endParaRPr lang="zh-CN"/>
              </a:p>
            </c:txPr>
            <c:dLblPos val="outEnd"/>
            <c:showVal val="1"/>
            <c:extLst>
              <c:ext xmlns:c15="http://schemas.microsoft.com/office/drawing/2012/chart" uri="{CE6537A1-D6FC-4f65-9D91-7224C49458BB}">
                <c15:layout/>
                <c15:showLeaderLines val="0"/>
                <c15:leaderLines/>
              </c:ext>
            </c:extLst>
          </c:dLbls>
          <c:cat>
            <c:strRef>
              <c:f>Sheet1!$B$1:$C$1</c:f>
              <c:strCache>
                <c:ptCount val="2"/>
                <c:pt idx="0">
                  <c:v>2021年</c:v>
                </c:pt>
                <c:pt idx="1">
                  <c:v>2022年</c:v>
                </c:pt>
              </c:strCache>
            </c:strRef>
          </c:cat>
          <c:val>
            <c:numRef>
              <c:f>Sheet1!$B$2:$C$2</c:f>
              <c:numCache>
                <c:formatCode>General</c:formatCode>
                <c:ptCount val="2"/>
                <c:pt idx="0">
                  <c:v>390.94</c:v>
                </c:pt>
                <c:pt idx="1">
                  <c:v>389.42999999999893</c:v>
                </c:pt>
              </c:numCache>
            </c:numRef>
          </c:val>
        </c:ser>
        <c:dLbls>
          <c:showVal val="1"/>
        </c:dLbls>
        <c:axId val="141302784"/>
        <c:axId val="141357824"/>
      </c:barChart>
      <c:catAx>
        <c:axId val="141302784"/>
        <c:scaling>
          <c:orientation val="minMax"/>
        </c:scaling>
        <c:axPos val="b"/>
        <c:numFmt formatCode="General" sourceLinked="1"/>
        <c:majorTickMark val="in"/>
        <c:tickLblPos val="low"/>
        <c:spPr>
          <a:ln w="3364" cap="flat" cmpd="sng" algn="ctr">
            <a:solidFill>
              <a:srgbClr val="000000"/>
            </a:solidFill>
            <a:prstDash val="solid"/>
            <a:round/>
          </a:ln>
        </c:spPr>
        <c:txPr>
          <a:bodyPr rot="0" spcFirstLastPara="0" vertOverflow="ellipsis" vert="horz" wrap="square" anchor="ctr" anchorCtr="1"/>
          <a:lstStyle/>
          <a:p>
            <a:pPr>
              <a:defRPr lang="zh-CN" sz="1565" b="0" i="0" u="none" strike="noStrike" kern="1200" baseline="0">
                <a:solidFill>
                  <a:srgbClr val="000000"/>
                </a:solidFill>
                <a:latin typeface="宋体" charset="-122"/>
                <a:ea typeface="宋体" charset="-122"/>
                <a:cs typeface="宋体" charset="-122"/>
              </a:defRPr>
            </a:pPr>
            <a:endParaRPr lang="zh-CN"/>
          </a:p>
        </c:txPr>
        <c:crossAx val="141357824"/>
        <c:crosses val="autoZero"/>
        <c:auto val="1"/>
        <c:lblAlgn val="ctr"/>
        <c:lblOffset val="100"/>
        <c:tickLblSkip val="1"/>
      </c:catAx>
      <c:valAx>
        <c:axId val="141357824"/>
        <c:scaling>
          <c:orientation val="minMax"/>
          <c:max val="392"/>
          <c:min val="388"/>
        </c:scaling>
        <c:axPos val="l"/>
        <c:majorGridlines>
          <c:spPr>
            <a:ln w="3364" cap="flat" cmpd="sng" algn="ctr">
              <a:solidFill>
                <a:srgbClr val="000000"/>
              </a:solidFill>
              <a:prstDash val="solid"/>
              <a:round/>
            </a:ln>
          </c:spPr>
        </c:majorGridlines>
        <c:numFmt formatCode="General" sourceLinked="1"/>
        <c:majorTickMark val="in"/>
        <c:tickLblPos val="nextTo"/>
        <c:spPr>
          <a:ln w="3364" cap="flat" cmpd="sng" algn="ctr">
            <a:solidFill>
              <a:srgbClr val="000000"/>
            </a:solidFill>
            <a:prstDash val="solid"/>
            <a:round/>
          </a:ln>
        </c:spPr>
        <c:txPr>
          <a:bodyPr rot="0" spcFirstLastPara="0" vertOverflow="ellipsis" vert="horz" wrap="square" anchor="ctr" anchorCtr="1"/>
          <a:lstStyle/>
          <a:p>
            <a:pPr>
              <a:defRPr lang="zh-CN" sz="1565" b="0" i="0" u="none" strike="noStrike" kern="1200" baseline="0">
                <a:solidFill>
                  <a:srgbClr val="000000"/>
                </a:solidFill>
                <a:latin typeface="宋体" charset="-122"/>
                <a:ea typeface="宋体" charset="-122"/>
                <a:cs typeface="宋体" charset="-122"/>
              </a:defRPr>
            </a:pPr>
            <a:endParaRPr lang="zh-CN"/>
          </a:p>
        </c:txPr>
        <c:crossAx val="141302784"/>
        <c:crosses val="autoZero"/>
        <c:crossBetween val="between"/>
        <c:majorUnit val="1"/>
        <c:minorUnit val="0.1"/>
      </c:valAx>
      <c:spPr>
        <a:noFill/>
        <a:ln w="12700">
          <a:solidFill>
            <a:srgbClr val="808080"/>
          </a:solidFill>
          <a:prstDash val="solid"/>
        </a:ln>
        <a:effectLst/>
      </c:spPr>
    </c:plotArea>
    <c:plotVisOnly val="1"/>
    <c:dispBlanksAs val="gap"/>
  </c:chart>
  <c:spPr>
    <a:noFill/>
    <a:ln w="13458" cap="flat" cmpd="sng" algn="ctr">
      <a:solidFill>
        <a:srgbClr val="000000"/>
      </a:solidFill>
      <a:prstDash val="solid"/>
      <a:round/>
    </a:ln>
  </c:spPr>
  <c:txPr>
    <a:bodyPr/>
    <a:lstStyle/>
    <a:p>
      <a:pPr>
        <a:defRPr lang="zh-CN" sz="1565" b="0" i="0" u="none" strike="noStrike" baseline="0">
          <a:solidFill>
            <a:srgbClr val="000000"/>
          </a:solidFill>
          <a:latin typeface="宋体" charset="-122"/>
          <a:ea typeface="宋体" charset="-122"/>
          <a:cs typeface="宋体" charset="-122"/>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600" b="0" i="0" u="none" strike="noStrike" kern="1200" baseline="0">
                <a:solidFill>
                  <a:srgbClr val="000000"/>
                </a:solidFill>
                <a:latin typeface="仿宋_GB2312" panose="02010609030101010101" pitchFamily="3" charset="-122"/>
                <a:ea typeface="仿宋_GB2312" panose="02010609030101010101" pitchFamily="3" charset="-122"/>
                <a:cs typeface="宋体" charset="-122"/>
              </a:defRPr>
            </a:pPr>
            <a:r>
              <a:rPr lang="zh-CN" altLang="en-US" sz="1600" b="0" i="0" u="none" strike="noStrike" baseline="0">
                <a:latin typeface="+mn-ea"/>
                <a:ea typeface="+mn-ea"/>
              </a:rPr>
              <a:t>收入决算结构图</a:t>
            </a:r>
            <a:endParaRPr lang="zh-CN" altLang="en-US" sz="1600">
              <a:latin typeface="+mn-ea"/>
              <a:ea typeface="+mn-ea"/>
            </a:endParaRPr>
          </a:p>
        </c:rich>
      </c:tx>
      <c:layout>
        <c:manualLayout>
          <c:xMode val="edge"/>
          <c:yMode val="edge"/>
          <c:x val="0.32301831650058721"/>
          <c:y val="4.8063200020789509E-2"/>
        </c:manualLayout>
      </c:layout>
      <c:spPr>
        <a:noFill/>
        <a:ln w="26732">
          <a:noFill/>
        </a:ln>
      </c:spPr>
    </c:title>
    <c:plotArea>
      <c:layout>
        <c:manualLayout>
          <c:layoutTarget val="inner"/>
          <c:xMode val="edge"/>
          <c:yMode val="edge"/>
          <c:x val="0.12179487179487206"/>
          <c:y val="0.20577617328519901"/>
          <c:w val="0.42094017094017322"/>
          <c:h val="0.71119133574007443"/>
        </c:manualLayout>
      </c:layout>
      <c:pieChart>
        <c:varyColors val="1"/>
        <c:ser>
          <c:idx val="0"/>
          <c:order val="0"/>
          <c:tx>
            <c:strRef>
              <c:f>Sheet1!$A$2</c:f>
              <c:strCache>
                <c:ptCount val="1"/>
              </c:strCache>
            </c:strRef>
          </c:tx>
          <c:spPr>
            <a:solidFill>
              <a:srgbClr val="9999FF"/>
            </a:solidFill>
            <a:ln w="13366">
              <a:solidFill>
                <a:srgbClr val="000000"/>
              </a:solidFill>
              <a:prstDash val="solid"/>
            </a:ln>
          </c:spPr>
          <c:dLbls>
            <c:dLbl>
              <c:idx val="0"/>
              <c:layout>
                <c:manualLayout>
                  <c:x val="1.6852294419384302E-2"/>
                  <c:y val="-0.31154240465504623"/>
                </c:manualLayout>
              </c:layout>
              <c:dLblPos val="bestFit"/>
              <c:showPercent val="1"/>
              <c:extLst>
                <c:ext xmlns:c15="http://schemas.microsoft.com/office/drawing/2012/chart" uri="{CE6537A1-D6FC-4f65-9D91-7224C49458BB}">
                  <c15:layout/>
                </c:ext>
              </c:extLst>
            </c:dLbl>
            <c:numFmt formatCode="0%" sourceLinked="0"/>
            <c:spPr>
              <a:noFill/>
              <a:ln w="26732">
                <a:noFill/>
              </a:ln>
              <a:effectLst/>
            </c:spPr>
            <c:txPr>
              <a:bodyPr rot="0" spcFirstLastPara="0" vertOverflow="ellipsis" vert="horz" wrap="square" lIns="38100" tIns="19050" rIns="38100" bIns="19050" anchor="ctr" anchorCtr="1"/>
              <a:lstStyle/>
              <a:p>
                <a:pPr>
                  <a:defRPr lang="zh-CN" sz="1600" b="1"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Sheet1!$B$1:$B$1</c:f>
              <c:strCache>
                <c:ptCount val="1"/>
                <c:pt idx="0">
                  <c:v>一般公共预算财政拨款收入</c:v>
                </c:pt>
              </c:strCache>
            </c:strRef>
          </c:cat>
          <c:val>
            <c:numRef>
              <c:f>Sheet1!$B$2:$B$2</c:f>
              <c:numCache>
                <c:formatCode>General</c:formatCode>
                <c:ptCount val="1"/>
                <c:pt idx="0">
                  <c:v>100</c:v>
                </c:pt>
              </c:numCache>
            </c:numRef>
          </c:val>
        </c:ser>
        <c:ser>
          <c:idx val="1"/>
          <c:order val="1"/>
          <c:tx>
            <c:strRef>
              <c:f>Sheet1!$A$3</c:f>
              <c:strCache>
                <c:ptCount val="1"/>
              </c:strCache>
            </c:strRef>
          </c:tx>
          <c:spPr>
            <a:solidFill>
              <a:srgbClr val="993366"/>
            </a:solidFill>
            <a:ln w="13366">
              <a:solidFill>
                <a:srgbClr val="000000"/>
              </a:solidFill>
              <a:prstDash val="solid"/>
            </a:ln>
          </c:spPr>
          <c:dPt>
            <c:idx val="0"/>
            <c:spPr>
              <a:solidFill>
                <a:srgbClr val="9999FF"/>
              </a:solidFill>
              <a:ln w="13366">
                <a:solidFill>
                  <a:srgbClr val="000000"/>
                </a:solidFill>
                <a:prstDash val="solid"/>
              </a:ln>
            </c:spPr>
          </c:dPt>
          <c:dLbls>
            <c:numFmt formatCode="0%" sourceLinked="0"/>
            <c:spPr>
              <a:noFill/>
              <a:ln w="26732">
                <a:noFill/>
              </a:ln>
              <a:effectLst/>
            </c:spPr>
            <c:txPr>
              <a:bodyPr rot="0" spcFirstLastPara="0" vertOverflow="ellipsis" vert="horz" wrap="square" lIns="38100" tIns="19050" rIns="38100" bIns="19050" anchor="ctr" anchorCtr="1"/>
              <a:lstStyle/>
              <a:p>
                <a:pPr>
                  <a:defRPr lang="zh-CN" sz="1265"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Sheet1!$B$1:$B$1</c:f>
              <c:strCache>
                <c:ptCount val="1"/>
                <c:pt idx="0">
                  <c:v>一般公共预算财政拨款收入</c:v>
                </c:pt>
              </c:strCache>
            </c:strRef>
          </c:cat>
          <c:val>
            <c:numRef>
              <c:f>Sheet1!$B$3:$B$3</c:f>
              <c:numCache>
                <c:formatCode>General</c:formatCode>
                <c:ptCount val="1"/>
                <c:pt idx="0">
                  <c:v>0</c:v>
                </c:pt>
              </c:numCache>
            </c:numRef>
          </c:val>
        </c:ser>
        <c:ser>
          <c:idx val="2"/>
          <c:order val="2"/>
          <c:tx>
            <c:strRef>
              <c:f>Sheet1!$A$4</c:f>
              <c:strCache>
                <c:ptCount val="1"/>
              </c:strCache>
            </c:strRef>
          </c:tx>
          <c:spPr>
            <a:solidFill>
              <a:srgbClr val="FFFFCC"/>
            </a:solidFill>
            <a:ln w="13366">
              <a:solidFill>
                <a:srgbClr val="000000"/>
              </a:solidFill>
              <a:prstDash val="solid"/>
            </a:ln>
          </c:spPr>
          <c:dPt>
            <c:idx val="0"/>
            <c:spPr>
              <a:solidFill>
                <a:srgbClr val="9999FF"/>
              </a:solidFill>
              <a:ln w="13366">
                <a:solidFill>
                  <a:srgbClr val="000000"/>
                </a:solidFill>
                <a:prstDash val="solid"/>
              </a:ln>
            </c:spPr>
          </c:dPt>
          <c:dLbls>
            <c:numFmt formatCode="0%" sourceLinked="0"/>
            <c:spPr>
              <a:noFill/>
              <a:ln w="26732">
                <a:noFill/>
              </a:ln>
              <a:effectLst/>
            </c:spPr>
            <c:txPr>
              <a:bodyPr rot="0" spcFirstLastPara="0" vertOverflow="ellipsis" vert="horz" wrap="square" lIns="38100" tIns="19050" rIns="38100" bIns="19050" anchor="ctr" anchorCtr="1"/>
              <a:lstStyle/>
              <a:p>
                <a:pPr>
                  <a:defRPr lang="zh-CN" sz="1265"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Sheet1!$B$1:$B$1</c:f>
              <c:strCache>
                <c:ptCount val="1"/>
                <c:pt idx="0">
                  <c:v>一般公共预算财政拨款收入</c:v>
                </c:pt>
              </c:strCache>
            </c:strRef>
          </c:cat>
          <c:val>
            <c:numRef>
              <c:f>Sheet1!$B$4:$B$4</c:f>
              <c:numCache>
                <c:formatCode>General</c:formatCode>
                <c:ptCount val="1"/>
                <c:pt idx="0">
                  <c:v>0</c:v>
                </c:pt>
              </c:numCache>
            </c:numRef>
          </c:val>
        </c:ser>
        <c:dLbls>
          <c:showPercent val="1"/>
        </c:dLbls>
        <c:firstSliceAng val="0"/>
      </c:pieChart>
      <c:spPr>
        <a:solidFill>
          <a:srgbClr val="C0C0C0"/>
        </a:solidFill>
        <a:ln w="26732">
          <a:noFill/>
        </a:ln>
      </c:spPr>
    </c:plotArea>
    <c:legend>
      <c:legendPos val="r"/>
      <c:layout>
        <c:manualLayout>
          <c:xMode val="edge"/>
          <c:yMode val="edge"/>
          <c:x val="0.60897435897435903"/>
          <c:y val="0.49097472924188351"/>
          <c:w val="0.32478632478632502"/>
          <c:h val="0.14440433212996726"/>
        </c:manualLayout>
      </c:layout>
      <c:spPr>
        <a:noFill/>
        <a:ln w="3341">
          <a:solidFill>
            <a:srgbClr val="000000"/>
          </a:solidFill>
          <a:prstDash val="solid"/>
        </a:ln>
      </c:spPr>
      <c:txPr>
        <a:bodyPr rot="0" spcFirstLastPara="0" vertOverflow="ellipsis" vert="horz" wrap="square" anchor="ctr" anchorCtr="1"/>
        <a:lstStyle/>
        <a:p>
          <a:pPr>
            <a:defRPr lang="zh-CN" sz="1160" b="0" i="0" u="none" strike="noStrike" kern="1200" baseline="0">
              <a:solidFill>
                <a:srgbClr val="000000"/>
              </a:solidFill>
              <a:latin typeface="宋体" charset="-122"/>
              <a:ea typeface="宋体" charset="-122"/>
              <a:cs typeface="宋体" charset="-122"/>
            </a:defRPr>
          </a:pPr>
          <a:endParaRPr lang="zh-CN"/>
        </a:p>
      </c:txPr>
    </c:legend>
    <c:plotVisOnly val="1"/>
    <c:dispBlanksAs val="zero"/>
  </c:chart>
  <c:spPr>
    <a:noFill/>
    <a:ln w="13366" cap="flat" cmpd="sng" algn="ctr">
      <a:solidFill>
        <a:srgbClr val="000000"/>
      </a:solidFill>
      <a:prstDash val="solid"/>
      <a:round/>
    </a:ln>
  </c:spPr>
  <c:txPr>
    <a:bodyPr/>
    <a:lstStyle/>
    <a:p>
      <a:pPr>
        <a:defRPr lang="zh-CN" sz="1265" b="0" i="0" u="none" strike="noStrike" baseline="0">
          <a:solidFill>
            <a:srgbClr val="000000"/>
          </a:solidFill>
          <a:latin typeface="宋体" charset="-122"/>
          <a:ea typeface="宋体" charset="-122"/>
          <a:cs typeface="宋体" charset="-122"/>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580" b="0" i="0" u="none" strike="noStrike" kern="1200" baseline="0">
                <a:solidFill>
                  <a:srgbClr val="000000"/>
                </a:solidFill>
                <a:latin typeface="宋体" charset="-122"/>
                <a:ea typeface="宋体" charset="-122"/>
                <a:cs typeface="宋体" charset="-122"/>
              </a:defRPr>
            </a:pPr>
            <a:r>
              <a:rPr lang="zh-CN" altLang="en-US"/>
              <a:t>支出决算结构图</a:t>
            </a:r>
          </a:p>
        </c:rich>
      </c:tx>
      <c:layout>
        <c:manualLayout>
          <c:xMode val="edge"/>
          <c:yMode val="edge"/>
          <c:x val="0.34199134199134201"/>
          <c:y val="1.9543973941368312E-2"/>
        </c:manualLayout>
      </c:layout>
      <c:spPr>
        <a:noFill/>
        <a:ln w="26772">
          <a:noFill/>
        </a:ln>
      </c:spPr>
    </c:title>
    <c:plotArea>
      <c:layout>
        <c:manualLayout>
          <c:layoutTarget val="inner"/>
          <c:xMode val="edge"/>
          <c:yMode val="edge"/>
          <c:x val="0.145021645021645"/>
          <c:y val="0.231270358306189"/>
          <c:w val="0.45670995670995701"/>
          <c:h val="0.68729641693811772"/>
        </c:manualLayout>
      </c:layout>
      <c:pieChart>
        <c:varyColors val="1"/>
        <c:ser>
          <c:idx val="0"/>
          <c:order val="0"/>
          <c:tx>
            <c:strRef>
              <c:f>Sheet1!$A$2</c:f>
              <c:strCache>
                <c:ptCount val="1"/>
                <c:pt idx="0">
                  <c:v> </c:v>
                </c:pt>
              </c:strCache>
            </c:strRef>
          </c:tx>
          <c:spPr>
            <a:solidFill>
              <a:srgbClr val="9999FF"/>
            </a:solidFill>
            <a:ln w="13386">
              <a:solidFill>
                <a:srgbClr val="000000"/>
              </a:solidFill>
              <a:prstDash val="solid"/>
            </a:ln>
          </c:spPr>
          <c:dPt>
            <c:idx val="1"/>
            <c:spPr>
              <a:solidFill>
                <a:srgbClr val="993366"/>
              </a:solidFill>
              <a:ln w="13386">
                <a:solidFill>
                  <a:srgbClr val="000000"/>
                </a:solidFill>
                <a:prstDash val="solid"/>
              </a:ln>
            </c:spPr>
          </c:dPt>
          <c:dLbls>
            <c:dLbl>
              <c:idx val="0"/>
              <c:layout>
                <c:manualLayout>
                  <c:x val="-0.1738005288695029"/>
                  <c:y val="-0.22394038073366418"/>
                </c:manualLayout>
              </c:layout>
              <c:tx>
                <c:rich>
                  <a:bodyPr rot="0" spcFirstLastPara="0" vertOverflow="ellipsis" vert="horz" wrap="square" lIns="38100" tIns="19050" rIns="38100" bIns="19050" anchor="ctr" anchorCtr="1"/>
                  <a:lstStyle/>
                  <a:p>
                    <a:pPr>
                      <a:defRPr lang="zh-CN" sz="1580" b="1" i="0" u="none" strike="noStrike" kern="1200" baseline="0">
                        <a:solidFill>
                          <a:srgbClr val="000000"/>
                        </a:solidFill>
                        <a:latin typeface="宋体" charset="-122"/>
                        <a:ea typeface="宋体" charset="-122"/>
                        <a:cs typeface="宋体" charset="-122"/>
                      </a:defRPr>
                    </a:pPr>
                    <a:r>
                      <a:rPr lang="en-US" altLang="zh-CN" b="1"/>
                      <a:t>82.91%</a:t>
                    </a:r>
                  </a:p>
                </c:rich>
              </c:tx>
              <c:numFmt formatCode="0%" sourceLinked="0"/>
              <c:spPr>
                <a:noFill/>
                <a:ln w="26772">
                  <a:noFill/>
                </a:ln>
                <a:effectLst/>
              </c:spPr>
              <c:dLblPos val="bestFit"/>
              <c:showPercent val="1"/>
              <c:extLst>
                <c:ext xmlns:c15="http://schemas.microsoft.com/office/drawing/2012/chart" uri="{CE6537A1-D6FC-4f65-9D91-7224C49458BB}">
                  <c15:layout/>
                </c:ext>
              </c:extLst>
            </c:dLbl>
            <c:dLbl>
              <c:idx val="1"/>
              <c:layout>
                <c:manualLayout>
                  <c:x val="0.12239386164117802"/>
                  <c:y val="0.1823060566796241"/>
                </c:manualLayout>
              </c:layout>
              <c:tx>
                <c:rich>
                  <a:bodyPr rot="0" spcFirstLastPara="0" vertOverflow="ellipsis" vert="horz" wrap="square" lIns="38100" tIns="19050" rIns="38100" bIns="19050" anchor="ctr" anchorCtr="1"/>
                  <a:lstStyle/>
                  <a:p>
                    <a:pPr>
                      <a:defRPr lang="zh-CN" sz="1580" b="1" i="0" u="none" strike="noStrike" kern="1200" baseline="0">
                        <a:solidFill>
                          <a:srgbClr val="000000"/>
                        </a:solidFill>
                        <a:latin typeface="宋体" charset="-122"/>
                        <a:ea typeface="宋体" charset="-122"/>
                        <a:cs typeface="宋体" charset="-122"/>
                      </a:defRPr>
                    </a:pPr>
                    <a:r>
                      <a:rPr lang="en-US" altLang="zh-CN" b="1"/>
                      <a:t>17.09%</a:t>
                    </a:r>
                  </a:p>
                </c:rich>
              </c:tx>
              <c:numFmt formatCode="0%" sourceLinked="0"/>
              <c:spPr>
                <a:noFill/>
                <a:ln w="26772">
                  <a:noFill/>
                </a:ln>
                <a:effectLst/>
              </c:spPr>
              <c:dLblPos val="bestFit"/>
              <c:showPercent val="1"/>
              <c:extLst>
                <c:ext xmlns:c15="http://schemas.microsoft.com/office/drawing/2012/chart" uri="{CE6537A1-D6FC-4f65-9D91-7224C49458BB}">
                  <c15:layout/>
                </c:ext>
              </c:extLst>
            </c:dLbl>
            <c:numFmt formatCode="0%" sourceLinked="0"/>
            <c:spPr>
              <a:noFill/>
              <a:ln w="26772">
                <a:noFill/>
              </a:ln>
              <a:effectLst/>
            </c:spPr>
            <c:txPr>
              <a:bodyPr rot="0" spcFirstLastPara="0" vertOverflow="ellipsis" vert="horz" wrap="square" lIns="38100" tIns="19050" rIns="38100" bIns="19050" anchor="ctr" anchorCtr="1"/>
              <a:lstStyle/>
              <a:p>
                <a:pPr>
                  <a:defRPr lang="zh-CN" sz="158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Sheet1!$B$1:$C$1</c:f>
              <c:strCache>
                <c:ptCount val="2"/>
                <c:pt idx="0">
                  <c:v>基本支出</c:v>
                </c:pt>
                <c:pt idx="1">
                  <c:v>项目支出</c:v>
                </c:pt>
              </c:strCache>
            </c:strRef>
          </c:cat>
          <c:val>
            <c:numRef>
              <c:f>Sheet1!$B$2:$C$2</c:f>
              <c:numCache>
                <c:formatCode>General</c:formatCode>
                <c:ptCount val="2"/>
                <c:pt idx="0">
                  <c:v>322.88</c:v>
                </c:pt>
                <c:pt idx="1">
                  <c:v>66.55</c:v>
                </c:pt>
              </c:numCache>
            </c:numRef>
          </c:val>
        </c:ser>
        <c:ser>
          <c:idx val="1"/>
          <c:order val="1"/>
          <c:tx>
            <c:strRef>
              <c:f>Sheet1!$A$3</c:f>
              <c:strCache>
                <c:ptCount val="1"/>
                <c:pt idx="0">
                  <c:v> </c:v>
                </c:pt>
              </c:strCache>
            </c:strRef>
          </c:tx>
          <c:spPr>
            <a:solidFill>
              <a:srgbClr val="993366"/>
            </a:solidFill>
            <a:ln w="13386">
              <a:solidFill>
                <a:srgbClr val="000000"/>
              </a:solidFill>
              <a:prstDash val="solid"/>
            </a:ln>
          </c:spPr>
          <c:dPt>
            <c:idx val="0"/>
            <c:spPr>
              <a:solidFill>
                <a:srgbClr val="9999FF"/>
              </a:solidFill>
              <a:ln w="13386">
                <a:solidFill>
                  <a:srgbClr val="000000"/>
                </a:solidFill>
                <a:prstDash val="solid"/>
              </a:ln>
            </c:spPr>
          </c:dPt>
          <c:dLbls>
            <c:numFmt formatCode="0%" sourceLinked="0"/>
            <c:spPr>
              <a:noFill/>
              <a:ln w="26772">
                <a:noFill/>
              </a:ln>
              <a:effectLst/>
            </c:spPr>
            <c:txPr>
              <a:bodyPr rot="0" spcFirstLastPara="0" vertOverflow="ellipsis" vert="horz" wrap="square" lIns="38100" tIns="19050" rIns="38100" bIns="19050" anchor="ctr" anchorCtr="1"/>
              <a:lstStyle/>
              <a:p>
                <a:pPr>
                  <a:defRPr lang="zh-CN" sz="158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Sheet1!$B$1:$C$1</c:f>
              <c:strCache>
                <c:ptCount val="2"/>
                <c:pt idx="0">
                  <c:v>基本支出</c:v>
                </c:pt>
                <c:pt idx="1">
                  <c:v>项目支出</c:v>
                </c:pt>
              </c:strCache>
            </c:strRef>
          </c:cat>
          <c:val>
            <c:numRef>
              <c:f>Sheet1!$B$3:$C$3</c:f>
              <c:numCache>
                <c:formatCode>General</c:formatCode>
                <c:ptCount val="2"/>
              </c:numCache>
            </c:numRef>
          </c:val>
        </c:ser>
        <c:ser>
          <c:idx val="2"/>
          <c:order val="2"/>
          <c:tx>
            <c:strRef>
              <c:f>Sheet1!$A$4</c:f>
              <c:strCache>
                <c:ptCount val="1"/>
                <c:pt idx="0">
                  <c:v> </c:v>
                </c:pt>
              </c:strCache>
            </c:strRef>
          </c:tx>
          <c:spPr>
            <a:solidFill>
              <a:srgbClr val="FFFFCC"/>
            </a:solidFill>
            <a:ln w="13386">
              <a:solidFill>
                <a:srgbClr val="000000"/>
              </a:solidFill>
              <a:prstDash val="solid"/>
            </a:ln>
          </c:spPr>
          <c:dPt>
            <c:idx val="0"/>
            <c:spPr>
              <a:solidFill>
                <a:srgbClr val="9999FF"/>
              </a:solidFill>
              <a:ln w="13386">
                <a:solidFill>
                  <a:srgbClr val="000000"/>
                </a:solidFill>
                <a:prstDash val="solid"/>
              </a:ln>
            </c:spPr>
          </c:dPt>
          <c:dPt>
            <c:idx val="1"/>
            <c:spPr>
              <a:solidFill>
                <a:srgbClr val="993366"/>
              </a:solidFill>
              <a:ln w="13386">
                <a:solidFill>
                  <a:srgbClr val="000000"/>
                </a:solidFill>
                <a:prstDash val="solid"/>
              </a:ln>
            </c:spPr>
          </c:dPt>
          <c:dLbls>
            <c:numFmt formatCode="0%" sourceLinked="0"/>
            <c:spPr>
              <a:noFill/>
              <a:ln w="26772">
                <a:noFill/>
              </a:ln>
              <a:effectLst/>
            </c:spPr>
            <c:txPr>
              <a:bodyPr rot="0" spcFirstLastPara="0" vertOverflow="ellipsis" vert="horz" wrap="square" lIns="38100" tIns="19050" rIns="38100" bIns="19050" anchor="ctr" anchorCtr="1"/>
              <a:lstStyle/>
              <a:p>
                <a:pPr>
                  <a:defRPr lang="zh-CN" sz="158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Sheet1!$B$1:$C$1</c:f>
              <c:strCache>
                <c:ptCount val="2"/>
                <c:pt idx="0">
                  <c:v>基本支出</c:v>
                </c:pt>
                <c:pt idx="1">
                  <c:v>项目支出</c:v>
                </c:pt>
              </c:strCache>
            </c:strRef>
          </c:cat>
          <c:val>
            <c:numRef>
              <c:f>Sheet1!$B$4:$C$4</c:f>
              <c:numCache>
                <c:formatCode>General</c:formatCode>
                <c:ptCount val="2"/>
              </c:numCache>
            </c:numRef>
          </c:val>
        </c:ser>
        <c:dLbls>
          <c:showPercent val="1"/>
        </c:dLbls>
        <c:firstSliceAng val="0"/>
      </c:pieChart>
      <c:spPr>
        <a:solidFill>
          <a:srgbClr val="C0C0C0"/>
        </a:solidFill>
        <a:ln w="13386">
          <a:solidFill>
            <a:srgbClr val="808080"/>
          </a:solidFill>
          <a:prstDash val="solid"/>
        </a:ln>
      </c:spPr>
    </c:plotArea>
    <c:legend>
      <c:legendPos val="r"/>
      <c:layout>
        <c:manualLayout>
          <c:xMode val="edge"/>
          <c:yMode val="edge"/>
          <c:x val="0.70068396366045105"/>
          <c:y val="0.47482348490222637"/>
          <c:w val="0.24242424242424418"/>
          <c:h val="0.19218241042345297"/>
        </c:manualLayout>
      </c:layout>
      <c:spPr>
        <a:noFill/>
        <a:ln w="3346">
          <a:solidFill>
            <a:srgbClr val="000000"/>
          </a:solidFill>
          <a:prstDash val="solid"/>
        </a:ln>
      </c:spPr>
      <c:txPr>
        <a:bodyPr rot="0" spcFirstLastPara="0" vertOverflow="ellipsis" vert="horz" wrap="square" anchor="ctr" anchorCtr="1"/>
        <a:lstStyle/>
        <a:p>
          <a:pPr>
            <a:defRPr lang="zh-CN" sz="1455" b="0" i="0" u="none" strike="noStrike" kern="1200" baseline="0">
              <a:solidFill>
                <a:srgbClr val="000000"/>
              </a:solidFill>
              <a:latin typeface="宋体" charset="-122"/>
              <a:ea typeface="宋体" charset="-122"/>
              <a:cs typeface="宋体" charset="-122"/>
            </a:defRPr>
          </a:pPr>
          <a:endParaRPr lang="zh-CN"/>
        </a:p>
      </c:txPr>
    </c:legend>
    <c:plotVisOnly val="1"/>
    <c:dispBlanksAs val="zero"/>
  </c:chart>
  <c:spPr>
    <a:noFill/>
    <a:ln w="13386" cap="flat" cmpd="sng" algn="ctr">
      <a:solidFill>
        <a:srgbClr val="000000"/>
      </a:solidFill>
      <a:prstDash val="solid"/>
      <a:round/>
    </a:ln>
  </c:spPr>
  <c:txPr>
    <a:bodyPr/>
    <a:lstStyle/>
    <a:p>
      <a:pPr>
        <a:defRPr lang="zh-CN" sz="1580" b="0" i="0" u="none" strike="noStrike" baseline="0">
          <a:solidFill>
            <a:srgbClr val="000000"/>
          </a:solidFill>
          <a:latin typeface="宋体" charset="-122"/>
          <a:ea typeface="宋体" charset="-122"/>
          <a:cs typeface="宋体" charset="-122"/>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565" b="0" i="0" u="none" strike="noStrike" kern="1200" baseline="0">
                <a:solidFill>
                  <a:srgbClr val="000000"/>
                </a:solidFill>
                <a:latin typeface="宋体" charset="-122"/>
                <a:ea typeface="宋体" charset="-122"/>
                <a:cs typeface="宋体" charset="-122"/>
              </a:defRPr>
            </a:pPr>
            <a:r>
              <a:rPr lang="zh-CN" altLang="en-US" sz="1200" b="0" i="0" u="none" strike="noStrike" baseline="0"/>
              <a:t>财政拨款收、支决算总计变动情况</a:t>
            </a:r>
            <a:r>
              <a:rPr lang="zh-CN" altLang="en-US" sz="1200"/>
              <a:t>（万元</a:t>
            </a:r>
            <a:r>
              <a:rPr lang="zh-CN" altLang="en-US"/>
              <a:t>）</a:t>
            </a:r>
          </a:p>
        </c:rich>
      </c:tx>
      <c:layout>
        <c:manualLayout>
          <c:xMode val="edge"/>
          <c:yMode val="edge"/>
          <c:x val="0.16263736263736411"/>
          <c:y val="1.9480519480519719E-2"/>
        </c:manualLayout>
      </c:layout>
      <c:spPr>
        <a:noFill/>
        <a:ln w="26915">
          <a:noFill/>
        </a:ln>
      </c:spPr>
    </c:title>
    <c:plotArea>
      <c:layout>
        <c:manualLayout>
          <c:layoutTarget val="inner"/>
          <c:xMode val="edge"/>
          <c:yMode val="edge"/>
          <c:x val="0.11965437310027002"/>
          <c:y val="0.1785714521533861"/>
          <c:w val="0.87912087912088976"/>
          <c:h val="0.668831168831169"/>
        </c:manualLayout>
      </c:layout>
      <c:barChart>
        <c:barDir val="col"/>
        <c:grouping val="clustered"/>
        <c:ser>
          <c:idx val="0"/>
          <c:order val="0"/>
          <c:tx>
            <c:strRef>
              <c:f>Sheet1!$A$2</c:f>
              <c:strCache>
                <c:ptCount val="1"/>
              </c:strCache>
            </c:strRef>
          </c:tx>
          <c:spPr>
            <a:solidFill>
              <a:srgbClr val="9999FF"/>
            </a:solidFill>
            <a:ln w="13458">
              <a:solidFill>
                <a:srgbClr val="000000"/>
              </a:solidFill>
              <a:prstDash val="solid"/>
            </a:ln>
          </c:spPr>
          <c:dLbls>
            <c:spPr>
              <a:noFill/>
              <a:ln w="26915">
                <a:noFill/>
              </a:ln>
              <a:effectLst/>
            </c:spPr>
            <c:txPr>
              <a:bodyPr rot="0" spcFirstLastPara="0" vertOverflow="ellipsis" vert="horz" wrap="square" lIns="38100" tIns="19050" rIns="38100" bIns="19050" anchor="ctr" anchorCtr="1"/>
              <a:lstStyle/>
              <a:p>
                <a:pPr>
                  <a:defRPr lang="zh-CN" sz="1565" b="0" i="0" u="none" strike="noStrike" kern="1200" baseline="0">
                    <a:solidFill>
                      <a:srgbClr val="000000"/>
                    </a:solidFill>
                    <a:latin typeface="宋体" charset="-122"/>
                    <a:ea typeface="宋体" charset="-122"/>
                    <a:cs typeface="宋体" charset="-122"/>
                  </a:defRPr>
                </a:pPr>
                <a:endParaRPr lang="zh-CN"/>
              </a:p>
            </c:txPr>
            <c:dLblPos val="outEnd"/>
            <c:showVal val="1"/>
            <c:extLst>
              <c:ext xmlns:c15="http://schemas.microsoft.com/office/drawing/2012/chart" uri="{CE6537A1-D6FC-4f65-9D91-7224C49458BB}">
                <c15:layout/>
                <c15:showLeaderLines val="0"/>
                <c15:leaderLines/>
              </c:ext>
            </c:extLst>
          </c:dLbls>
          <c:cat>
            <c:strRef>
              <c:f>Sheet1!$B$1:$C$1</c:f>
              <c:strCache>
                <c:ptCount val="2"/>
                <c:pt idx="0">
                  <c:v>2021年</c:v>
                </c:pt>
                <c:pt idx="1">
                  <c:v>2022年</c:v>
                </c:pt>
              </c:strCache>
            </c:strRef>
          </c:cat>
          <c:val>
            <c:numRef>
              <c:f>Sheet1!$B$2:$C$2</c:f>
              <c:numCache>
                <c:formatCode>General</c:formatCode>
                <c:ptCount val="2"/>
                <c:pt idx="0">
                  <c:v>390.94</c:v>
                </c:pt>
                <c:pt idx="1">
                  <c:v>389.42999999999893</c:v>
                </c:pt>
              </c:numCache>
            </c:numRef>
          </c:val>
        </c:ser>
        <c:dLbls>
          <c:showVal val="1"/>
        </c:dLbls>
        <c:axId val="175654016"/>
        <c:axId val="175655552"/>
      </c:barChart>
      <c:catAx>
        <c:axId val="175654016"/>
        <c:scaling>
          <c:orientation val="minMax"/>
        </c:scaling>
        <c:axPos val="b"/>
        <c:numFmt formatCode="General" sourceLinked="1"/>
        <c:majorTickMark val="in"/>
        <c:tickLblPos val="low"/>
        <c:spPr>
          <a:ln w="3364" cap="flat" cmpd="sng" algn="ctr">
            <a:solidFill>
              <a:srgbClr val="000000"/>
            </a:solidFill>
            <a:prstDash val="solid"/>
            <a:round/>
          </a:ln>
        </c:spPr>
        <c:txPr>
          <a:bodyPr rot="0" spcFirstLastPara="0" vertOverflow="ellipsis" vert="horz" wrap="square" anchor="ctr" anchorCtr="1"/>
          <a:lstStyle/>
          <a:p>
            <a:pPr>
              <a:defRPr lang="zh-CN" sz="1565" b="0" i="0" u="none" strike="noStrike" kern="1200" baseline="0">
                <a:solidFill>
                  <a:srgbClr val="000000"/>
                </a:solidFill>
                <a:latin typeface="宋体" charset="-122"/>
                <a:ea typeface="宋体" charset="-122"/>
                <a:cs typeface="宋体" charset="-122"/>
              </a:defRPr>
            </a:pPr>
            <a:endParaRPr lang="zh-CN"/>
          </a:p>
        </c:txPr>
        <c:crossAx val="175655552"/>
        <c:crosses val="autoZero"/>
        <c:auto val="1"/>
        <c:lblAlgn val="ctr"/>
        <c:lblOffset val="100"/>
        <c:tickLblSkip val="1"/>
      </c:catAx>
      <c:valAx>
        <c:axId val="175655552"/>
        <c:scaling>
          <c:orientation val="minMax"/>
          <c:max val="392"/>
          <c:min val="388"/>
        </c:scaling>
        <c:axPos val="l"/>
        <c:majorGridlines>
          <c:spPr>
            <a:ln w="3364" cap="flat" cmpd="sng" algn="ctr">
              <a:solidFill>
                <a:srgbClr val="000000"/>
              </a:solidFill>
              <a:prstDash val="solid"/>
              <a:round/>
            </a:ln>
          </c:spPr>
        </c:majorGridlines>
        <c:numFmt formatCode="General" sourceLinked="1"/>
        <c:majorTickMark val="in"/>
        <c:tickLblPos val="nextTo"/>
        <c:spPr>
          <a:ln w="3364" cap="flat" cmpd="sng" algn="ctr">
            <a:solidFill>
              <a:srgbClr val="000000"/>
            </a:solidFill>
            <a:prstDash val="solid"/>
            <a:round/>
          </a:ln>
        </c:spPr>
        <c:txPr>
          <a:bodyPr rot="0" spcFirstLastPara="0" vertOverflow="ellipsis" vert="horz" wrap="square" anchor="ctr" anchorCtr="1"/>
          <a:lstStyle/>
          <a:p>
            <a:pPr>
              <a:defRPr lang="zh-CN" sz="1565" b="0" i="0" u="none" strike="noStrike" kern="1200" baseline="0">
                <a:solidFill>
                  <a:srgbClr val="000000"/>
                </a:solidFill>
                <a:latin typeface="宋体" charset="-122"/>
                <a:ea typeface="宋体" charset="-122"/>
                <a:cs typeface="宋体" charset="-122"/>
              </a:defRPr>
            </a:pPr>
            <a:endParaRPr lang="zh-CN"/>
          </a:p>
        </c:txPr>
        <c:crossAx val="175654016"/>
        <c:crosses val="autoZero"/>
        <c:crossBetween val="between"/>
        <c:majorUnit val="1"/>
        <c:minorUnit val="0.1"/>
      </c:valAx>
      <c:spPr>
        <a:noFill/>
        <a:ln w="12700">
          <a:solidFill>
            <a:srgbClr val="808080"/>
          </a:solidFill>
          <a:prstDash val="solid"/>
        </a:ln>
        <a:effectLst/>
      </c:spPr>
    </c:plotArea>
    <c:plotVisOnly val="1"/>
    <c:dispBlanksAs val="gap"/>
  </c:chart>
  <c:spPr>
    <a:noFill/>
    <a:ln w="13458" cap="flat" cmpd="sng" algn="ctr">
      <a:solidFill>
        <a:srgbClr val="000000"/>
      </a:solidFill>
      <a:prstDash val="solid"/>
      <a:round/>
    </a:ln>
  </c:spPr>
  <c:txPr>
    <a:bodyPr/>
    <a:lstStyle/>
    <a:p>
      <a:pPr>
        <a:defRPr lang="zh-CN" sz="1565" b="0" i="0" u="none" strike="noStrike" baseline="0">
          <a:solidFill>
            <a:srgbClr val="000000"/>
          </a:solidFill>
          <a:latin typeface="宋体" charset="-122"/>
          <a:ea typeface="宋体" charset="-122"/>
          <a:cs typeface="宋体" charset="-122"/>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500" b="0" i="0" u="none" strike="noStrike" kern="1200" baseline="0">
                <a:solidFill>
                  <a:srgbClr val="000000"/>
                </a:solidFill>
                <a:latin typeface="宋体" charset="-122"/>
                <a:ea typeface="宋体" charset="-122"/>
                <a:cs typeface="宋体" charset="-122"/>
              </a:defRPr>
            </a:pPr>
            <a:r>
              <a:rPr lang="zh-CN" altLang="en-US"/>
              <a:t>一般公共预算财政拨款支出决算变动情况（万元）</a:t>
            </a:r>
          </a:p>
        </c:rich>
      </c:tx>
      <c:layout>
        <c:manualLayout>
          <c:xMode val="edge"/>
          <c:yMode val="edge"/>
          <c:x val="0.101952277657267"/>
          <c:y val="2.0833333333333412E-2"/>
        </c:manualLayout>
      </c:layout>
      <c:spPr>
        <a:noFill/>
        <a:ln w="25400">
          <a:noFill/>
        </a:ln>
      </c:spPr>
    </c:title>
    <c:plotArea>
      <c:layout>
        <c:manualLayout>
          <c:layoutTarget val="inner"/>
          <c:xMode val="edge"/>
          <c:yMode val="edge"/>
          <c:x val="9.7613882863340606E-2"/>
          <c:y val="0.24404761904761901"/>
          <c:w val="0.84955469738257372"/>
          <c:h val="0.61607142857143471"/>
        </c:manualLayout>
      </c:layout>
      <c:barChart>
        <c:barDir val="col"/>
        <c:grouping val="clustered"/>
        <c:ser>
          <c:idx val="0"/>
          <c:order val="0"/>
          <c:tx>
            <c:strRef>
              <c:f>Sheet1!$A$2</c:f>
              <c:strCache>
                <c:ptCount val="1"/>
              </c:strCache>
            </c:strRef>
          </c:tx>
          <c:spPr>
            <a:solidFill>
              <a:srgbClr val="9999FF"/>
            </a:solidFill>
            <a:ln w="12700">
              <a:solidFill>
                <a:srgbClr val="000000"/>
              </a:solidFill>
              <a:prstDash val="solid"/>
            </a:ln>
          </c:spPr>
          <c:dLbls>
            <c:dLbl>
              <c:idx val="0"/>
              <c:layout>
                <c:manualLayout>
                  <c:x val="0"/>
                  <c:y val="-2.1857923497267725E-2"/>
                </c:manualLayout>
              </c:layout>
              <c:dLblPos val="outEnd"/>
              <c:showVal val="1"/>
              <c:extLst>
                <c:ext xmlns:c15="http://schemas.microsoft.com/office/drawing/2012/chart" uri="{CE6537A1-D6FC-4f65-9D91-7224C49458BB}">
                  <c15:layout/>
                </c:ext>
              </c:extLst>
            </c:dLbl>
            <c:dLbl>
              <c:idx val="1"/>
              <c:layout>
                <c:manualLayout>
                  <c:x val="-5.6617126680821011E-3"/>
                  <c:y val="2.1857923497267812E-2"/>
                </c:manualLayout>
              </c:layout>
              <c:dLblPos val="outEnd"/>
              <c:showVal val="1"/>
              <c:extLst>
                <c:ext xmlns:c15="http://schemas.microsoft.com/office/drawing/2012/chart" uri="{CE6537A1-D6FC-4f65-9D91-7224C49458BB}">
                  <c15:layout/>
                </c:ext>
              </c:extLst>
            </c:dLbl>
            <c:spPr>
              <a:noFill/>
              <a:ln w="25400">
                <a:noFill/>
              </a:ln>
              <a:effectLst/>
            </c:spPr>
            <c:txPr>
              <a:bodyPr rot="0" spcFirstLastPara="0" vertOverflow="ellipsis" vert="horz" wrap="square" lIns="38100" tIns="19050" rIns="38100" bIns="19050" anchor="ctr" anchorCtr="1"/>
              <a:lstStyle/>
              <a:p>
                <a:pPr>
                  <a:defRPr lang="zh-CN" sz="1500" b="0" i="0" u="none" strike="noStrike" kern="1200" baseline="0">
                    <a:solidFill>
                      <a:srgbClr val="000000"/>
                    </a:solidFill>
                    <a:latin typeface="宋体" charset="-122"/>
                    <a:ea typeface="宋体" charset="-122"/>
                    <a:cs typeface="宋体" charset="-122"/>
                  </a:defRPr>
                </a:pPr>
                <a:endParaRPr lang="zh-CN"/>
              </a:p>
            </c:txPr>
            <c:dLblPos val="outEnd"/>
            <c:showVal val="1"/>
            <c:extLst>
              <c:ext xmlns:c15="http://schemas.microsoft.com/office/drawing/2012/chart" uri="{CE6537A1-D6FC-4f65-9D91-7224C49458BB}">
                <c15:layout/>
                <c15:showLeaderLines val="0"/>
                <c15:leaderLines/>
              </c:ext>
            </c:extLst>
          </c:dLbls>
          <c:cat>
            <c:strRef>
              <c:f>Sheet1!$B$1:$C$1</c:f>
              <c:strCache>
                <c:ptCount val="2"/>
                <c:pt idx="0">
                  <c:v>2021年</c:v>
                </c:pt>
                <c:pt idx="1">
                  <c:v>2022年</c:v>
                </c:pt>
              </c:strCache>
            </c:strRef>
          </c:cat>
          <c:val>
            <c:numRef>
              <c:f>Sheet1!$B$2:$C$2</c:f>
              <c:numCache>
                <c:formatCode>General</c:formatCode>
                <c:ptCount val="2"/>
                <c:pt idx="0">
                  <c:v>353.2199999999998</c:v>
                </c:pt>
                <c:pt idx="1">
                  <c:v>389.42999999999893</c:v>
                </c:pt>
              </c:numCache>
            </c:numRef>
          </c:val>
        </c:ser>
        <c:dLbls>
          <c:showVal val="1"/>
        </c:dLbls>
        <c:axId val="141175040"/>
        <c:axId val="141201408"/>
      </c:barChart>
      <c:catAx>
        <c:axId val="141175040"/>
        <c:scaling>
          <c:orientation val="minMax"/>
        </c:scaling>
        <c:axPos val="b"/>
        <c:numFmt formatCode="General" sourceLinked="1"/>
        <c:majorTickMark val="in"/>
        <c:tickLblPos val="low"/>
        <c:spPr>
          <a:ln w="3175" cap="flat" cmpd="sng" algn="ctr">
            <a:solidFill>
              <a:srgbClr val="000000"/>
            </a:solidFill>
            <a:prstDash val="solid"/>
            <a:round/>
          </a:ln>
        </c:spPr>
        <c:txPr>
          <a:bodyPr rot="0" spcFirstLastPara="0" vertOverflow="ellipsis" vert="horz" wrap="square" anchor="ctr" anchorCtr="1"/>
          <a:lstStyle/>
          <a:p>
            <a:pPr>
              <a:defRPr lang="zh-CN" sz="1500" b="0" i="0" u="none" strike="noStrike" kern="1200" baseline="0">
                <a:solidFill>
                  <a:srgbClr val="000000"/>
                </a:solidFill>
                <a:latin typeface="宋体" charset="-122"/>
                <a:ea typeface="宋体" charset="-122"/>
                <a:cs typeface="宋体" charset="-122"/>
              </a:defRPr>
            </a:pPr>
            <a:endParaRPr lang="zh-CN"/>
          </a:p>
        </c:txPr>
        <c:crossAx val="141201408"/>
        <c:crosses val="autoZero"/>
        <c:auto val="1"/>
        <c:lblAlgn val="ctr"/>
        <c:lblOffset val="100"/>
        <c:tickLblSkip val="1"/>
      </c:catAx>
      <c:valAx>
        <c:axId val="141201408"/>
        <c:scaling>
          <c:orientation val="minMax"/>
          <c:max val="410"/>
          <c:min val="340"/>
        </c:scaling>
        <c:axPos val="l"/>
        <c:majorGridlines>
          <c:spPr>
            <a:ln w="3175" cap="flat" cmpd="sng" algn="ctr">
              <a:solidFill>
                <a:srgbClr val="000000"/>
              </a:solidFill>
              <a:prstDash val="solid"/>
              <a:round/>
            </a:ln>
          </c:spPr>
        </c:majorGridlines>
        <c:numFmt formatCode="General" sourceLinked="1"/>
        <c:majorTickMark val="in"/>
        <c:tickLblPos val="nextTo"/>
        <c:spPr>
          <a:ln w="3175" cap="flat" cmpd="sng" algn="ctr">
            <a:solidFill>
              <a:srgbClr val="000000"/>
            </a:solidFill>
            <a:prstDash val="solid"/>
            <a:round/>
          </a:ln>
        </c:spPr>
        <c:txPr>
          <a:bodyPr rot="0" spcFirstLastPara="0" vertOverflow="ellipsis" vert="horz" wrap="square" anchor="ctr" anchorCtr="1"/>
          <a:lstStyle/>
          <a:p>
            <a:pPr>
              <a:defRPr lang="zh-CN" sz="1500" b="0" i="0" u="none" strike="noStrike" kern="1200" baseline="0">
                <a:solidFill>
                  <a:srgbClr val="000000"/>
                </a:solidFill>
                <a:latin typeface="宋体" charset="-122"/>
                <a:ea typeface="宋体" charset="-122"/>
                <a:cs typeface="宋体" charset="-122"/>
              </a:defRPr>
            </a:pPr>
            <a:endParaRPr lang="zh-CN"/>
          </a:p>
        </c:txPr>
        <c:crossAx val="141175040"/>
        <c:crosses val="autoZero"/>
        <c:crossBetween val="between"/>
        <c:majorUnit val="10"/>
      </c:valAx>
      <c:spPr>
        <a:noFill/>
        <a:ln w="12700">
          <a:solidFill>
            <a:srgbClr val="000000"/>
          </a:solidFill>
          <a:prstDash val="solid"/>
        </a:ln>
        <a:effectLst/>
      </c:spPr>
    </c:plotArea>
    <c:plotVisOnly val="1"/>
    <c:dispBlanksAs val="gap"/>
  </c:chart>
  <c:spPr>
    <a:noFill/>
    <a:ln w="12700" cap="flat" cmpd="sng" algn="ctr">
      <a:solidFill>
        <a:srgbClr val="000000"/>
      </a:solidFill>
      <a:prstDash val="solid"/>
      <a:round/>
    </a:ln>
  </c:spPr>
  <c:txPr>
    <a:bodyPr/>
    <a:lstStyle/>
    <a:p>
      <a:pPr>
        <a:defRPr lang="zh-CN" sz="1500" b="0" i="0" u="none" strike="noStrike" baseline="0">
          <a:solidFill>
            <a:srgbClr val="000000"/>
          </a:solidFill>
          <a:latin typeface="宋体" charset="-122"/>
          <a:ea typeface="宋体" charset="-122"/>
          <a:cs typeface="宋体" charset="-122"/>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545" b="0" i="0" u="none" strike="noStrike" kern="1200" baseline="0">
                <a:solidFill>
                  <a:srgbClr val="000000"/>
                </a:solidFill>
                <a:latin typeface="宋体" charset="-122"/>
                <a:ea typeface="宋体" charset="-122"/>
                <a:cs typeface="宋体" charset="-122"/>
              </a:defRPr>
            </a:pPr>
            <a:r>
              <a:rPr lang="zh-CN" altLang="en-US"/>
              <a:t>一般公共预算财政拨款支出决算结构图</a:t>
            </a:r>
          </a:p>
        </c:rich>
      </c:tx>
      <c:layout>
        <c:manualLayout>
          <c:xMode val="edge"/>
          <c:yMode val="edge"/>
          <c:x val="0.121338906710735"/>
          <c:y val="6.8704972249985924E-2"/>
        </c:manualLayout>
      </c:layout>
      <c:spPr>
        <a:noFill/>
        <a:ln w="25296">
          <a:noFill/>
        </a:ln>
      </c:spPr>
    </c:title>
    <c:plotArea>
      <c:layout>
        <c:manualLayout>
          <c:layoutTarget val="inner"/>
          <c:xMode val="edge"/>
          <c:yMode val="edge"/>
          <c:x val="0.12133891213389095"/>
          <c:y val="0.27156549520767137"/>
          <c:w val="0.38702928870293235"/>
          <c:h val="0.59105431309904199"/>
        </c:manualLayout>
      </c:layout>
      <c:pieChart>
        <c:varyColors val="1"/>
        <c:ser>
          <c:idx val="0"/>
          <c:order val="0"/>
          <c:tx>
            <c:strRef>
              <c:f>Sheet1!$A$2</c:f>
              <c:strCache>
                <c:ptCount val="1"/>
                <c:pt idx="0">
                  <c:v> </c:v>
                </c:pt>
              </c:strCache>
            </c:strRef>
          </c:tx>
          <c:spPr>
            <a:solidFill>
              <a:srgbClr val="9999FF"/>
            </a:solidFill>
            <a:ln w="12648">
              <a:solidFill>
                <a:srgbClr val="000000"/>
              </a:solidFill>
              <a:prstDash val="solid"/>
            </a:ln>
          </c:spPr>
          <c:dPt>
            <c:idx val="1"/>
            <c:spPr>
              <a:solidFill>
                <a:srgbClr val="993366"/>
              </a:solidFill>
              <a:ln w="12648">
                <a:solidFill>
                  <a:srgbClr val="000000"/>
                </a:solidFill>
                <a:prstDash val="solid"/>
              </a:ln>
            </c:spPr>
          </c:dPt>
          <c:dPt>
            <c:idx val="2"/>
            <c:spPr>
              <a:solidFill>
                <a:srgbClr val="FFFFCC"/>
              </a:solidFill>
              <a:ln w="12648">
                <a:solidFill>
                  <a:srgbClr val="000000"/>
                </a:solidFill>
                <a:prstDash val="solid"/>
              </a:ln>
            </c:spPr>
          </c:dPt>
          <c:dPt>
            <c:idx val="3"/>
            <c:spPr>
              <a:solidFill>
                <a:srgbClr val="CCFFFF"/>
              </a:solidFill>
              <a:ln w="12648">
                <a:solidFill>
                  <a:srgbClr val="000000"/>
                </a:solidFill>
                <a:prstDash val="solid"/>
              </a:ln>
            </c:spPr>
          </c:dPt>
          <c:dLbls>
            <c:dLbl>
              <c:idx val="0"/>
              <c:layout>
                <c:manualLayout>
                  <c:x val="-0.15262443284521918"/>
                  <c:y val="-0.18596166536525011"/>
                </c:manualLayout>
              </c:layout>
              <c:tx>
                <c:rich>
                  <a:bodyPr rot="0" spcFirstLastPara="0" vertOverflow="ellipsis" vert="horz" wrap="square" lIns="38100" tIns="19050" rIns="38100" bIns="19050" anchor="ctr" anchorCtr="1"/>
                  <a:lstStyle/>
                  <a:p>
                    <a:pPr>
                      <a:defRPr lang="zh-CN" sz="1545" b="0" i="0" u="none" strike="noStrike" kern="1200" baseline="0">
                        <a:solidFill>
                          <a:srgbClr val="000000"/>
                        </a:solidFill>
                        <a:latin typeface="宋体" charset="-122"/>
                        <a:ea typeface="宋体" charset="-122"/>
                        <a:cs typeface="宋体" charset="-122"/>
                      </a:defRPr>
                    </a:pPr>
                    <a:r>
                      <a:rPr lang="en-US" altLang="zh-CN" sz="1100"/>
                      <a:t>87.23%</a:t>
                    </a:r>
                  </a:p>
                </c:rich>
              </c:tx>
              <c:numFmt formatCode="0%" sourceLinked="0"/>
              <c:spPr>
                <a:noFill/>
                <a:ln w="25296">
                  <a:noFill/>
                </a:ln>
                <a:effectLst/>
              </c:spPr>
              <c:dLblPos val="bestFit"/>
              <c:showPercent val="1"/>
              <c:extLst>
                <c:ext xmlns:c15="http://schemas.microsoft.com/office/drawing/2012/chart" uri="{CE6537A1-D6FC-4f65-9D91-7224C49458BB}">
                  <c15:layout/>
                </c:ext>
              </c:extLst>
            </c:dLbl>
            <c:dLbl>
              <c:idx val="1"/>
              <c:layout>
                <c:manualLayout>
                  <c:x val="7.2134841169545202E-2"/>
                  <c:y val="0.18827554752377301"/>
                </c:manualLayout>
              </c:layout>
              <c:tx>
                <c:rich>
                  <a:bodyPr rot="0" spcFirstLastPara="0" vertOverflow="ellipsis" vert="horz" wrap="square" lIns="38100" tIns="19050" rIns="38100" bIns="19050" anchor="ctr" anchorCtr="1"/>
                  <a:lstStyle/>
                  <a:p>
                    <a:pPr>
                      <a:defRPr lang="zh-CN" sz="1545" b="0" i="0" u="none" strike="noStrike" kern="1200" baseline="0">
                        <a:solidFill>
                          <a:srgbClr val="000000"/>
                        </a:solidFill>
                        <a:latin typeface="宋体" charset="-122"/>
                        <a:ea typeface="宋体" charset="-122"/>
                        <a:cs typeface="宋体" charset="-122"/>
                      </a:defRPr>
                    </a:pPr>
                    <a:r>
                      <a:rPr lang="en-US" altLang="zh-CN" sz="1100"/>
                      <a:t>5.18%</a:t>
                    </a:r>
                  </a:p>
                </c:rich>
              </c:tx>
              <c:numFmt formatCode="0%" sourceLinked="0"/>
              <c:spPr>
                <a:noFill/>
                <a:ln w="25296">
                  <a:noFill/>
                </a:ln>
                <a:effectLst/>
              </c:spPr>
              <c:dLblPos val="bestFit"/>
              <c:showPercent val="1"/>
              <c:extLst>
                <c:ext xmlns:c15="http://schemas.microsoft.com/office/drawing/2012/chart" uri="{CE6537A1-D6FC-4f65-9D91-7224C49458BB}">
                  <c15:layout/>
                </c:ext>
              </c:extLst>
            </c:dLbl>
            <c:dLbl>
              <c:idx val="2"/>
              <c:layout>
                <c:manualLayout>
                  <c:x val="2.4049123489193622E-2"/>
                  <c:y val="-5.5329805085839725E-3"/>
                </c:manualLayout>
              </c:layout>
              <c:tx>
                <c:rich>
                  <a:bodyPr rot="0" spcFirstLastPara="0" vertOverflow="ellipsis" vert="horz" wrap="square" lIns="38100" tIns="19050" rIns="38100" bIns="19050" anchor="ctr" anchorCtr="1"/>
                  <a:lstStyle/>
                  <a:p>
                    <a:pPr>
                      <a:defRPr lang="zh-CN" sz="1545" b="0" i="0" u="none" strike="noStrike" kern="1200" baseline="0">
                        <a:solidFill>
                          <a:srgbClr val="000000"/>
                        </a:solidFill>
                        <a:latin typeface="宋体" charset="-122"/>
                        <a:ea typeface="宋体" charset="-122"/>
                        <a:cs typeface="宋体" charset="-122"/>
                      </a:defRPr>
                    </a:pPr>
                    <a:r>
                      <a:rPr lang="en-US" altLang="zh-CN" sz="1100"/>
                      <a:t>2.58%</a:t>
                    </a:r>
                  </a:p>
                </c:rich>
              </c:tx>
              <c:numFmt formatCode="0%" sourceLinked="0"/>
              <c:spPr>
                <a:noFill/>
                <a:ln w="25296">
                  <a:noFill/>
                </a:ln>
                <a:effectLst/>
              </c:spPr>
              <c:dLblPos val="bestFit"/>
              <c:showPercent val="1"/>
              <c:extLst>
                <c:ext xmlns:c15="http://schemas.microsoft.com/office/drawing/2012/chart" uri="{CE6537A1-D6FC-4f65-9D91-7224C49458BB}">
                  <c15:layout/>
                </c:ext>
              </c:extLst>
            </c:dLbl>
            <c:dLbl>
              <c:idx val="3"/>
              <c:layout>
                <c:manualLayout>
                  <c:x val="4.8069083957098128E-2"/>
                  <c:y val="0.11370629490985802"/>
                </c:manualLayout>
              </c:layout>
              <c:tx>
                <c:rich>
                  <a:bodyPr rot="0" spcFirstLastPara="0" vertOverflow="ellipsis" vert="horz" wrap="square" lIns="38100" tIns="19050" rIns="38100" bIns="19050" anchor="ctr" anchorCtr="1"/>
                  <a:lstStyle/>
                  <a:p>
                    <a:pPr>
                      <a:defRPr lang="zh-CN" sz="1545" b="0" i="0" u="none" strike="noStrike" kern="1200" baseline="0">
                        <a:solidFill>
                          <a:srgbClr val="000000"/>
                        </a:solidFill>
                        <a:latin typeface="宋体" charset="-122"/>
                        <a:ea typeface="宋体" charset="-122"/>
                        <a:cs typeface="宋体" charset="-122"/>
                      </a:defRPr>
                    </a:pPr>
                    <a:r>
                      <a:rPr lang="en-US" altLang="zh-CN" sz="1100"/>
                      <a:t>5.01%</a:t>
                    </a:r>
                  </a:p>
                </c:rich>
              </c:tx>
              <c:numFmt formatCode="0%" sourceLinked="0"/>
              <c:spPr>
                <a:noFill/>
                <a:ln w="25296">
                  <a:noFill/>
                </a:ln>
                <a:effectLst/>
              </c:spPr>
              <c:dLblPos val="bestFit"/>
              <c:showPercent val="1"/>
              <c:extLst>
                <c:ext xmlns:c15="http://schemas.microsoft.com/office/drawing/2012/chart" uri="{CE6537A1-D6FC-4f65-9D91-7224C49458BB}">
                  <c15:layout/>
                </c:ext>
              </c:extLst>
            </c:dLbl>
            <c:numFmt formatCode="0%" sourceLinked="0"/>
            <c:spPr>
              <a:noFill/>
              <a:ln w="25296">
                <a:noFill/>
              </a:ln>
              <a:effectLst/>
            </c:spPr>
            <c:txPr>
              <a:bodyPr rot="0" spcFirstLastPara="0" vertOverflow="ellipsis" vert="horz" wrap="square" lIns="38100" tIns="19050" rIns="38100" bIns="19050" anchor="ctr" anchorCtr="1"/>
              <a:lstStyle/>
              <a:p>
                <a:pPr>
                  <a:defRPr lang="zh-CN" sz="110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Sheet1!$B$1:$E$1</c:f>
              <c:strCache>
                <c:ptCount val="4"/>
                <c:pt idx="0">
                  <c:v>一般公共服务（类）</c:v>
                </c:pt>
                <c:pt idx="1">
                  <c:v>社会保障和就业（类）</c:v>
                </c:pt>
                <c:pt idx="2">
                  <c:v>卫生健康支出</c:v>
                </c:pt>
                <c:pt idx="3">
                  <c:v>住房保障支出</c:v>
                </c:pt>
              </c:strCache>
            </c:strRef>
          </c:cat>
          <c:val>
            <c:numRef>
              <c:f>Sheet1!$B$2:$E$2</c:f>
              <c:numCache>
                <c:formatCode>General</c:formatCode>
                <c:ptCount val="4"/>
                <c:pt idx="0">
                  <c:v>339.7</c:v>
                </c:pt>
                <c:pt idx="1">
                  <c:v>20.170000000000005</c:v>
                </c:pt>
                <c:pt idx="2">
                  <c:v>10.040000000000001</c:v>
                </c:pt>
                <c:pt idx="3">
                  <c:v>19.52</c:v>
                </c:pt>
              </c:numCache>
            </c:numRef>
          </c:val>
        </c:ser>
        <c:ser>
          <c:idx val="1"/>
          <c:order val="1"/>
          <c:tx>
            <c:strRef>
              <c:f>Sheet1!$A$3</c:f>
              <c:strCache>
                <c:ptCount val="1"/>
                <c:pt idx="0">
                  <c:v> </c:v>
                </c:pt>
              </c:strCache>
            </c:strRef>
          </c:tx>
          <c:spPr>
            <a:solidFill>
              <a:srgbClr val="993366"/>
            </a:solidFill>
            <a:ln w="12648">
              <a:solidFill>
                <a:srgbClr val="000000"/>
              </a:solidFill>
              <a:prstDash val="solid"/>
            </a:ln>
          </c:spPr>
          <c:dPt>
            <c:idx val="0"/>
            <c:spPr>
              <a:solidFill>
                <a:srgbClr val="9999FF"/>
              </a:solidFill>
              <a:ln w="12648">
                <a:solidFill>
                  <a:srgbClr val="000000"/>
                </a:solidFill>
                <a:prstDash val="solid"/>
              </a:ln>
            </c:spPr>
          </c:dPt>
          <c:dPt>
            <c:idx val="2"/>
            <c:spPr>
              <a:solidFill>
                <a:srgbClr val="FFFFCC"/>
              </a:solidFill>
              <a:ln w="12648">
                <a:solidFill>
                  <a:srgbClr val="000000"/>
                </a:solidFill>
                <a:prstDash val="solid"/>
              </a:ln>
            </c:spPr>
          </c:dPt>
          <c:dPt>
            <c:idx val="3"/>
            <c:spPr>
              <a:solidFill>
                <a:srgbClr val="CCFFFF"/>
              </a:solidFill>
              <a:ln w="12648">
                <a:solidFill>
                  <a:srgbClr val="000000"/>
                </a:solidFill>
                <a:prstDash val="solid"/>
              </a:ln>
            </c:spPr>
          </c:dPt>
          <c:dLbls>
            <c:numFmt formatCode="0%" sourceLinked="0"/>
            <c:spPr>
              <a:noFill/>
              <a:ln w="25296">
                <a:noFill/>
              </a:ln>
              <a:effectLst/>
            </c:spPr>
            <c:txPr>
              <a:bodyPr rot="0" spcFirstLastPara="0" vertOverflow="ellipsis" vert="horz" wrap="square" lIns="38100" tIns="19050" rIns="38100" bIns="19050" anchor="ctr" anchorCtr="1"/>
              <a:lstStyle/>
              <a:p>
                <a:pPr>
                  <a:defRPr lang="zh-CN" sz="162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Sheet1!$B$1:$E$1</c:f>
              <c:strCache>
                <c:ptCount val="4"/>
                <c:pt idx="0">
                  <c:v>一般公共服务（类）</c:v>
                </c:pt>
                <c:pt idx="1">
                  <c:v>社会保障和就业（类）</c:v>
                </c:pt>
                <c:pt idx="2">
                  <c:v>卫生健康支出</c:v>
                </c:pt>
                <c:pt idx="3">
                  <c:v>住房保障支出</c:v>
                </c:pt>
              </c:strCache>
            </c:strRef>
          </c:cat>
          <c:val>
            <c:numRef>
              <c:f>Sheet1!$B$3:$E$3</c:f>
              <c:numCache>
                <c:formatCode>General</c:formatCode>
                <c:ptCount val="4"/>
              </c:numCache>
            </c:numRef>
          </c:val>
        </c:ser>
        <c:ser>
          <c:idx val="2"/>
          <c:order val="2"/>
          <c:tx>
            <c:strRef>
              <c:f>Sheet1!$A$4</c:f>
              <c:strCache>
                <c:ptCount val="1"/>
                <c:pt idx="0">
                  <c:v> </c:v>
                </c:pt>
              </c:strCache>
            </c:strRef>
          </c:tx>
          <c:spPr>
            <a:solidFill>
              <a:srgbClr val="FFFFCC"/>
            </a:solidFill>
            <a:ln w="12648">
              <a:solidFill>
                <a:srgbClr val="000000"/>
              </a:solidFill>
              <a:prstDash val="solid"/>
            </a:ln>
          </c:spPr>
          <c:dPt>
            <c:idx val="0"/>
            <c:spPr>
              <a:solidFill>
                <a:srgbClr val="9999FF"/>
              </a:solidFill>
              <a:ln w="12648">
                <a:solidFill>
                  <a:srgbClr val="000000"/>
                </a:solidFill>
                <a:prstDash val="solid"/>
              </a:ln>
            </c:spPr>
          </c:dPt>
          <c:dPt>
            <c:idx val="1"/>
            <c:spPr>
              <a:solidFill>
                <a:srgbClr val="993366"/>
              </a:solidFill>
              <a:ln w="12648">
                <a:solidFill>
                  <a:srgbClr val="000000"/>
                </a:solidFill>
                <a:prstDash val="solid"/>
              </a:ln>
            </c:spPr>
          </c:dPt>
          <c:dPt>
            <c:idx val="3"/>
            <c:spPr>
              <a:solidFill>
                <a:srgbClr val="CCFFFF"/>
              </a:solidFill>
              <a:ln w="12648">
                <a:solidFill>
                  <a:srgbClr val="000000"/>
                </a:solidFill>
                <a:prstDash val="solid"/>
              </a:ln>
            </c:spPr>
          </c:dPt>
          <c:dLbls>
            <c:numFmt formatCode="0%" sourceLinked="0"/>
            <c:spPr>
              <a:noFill/>
              <a:ln w="25296">
                <a:noFill/>
              </a:ln>
              <a:effectLst/>
            </c:spPr>
            <c:txPr>
              <a:bodyPr rot="0" spcFirstLastPara="0" vertOverflow="ellipsis" vert="horz" wrap="square" lIns="38100" tIns="19050" rIns="38100" bIns="19050" anchor="ctr" anchorCtr="1"/>
              <a:lstStyle/>
              <a:p>
                <a:pPr>
                  <a:defRPr lang="zh-CN" sz="162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Sheet1!$B$1:$E$1</c:f>
              <c:strCache>
                <c:ptCount val="4"/>
                <c:pt idx="0">
                  <c:v>一般公共服务（类）</c:v>
                </c:pt>
                <c:pt idx="1">
                  <c:v>社会保障和就业（类）</c:v>
                </c:pt>
                <c:pt idx="2">
                  <c:v>卫生健康支出</c:v>
                </c:pt>
                <c:pt idx="3">
                  <c:v>住房保障支出</c:v>
                </c:pt>
              </c:strCache>
            </c:strRef>
          </c:cat>
          <c:val>
            <c:numRef>
              <c:f>Sheet1!$B$4:$E$4</c:f>
              <c:numCache>
                <c:formatCode>General</c:formatCode>
                <c:ptCount val="4"/>
              </c:numCache>
            </c:numRef>
          </c:val>
        </c:ser>
        <c:dLbls>
          <c:showPercent val="1"/>
        </c:dLbls>
        <c:firstSliceAng val="0"/>
      </c:pieChart>
      <c:spPr>
        <a:solidFill>
          <a:srgbClr val="C0C0C0"/>
        </a:solidFill>
        <a:ln w="12648">
          <a:solidFill>
            <a:srgbClr val="808080"/>
          </a:solidFill>
          <a:prstDash val="solid"/>
        </a:ln>
      </c:spPr>
    </c:plotArea>
    <c:legend>
      <c:legendPos val="r"/>
      <c:layout>
        <c:manualLayout>
          <c:xMode val="edge"/>
          <c:yMode val="edge"/>
          <c:x val="0.61506276150627559"/>
          <c:y val="0.23961661341852997"/>
          <c:w val="0.33263598326360144"/>
          <c:h val="0.70607028753993839"/>
        </c:manualLayout>
      </c:layout>
      <c:spPr>
        <a:noFill/>
        <a:ln w="3162">
          <a:solidFill>
            <a:srgbClr val="000000"/>
          </a:solidFill>
          <a:prstDash val="solid"/>
        </a:ln>
      </c:spPr>
      <c:txPr>
        <a:bodyPr rot="0" spcFirstLastPara="0" vertOverflow="ellipsis" vert="horz" wrap="square" anchor="ctr" anchorCtr="1"/>
        <a:lstStyle/>
        <a:p>
          <a:pPr>
            <a:defRPr lang="zh-CN" sz="1420" b="0" i="0" u="none" strike="noStrike" kern="1200" baseline="0">
              <a:solidFill>
                <a:srgbClr val="000000"/>
              </a:solidFill>
              <a:latin typeface="宋体" charset="-122"/>
              <a:ea typeface="宋体" charset="-122"/>
              <a:cs typeface="宋体" charset="-122"/>
            </a:defRPr>
          </a:pPr>
          <a:endParaRPr lang="zh-CN"/>
        </a:p>
      </c:txPr>
    </c:legend>
    <c:plotVisOnly val="1"/>
    <c:dispBlanksAs val="zero"/>
  </c:chart>
  <c:spPr>
    <a:noFill/>
    <a:ln w="12648" cap="flat" cmpd="sng" algn="ctr">
      <a:solidFill>
        <a:srgbClr val="000000"/>
      </a:solidFill>
      <a:prstDash val="solid"/>
      <a:round/>
    </a:ln>
  </c:spPr>
  <c:txPr>
    <a:bodyPr/>
    <a:lstStyle/>
    <a:p>
      <a:pPr>
        <a:defRPr lang="zh-CN" sz="1545" b="0" i="0" u="none" strike="noStrike" baseline="0">
          <a:solidFill>
            <a:srgbClr val="000000"/>
          </a:solidFill>
          <a:latin typeface="宋体" charset="-122"/>
          <a:ea typeface="宋体" charset="-122"/>
          <a:cs typeface="宋体" charset="-122"/>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0" vertOverflow="ellipsis" vert="horz" wrap="square" anchor="ctr" anchorCtr="1"/>
          <a:lstStyle/>
          <a:p>
            <a:pPr>
              <a:defRPr lang="zh-CN" sz="1450" b="0" i="0" u="none" strike="noStrike" kern="1200" baseline="0">
                <a:solidFill>
                  <a:srgbClr val="000000"/>
                </a:solidFill>
                <a:latin typeface="宋体" charset="-122"/>
                <a:ea typeface="宋体" charset="-122"/>
                <a:cs typeface="宋体" charset="-122"/>
              </a:defRPr>
            </a:pPr>
            <a:r>
              <a:rPr lang="zh-CN" altLang="en-US" b="0"/>
              <a:t>“三公”经费财政拨款支出结构</a:t>
            </a:r>
          </a:p>
        </c:rich>
      </c:tx>
      <c:layout>
        <c:manualLayout>
          <c:xMode val="edge"/>
          <c:yMode val="edge"/>
          <c:x val="0.17029215703640918"/>
          <c:y val="6.4123918936362503E-2"/>
        </c:manualLayout>
      </c:layout>
      <c:spPr>
        <a:noFill/>
        <a:ln w="25400">
          <a:noFill/>
        </a:ln>
      </c:spPr>
    </c:title>
    <c:plotArea>
      <c:layout>
        <c:manualLayout>
          <c:layoutTarget val="inner"/>
          <c:xMode val="edge"/>
          <c:yMode val="edge"/>
          <c:x val="0.116182572614108"/>
          <c:y val="0.23469387755102211"/>
          <c:w val="0.41701244813278021"/>
          <c:h val="0.68367346938775497"/>
        </c:manualLayout>
      </c:layout>
      <c:pieChart>
        <c:varyColors val="1"/>
        <c:ser>
          <c:idx val="0"/>
          <c:order val="0"/>
          <c:tx>
            <c:strRef>
              <c:f>Sheet1!$A$2</c:f>
              <c:strCache>
                <c:ptCount val="1"/>
                <c:pt idx="0">
                  <c:v> </c:v>
                </c:pt>
              </c:strCache>
            </c:strRef>
          </c:tx>
          <c:spPr>
            <a:solidFill>
              <a:srgbClr val="9999FF"/>
            </a:solidFill>
            <a:ln w="12700">
              <a:solidFill>
                <a:srgbClr val="000000"/>
              </a:solidFill>
              <a:prstDash val="solid"/>
            </a:ln>
          </c:spPr>
          <c:dPt>
            <c:idx val="1"/>
            <c:spPr>
              <a:solidFill>
                <a:srgbClr val="993366"/>
              </a:solidFill>
              <a:ln w="12700">
                <a:solidFill>
                  <a:srgbClr val="000000"/>
                </a:solidFill>
                <a:prstDash val="solid"/>
              </a:ln>
            </c:spPr>
          </c:dPt>
          <c:dLbls>
            <c:dLbl>
              <c:idx val="0"/>
              <c:layout>
                <c:manualLayout>
                  <c:x val="-9.1945261472414025E-2"/>
                  <c:y val="-0.27850509869082202"/>
                </c:manualLayout>
              </c:layout>
              <c:tx>
                <c:rich>
                  <a:bodyPr rot="0" spcFirstLastPara="0" vertOverflow="ellipsis" vert="horz" wrap="square" lIns="38100" tIns="19050" rIns="38100" bIns="19050" anchor="ctr" anchorCtr="1"/>
                  <a:lstStyle/>
                  <a:p>
                    <a:pPr>
                      <a:defRPr lang="zh-CN" sz="1600" b="1" i="0" u="none" strike="noStrike" kern="1200" baseline="0">
                        <a:solidFill>
                          <a:srgbClr val="000000"/>
                        </a:solidFill>
                        <a:latin typeface="宋体" charset="-122"/>
                        <a:ea typeface="宋体" charset="-122"/>
                        <a:cs typeface="宋体" charset="-122"/>
                      </a:defRPr>
                    </a:pPr>
                    <a:r>
                      <a:rPr lang="en-US" altLang="zh-CN" sz="1600" b="1"/>
                      <a:t>95.88%</a:t>
                    </a:r>
                  </a:p>
                </c:rich>
              </c:tx>
              <c:numFmt formatCode="0%" sourceLinked="0"/>
              <c:spPr>
                <a:noFill/>
                <a:ln w="25400">
                  <a:noFill/>
                </a:ln>
                <a:effectLst/>
              </c:spPr>
              <c:dLblPos val="bestFit"/>
              <c:showPercent val="1"/>
              <c:extLst>
                <c:ext xmlns:c15="http://schemas.microsoft.com/office/drawing/2012/chart" uri="{CE6537A1-D6FC-4f65-9D91-7224C49458BB}">
                  <c15:layout/>
                </c:ext>
              </c:extLst>
            </c:dLbl>
            <c:dLbl>
              <c:idx val="1"/>
              <c:layout>
                <c:manualLayout>
                  <c:x val="2.918177035703581E-2"/>
                  <c:y val="2.7469041779613738E-2"/>
                </c:manualLayout>
              </c:layout>
              <c:tx>
                <c:rich>
                  <a:bodyPr rot="0" spcFirstLastPara="0" vertOverflow="ellipsis" vert="horz" wrap="square" lIns="38100" tIns="19050" rIns="38100" bIns="19050" anchor="ctr" anchorCtr="1"/>
                  <a:lstStyle/>
                  <a:p>
                    <a:pPr>
                      <a:defRPr lang="zh-CN" sz="1600" b="1" i="0" u="none" strike="noStrike" kern="1200" baseline="0">
                        <a:solidFill>
                          <a:srgbClr val="000000"/>
                        </a:solidFill>
                        <a:latin typeface="宋体" charset="-122"/>
                        <a:ea typeface="宋体" charset="-122"/>
                        <a:cs typeface="宋体" charset="-122"/>
                      </a:defRPr>
                    </a:pPr>
                    <a:r>
                      <a:rPr lang="en-US" altLang="zh-CN" sz="1600" b="1"/>
                      <a:t>4.12%</a:t>
                    </a:r>
                  </a:p>
                </c:rich>
              </c:tx>
              <c:numFmt formatCode="0%" sourceLinked="0"/>
              <c:spPr>
                <a:noFill/>
                <a:ln w="25400">
                  <a:noFill/>
                </a:ln>
                <a:effectLst/>
              </c:spPr>
              <c:dLblPos val="bestFit"/>
              <c:showPercent val="1"/>
              <c:extLst>
                <c:ext xmlns:c15="http://schemas.microsoft.com/office/drawing/2012/chart" uri="{CE6537A1-D6FC-4f65-9D91-7224C49458BB}">
                  <c15:layout/>
                </c:ext>
              </c:extLst>
            </c:dLbl>
            <c:numFmt formatCode="0%" sourceLinked="0"/>
            <c:spPr>
              <a:noFill/>
              <a:ln w="25400">
                <a:noFill/>
              </a:ln>
              <a:effectLst/>
            </c:spPr>
            <c:txPr>
              <a:bodyPr rot="0" spcFirstLastPara="0" vertOverflow="ellipsis" vert="horz" wrap="square" lIns="38100" tIns="19050" rIns="38100" bIns="19050" anchor="ctr" anchorCtr="1"/>
              <a:lstStyle/>
              <a:p>
                <a:pPr>
                  <a:defRPr lang="zh-CN" sz="145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Sheet1!$B$1:$C$1</c:f>
              <c:strCache>
                <c:ptCount val="2"/>
                <c:pt idx="0">
                  <c:v>公务用车购置及运行维护费</c:v>
                </c:pt>
                <c:pt idx="1">
                  <c:v>公务接待费</c:v>
                </c:pt>
              </c:strCache>
            </c:strRef>
          </c:cat>
          <c:val>
            <c:numRef>
              <c:f>Sheet1!$B$2:$C$2</c:f>
              <c:numCache>
                <c:formatCode>General</c:formatCode>
                <c:ptCount val="2"/>
                <c:pt idx="0">
                  <c:v>7.21</c:v>
                </c:pt>
                <c:pt idx="1">
                  <c:v>0.31000000000000022</c:v>
                </c:pt>
              </c:numCache>
            </c:numRef>
          </c:val>
        </c:ser>
        <c:ser>
          <c:idx val="1"/>
          <c:order val="1"/>
          <c:tx>
            <c:strRef>
              <c:f>Sheet1!$A$3</c:f>
              <c:strCache>
                <c:ptCount val="1"/>
                <c:pt idx="0">
                  <c:v> </c:v>
                </c:pt>
              </c:strCache>
            </c:strRef>
          </c:tx>
          <c:spPr>
            <a:solidFill>
              <a:srgbClr val="993366"/>
            </a:solidFill>
            <a:ln w="12700">
              <a:solidFill>
                <a:srgbClr val="000000"/>
              </a:solidFill>
              <a:prstDash val="solid"/>
            </a:ln>
          </c:spPr>
          <c:dPt>
            <c:idx val="0"/>
            <c:spPr>
              <a:solidFill>
                <a:srgbClr val="9999FF"/>
              </a:solidFill>
              <a:ln w="12700">
                <a:solidFill>
                  <a:srgbClr val="000000"/>
                </a:solidFill>
                <a:prstDash val="solid"/>
              </a:ln>
            </c:spPr>
          </c:dPt>
          <c:dLbls>
            <c:numFmt formatCode="0%" sourceLinked="0"/>
            <c:spPr>
              <a:noFill/>
              <a:ln w="25400">
                <a:noFill/>
              </a:ln>
              <a:effectLst/>
            </c:spPr>
            <c:txPr>
              <a:bodyPr rot="0" spcFirstLastPara="0" vertOverflow="ellipsis" vert="horz" wrap="square" lIns="38100" tIns="19050" rIns="38100" bIns="19050" anchor="ctr" anchorCtr="1"/>
              <a:lstStyle/>
              <a:p>
                <a:pPr>
                  <a:defRPr lang="zh-CN" sz="145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Sheet1!$B$1:$C$1</c:f>
              <c:strCache>
                <c:ptCount val="2"/>
                <c:pt idx="0">
                  <c:v>公务用车购置及运行维护费</c:v>
                </c:pt>
                <c:pt idx="1">
                  <c:v>公务接待费</c:v>
                </c:pt>
              </c:strCache>
            </c:strRef>
          </c:cat>
          <c:val>
            <c:numRef>
              <c:f>Sheet1!$B$3:$C$3</c:f>
              <c:numCache>
                <c:formatCode>General</c:formatCode>
                <c:ptCount val="2"/>
              </c:numCache>
            </c:numRef>
          </c:val>
        </c:ser>
        <c:ser>
          <c:idx val="2"/>
          <c:order val="2"/>
          <c:tx>
            <c:strRef>
              <c:f>Sheet1!$A$4</c:f>
              <c:strCache>
                <c:ptCount val="1"/>
                <c:pt idx="0">
                  <c:v> </c:v>
                </c:pt>
              </c:strCache>
            </c:strRef>
          </c:tx>
          <c:spPr>
            <a:solidFill>
              <a:srgbClr val="FFFFCC"/>
            </a:solidFill>
            <a:ln w="12700">
              <a:solidFill>
                <a:srgbClr val="000000"/>
              </a:solidFill>
              <a:prstDash val="solid"/>
            </a:ln>
          </c:spPr>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Lbls>
            <c:numFmt formatCode="0%" sourceLinked="0"/>
            <c:spPr>
              <a:noFill/>
              <a:ln w="25400">
                <a:noFill/>
              </a:ln>
              <a:effectLst/>
            </c:spPr>
            <c:txPr>
              <a:bodyPr rot="0" spcFirstLastPara="0" vertOverflow="ellipsis" vert="horz" wrap="square" lIns="38100" tIns="19050" rIns="38100" bIns="19050" anchor="ctr" anchorCtr="1"/>
              <a:lstStyle/>
              <a:p>
                <a:pPr>
                  <a:defRPr lang="zh-CN" sz="1450" b="0" i="0" u="none" strike="noStrike" kern="1200" baseline="0">
                    <a:solidFill>
                      <a:srgbClr val="000000"/>
                    </a:solidFill>
                    <a:latin typeface="宋体" charset="-122"/>
                    <a:ea typeface="宋体" charset="-122"/>
                    <a:cs typeface="宋体" charset="-122"/>
                  </a:defRPr>
                </a:pPr>
                <a:endParaRPr lang="zh-CN"/>
              </a:p>
            </c:txPr>
            <c:dLblPos val="bestFit"/>
            <c:showPercent val="1"/>
            <c:showLeaderLines val="1"/>
            <c:extLst>
              <c:ext xmlns:c15="http://schemas.microsoft.com/office/drawing/2012/chart" uri="{CE6537A1-D6FC-4f65-9D91-7224C49458BB}">
                <c15:layout/>
                <c15:showLeaderLines val="1"/>
                <c15:leaderLines/>
              </c:ext>
            </c:extLst>
          </c:dLbls>
          <c:cat>
            <c:strRef>
              <c:f>Sheet1!$B$1:$C$1</c:f>
              <c:strCache>
                <c:ptCount val="2"/>
                <c:pt idx="0">
                  <c:v>公务用车购置及运行维护费</c:v>
                </c:pt>
                <c:pt idx="1">
                  <c:v>公务接待费</c:v>
                </c:pt>
              </c:strCache>
            </c:strRef>
          </c:cat>
          <c:val>
            <c:numRef>
              <c:f>Sheet1!$B$4:$C$4</c:f>
              <c:numCache>
                <c:formatCode>General</c:formatCode>
                <c:ptCount val="2"/>
              </c:numCache>
            </c:numRef>
          </c:val>
        </c:ser>
        <c:dLbls>
          <c:showPercent val="1"/>
        </c:dLbls>
        <c:firstSliceAng val="0"/>
      </c:pieChart>
      <c:spPr>
        <a:solidFill>
          <a:srgbClr val="C0C0C0"/>
        </a:solidFill>
        <a:ln w="12700">
          <a:solidFill>
            <a:srgbClr val="808080"/>
          </a:solidFill>
          <a:prstDash val="solid"/>
        </a:ln>
      </c:spPr>
    </c:plotArea>
    <c:legend>
      <c:legendPos val="r"/>
      <c:layout>
        <c:manualLayout>
          <c:xMode val="edge"/>
          <c:yMode val="edge"/>
          <c:x val="0.61618257261411358"/>
          <c:y val="0.41156462585034437"/>
          <c:w val="0.34024896265560423"/>
          <c:h val="0.35034013605442221"/>
        </c:manualLayout>
      </c:layout>
      <c:spPr>
        <a:noFill/>
        <a:ln w="3175">
          <a:solidFill>
            <a:srgbClr val="000000"/>
          </a:solidFill>
          <a:prstDash val="solid"/>
        </a:ln>
      </c:spPr>
      <c:txPr>
        <a:bodyPr rot="0" spcFirstLastPara="0" vertOverflow="ellipsis" vert="horz" wrap="square" anchor="ctr" anchorCtr="1"/>
        <a:lstStyle/>
        <a:p>
          <a:pPr>
            <a:defRPr lang="zh-CN" sz="1330" b="0" i="0" u="none" strike="noStrike" kern="1200" baseline="0">
              <a:solidFill>
                <a:srgbClr val="000000"/>
              </a:solidFill>
              <a:latin typeface="宋体" charset="-122"/>
              <a:ea typeface="宋体" charset="-122"/>
              <a:cs typeface="宋体" charset="-122"/>
            </a:defRPr>
          </a:pPr>
          <a:endParaRPr lang="zh-CN"/>
        </a:p>
      </c:txPr>
    </c:legend>
    <c:plotVisOnly val="1"/>
    <c:dispBlanksAs val="zero"/>
  </c:chart>
  <c:spPr>
    <a:noFill/>
    <a:ln w="12700" cap="flat" cmpd="sng" algn="ctr">
      <a:solidFill>
        <a:srgbClr val="000000"/>
      </a:solidFill>
      <a:prstDash val="solid"/>
      <a:round/>
    </a:ln>
  </c:spPr>
  <c:txPr>
    <a:bodyPr/>
    <a:lstStyle/>
    <a:p>
      <a:pPr>
        <a:defRPr lang="zh-CN" sz="1450" b="0" i="0" u="none" strike="noStrike" baseline="0">
          <a:solidFill>
            <a:srgbClr val="000000"/>
          </a:solidFill>
          <a:latin typeface="宋体" charset="-122"/>
          <a:ea typeface="宋体" charset="-122"/>
          <a:cs typeface="宋体" charset="-122"/>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Info spid="_x0000_s1030"/>
    <customShpInfo spid="_x0000_s1031"/>
    <customShpInfo spid="_x0000_s1029"/>
    <customShpInfo spid="_x0000_s1027"/>
    <customShpInfo spid="_x0000_s1028"/>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56CE6D-EA5E-42AC-8BEE-D7AA2DB13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56</Pages>
  <Words>4095</Words>
  <Characters>23347</Characters>
  <Application>Microsoft Office Word</Application>
  <DocSecurity>0</DocSecurity>
  <Lines>194</Lines>
  <Paragraphs>54</Paragraphs>
  <ScaleCrop>false</ScaleCrop>
  <Company>四川省财政厅</Company>
  <LinksUpToDate>false</LinksUpToDate>
  <CharactersWithSpaces>27388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User</cp:lastModifiedBy>
  <cp:revision>3</cp:revision>
  <cp:lastPrinted>2023-07-31T10:35:00Z</cp:lastPrinted>
  <dcterms:created xsi:type="dcterms:W3CDTF">2023-10-16T09:36:00Z</dcterms:created>
  <dcterms:modified xsi:type="dcterms:W3CDTF">2023-10-17T01:31:00Z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51C36BBC5E464FF69B470E84E6DD4AA9_13</vt:lpwstr>
  </property>
</Properties>
</file>