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C93" w:rsidRDefault="002E5C93">
      <w:pPr>
        <w:spacing w:line="600" w:lineRule="exact"/>
        <w:jc w:val="left"/>
        <w:outlineLvl w:val="0"/>
        <w:rPr>
          <w:rFonts w:ascii="方正小标宋简体" w:eastAsia="方正小标宋简体" w:hAnsi="宋体"/>
          <w:szCs w:val="21"/>
        </w:rPr>
      </w:pPr>
      <w:bookmarkStart w:id="0" w:name="_Toc15306267"/>
    </w:p>
    <w:p w:rsidR="002E5C93" w:rsidRDefault="002E5C93">
      <w:pPr>
        <w:spacing w:line="600" w:lineRule="exact"/>
        <w:jc w:val="center"/>
        <w:outlineLvl w:val="0"/>
        <w:rPr>
          <w:rFonts w:ascii="方正小标宋简体" w:eastAsia="方正小标宋简体" w:hAnsi="宋体"/>
          <w:sz w:val="72"/>
          <w:szCs w:val="72"/>
        </w:rPr>
      </w:pPr>
    </w:p>
    <w:p w:rsidR="002E5C93" w:rsidRDefault="002E5C93">
      <w:pPr>
        <w:spacing w:line="600" w:lineRule="exact"/>
        <w:jc w:val="center"/>
        <w:outlineLvl w:val="0"/>
        <w:rPr>
          <w:rFonts w:ascii="方正小标宋简体" w:eastAsia="方正小标宋简体" w:hAnsi="宋体"/>
          <w:sz w:val="72"/>
          <w:szCs w:val="72"/>
        </w:rPr>
      </w:pPr>
    </w:p>
    <w:p w:rsidR="002E5C93" w:rsidRDefault="00404FBC">
      <w:pPr>
        <w:adjustRightInd w:val="0"/>
        <w:snapToGrid w:val="0"/>
        <w:spacing w:line="360" w:lineRule="auto"/>
        <w:jc w:val="center"/>
        <w:outlineLvl w:val="0"/>
        <w:rPr>
          <w:rFonts w:ascii="方正小标宋简体" w:eastAsia="方正小标宋简体" w:hAnsi="方正小标宋简体" w:cs="方正小标宋简体"/>
          <w:color w:val="000000" w:themeColor="text1"/>
          <w:sz w:val="72"/>
          <w:szCs w:val="72"/>
        </w:rPr>
      </w:pPr>
      <w:bookmarkStart w:id="1" w:name="_Toc15377193"/>
      <w:bookmarkStart w:id="2" w:name="_Toc15378441"/>
      <w:bookmarkStart w:id="3" w:name="_Toc15377425"/>
      <w:bookmarkStart w:id="4" w:name="_Toc15396475"/>
      <w:bookmarkStart w:id="5" w:name="_Toc15396597"/>
      <w:r>
        <w:rPr>
          <w:rFonts w:ascii="方正小标宋简体" w:eastAsia="方正小标宋简体" w:hAnsi="方正小标宋简体" w:cs="方正小标宋简体" w:hint="eastAsia"/>
          <w:color w:val="000000" w:themeColor="text1"/>
          <w:sz w:val="72"/>
          <w:szCs w:val="72"/>
        </w:rPr>
        <w:t>2022年度</w:t>
      </w:r>
      <w:bookmarkEnd w:id="1"/>
      <w:bookmarkEnd w:id="2"/>
      <w:bookmarkEnd w:id="3"/>
      <w:bookmarkEnd w:id="4"/>
      <w:bookmarkEnd w:id="5"/>
    </w:p>
    <w:p w:rsidR="002E5C93" w:rsidRDefault="00404FBC">
      <w:pPr>
        <w:adjustRightInd w:val="0"/>
        <w:snapToGrid w:val="0"/>
        <w:spacing w:line="360" w:lineRule="auto"/>
        <w:jc w:val="center"/>
        <w:outlineLvl w:val="0"/>
        <w:rPr>
          <w:rFonts w:ascii="方正小标宋简体" w:eastAsia="方正小标宋简体" w:hAnsi="方正小标宋简体" w:cs="方正小标宋简体"/>
          <w:color w:val="000000" w:themeColor="text1"/>
          <w:sz w:val="72"/>
          <w:szCs w:val="72"/>
        </w:rPr>
      </w:pPr>
      <w:bookmarkStart w:id="6" w:name="_Toc15396598"/>
      <w:bookmarkStart w:id="7" w:name="_Toc15377194"/>
      <w:bookmarkStart w:id="8" w:name="_Toc15378442"/>
      <w:bookmarkStart w:id="9" w:name="_Toc15377426"/>
      <w:bookmarkStart w:id="10" w:name="_Toc15396476"/>
      <w:r>
        <w:rPr>
          <w:rFonts w:ascii="方正小标宋简体" w:eastAsia="方正小标宋简体" w:hAnsi="方正小标宋简体" w:cs="方正小标宋简体" w:hint="eastAsia"/>
          <w:color w:val="000000" w:themeColor="text1"/>
          <w:sz w:val="72"/>
          <w:szCs w:val="72"/>
        </w:rPr>
        <w:t>广元市</w:t>
      </w:r>
      <w:bookmarkStart w:id="11" w:name="_Toc15306268"/>
      <w:bookmarkEnd w:id="0"/>
      <w:r>
        <w:rPr>
          <w:rFonts w:ascii="方正小标宋简体" w:eastAsia="方正小标宋简体" w:hAnsi="方正小标宋简体" w:cs="方正小标宋简体" w:hint="eastAsia"/>
          <w:color w:val="000000" w:themeColor="text1"/>
          <w:sz w:val="72"/>
          <w:szCs w:val="72"/>
        </w:rPr>
        <w:t>国资国企服务中心单位决算</w:t>
      </w:r>
      <w:bookmarkEnd w:id="6"/>
      <w:bookmarkEnd w:id="7"/>
      <w:bookmarkEnd w:id="8"/>
      <w:bookmarkEnd w:id="9"/>
      <w:bookmarkEnd w:id="10"/>
      <w:bookmarkEnd w:id="11"/>
    </w:p>
    <w:p w:rsidR="002E5C93" w:rsidRDefault="00404FBC">
      <w:pPr>
        <w:widowControl/>
        <w:jc w:val="center"/>
        <w:rPr>
          <w:rFonts w:ascii="华文中宋" w:eastAsia="华文中宋" w:hAnsi="华文中宋"/>
          <w:color w:val="000000" w:themeColor="text1"/>
          <w:sz w:val="48"/>
          <w:szCs w:val="48"/>
        </w:rPr>
      </w:pPr>
      <w:r>
        <w:rPr>
          <w:rFonts w:ascii="方正小标宋简体" w:eastAsia="方正小标宋简体" w:hAnsi="宋体"/>
          <w:color w:val="000000" w:themeColor="text1"/>
          <w:sz w:val="36"/>
          <w:szCs w:val="36"/>
        </w:rPr>
        <w:br w:type="page"/>
      </w:r>
      <w:r>
        <w:rPr>
          <w:rFonts w:ascii="华文中宋" w:eastAsia="华文中宋" w:hAnsi="华文中宋" w:hint="eastAsia"/>
          <w:color w:val="000000" w:themeColor="text1"/>
          <w:sz w:val="48"/>
          <w:szCs w:val="48"/>
        </w:rPr>
        <w:lastRenderedPageBreak/>
        <w:t>目录</w:t>
      </w:r>
    </w:p>
    <w:p w:rsidR="002E5C93" w:rsidRDefault="002E5C93">
      <w:pPr>
        <w:widowControl/>
        <w:jc w:val="center"/>
        <w:rPr>
          <w:rFonts w:ascii="黑体" w:eastAsia="黑体" w:hAnsi="黑体" w:cstheme="minorBidi"/>
          <w:color w:val="000000" w:themeColor="text1"/>
          <w:sz w:val="28"/>
          <w:szCs w:val="28"/>
        </w:rPr>
      </w:pPr>
    </w:p>
    <w:p w:rsidR="002E5C93" w:rsidRDefault="00404FBC">
      <w:pPr>
        <w:pStyle w:val="10"/>
        <w:adjustRightInd w:val="0"/>
        <w:snapToGrid w:val="0"/>
        <w:spacing w:before="0" w:line="580" w:lineRule="exact"/>
        <w:rPr>
          <w:color w:val="000000" w:themeColor="text1"/>
        </w:rPr>
      </w:pPr>
      <w:r>
        <w:rPr>
          <w:rFonts w:ascii="仿宋_GB2312" w:eastAsia="仿宋_GB2312" w:hint="eastAsia"/>
          <w:color w:val="000000" w:themeColor="text1"/>
        </w:rPr>
        <w:t>公开时间：2023年10月1</w:t>
      </w:r>
      <w:r w:rsidR="00E467C0">
        <w:rPr>
          <w:rFonts w:ascii="仿宋_GB2312" w:eastAsia="仿宋_GB2312" w:hint="eastAsia"/>
          <w:color w:val="000000" w:themeColor="text1"/>
        </w:rPr>
        <w:t>7</w:t>
      </w:r>
      <w:r>
        <w:rPr>
          <w:rFonts w:ascii="仿宋_GB2312" w:eastAsia="仿宋_GB2312" w:hint="eastAsia"/>
          <w:color w:val="000000" w:themeColor="text1"/>
        </w:rPr>
        <w:t>日</w:t>
      </w:r>
    </w:p>
    <w:p w:rsidR="002E5C93" w:rsidRDefault="002E5C93">
      <w:pPr>
        <w:adjustRightInd w:val="0"/>
        <w:snapToGrid w:val="0"/>
        <w:spacing w:line="580" w:lineRule="exact"/>
        <w:rPr>
          <w:color w:val="000000" w:themeColor="text1"/>
        </w:rPr>
      </w:pPr>
    </w:p>
    <w:p w:rsidR="002E5C93" w:rsidRDefault="00404FBC">
      <w:pPr>
        <w:pStyle w:val="10"/>
        <w:adjustRightInd w:val="0"/>
        <w:snapToGrid w:val="0"/>
        <w:spacing w:before="0" w:line="580" w:lineRule="exact"/>
        <w:jc w:val="left"/>
        <w:rPr>
          <w:rFonts w:ascii="黑体" w:eastAsia="黑体" w:hAnsi="黑体" w:cstheme="minorBidi"/>
          <w:color w:val="000000" w:themeColor="text1"/>
          <w:sz w:val="32"/>
          <w:szCs w:val="32"/>
        </w:rPr>
      </w:pPr>
      <w:r>
        <w:rPr>
          <w:rFonts w:ascii="黑体" w:eastAsia="黑体" w:hAnsi="黑体" w:hint="eastAsia"/>
          <w:color w:val="000000" w:themeColor="text1"/>
          <w:sz w:val="32"/>
          <w:szCs w:val="32"/>
        </w:rPr>
        <w:t>第一部分 单位概况</w:t>
      </w:r>
      <w:r>
        <w:rPr>
          <w:rFonts w:ascii="黑体" w:eastAsia="黑体" w:hAnsi="黑体"/>
          <w:color w:val="000000" w:themeColor="text1"/>
          <w:sz w:val="32"/>
          <w:szCs w:val="32"/>
        </w:rPr>
        <w:tab/>
      </w:r>
      <w:r>
        <w:rPr>
          <w:rFonts w:ascii="黑体" w:eastAsia="黑体" w:hAnsi="黑体" w:hint="eastAsia"/>
          <w:color w:val="000000" w:themeColor="text1"/>
          <w:sz w:val="32"/>
          <w:szCs w:val="32"/>
        </w:rPr>
        <w:t>4</w:t>
      </w:r>
    </w:p>
    <w:p w:rsidR="002E5C93" w:rsidRDefault="00404FBC">
      <w:pPr>
        <w:pStyle w:val="20"/>
        <w:adjustRightInd w:val="0"/>
        <w:snapToGrid w:val="0"/>
        <w:spacing w:line="580" w:lineRule="exact"/>
        <w:jc w:val="left"/>
        <w:rPr>
          <w:rFonts w:ascii="楷体_GB2312" w:eastAsia="楷体_GB2312"/>
          <w:color w:val="000000" w:themeColor="text1"/>
          <w:sz w:val="32"/>
          <w:szCs w:val="32"/>
        </w:rPr>
      </w:pPr>
      <w:r>
        <w:rPr>
          <w:rFonts w:ascii="楷体_GB2312" w:eastAsia="楷体_GB2312" w:hint="eastAsia"/>
          <w:color w:val="000000" w:themeColor="text1"/>
          <w:sz w:val="32"/>
          <w:szCs w:val="32"/>
        </w:rPr>
        <w:t>一、主要职责</w:t>
      </w:r>
      <w:r>
        <w:rPr>
          <w:rFonts w:ascii="黑体" w:eastAsia="黑体" w:hAnsi="黑体"/>
          <w:color w:val="000000" w:themeColor="text1"/>
          <w:sz w:val="32"/>
          <w:szCs w:val="32"/>
        </w:rPr>
        <w:tab/>
      </w:r>
      <w:r>
        <w:rPr>
          <w:rFonts w:ascii="楷体_GB2312" w:eastAsia="楷体_GB2312" w:hAnsi="黑体" w:hint="eastAsia"/>
          <w:color w:val="000000" w:themeColor="text1"/>
          <w:sz w:val="32"/>
          <w:szCs w:val="32"/>
        </w:rPr>
        <w:t>4</w:t>
      </w:r>
    </w:p>
    <w:p w:rsidR="002E5C93" w:rsidRDefault="00404FBC">
      <w:pPr>
        <w:pStyle w:val="20"/>
        <w:adjustRightInd w:val="0"/>
        <w:snapToGrid w:val="0"/>
        <w:spacing w:line="580" w:lineRule="exact"/>
        <w:jc w:val="left"/>
        <w:rPr>
          <w:rFonts w:ascii="楷体_GB2312" w:eastAsia="楷体_GB2312"/>
          <w:color w:val="000000" w:themeColor="text1"/>
          <w:sz w:val="32"/>
          <w:szCs w:val="32"/>
        </w:rPr>
      </w:pPr>
      <w:r>
        <w:rPr>
          <w:rFonts w:ascii="楷体_GB2312" w:eastAsia="楷体_GB2312" w:hint="eastAsia"/>
          <w:color w:val="000000" w:themeColor="text1"/>
          <w:sz w:val="32"/>
          <w:szCs w:val="32"/>
        </w:rPr>
        <w:t>二、机构设置</w:t>
      </w:r>
      <w:r>
        <w:rPr>
          <w:rFonts w:ascii="黑体" w:eastAsia="黑体" w:hAnsi="黑体"/>
          <w:color w:val="000000" w:themeColor="text1"/>
          <w:sz w:val="32"/>
          <w:szCs w:val="32"/>
        </w:rPr>
        <w:tab/>
      </w:r>
      <w:r>
        <w:rPr>
          <w:rFonts w:ascii="楷体_GB2312" w:eastAsia="楷体_GB2312" w:hAnsi="黑体" w:hint="eastAsia"/>
          <w:color w:val="000000" w:themeColor="text1"/>
          <w:sz w:val="32"/>
          <w:szCs w:val="32"/>
        </w:rPr>
        <w:t>4</w:t>
      </w:r>
    </w:p>
    <w:p w:rsidR="002E5C93" w:rsidRDefault="00404FBC">
      <w:pPr>
        <w:pStyle w:val="10"/>
        <w:adjustRightInd w:val="0"/>
        <w:snapToGrid w:val="0"/>
        <w:spacing w:before="0" w:line="580" w:lineRule="exact"/>
        <w:jc w:val="left"/>
        <w:rPr>
          <w:rFonts w:ascii="黑体" w:eastAsia="黑体" w:hAnsi="黑体"/>
          <w:color w:val="000000" w:themeColor="text1"/>
          <w:sz w:val="32"/>
          <w:szCs w:val="32"/>
        </w:rPr>
      </w:pPr>
      <w:r>
        <w:rPr>
          <w:rFonts w:ascii="黑体" w:eastAsia="黑体" w:hAnsi="黑体" w:hint="eastAsia"/>
          <w:color w:val="000000" w:themeColor="text1"/>
          <w:sz w:val="32"/>
          <w:szCs w:val="32"/>
        </w:rPr>
        <w:t>第二部分 2022年度单位决算情况说明</w:t>
      </w:r>
      <w:r>
        <w:rPr>
          <w:rFonts w:ascii="黑体" w:eastAsia="黑体" w:hAnsi="黑体"/>
          <w:color w:val="000000" w:themeColor="text1"/>
          <w:sz w:val="32"/>
          <w:szCs w:val="32"/>
        </w:rPr>
        <w:tab/>
      </w:r>
      <w:r>
        <w:rPr>
          <w:rFonts w:ascii="黑体" w:eastAsia="黑体" w:hAnsi="黑体" w:hint="eastAsia"/>
          <w:color w:val="000000" w:themeColor="text1"/>
          <w:sz w:val="32"/>
          <w:szCs w:val="32"/>
        </w:rPr>
        <w:t>5</w:t>
      </w:r>
    </w:p>
    <w:p w:rsidR="002E5C93" w:rsidRDefault="00404FBC">
      <w:pPr>
        <w:pStyle w:val="20"/>
        <w:adjustRightInd w:val="0"/>
        <w:snapToGrid w:val="0"/>
        <w:spacing w:line="580" w:lineRule="exact"/>
        <w:jc w:val="left"/>
        <w:rPr>
          <w:rFonts w:ascii="楷体_GB2312" w:eastAsia="楷体_GB2312" w:hAnsi="仿宋" w:cstheme="minorBidi"/>
          <w:color w:val="000000" w:themeColor="text1"/>
          <w:sz w:val="32"/>
          <w:szCs w:val="32"/>
        </w:rPr>
      </w:pPr>
      <w:r>
        <w:rPr>
          <w:rFonts w:ascii="楷体_GB2312" w:eastAsia="楷体_GB2312" w:hint="eastAsia"/>
          <w:color w:val="000000" w:themeColor="text1"/>
          <w:sz w:val="32"/>
          <w:szCs w:val="32"/>
        </w:rPr>
        <w:t>一、收入支出决算总体情况说明</w:t>
      </w:r>
      <w:r>
        <w:rPr>
          <w:rFonts w:ascii="黑体" w:eastAsia="黑体" w:hAnsi="黑体"/>
          <w:color w:val="000000" w:themeColor="text1"/>
          <w:sz w:val="32"/>
          <w:szCs w:val="32"/>
        </w:rPr>
        <w:tab/>
      </w:r>
      <w:r>
        <w:rPr>
          <w:rFonts w:ascii="楷体_GB2312" w:eastAsia="楷体_GB2312" w:hAnsi="黑体" w:hint="eastAsia"/>
          <w:color w:val="000000" w:themeColor="text1"/>
          <w:sz w:val="32"/>
          <w:szCs w:val="32"/>
        </w:rPr>
        <w:t>5</w:t>
      </w:r>
    </w:p>
    <w:p w:rsidR="002E5C93" w:rsidRDefault="00404FBC">
      <w:pPr>
        <w:pStyle w:val="20"/>
        <w:adjustRightInd w:val="0"/>
        <w:snapToGrid w:val="0"/>
        <w:spacing w:line="580" w:lineRule="exact"/>
        <w:jc w:val="left"/>
        <w:rPr>
          <w:rFonts w:ascii="楷体_GB2312" w:eastAsia="楷体_GB2312" w:hAnsi="仿宋" w:cstheme="minorBidi"/>
          <w:color w:val="000000" w:themeColor="text1"/>
          <w:sz w:val="32"/>
          <w:szCs w:val="32"/>
        </w:rPr>
      </w:pPr>
      <w:r>
        <w:rPr>
          <w:rFonts w:ascii="楷体_GB2312" w:eastAsia="楷体_GB2312" w:hint="eastAsia"/>
          <w:color w:val="000000" w:themeColor="text1"/>
          <w:sz w:val="32"/>
          <w:szCs w:val="32"/>
        </w:rPr>
        <w:t>二、收入决算情况说明</w:t>
      </w:r>
      <w:r>
        <w:rPr>
          <w:rFonts w:ascii="黑体" w:eastAsia="黑体" w:hAnsi="黑体"/>
          <w:color w:val="000000" w:themeColor="text1"/>
          <w:sz w:val="32"/>
          <w:szCs w:val="32"/>
        </w:rPr>
        <w:tab/>
      </w:r>
      <w:r>
        <w:rPr>
          <w:rFonts w:ascii="楷体_GB2312" w:eastAsia="楷体_GB2312" w:hAnsi="黑体" w:hint="eastAsia"/>
          <w:color w:val="000000" w:themeColor="text1"/>
          <w:sz w:val="32"/>
          <w:szCs w:val="32"/>
        </w:rPr>
        <w:t>5</w:t>
      </w:r>
    </w:p>
    <w:p w:rsidR="002E5C93" w:rsidRDefault="00404FBC">
      <w:pPr>
        <w:pStyle w:val="20"/>
        <w:adjustRightInd w:val="0"/>
        <w:snapToGrid w:val="0"/>
        <w:spacing w:line="580" w:lineRule="exact"/>
        <w:jc w:val="left"/>
        <w:rPr>
          <w:rFonts w:ascii="楷体_GB2312" w:eastAsia="楷体_GB2312" w:hAnsi="仿宋" w:cstheme="minorBidi"/>
          <w:color w:val="000000" w:themeColor="text1"/>
          <w:sz w:val="32"/>
          <w:szCs w:val="32"/>
        </w:rPr>
      </w:pPr>
      <w:r>
        <w:rPr>
          <w:rFonts w:ascii="楷体_GB2312" w:eastAsia="楷体_GB2312" w:hint="eastAsia"/>
          <w:color w:val="000000" w:themeColor="text1"/>
          <w:sz w:val="32"/>
          <w:szCs w:val="32"/>
        </w:rPr>
        <w:t>三、支出决算情况说明</w:t>
      </w:r>
      <w:r>
        <w:rPr>
          <w:rFonts w:ascii="黑体" w:eastAsia="黑体" w:hAnsi="黑体"/>
          <w:color w:val="000000" w:themeColor="text1"/>
          <w:sz w:val="32"/>
          <w:szCs w:val="32"/>
        </w:rPr>
        <w:tab/>
      </w:r>
      <w:r>
        <w:rPr>
          <w:rFonts w:ascii="楷体_GB2312" w:eastAsia="楷体_GB2312" w:hAnsi="黑体" w:hint="eastAsia"/>
          <w:color w:val="000000" w:themeColor="text1"/>
          <w:sz w:val="32"/>
          <w:szCs w:val="32"/>
        </w:rPr>
        <w:t>6</w:t>
      </w:r>
    </w:p>
    <w:p w:rsidR="002E5C93" w:rsidRDefault="00404FBC">
      <w:pPr>
        <w:pStyle w:val="20"/>
        <w:adjustRightInd w:val="0"/>
        <w:snapToGrid w:val="0"/>
        <w:spacing w:line="580" w:lineRule="exact"/>
        <w:jc w:val="left"/>
        <w:rPr>
          <w:rFonts w:ascii="楷体_GB2312" w:eastAsia="楷体_GB2312" w:hAnsi="仿宋" w:cstheme="minorBidi"/>
          <w:color w:val="000000" w:themeColor="text1"/>
          <w:sz w:val="32"/>
          <w:szCs w:val="32"/>
        </w:rPr>
      </w:pPr>
      <w:r>
        <w:rPr>
          <w:rFonts w:ascii="楷体_GB2312" w:eastAsia="楷体_GB2312" w:hint="eastAsia"/>
          <w:color w:val="000000" w:themeColor="text1"/>
          <w:sz w:val="32"/>
          <w:szCs w:val="32"/>
        </w:rPr>
        <w:t>四、财政拨款收入支出决算总体情况说明</w:t>
      </w:r>
      <w:r>
        <w:rPr>
          <w:rFonts w:ascii="黑体" w:eastAsia="黑体" w:hAnsi="黑体"/>
          <w:color w:val="000000" w:themeColor="text1"/>
          <w:sz w:val="32"/>
          <w:szCs w:val="32"/>
        </w:rPr>
        <w:tab/>
      </w:r>
      <w:r>
        <w:rPr>
          <w:rFonts w:ascii="楷体_GB2312" w:eastAsia="楷体_GB2312" w:hAnsi="黑体" w:hint="eastAsia"/>
          <w:color w:val="000000" w:themeColor="text1"/>
          <w:sz w:val="32"/>
          <w:szCs w:val="32"/>
        </w:rPr>
        <w:t>7</w:t>
      </w:r>
    </w:p>
    <w:p w:rsidR="002E5C93" w:rsidRDefault="00404FBC">
      <w:pPr>
        <w:pStyle w:val="20"/>
        <w:adjustRightInd w:val="0"/>
        <w:snapToGrid w:val="0"/>
        <w:spacing w:line="580" w:lineRule="exact"/>
        <w:jc w:val="left"/>
        <w:rPr>
          <w:rFonts w:ascii="楷体_GB2312" w:eastAsia="楷体_GB2312" w:hAnsi="仿宋" w:cstheme="minorBidi"/>
          <w:color w:val="000000" w:themeColor="text1"/>
          <w:sz w:val="32"/>
          <w:szCs w:val="32"/>
        </w:rPr>
      </w:pPr>
      <w:r>
        <w:rPr>
          <w:rFonts w:ascii="楷体_GB2312" w:eastAsia="楷体_GB2312" w:hint="eastAsia"/>
          <w:color w:val="000000" w:themeColor="text1"/>
          <w:sz w:val="32"/>
          <w:szCs w:val="32"/>
        </w:rPr>
        <w:t>五、一般公共预算财政拨款支出决算情况说明</w:t>
      </w:r>
      <w:r>
        <w:rPr>
          <w:rFonts w:ascii="黑体" w:eastAsia="黑体" w:hAnsi="黑体"/>
          <w:color w:val="000000" w:themeColor="text1"/>
          <w:sz w:val="32"/>
          <w:szCs w:val="32"/>
        </w:rPr>
        <w:tab/>
      </w:r>
      <w:r>
        <w:rPr>
          <w:rFonts w:ascii="楷体_GB2312" w:eastAsia="楷体_GB2312" w:hAnsi="黑体" w:hint="eastAsia"/>
          <w:color w:val="000000" w:themeColor="text1"/>
          <w:sz w:val="32"/>
          <w:szCs w:val="32"/>
        </w:rPr>
        <w:t>7</w:t>
      </w:r>
    </w:p>
    <w:p w:rsidR="002E5C93" w:rsidRDefault="00404FBC">
      <w:pPr>
        <w:pStyle w:val="20"/>
        <w:adjustRightInd w:val="0"/>
        <w:snapToGrid w:val="0"/>
        <w:spacing w:line="580" w:lineRule="exact"/>
        <w:jc w:val="left"/>
        <w:rPr>
          <w:rFonts w:ascii="楷体_GB2312" w:eastAsia="楷体_GB2312" w:hAnsi="仿宋" w:cstheme="minorBidi"/>
          <w:color w:val="000000" w:themeColor="text1"/>
          <w:sz w:val="32"/>
          <w:szCs w:val="32"/>
        </w:rPr>
      </w:pPr>
      <w:r>
        <w:rPr>
          <w:rFonts w:ascii="楷体_GB2312" w:eastAsia="楷体_GB2312" w:hint="eastAsia"/>
          <w:color w:val="000000" w:themeColor="text1"/>
          <w:sz w:val="32"/>
          <w:szCs w:val="32"/>
        </w:rPr>
        <w:t>六、一般公共预算财政拨款基本支出决算情况说明</w:t>
      </w:r>
      <w:r>
        <w:rPr>
          <w:rFonts w:ascii="黑体" w:eastAsia="黑体" w:hAnsi="黑体"/>
          <w:color w:val="000000" w:themeColor="text1"/>
          <w:sz w:val="32"/>
          <w:szCs w:val="32"/>
        </w:rPr>
        <w:tab/>
      </w:r>
      <w:r>
        <w:rPr>
          <w:rFonts w:ascii="楷体_GB2312" w:eastAsia="楷体_GB2312" w:hAnsi="黑体" w:hint="eastAsia"/>
          <w:color w:val="000000" w:themeColor="text1"/>
          <w:sz w:val="32"/>
          <w:szCs w:val="32"/>
        </w:rPr>
        <w:t>10</w:t>
      </w:r>
    </w:p>
    <w:p w:rsidR="002E5C93" w:rsidRDefault="00404FBC">
      <w:pPr>
        <w:pStyle w:val="20"/>
        <w:adjustRightInd w:val="0"/>
        <w:snapToGrid w:val="0"/>
        <w:spacing w:line="580" w:lineRule="exact"/>
        <w:jc w:val="left"/>
        <w:rPr>
          <w:rFonts w:ascii="楷体_GB2312" w:eastAsia="楷体_GB2312" w:hAnsi="仿宋" w:cstheme="minorBidi"/>
          <w:color w:val="000000" w:themeColor="text1"/>
          <w:sz w:val="32"/>
          <w:szCs w:val="32"/>
        </w:rPr>
      </w:pPr>
      <w:r>
        <w:rPr>
          <w:rFonts w:ascii="楷体_GB2312" w:eastAsia="楷体_GB2312" w:hint="eastAsia"/>
          <w:color w:val="000000" w:themeColor="text1"/>
          <w:sz w:val="32"/>
          <w:szCs w:val="32"/>
        </w:rPr>
        <w:t>七、财政拨款“三公”经费支出决算情况说明</w:t>
      </w:r>
      <w:r>
        <w:rPr>
          <w:rFonts w:ascii="黑体" w:eastAsia="黑体" w:hAnsi="黑体"/>
          <w:color w:val="000000" w:themeColor="text1"/>
          <w:sz w:val="32"/>
          <w:szCs w:val="32"/>
        </w:rPr>
        <w:tab/>
      </w:r>
      <w:r>
        <w:rPr>
          <w:rFonts w:ascii="楷体_GB2312" w:eastAsia="楷体_GB2312" w:hAnsi="黑体" w:hint="eastAsia"/>
          <w:color w:val="000000" w:themeColor="text1"/>
          <w:sz w:val="32"/>
          <w:szCs w:val="32"/>
        </w:rPr>
        <w:t>10</w:t>
      </w:r>
    </w:p>
    <w:p w:rsidR="002E5C93" w:rsidRDefault="00404FBC">
      <w:pPr>
        <w:pStyle w:val="20"/>
        <w:adjustRightInd w:val="0"/>
        <w:snapToGrid w:val="0"/>
        <w:spacing w:line="580" w:lineRule="exact"/>
        <w:jc w:val="left"/>
        <w:rPr>
          <w:rFonts w:ascii="楷体_GB2312" w:eastAsia="楷体_GB2312" w:hAnsi="仿宋" w:cstheme="minorBidi"/>
          <w:color w:val="000000" w:themeColor="text1"/>
          <w:sz w:val="32"/>
          <w:szCs w:val="32"/>
        </w:rPr>
      </w:pPr>
      <w:r>
        <w:rPr>
          <w:rFonts w:ascii="楷体_GB2312" w:eastAsia="楷体_GB2312" w:hint="eastAsia"/>
          <w:color w:val="000000" w:themeColor="text1"/>
          <w:sz w:val="32"/>
          <w:szCs w:val="32"/>
        </w:rPr>
        <w:t>八、政府性基金预算支出决算情况说明</w:t>
      </w:r>
      <w:r>
        <w:rPr>
          <w:rFonts w:ascii="黑体" w:eastAsia="黑体" w:hAnsi="黑体"/>
          <w:color w:val="000000" w:themeColor="text1"/>
          <w:sz w:val="32"/>
          <w:szCs w:val="32"/>
        </w:rPr>
        <w:tab/>
      </w:r>
      <w:r>
        <w:rPr>
          <w:rFonts w:ascii="楷体_GB2312" w:eastAsia="楷体_GB2312" w:hAnsi="黑体" w:hint="eastAsia"/>
          <w:color w:val="000000" w:themeColor="text1"/>
          <w:sz w:val="32"/>
          <w:szCs w:val="32"/>
        </w:rPr>
        <w:t>12</w:t>
      </w:r>
    </w:p>
    <w:p w:rsidR="002E5C93" w:rsidRDefault="00404FBC">
      <w:pPr>
        <w:pStyle w:val="20"/>
        <w:adjustRightInd w:val="0"/>
        <w:snapToGrid w:val="0"/>
        <w:spacing w:line="580" w:lineRule="exact"/>
        <w:jc w:val="left"/>
        <w:rPr>
          <w:rFonts w:ascii="楷体_GB2312" w:eastAsia="楷体_GB2312"/>
          <w:color w:val="000000" w:themeColor="text1"/>
          <w:sz w:val="32"/>
          <w:szCs w:val="32"/>
        </w:rPr>
      </w:pPr>
      <w:r>
        <w:rPr>
          <w:rFonts w:ascii="楷体_GB2312" w:eastAsia="楷体_GB2312" w:hint="eastAsia"/>
          <w:color w:val="000000" w:themeColor="text1"/>
          <w:sz w:val="32"/>
          <w:szCs w:val="32"/>
        </w:rPr>
        <w:t>九、国有资本经营预算支出决算情况说明</w:t>
      </w:r>
      <w:r>
        <w:rPr>
          <w:rFonts w:ascii="黑体" w:eastAsia="黑体" w:hAnsi="黑体"/>
          <w:color w:val="000000" w:themeColor="text1"/>
          <w:sz w:val="32"/>
          <w:szCs w:val="32"/>
        </w:rPr>
        <w:tab/>
      </w:r>
      <w:r>
        <w:rPr>
          <w:rFonts w:ascii="楷体_GB2312" w:eastAsia="楷体_GB2312" w:hAnsi="黑体" w:hint="eastAsia"/>
          <w:color w:val="000000" w:themeColor="text1"/>
          <w:sz w:val="32"/>
          <w:szCs w:val="32"/>
        </w:rPr>
        <w:t>12</w:t>
      </w:r>
    </w:p>
    <w:p w:rsidR="002E5C93" w:rsidRDefault="00404FBC">
      <w:pPr>
        <w:pStyle w:val="20"/>
        <w:adjustRightInd w:val="0"/>
        <w:snapToGrid w:val="0"/>
        <w:spacing w:line="580" w:lineRule="exact"/>
        <w:jc w:val="left"/>
        <w:rPr>
          <w:rFonts w:ascii="楷体_GB2312" w:eastAsia="楷体_GB2312"/>
          <w:color w:val="000000" w:themeColor="text1"/>
          <w:sz w:val="32"/>
          <w:szCs w:val="32"/>
        </w:rPr>
      </w:pPr>
      <w:r>
        <w:rPr>
          <w:rFonts w:ascii="楷体_GB2312" w:eastAsia="楷体_GB2312" w:hint="eastAsia"/>
          <w:color w:val="000000" w:themeColor="text1"/>
          <w:sz w:val="32"/>
          <w:szCs w:val="32"/>
        </w:rPr>
        <w:t>十、其他重要事项的情况说明</w:t>
      </w:r>
      <w:r>
        <w:rPr>
          <w:rFonts w:ascii="黑体" w:eastAsia="黑体" w:hAnsi="黑体"/>
          <w:color w:val="000000" w:themeColor="text1"/>
          <w:sz w:val="32"/>
          <w:szCs w:val="32"/>
        </w:rPr>
        <w:tab/>
      </w:r>
      <w:r>
        <w:rPr>
          <w:rFonts w:ascii="楷体_GB2312" w:eastAsia="楷体_GB2312" w:hAnsi="黑体" w:hint="eastAsia"/>
          <w:color w:val="000000" w:themeColor="text1"/>
          <w:sz w:val="32"/>
          <w:szCs w:val="32"/>
        </w:rPr>
        <w:t>12</w:t>
      </w:r>
    </w:p>
    <w:p w:rsidR="002E5C93" w:rsidRDefault="00404FBC">
      <w:pPr>
        <w:pStyle w:val="10"/>
        <w:adjustRightInd w:val="0"/>
        <w:snapToGrid w:val="0"/>
        <w:spacing w:before="0" w:line="580" w:lineRule="exact"/>
        <w:jc w:val="left"/>
        <w:rPr>
          <w:rFonts w:ascii="黑体" w:eastAsia="黑体" w:hAnsi="黑体" w:cstheme="minorBidi"/>
          <w:color w:val="000000" w:themeColor="text1"/>
          <w:sz w:val="32"/>
          <w:szCs w:val="32"/>
        </w:rPr>
      </w:pPr>
      <w:r>
        <w:rPr>
          <w:rFonts w:ascii="黑体" w:eastAsia="黑体" w:hAnsi="黑体" w:hint="eastAsia"/>
          <w:color w:val="000000" w:themeColor="text1"/>
          <w:sz w:val="32"/>
          <w:szCs w:val="32"/>
        </w:rPr>
        <w:t>第三部分 名词解释</w:t>
      </w:r>
      <w:r>
        <w:rPr>
          <w:rFonts w:ascii="黑体" w:eastAsia="黑体" w:hAnsi="黑体"/>
          <w:color w:val="000000" w:themeColor="text1"/>
          <w:sz w:val="32"/>
          <w:szCs w:val="32"/>
        </w:rPr>
        <w:tab/>
      </w:r>
      <w:r>
        <w:rPr>
          <w:rFonts w:ascii="黑体" w:eastAsia="黑体" w:hAnsi="黑体" w:hint="eastAsia"/>
          <w:color w:val="000000" w:themeColor="text1"/>
          <w:sz w:val="32"/>
          <w:szCs w:val="32"/>
        </w:rPr>
        <w:t>13</w:t>
      </w:r>
    </w:p>
    <w:p w:rsidR="002E5C93" w:rsidRDefault="00404FBC">
      <w:pPr>
        <w:pStyle w:val="10"/>
        <w:adjustRightInd w:val="0"/>
        <w:snapToGrid w:val="0"/>
        <w:spacing w:before="0" w:line="580" w:lineRule="exact"/>
        <w:jc w:val="left"/>
        <w:rPr>
          <w:rFonts w:ascii="黑体" w:eastAsia="黑体" w:hAnsi="黑体" w:cstheme="minorBidi"/>
          <w:color w:val="000000" w:themeColor="text1"/>
          <w:sz w:val="32"/>
          <w:szCs w:val="32"/>
        </w:rPr>
      </w:pPr>
      <w:r>
        <w:rPr>
          <w:rFonts w:ascii="黑体" w:eastAsia="黑体" w:hAnsi="黑体" w:hint="eastAsia"/>
          <w:color w:val="000000" w:themeColor="text1"/>
          <w:sz w:val="32"/>
          <w:szCs w:val="32"/>
        </w:rPr>
        <w:t>第四部分 附件</w:t>
      </w:r>
      <w:r>
        <w:rPr>
          <w:rFonts w:ascii="黑体" w:eastAsia="黑体" w:hAnsi="黑体"/>
          <w:color w:val="000000" w:themeColor="text1"/>
          <w:sz w:val="32"/>
          <w:szCs w:val="32"/>
        </w:rPr>
        <w:tab/>
      </w:r>
      <w:r>
        <w:rPr>
          <w:rFonts w:ascii="黑体" w:eastAsia="黑体" w:hAnsi="黑体" w:hint="eastAsia"/>
          <w:color w:val="000000" w:themeColor="text1"/>
          <w:sz w:val="32"/>
          <w:szCs w:val="32"/>
        </w:rPr>
        <w:t>15</w:t>
      </w:r>
    </w:p>
    <w:p w:rsidR="002E5C93" w:rsidRDefault="00404FBC">
      <w:pPr>
        <w:pStyle w:val="10"/>
        <w:adjustRightInd w:val="0"/>
        <w:snapToGrid w:val="0"/>
        <w:spacing w:before="0" w:line="580" w:lineRule="exact"/>
        <w:jc w:val="left"/>
        <w:rPr>
          <w:rFonts w:ascii="黑体" w:eastAsia="黑体" w:hAnsi="黑体" w:cstheme="minorBidi"/>
          <w:color w:val="000000" w:themeColor="text1"/>
          <w:sz w:val="32"/>
          <w:szCs w:val="32"/>
        </w:rPr>
      </w:pPr>
      <w:r>
        <w:rPr>
          <w:rFonts w:ascii="黑体" w:eastAsia="黑体" w:hAnsi="黑体" w:hint="eastAsia"/>
          <w:color w:val="000000" w:themeColor="text1"/>
          <w:sz w:val="32"/>
          <w:szCs w:val="32"/>
        </w:rPr>
        <w:t>第五部分 附表</w:t>
      </w:r>
      <w:r>
        <w:rPr>
          <w:rFonts w:ascii="黑体" w:eastAsia="黑体" w:hAnsi="黑体"/>
          <w:color w:val="000000" w:themeColor="text1"/>
          <w:sz w:val="32"/>
          <w:szCs w:val="32"/>
        </w:rPr>
        <w:tab/>
      </w:r>
      <w:r w:rsidR="00BD45CE">
        <w:rPr>
          <w:rFonts w:ascii="黑体" w:eastAsia="黑体" w:hAnsi="黑体" w:hint="eastAsia"/>
          <w:color w:val="000000" w:themeColor="text1"/>
          <w:sz w:val="32"/>
          <w:szCs w:val="32"/>
        </w:rPr>
        <w:t>40</w:t>
      </w:r>
    </w:p>
    <w:p w:rsidR="002E5C93" w:rsidRDefault="00404FBC">
      <w:pPr>
        <w:pStyle w:val="20"/>
        <w:adjustRightInd w:val="0"/>
        <w:snapToGrid w:val="0"/>
        <w:spacing w:line="580" w:lineRule="exact"/>
        <w:jc w:val="left"/>
        <w:rPr>
          <w:rFonts w:ascii="楷体_GB2312" w:eastAsia="楷体_GB2312"/>
          <w:color w:val="000000" w:themeColor="text1"/>
          <w:sz w:val="32"/>
          <w:szCs w:val="32"/>
        </w:rPr>
      </w:pPr>
      <w:r>
        <w:rPr>
          <w:rFonts w:ascii="楷体_GB2312" w:eastAsia="楷体_GB2312" w:hint="eastAsia"/>
          <w:color w:val="000000" w:themeColor="text1"/>
          <w:sz w:val="32"/>
          <w:szCs w:val="32"/>
        </w:rPr>
        <w:t>一、收入支出决算总表</w:t>
      </w:r>
      <w:r>
        <w:rPr>
          <w:rFonts w:ascii="黑体" w:eastAsia="黑体" w:hAnsi="黑体"/>
          <w:color w:val="000000" w:themeColor="text1"/>
          <w:sz w:val="32"/>
          <w:szCs w:val="32"/>
        </w:rPr>
        <w:tab/>
      </w:r>
      <w:r w:rsidR="00BD45CE">
        <w:rPr>
          <w:rFonts w:ascii="楷体_GB2312" w:eastAsia="楷体_GB2312" w:hAnsi="黑体" w:hint="eastAsia"/>
          <w:color w:val="000000" w:themeColor="text1"/>
          <w:sz w:val="32"/>
          <w:szCs w:val="32"/>
        </w:rPr>
        <w:t>40</w:t>
      </w:r>
    </w:p>
    <w:p w:rsidR="002E5C93" w:rsidRDefault="00404FBC">
      <w:pPr>
        <w:pStyle w:val="20"/>
        <w:adjustRightInd w:val="0"/>
        <w:snapToGrid w:val="0"/>
        <w:spacing w:line="580" w:lineRule="exact"/>
        <w:jc w:val="left"/>
        <w:rPr>
          <w:rFonts w:ascii="楷体_GB2312" w:eastAsia="楷体_GB2312"/>
          <w:color w:val="000000" w:themeColor="text1"/>
          <w:sz w:val="32"/>
          <w:szCs w:val="32"/>
        </w:rPr>
      </w:pPr>
      <w:r>
        <w:rPr>
          <w:rFonts w:ascii="楷体_GB2312" w:eastAsia="楷体_GB2312" w:hint="eastAsia"/>
          <w:color w:val="000000" w:themeColor="text1"/>
          <w:sz w:val="32"/>
          <w:szCs w:val="32"/>
        </w:rPr>
        <w:t>二、收入决算表</w:t>
      </w:r>
      <w:r>
        <w:rPr>
          <w:rFonts w:ascii="黑体" w:eastAsia="黑体" w:hAnsi="黑体"/>
          <w:color w:val="000000" w:themeColor="text1"/>
          <w:sz w:val="32"/>
          <w:szCs w:val="32"/>
        </w:rPr>
        <w:tab/>
      </w:r>
      <w:r w:rsidR="00BD45CE">
        <w:rPr>
          <w:rFonts w:ascii="楷体_GB2312" w:eastAsia="楷体_GB2312" w:hAnsi="黑体" w:hint="eastAsia"/>
          <w:color w:val="000000" w:themeColor="text1"/>
          <w:sz w:val="32"/>
          <w:szCs w:val="32"/>
        </w:rPr>
        <w:t>40</w:t>
      </w:r>
    </w:p>
    <w:p w:rsidR="002E5C93" w:rsidRDefault="00404FBC">
      <w:pPr>
        <w:pStyle w:val="20"/>
        <w:adjustRightInd w:val="0"/>
        <w:snapToGrid w:val="0"/>
        <w:spacing w:line="580" w:lineRule="exact"/>
        <w:jc w:val="left"/>
        <w:rPr>
          <w:rFonts w:ascii="楷体_GB2312" w:eastAsia="楷体_GB2312"/>
          <w:color w:val="000000" w:themeColor="text1"/>
          <w:sz w:val="32"/>
          <w:szCs w:val="32"/>
        </w:rPr>
      </w:pPr>
      <w:r>
        <w:rPr>
          <w:rFonts w:ascii="楷体_GB2312" w:eastAsia="楷体_GB2312" w:hint="eastAsia"/>
          <w:color w:val="000000" w:themeColor="text1"/>
          <w:sz w:val="32"/>
          <w:szCs w:val="32"/>
        </w:rPr>
        <w:lastRenderedPageBreak/>
        <w:t>三、支出决算表</w:t>
      </w:r>
      <w:r>
        <w:rPr>
          <w:rFonts w:ascii="楷体_GB2312" w:eastAsia="楷体_GB2312" w:hAnsi="黑体" w:hint="eastAsia"/>
          <w:color w:val="000000" w:themeColor="text1"/>
          <w:sz w:val="32"/>
          <w:szCs w:val="32"/>
        </w:rPr>
        <w:tab/>
      </w:r>
      <w:r w:rsidR="00BD45CE">
        <w:rPr>
          <w:rFonts w:ascii="楷体_GB2312" w:eastAsia="楷体_GB2312" w:hAnsi="黑体" w:hint="eastAsia"/>
          <w:color w:val="000000" w:themeColor="text1"/>
          <w:sz w:val="32"/>
          <w:szCs w:val="32"/>
        </w:rPr>
        <w:t>40</w:t>
      </w:r>
    </w:p>
    <w:p w:rsidR="002E5C93" w:rsidRDefault="00404FBC">
      <w:pPr>
        <w:pStyle w:val="20"/>
        <w:adjustRightInd w:val="0"/>
        <w:snapToGrid w:val="0"/>
        <w:spacing w:line="580" w:lineRule="exact"/>
        <w:jc w:val="left"/>
        <w:rPr>
          <w:rFonts w:ascii="楷体_GB2312" w:eastAsia="楷体_GB2312"/>
          <w:color w:val="000000" w:themeColor="text1"/>
          <w:sz w:val="32"/>
          <w:szCs w:val="32"/>
        </w:rPr>
      </w:pPr>
      <w:r>
        <w:rPr>
          <w:rFonts w:ascii="楷体_GB2312" w:eastAsia="楷体_GB2312" w:hint="eastAsia"/>
          <w:color w:val="000000" w:themeColor="text1"/>
          <w:sz w:val="32"/>
          <w:szCs w:val="32"/>
        </w:rPr>
        <w:t>四、财政拨款收入支出决算总表</w:t>
      </w:r>
      <w:r>
        <w:rPr>
          <w:rFonts w:ascii="楷体_GB2312" w:eastAsia="楷体_GB2312" w:hAnsi="黑体" w:hint="eastAsia"/>
          <w:color w:val="000000" w:themeColor="text1"/>
          <w:sz w:val="32"/>
          <w:szCs w:val="32"/>
        </w:rPr>
        <w:tab/>
      </w:r>
      <w:r w:rsidR="00BD45CE">
        <w:rPr>
          <w:rFonts w:ascii="楷体_GB2312" w:eastAsia="楷体_GB2312" w:hAnsi="黑体" w:hint="eastAsia"/>
          <w:color w:val="000000" w:themeColor="text1"/>
          <w:sz w:val="32"/>
          <w:szCs w:val="32"/>
        </w:rPr>
        <w:t>40</w:t>
      </w:r>
    </w:p>
    <w:p w:rsidR="002E5C93" w:rsidRDefault="00404FBC">
      <w:pPr>
        <w:pStyle w:val="20"/>
        <w:adjustRightInd w:val="0"/>
        <w:snapToGrid w:val="0"/>
        <w:spacing w:line="580" w:lineRule="exact"/>
        <w:jc w:val="left"/>
        <w:rPr>
          <w:rFonts w:ascii="楷体_GB2312" w:eastAsia="楷体_GB2312"/>
          <w:color w:val="000000" w:themeColor="text1"/>
          <w:sz w:val="32"/>
          <w:szCs w:val="32"/>
        </w:rPr>
      </w:pPr>
      <w:r>
        <w:rPr>
          <w:rFonts w:ascii="楷体_GB2312" w:eastAsia="楷体_GB2312" w:hint="eastAsia"/>
          <w:color w:val="000000" w:themeColor="text1"/>
          <w:sz w:val="32"/>
          <w:szCs w:val="32"/>
        </w:rPr>
        <w:t>五、财政拨款支出决算明细表</w:t>
      </w:r>
      <w:r>
        <w:rPr>
          <w:rFonts w:ascii="楷体_GB2312" w:eastAsia="楷体_GB2312" w:hAnsi="黑体" w:hint="eastAsia"/>
          <w:color w:val="000000" w:themeColor="text1"/>
          <w:sz w:val="32"/>
          <w:szCs w:val="32"/>
        </w:rPr>
        <w:tab/>
      </w:r>
      <w:r w:rsidR="00BD45CE">
        <w:rPr>
          <w:rFonts w:ascii="楷体_GB2312" w:eastAsia="楷体_GB2312" w:hAnsi="黑体" w:hint="eastAsia"/>
          <w:color w:val="000000" w:themeColor="text1"/>
          <w:sz w:val="32"/>
          <w:szCs w:val="32"/>
        </w:rPr>
        <w:t>40</w:t>
      </w:r>
    </w:p>
    <w:p w:rsidR="002E5C93" w:rsidRDefault="00404FBC">
      <w:pPr>
        <w:pStyle w:val="20"/>
        <w:adjustRightInd w:val="0"/>
        <w:snapToGrid w:val="0"/>
        <w:spacing w:line="580" w:lineRule="exact"/>
        <w:jc w:val="left"/>
        <w:rPr>
          <w:rFonts w:ascii="楷体_GB2312" w:eastAsia="楷体_GB2312"/>
          <w:color w:val="000000" w:themeColor="text1"/>
          <w:sz w:val="32"/>
          <w:szCs w:val="32"/>
        </w:rPr>
      </w:pPr>
      <w:r>
        <w:rPr>
          <w:rFonts w:ascii="楷体_GB2312" w:eastAsia="楷体_GB2312" w:hint="eastAsia"/>
          <w:color w:val="000000" w:themeColor="text1"/>
          <w:sz w:val="32"/>
          <w:szCs w:val="32"/>
        </w:rPr>
        <w:t>六、一般公共预算财政拨款支出决算表</w:t>
      </w:r>
      <w:r>
        <w:rPr>
          <w:rFonts w:ascii="楷体_GB2312" w:eastAsia="楷体_GB2312" w:hAnsi="黑体" w:hint="eastAsia"/>
          <w:color w:val="000000" w:themeColor="text1"/>
          <w:sz w:val="32"/>
          <w:szCs w:val="32"/>
        </w:rPr>
        <w:tab/>
      </w:r>
      <w:r w:rsidR="00BD45CE">
        <w:rPr>
          <w:rFonts w:ascii="楷体_GB2312" w:eastAsia="楷体_GB2312" w:hAnsi="黑体" w:hint="eastAsia"/>
          <w:color w:val="000000" w:themeColor="text1"/>
          <w:sz w:val="32"/>
          <w:szCs w:val="32"/>
        </w:rPr>
        <w:t>40</w:t>
      </w:r>
    </w:p>
    <w:p w:rsidR="002E5C93" w:rsidRDefault="00404FBC">
      <w:pPr>
        <w:pStyle w:val="20"/>
        <w:adjustRightInd w:val="0"/>
        <w:snapToGrid w:val="0"/>
        <w:spacing w:line="580" w:lineRule="exact"/>
        <w:jc w:val="left"/>
        <w:rPr>
          <w:rFonts w:ascii="楷体_GB2312" w:eastAsia="楷体_GB2312"/>
          <w:color w:val="000000" w:themeColor="text1"/>
          <w:sz w:val="32"/>
          <w:szCs w:val="32"/>
        </w:rPr>
      </w:pPr>
      <w:r>
        <w:rPr>
          <w:rFonts w:ascii="楷体_GB2312" w:eastAsia="楷体_GB2312" w:hint="eastAsia"/>
          <w:color w:val="000000" w:themeColor="text1"/>
          <w:sz w:val="32"/>
          <w:szCs w:val="32"/>
        </w:rPr>
        <w:t>七、一般公共预算财政拨款支出决算明细表</w:t>
      </w:r>
      <w:r>
        <w:rPr>
          <w:rFonts w:ascii="楷体_GB2312" w:eastAsia="楷体_GB2312" w:hAnsi="黑体" w:hint="eastAsia"/>
          <w:color w:val="000000" w:themeColor="text1"/>
          <w:sz w:val="32"/>
          <w:szCs w:val="32"/>
        </w:rPr>
        <w:tab/>
      </w:r>
      <w:r w:rsidR="00BD45CE">
        <w:rPr>
          <w:rFonts w:ascii="楷体_GB2312" w:eastAsia="楷体_GB2312" w:hAnsi="黑体" w:hint="eastAsia"/>
          <w:color w:val="000000" w:themeColor="text1"/>
          <w:sz w:val="32"/>
          <w:szCs w:val="32"/>
        </w:rPr>
        <w:t>40</w:t>
      </w:r>
    </w:p>
    <w:p w:rsidR="002E5C93" w:rsidRDefault="00404FBC">
      <w:pPr>
        <w:pStyle w:val="20"/>
        <w:adjustRightInd w:val="0"/>
        <w:snapToGrid w:val="0"/>
        <w:spacing w:line="580" w:lineRule="exact"/>
        <w:jc w:val="left"/>
        <w:rPr>
          <w:rFonts w:ascii="楷体_GB2312" w:eastAsia="楷体_GB2312"/>
          <w:color w:val="000000" w:themeColor="text1"/>
          <w:sz w:val="32"/>
          <w:szCs w:val="32"/>
        </w:rPr>
      </w:pPr>
      <w:r>
        <w:rPr>
          <w:rFonts w:ascii="楷体_GB2312" w:eastAsia="楷体_GB2312" w:hint="eastAsia"/>
          <w:color w:val="000000" w:themeColor="text1"/>
          <w:sz w:val="32"/>
          <w:szCs w:val="32"/>
        </w:rPr>
        <w:t>八、一般公共预算财政拨款基本支出决算明细表</w:t>
      </w:r>
      <w:r>
        <w:rPr>
          <w:rFonts w:ascii="楷体_GB2312" w:eastAsia="楷体_GB2312" w:hAnsi="黑体" w:hint="eastAsia"/>
          <w:color w:val="000000" w:themeColor="text1"/>
          <w:sz w:val="32"/>
          <w:szCs w:val="32"/>
        </w:rPr>
        <w:tab/>
      </w:r>
      <w:r w:rsidR="00BD45CE">
        <w:rPr>
          <w:rFonts w:ascii="楷体_GB2312" w:eastAsia="楷体_GB2312" w:hAnsi="黑体" w:hint="eastAsia"/>
          <w:color w:val="000000" w:themeColor="text1"/>
          <w:sz w:val="32"/>
          <w:szCs w:val="32"/>
        </w:rPr>
        <w:t>40</w:t>
      </w:r>
    </w:p>
    <w:p w:rsidR="002E5C93" w:rsidRDefault="00404FBC">
      <w:pPr>
        <w:pStyle w:val="20"/>
        <w:adjustRightInd w:val="0"/>
        <w:snapToGrid w:val="0"/>
        <w:spacing w:line="580" w:lineRule="exact"/>
        <w:jc w:val="left"/>
        <w:rPr>
          <w:rFonts w:ascii="楷体_GB2312" w:eastAsia="楷体_GB2312"/>
          <w:color w:val="000000" w:themeColor="text1"/>
          <w:sz w:val="32"/>
          <w:szCs w:val="32"/>
        </w:rPr>
      </w:pPr>
      <w:r>
        <w:rPr>
          <w:rFonts w:ascii="楷体_GB2312" w:eastAsia="楷体_GB2312" w:hint="eastAsia"/>
          <w:color w:val="000000" w:themeColor="text1"/>
          <w:sz w:val="32"/>
          <w:szCs w:val="32"/>
        </w:rPr>
        <w:t>九、一般公共预算财政拨款项目支出决算表</w:t>
      </w:r>
      <w:r>
        <w:rPr>
          <w:rFonts w:ascii="楷体_GB2312" w:eastAsia="楷体_GB2312" w:hAnsi="黑体" w:hint="eastAsia"/>
          <w:color w:val="000000" w:themeColor="text1"/>
          <w:sz w:val="32"/>
          <w:szCs w:val="32"/>
        </w:rPr>
        <w:tab/>
      </w:r>
      <w:r w:rsidR="00BD45CE">
        <w:rPr>
          <w:rFonts w:ascii="楷体_GB2312" w:eastAsia="楷体_GB2312" w:hAnsi="黑体" w:hint="eastAsia"/>
          <w:color w:val="000000" w:themeColor="text1"/>
          <w:sz w:val="32"/>
          <w:szCs w:val="32"/>
        </w:rPr>
        <w:t>40</w:t>
      </w:r>
    </w:p>
    <w:p w:rsidR="002E5C93" w:rsidRDefault="00404FBC">
      <w:pPr>
        <w:pStyle w:val="20"/>
        <w:adjustRightInd w:val="0"/>
        <w:snapToGrid w:val="0"/>
        <w:spacing w:line="580" w:lineRule="exact"/>
        <w:jc w:val="left"/>
        <w:rPr>
          <w:rFonts w:ascii="楷体_GB2312" w:eastAsia="楷体_GB2312"/>
          <w:color w:val="000000" w:themeColor="text1"/>
          <w:sz w:val="32"/>
          <w:szCs w:val="32"/>
        </w:rPr>
      </w:pPr>
      <w:r>
        <w:rPr>
          <w:rFonts w:ascii="楷体_GB2312" w:eastAsia="楷体_GB2312" w:hint="eastAsia"/>
          <w:color w:val="000000" w:themeColor="text1"/>
          <w:sz w:val="32"/>
          <w:szCs w:val="32"/>
        </w:rPr>
        <w:t>十、政府性基金预算财政拨款收入支出决算表</w:t>
      </w:r>
      <w:r>
        <w:rPr>
          <w:rFonts w:ascii="楷体_GB2312" w:eastAsia="楷体_GB2312" w:hAnsi="黑体" w:hint="eastAsia"/>
          <w:color w:val="000000" w:themeColor="text1"/>
          <w:sz w:val="32"/>
          <w:szCs w:val="32"/>
        </w:rPr>
        <w:tab/>
      </w:r>
      <w:r w:rsidR="00BD45CE">
        <w:rPr>
          <w:rFonts w:ascii="楷体_GB2312" w:eastAsia="楷体_GB2312" w:hAnsi="黑体" w:hint="eastAsia"/>
          <w:color w:val="000000" w:themeColor="text1"/>
          <w:sz w:val="32"/>
          <w:szCs w:val="32"/>
        </w:rPr>
        <w:t>40</w:t>
      </w:r>
    </w:p>
    <w:p w:rsidR="002E5C93" w:rsidRDefault="00404FBC">
      <w:pPr>
        <w:pStyle w:val="20"/>
        <w:adjustRightInd w:val="0"/>
        <w:snapToGrid w:val="0"/>
        <w:spacing w:line="580" w:lineRule="exact"/>
        <w:jc w:val="left"/>
        <w:rPr>
          <w:rFonts w:ascii="楷体_GB2312" w:eastAsia="楷体_GB2312"/>
          <w:color w:val="000000" w:themeColor="text1"/>
          <w:sz w:val="32"/>
          <w:szCs w:val="32"/>
        </w:rPr>
      </w:pPr>
      <w:r>
        <w:rPr>
          <w:rFonts w:ascii="楷体_GB2312" w:eastAsia="楷体_GB2312" w:hint="eastAsia"/>
          <w:color w:val="000000" w:themeColor="text1"/>
          <w:sz w:val="32"/>
          <w:szCs w:val="32"/>
        </w:rPr>
        <w:t>十一、国有资本经营预算财政拨款收入支出决算表</w:t>
      </w:r>
      <w:r>
        <w:rPr>
          <w:rFonts w:ascii="楷体_GB2312" w:eastAsia="楷体_GB2312" w:hAnsi="黑体" w:hint="eastAsia"/>
          <w:color w:val="000000" w:themeColor="text1"/>
          <w:sz w:val="32"/>
          <w:szCs w:val="32"/>
        </w:rPr>
        <w:tab/>
      </w:r>
      <w:r w:rsidR="00BD45CE">
        <w:rPr>
          <w:rFonts w:ascii="楷体_GB2312" w:eastAsia="楷体_GB2312" w:hAnsi="黑体" w:hint="eastAsia"/>
          <w:color w:val="000000" w:themeColor="text1"/>
          <w:sz w:val="32"/>
          <w:szCs w:val="32"/>
        </w:rPr>
        <w:t>40</w:t>
      </w:r>
    </w:p>
    <w:p w:rsidR="002E5C93" w:rsidRDefault="00404FBC">
      <w:pPr>
        <w:pStyle w:val="20"/>
        <w:adjustRightInd w:val="0"/>
        <w:snapToGrid w:val="0"/>
        <w:spacing w:line="580" w:lineRule="exact"/>
        <w:jc w:val="left"/>
        <w:rPr>
          <w:rFonts w:ascii="楷体_GB2312" w:eastAsia="楷体_GB2312"/>
          <w:color w:val="000000" w:themeColor="text1"/>
          <w:sz w:val="32"/>
          <w:szCs w:val="32"/>
        </w:rPr>
      </w:pPr>
      <w:r>
        <w:rPr>
          <w:rFonts w:ascii="楷体_GB2312" w:eastAsia="楷体_GB2312" w:hint="eastAsia"/>
          <w:color w:val="000000" w:themeColor="text1"/>
          <w:sz w:val="32"/>
          <w:szCs w:val="32"/>
        </w:rPr>
        <w:t>十二、国有资本经营预算财政拨款支出决算表</w:t>
      </w:r>
      <w:r>
        <w:rPr>
          <w:rFonts w:ascii="楷体_GB2312" w:eastAsia="楷体_GB2312" w:hAnsi="黑体" w:hint="eastAsia"/>
          <w:color w:val="000000" w:themeColor="text1"/>
          <w:sz w:val="32"/>
          <w:szCs w:val="32"/>
        </w:rPr>
        <w:tab/>
      </w:r>
      <w:r w:rsidR="00BD45CE">
        <w:rPr>
          <w:rFonts w:ascii="楷体_GB2312" w:eastAsia="楷体_GB2312" w:hAnsi="黑体" w:hint="eastAsia"/>
          <w:color w:val="000000" w:themeColor="text1"/>
          <w:sz w:val="32"/>
          <w:szCs w:val="32"/>
        </w:rPr>
        <w:t>40</w:t>
      </w:r>
    </w:p>
    <w:p w:rsidR="002E5C93" w:rsidRDefault="00404FBC">
      <w:pPr>
        <w:pStyle w:val="20"/>
        <w:adjustRightInd w:val="0"/>
        <w:snapToGrid w:val="0"/>
        <w:spacing w:line="580" w:lineRule="exact"/>
        <w:jc w:val="left"/>
        <w:rPr>
          <w:rFonts w:ascii="楷体_GB2312" w:eastAsia="楷体_GB2312"/>
          <w:color w:val="000000" w:themeColor="text1"/>
          <w:sz w:val="32"/>
          <w:szCs w:val="32"/>
        </w:rPr>
      </w:pPr>
      <w:r>
        <w:rPr>
          <w:rFonts w:ascii="楷体_GB2312" w:eastAsia="楷体_GB2312" w:hint="eastAsia"/>
          <w:color w:val="000000" w:themeColor="text1"/>
          <w:sz w:val="32"/>
          <w:szCs w:val="32"/>
        </w:rPr>
        <w:t>十三、财政拨款“三公”经费支出决算表</w:t>
      </w:r>
      <w:r>
        <w:rPr>
          <w:rFonts w:ascii="楷体_GB2312" w:eastAsia="楷体_GB2312" w:hAnsi="黑体" w:hint="eastAsia"/>
          <w:color w:val="000000" w:themeColor="text1"/>
          <w:sz w:val="32"/>
          <w:szCs w:val="32"/>
        </w:rPr>
        <w:tab/>
      </w:r>
      <w:r w:rsidR="00BD45CE">
        <w:rPr>
          <w:rFonts w:ascii="楷体_GB2312" w:eastAsia="楷体_GB2312" w:hAnsi="黑体" w:hint="eastAsia"/>
          <w:color w:val="000000" w:themeColor="text1"/>
          <w:sz w:val="32"/>
          <w:szCs w:val="32"/>
        </w:rPr>
        <w:t>40</w:t>
      </w:r>
    </w:p>
    <w:p w:rsidR="002E5C93" w:rsidRDefault="00404FBC">
      <w:pPr>
        <w:widowControl/>
        <w:spacing w:line="440" w:lineRule="exact"/>
        <w:jc w:val="left"/>
        <w:rPr>
          <w:rFonts w:ascii="仿宋" w:eastAsia="仿宋" w:hAnsi="仿宋"/>
          <w:b/>
          <w:color w:val="000000" w:themeColor="text1"/>
          <w:sz w:val="24"/>
        </w:rPr>
      </w:pPr>
      <w:bookmarkStart w:id="12" w:name="_Toc15396599"/>
      <w:bookmarkStart w:id="13" w:name="_Toc15377196"/>
      <w:r>
        <w:rPr>
          <w:rFonts w:ascii="仿宋" w:eastAsia="仿宋" w:hAnsi="仿宋"/>
          <w:b/>
          <w:color w:val="000000" w:themeColor="text1"/>
          <w:sz w:val="24"/>
        </w:rPr>
        <w:br w:type="page"/>
      </w:r>
    </w:p>
    <w:p w:rsidR="002E5C93" w:rsidRDefault="00404FBC">
      <w:pPr>
        <w:pStyle w:val="1"/>
        <w:adjustRightInd w:val="0"/>
        <w:snapToGrid w:val="0"/>
        <w:spacing w:before="0" w:after="0" w:line="580" w:lineRule="exact"/>
        <w:jc w:val="center"/>
        <w:rPr>
          <w:rStyle w:val="1Char"/>
          <w:rFonts w:ascii="黑体" w:eastAsia="黑体" w:hAnsi="黑体"/>
          <w:color w:val="000000" w:themeColor="text1"/>
        </w:rPr>
      </w:pPr>
      <w:r>
        <w:rPr>
          <w:rFonts w:ascii="黑体" w:eastAsia="黑体" w:hAnsi="黑体" w:hint="eastAsia"/>
          <w:b w:val="0"/>
          <w:color w:val="000000" w:themeColor="text1"/>
        </w:rPr>
        <w:lastRenderedPageBreak/>
        <w:t>第一部分 单位</w:t>
      </w:r>
      <w:r>
        <w:rPr>
          <w:rStyle w:val="1Char"/>
          <w:rFonts w:ascii="黑体" w:eastAsia="黑体" w:hAnsi="黑体" w:hint="eastAsia"/>
          <w:color w:val="000000" w:themeColor="text1"/>
        </w:rPr>
        <w:t>概况</w:t>
      </w:r>
      <w:bookmarkStart w:id="14" w:name="_Toc15396600"/>
      <w:bookmarkStart w:id="15" w:name="_Toc15377197"/>
      <w:bookmarkEnd w:id="12"/>
      <w:bookmarkEnd w:id="13"/>
    </w:p>
    <w:p w:rsidR="002E5C93" w:rsidRDefault="002E5C93">
      <w:pPr>
        <w:adjustRightInd w:val="0"/>
        <w:snapToGrid w:val="0"/>
        <w:spacing w:line="580" w:lineRule="exact"/>
        <w:rPr>
          <w:color w:val="000000" w:themeColor="text1"/>
        </w:rPr>
      </w:pPr>
    </w:p>
    <w:p w:rsidR="002E5C93" w:rsidRDefault="00404FBC">
      <w:pPr>
        <w:pStyle w:val="1"/>
        <w:adjustRightInd w:val="0"/>
        <w:snapToGrid w:val="0"/>
        <w:spacing w:before="0" w:after="0" w:line="580" w:lineRule="exact"/>
        <w:ind w:firstLineChars="200" w:firstLine="640"/>
        <w:rPr>
          <w:rStyle w:val="2Char"/>
          <w:rFonts w:ascii="黑体" w:eastAsia="黑体" w:hAnsi="黑体" w:cs="Times New Roman"/>
          <w:b/>
          <w:color w:val="000000" w:themeColor="text1"/>
          <w:kern w:val="44"/>
        </w:rPr>
      </w:pPr>
      <w:r>
        <w:rPr>
          <w:rStyle w:val="1Char"/>
          <w:rFonts w:ascii="黑体" w:eastAsia="黑体" w:hAnsi="黑体" w:hint="eastAsia"/>
          <w:color w:val="000000" w:themeColor="text1"/>
          <w:sz w:val="32"/>
          <w:szCs w:val="32"/>
        </w:rPr>
        <w:t>一、</w:t>
      </w:r>
      <w:r>
        <w:rPr>
          <w:rStyle w:val="2Char"/>
          <w:rFonts w:ascii="黑体" w:eastAsia="黑体" w:hAnsi="黑体" w:hint="eastAsia"/>
          <w:color w:val="000000" w:themeColor="text1"/>
        </w:rPr>
        <w:t>主要职责</w:t>
      </w:r>
    </w:p>
    <w:p w:rsidR="002E5C93" w:rsidRDefault="00404FBC">
      <w:pPr>
        <w:pStyle w:val="a8"/>
        <w:overflowPunct w:val="0"/>
        <w:adjustRightInd w:val="0"/>
        <w:snapToGrid w:val="0"/>
        <w:spacing w:line="580" w:lineRule="exact"/>
        <w:ind w:firstLineChars="200" w:firstLine="640"/>
        <w:outlineLvl w:val="2"/>
        <w:rPr>
          <w:rFonts w:ascii="仿宋_GB2312" w:eastAsia="仿宋_GB2312"/>
          <w:color w:val="000000" w:themeColor="text1"/>
          <w:kern w:val="1"/>
          <w:sz w:val="32"/>
          <w:szCs w:val="32"/>
        </w:rPr>
      </w:pPr>
      <w:r>
        <w:rPr>
          <w:rFonts w:ascii="仿宋_GB2312" w:eastAsia="仿宋_GB2312" w:hint="eastAsia"/>
          <w:color w:val="000000" w:themeColor="text1"/>
          <w:kern w:val="1"/>
          <w:sz w:val="32"/>
          <w:szCs w:val="32"/>
        </w:rPr>
        <w:t>负责管理市直机关经营性国有资产，负责收益的收取、解缴和相关资产的物业管理，履行授权管理的国有资产保值增值责任，增加跟踪分析研判外部董事履职情况，为外部董事提供日常服务等事务性职责。</w:t>
      </w:r>
    </w:p>
    <w:p w:rsidR="002E5C93" w:rsidRDefault="00404FBC">
      <w:pPr>
        <w:pStyle w:val="2"/>
        <w:adjustRightInd w:val="0"/>
        <w:snapToGrid w:val="0"/>
        <w:spacing w:before="0" w:after="0" w:line="580" w:lineRule="exact"/>
        <w:ind w:firstLineChars="200" w:firstLine="640"/>
        <w:rPr>
          <w:rFonts w:ascii="黑体" w:eastAsia="黑体" w:hAnsi="黑体"/>
          <w:b w:val="0"/>
          <w:color w:val="000000" w:themeColor="text1"/>
        </w:rPr>
      </w:pPr>
      <w:r>
        <w:rPr>
          <w:rFonts w:ascii="黑体" w:eastAsia="黑体" w:hAnsi="黑体" w:hint="eastAsia"/>
          <w:b w:val="0"/>
          <w:color w:val="000000" w:themeColor="text1"/>
        </w:rPr>
        <w:t>二、机构设置</w:t>
      </w:r>
    </w:p>
    <w:bookmarkEnd w:id="14"/>
    <w:bookmarkEnd w:id="15"/>
    <w:p w:rsidR="002E5C93" w:rsidRDefault="00404FBC">
      <w:pPr>
        <w:pStyle w:val="2"/>
        <w:keepNext w:val="0"/>
        <w:keepLines w:val="0"/>
        <w:overflowPunct w:val="0"/>
        <w:adjustRightInd w:val="0"/>
        <w:snapToGrid w:val="0"/>
        <w:spacing w:before="0" w:after="0" w:line="580" w:lineRule="exact"/>
        <w:ind w:firstLineChars="200" w:firstLine="640"/>
        <w:rPr>
          <w:rFonts w:ascii="仿宋_GB2312" w:eastAsia="仿宋_GB2312" w:hAnsi="Times New Roman" w:cs="Times New Roman"/>
          <w:b w:val="0"/>
          <w:bCs w:val="0"/>
          <w:color w:val="000000" w:themeColor="text1"/>
          <w:kern w:val="32"/>
        </w:rPr>
      </w:pPr>
      <w:r>
        <w:rPr>
          <w:rFonts w:ascii="仿宋_GB2312" w:eastAsia="仿宋_GB2312" w:hAnsi="Times New Roman" w:cs="Times New Roman" w:hint="eastAsia"/>
          <w:b w:val="0"/>
          <w:bCs w:val="0"/>
          <w:color w:val="000000" w:themeColor="text1"/>
          <w:kern w:val="32"/>
        </w:rPr>
        <w:t>广元市国资国企服务中心属于广元市国资委部门下属的二级预算单位。</w:t>
      </w:r>
    </w:p>
    <w:p w:rsidR="002E5C93" w:rsidRDefault="00404FBC">
      <w:pPr>
        <w:pStyle w:val="2"/>
        <w:keepNext w:val="0"/>
        <w:keepLines w:val="0"/>
        <w:overflowPunct w:val="0"/>
        <w:adjustRightInd w:val="0"/>
        <w:snapToGrid w:val="0"/>
        <w:spacing w:before="0" w:after="0" w:line="580" w:lineRule="exact"/>
        <w:ind w:firstLineChars="200" w:firstLine="640"/>
        <w:rPr>
          <w:rFonts w:ascii="仿宋_GB2312" w:eastAsia="仿宋_GB2312" w:hAnsi="Times New Roman" w:cs="Times New Roman"/>
          <w:b w:val="0"/>
          <w:bCs w:val="0"/>
          <w:color w:val="000000" w:themeColor="text1"/>
          <w:kern w:val="32"/>
        </w:rPr>
      </w:pPr>
      <w:r>
        <w:rPr>
          <w:rFonts w:ascii="仿宋_GB2312" w:eastAsia="仿宋_GB2312" w:hAnsi="Times New Roman" w:cs="Times New Roman" w:hint="eastAsia"/>
          <w:b w:val="0"/>
          <w:bCs w:val="0"/>
          <w:color w:val="000000" w:themeColor="text1"/>
          <w:kern w:val="32"/>
        </w:rPr>
        <w:t>2011年1月，市委机构编制委员会下发《关于撤销9个市级机关后勤服务中心成立广元市国有资产管理中心的批复》（广编发〔2011〕1号）文件，成立广元市国有资产管理中心，为广元市国资委管理的公益一类事业单位，经费形式为核定收支、定额（定项）补助。</w:t>
      </w:r>
    </w:p>
    <w:p w:rsidR="002E5C93" w:rsidRDefault="00404FBC">
      <w:pPr>
        <w:pStyle w:val="2"/>
        <w:keepNext w:val="0"/>
        <w:keepLines w:val="0"/>
        <w:overflowPunct w:val="0"/>
        <w:adjustRightInd w:val="0"/>
        <w:snapToGrid w:val="0"/>
        <w:spacing w:before="0" w:after="0" w:line="580" w:lineRule="exact"/>
        <w:ind w:firstLineChars="200" w:firstLine="640"/>
        <w:rPr>
          <w:rFonts w:ascii="仿宋_GB2312" w:eastAsia="仿宋_GB2312" w:hAnsi="Times New Roman" w:cs="Times New Roman"/>
          <w:b w:val="0"/>
          <w:bCs w:val="0"/>
          <w:color w:val="000000" w:themeColor="text1"/>
          <w:kern w:val="32"/>
        </w:rPr>
      </w:pPr>
      <w:r>
        <w:rPr>
          <w:rFonts w:ascii="仿宋_GB2312" w:eastAsia="仿宋_GB2312" w:hAnsi="Times New Roman" w:cs="Times New Roman" w:hint="eastAsia"/>
          <w:b w:val="0"/>
          <w:bCs w:val="0"/>
          <w:color w:val="000000" w:themeColor="text1"/>
          <w:kern w:val="32"/>
        </w:rPr>
        <w:t>2022年7月，中共广元市委机构编制委员会办公室《关于广元市国有资产管理中心更名的批复》（广编发〔2022〕55号）文件，同意将广元市国有资产管理中心更名为广元市国资国企服务中心，加挂广元市国有企业外部董事服务中心牌子；经费来源核定为收支统管、全额保障。</w:t>
      </w:r>
    </w:p>
    <w:p w:rsidR="002E5C93" w:rsidRDefault="00404FBC">
      <w:pPr>
        <w:widowControl/>
        <w:jc w:val="left"/>
        <w:rPr>
          <w:rFonts w:ascii="仿宋" w:eastAsia="仿宋" w:hAnsi="仿宋"/>
          <w:color w:val="000000" w:themeColor="text1"/>
          <w:kern w:val="0"/>
          <w:sz w:val="32"/>
          <w:szCs w:val="32"/>
        </w:rPr>
      </w:pPr>
      <w:r>
        <w:rPr>
          <w:rFonts w:ascii="仿宋" w:eastAsia="仿宋" w:hAnsi="仿宋"/>
          <w:color w:val="000000" w:themeColor="text1"/>
          <w:sz w:val="32"/>
          <w:szCs w:val="32"/>
        </w:rPr>
        <w:br w:type="page"/>
      </w:r>
    </w:p>
    <w:p w:rsidR="002E5C93" w:rsidRDefault="00404FBC">
      <w:pPr>
        <w:pStyle w:val="1"/>
        <w:ind w:right="440"/>
        <w:jc w:val="center"/>
        <w:rPr>
          <w:rStyle w:val="1Char"/>
          <w:rFonts w:ascii="黑体" w:eastAsia="黑体" w:hAnsi="黑体"/>
          <w:bCs/>
          <w:color w:val="000000" w:themeColor="text1"/>
        </w:rPr>
      </w:pPr>
      <w:bookmarkStart w:id="16" w:name="_Toc15396602"/>
      <w:bookmarkStart w:id="17" w:name="_Toc15377204"/>
      <w:r>
        <w:rPr>
          <w:rFonts w:ascii="黑体" w:eastAsia="黑体" w:hAnsi="黑体" w:hint="eastAsia"/>
          <w:b w:val="0"/>
          <w:color w:val="000000" w:themeColor="text1"/>
        </w:rPr>
        <w:lastRenderedPageBreak/>
        <w:t>第二部分 2022年度</w:t>
      </w:r>
      <w:r>
        <w:rPr>
          <w:rStyle w:val="1Char"/>
          <w:rFonts w:ascii="黑体" w:eastAsia="黑体" w:hAnsi="黑体" w:hint="eastAsia"/>
          <w:bCs/>
          <w:color w:val="000000" w:themeColor="text1"/>
        </w:rPr>
        <w:t>单位决算情况说明</w:t>
      </w:r>
      <w:bookmarkEnd w:id="16"/>
      <w:bookmarkEnd w:id="17"/>
    </w:p>
    <w:p w:rsidR="002E5C93" w:rsidRDefault="002E5C93">
      <w:pPr>
        <w:rPr>
          <w:color w:val="000000" w:themeColor="text1"/>
        </w:rPr>
      </w:pPr>
    </w:p>
    <w:p w:rsidR="002E5C93" w:rsidRDefault="00404FBC">
      <w:pPr>
        <w:pStyle w:val="ac"/>
        <w:numPr>
          <w:ilvl w:val="0"/>
          <w:numId w:val="1"/>
        </w:numPr>
        <w:spacing w:line="600" w:lineRule="exact"/>
        <w:ind w:firstLineChars="0"/>
        <w:outlineLvl w:val="1"/>
        <w:rPr>
          <w:rStyle w:val="2Char"/>
          <w:rFonts w:ascii="黑体" w:eastAsia="黑体" w:hAnsi="黑体"/>
          <w:b w:val="0"/>
          <w:color w:val="000000" w:themeColor="text1"/>
        </w:rPr>
      </w:pPr>
      <w:bookmarkStart w:id="18" w:name="_Toc15396603"/>
      <w:bookmarkStart w:id="19" w:name="_Toc15377205"/>
      <w:r>
        <w:rPr>
          <w:rFonts w:ascii="黑体" w:eastAsia="黑体" w:hAnsi="黑体" w:hint="eastAsia"/>
          <w:color w:val="000000" w:themeColor="text1"/>
          <w:sz w:val="32"/>
          <w:szCs w:val="32"/>
        </w:rPr>
        <w:t>收</w:t>
      </w:r>
      <w:r>
        <w:rPr>
          <w:rStyle w:val="2Char"/>
          <w:rFonts w:ascii="黑体" w:eastAsia="黑体" w:hAnsi="黑体" w:hint="eastAsia"/>
          <w:b w:val="0"/>
          <w:color w:val="000000" w:themeColor="text1"/>
        </w:rPr>
        <w:t>入支出决算总体情况说明</w:t>
      </w:r>
      <w:bookmarkEnd w:id="18"/>
      <w:bookmarkEnd w:id="19"/>
    </w:p>
    <w:p w:rsidR="002E5C93" w:rsidRDefault="00404FBC">
      <w:pPr>
        <w:overflowPunct w:val="0"/>
        <w:adjustRightInd w:val="0"/>
        <w:snapToGrid w:val="0"/>
        <w:spacing w:line="580" w:lineRule="exact"/>
        <w:ind w:firstLineChars="200" w:firstLine="624"/>
        <w:rPr>
          <w:rFonts w:ascii="仿宋_GB2312" w:eastAsia="仿宋_GB2312"/>
          <w:color w:val="000000" w:themeColor="text1"/>
          <w:spacing w:val="-4"/>
          <w:sz w:val="32"/>
          <w:szCs w:val="32"/>
        </w:rPr>
      </w:pPr>
      <w:r>
        <w:rPr>
          <w:rFonts w:ascii="仿宋_GB2312" w:eastAsia="仿宋_GB2312" w:hint="eastAsia"/>
          <w:color w:val="000000" w:themeColor="text1"/>
          <w:spacing w:val="-4"/>
          <w:sz w:val="32"/>
          <w:szCs w:val="32"/>
        </w:rPr>
        <w:t>2022年度收、支总计762.2万元。与2021年相比，收、支总计各减少222.61万元，下降22.6%。主要变动原因是新冠疫情减免2022年7-12月出租房屋租金，应交税费减少支出。</w:t>
      </w:r>
    </w:p>
    <w:p w:rsidR="002E5C93" w:rsidRDefault="00404FBC">
      <w:pPr>
        <w:pStyle w:val="a0"/>
        <w:spacing w:before="93"/>
      </w:pPr>
      <w:r>
        <w:rPr>
          <w:noProof/>
        </w:rPr>
        <w:drawing>
          <wp:inline distT="0" distB="0" distL="0" distR="0">
            <wp:extent cx="5274310" cy="3076575"/>
            <wp:effectExtent l="19050" t="0" r="2159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E5C93" w:rsidRDefault="00404FBC">
      <w:pPr>
        <w:adjustRightInd w:val="0"/>
        <w:snapToGrid w:val="0"/>
        <w:spacing w:line="580" w:lineRule="exact"/>
        <w:jc w:val="center"/>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（图1：收、支决算总计变动情况图）（柱状图）</w:t>
      </w:r>
    </w:p>
    <w:p w:rsidR="002E5C93" w:rsidRDefault="00404FBC">
      <w:pPr>
        <w:pStyle w:val="ac"/>
        <w:adjustRightInd w:val="0"/>
        <w:snapToGrid w:val="0"/>
        <w:spacing w:line="580" w:lineRule="exact"/>
        <w:ind w:firstLine="640"/>
        <w:outlineLvl w:val="1"/>
        <w:rPr>
          <w:rStyle w:val="2Char"/>
          <w:rFonts w:ascii="黑体" w:eastAsia="黑体" w:hAnsi="黑体"/>
          <w:b w:val="0"/>
          <w:color w:val="000000" w:themeColor="text1"/>
        </w:rPr>
      </w:pPr>
      <w:bookmarkStart w:id="20" w:name="_Toc15396604"/>
      <w:bookmarkStart w:id="21" w:name="_Toc15377206"/>
      <w:r>
        <w:rPr>
          <w:rFonts w:ascii="黑体" w:eastAsia="黑体" w:hAnsi="黑体" w:hint="eastAsia"/>
          <w:color w:val="000000" w:themeColor="text1"/>
          <w:sz w:val="32"/>
          <w:szCs w:val="32"/>
        </w:rPr>
        <w:t>二、收</w:t>
      </w:r>
      <w:r>
        <w:rPr>
          <w:rStyle w:val="2Char"/>
          <w:rFonts w:ascii="黑体" w:eastAsia="黑体" w:hAnsi="黑体" w:hint="eastAsia"/>
          <w:b w:val="0"/>
          <w:color w:val="000000" w:themeColor="text1"/>
        </w:rPr>
        <w:t>入决算情况说明</w:t>
      </w:r>
      <w:bookmarkEnd w:id="20"/>
      <w:bookmarkEnd w:id="21"/>
    </w:p>
    <w:p w:rsidR="002E5C93" w:rsidRDefault="00404FBC">
      <w:pPr>
        <w:adjustRightInd w:val="0"/>
        <w:snapToGrid w:val="0"/>
        <w:spacing w:line="580" w:lineRule="exact"/>
        <w:ind w:firstLineChars="200" w:firstLine="640"/>
        <w:outlineLvl w:val="1"/>
        <w:rPr>
          <w:rFonts w:ascii="仿宋_GB2312" w:eastAsia="仿宋_GB2312"/>
          <w:color w:val="000000" w:themeColor="text1"/>
          <w:sz w:val="32"/>
          <w:szCs w:val="32"/>
        </w:rPr>
      </w:pPr>
      <w:bookmarkStart w:id="22" w:name="_Toc15910"/>
      <w:r>
        <w:rPr>
          <w:rFonts w:ascii="仿宋_GB2312" w:eastAsia="仿宋_GB2312" w:hint="eastAsia"/>
          <w:color w:val="000000" w:themeColor="text1"/>
          <w:sz w:val="32"/>
          <w:szCs w:val="32"/>
        </w:rPr>
        <w:t>2022年本年收入合计761.18万元，其中：一般公共预算财政拨款收入761.17万元，占99.99%；其他收入0.01万元，占0.01%。</w:t>
      </w:r>
      <w:bookmarkEnd w:id="22"/>
    </w:p>
    <w:p w:rsidR="002E5C93" w:rsidRDefault="00404FBC">
      <w:pPr>
        <w:pStyle w:val="a0"/>
        <w:spacing w:before="93"/>
      </w:pPr>
      <w:r>
        <w:rPr>
          <w:noProof/>
        </w:rPr>
        <w:lastRenderedPageBreak/>
        <w:drawing>
          <wp:inline distT="0" distB="0" distL="0" distR="0">
            <wp:extent cx="5274310" cy="3181350"/>
            <wp:effectExtent l="19050" t="0" r="2159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E5C93" w:rsidRDefault="00404FBC">
      <w:pPr>
        <w:spacing w:line="600" w:lineRule="exact"/>
        <w:jc w:val="center"/>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（图2：收入决算结构图）（饼状图）</w:t>
      </w:r>
    </w:p>
    <w:p w:rsidR="002E5C93" w:rsidRDefault="00404FBC">
      <w:pPr>
        <w:spacing w:line="600" w:lineRule="exact"/>
        <w:ind w:firstLineChars="200" w:firstLine="640"/>
        <w:outlineLvl w:val="1"/>
        <w:rPr>
          <w:rStyle w:val="2Char"/>
          <w:rFonts w:ascii="黑体" w:eastAsia="黑体" w:hAnsi="黑体"/>
          <w:b w:val="0"/>
          <w:color w:val="000000" w:themeColor="text1"/>
        </w:rPr>
      </w:pPr>
      <w:bookmarkStart w:id="23" w:name="_Toc15396605"/>
      <w:bookmarkStart w:id="24" w:name="_Toc15377207"/>
      <w:r>
        <w:rPr>
          <w:rFonts w:ascii="黑体" w:eastAsia="黑体" w:hAnsi="黑体" w:hint="eastAsia"/>
          <w:color w:val="000000" w:themeColor="text1"/>
          <w:sz w:val="32"/>
          <w:szCs w:val="32"/>
        </w:rPr>
        <w:t>三、支</w:t>
      </w:r>
      <w:r>
        <w:rPr>
          <w:rStyle w:val="2Char"/>
          <w:rFonts w:ascii="黑体" w:eastAsia="黑体" w:hAnsi="黑体" w:hint="eastAsia"/>
          <w:b w:val="0"/>
          <w:color w:val="000000" w:themeColor="text1"/>
        </w:rPr>
        <w:t>出决算情况说明</w:t>
      </w:r>
      <w:bookmarkEnd w:id="23"/>
      <w:bookmarkEnd w:id="24"/>
    </w:p>
    <w:p w:rsidR="002E5C93" w:rsidRDefault="00404FBC">
      <w:pPr>
        <w:adjustRightInd w:val="0"/>
        <w:snapToGrid w:val="0"/>
        <w:spacing w:line="580" w:lineRule="exact"/>
        <w:ind w:firstLineChars="200" w:firstLine="640"/>
        <w:outlineLvl w:val="1"/>
        <w:rPr>
          <w:rFonts w:ascii="仿宋_GB2312" w:eastAsia="仿宋_GB2312"/>
          <w:color w:val="000000" w:themeColor="text1"/>
          <w:sz w:val="32"/>
          <w:szCs w:val="32"/>
        </w:rPr>
      </w:pPr>
      <w:bookmarkStart w:id="25" w:name="_Toc29489"/>
      <w:r>
        <w:rPr>
          <w:rFonts w:ascii="仿宋_GB2312" w:eastAsia="仿宋_GB2312" w:hint="eastAsia"/>
          <w:color w:val="000000" w:themeColor="text1"/>
          <w:sz w:val="32"/>
          <w:szCs w:val="32"/>
        </w:rPr>
        <w:t>2022年本年支出合计748.45万元，其中：基本支出467.32万元，占62.44%；项目支出281.13万元，占37.56%。</w:t>
      </w:r>
      <w:bookmarkEnd w:id="25"/>
    </w:p>
    <w:p w:rsidR="002E5C93" w:rsidRDefault="00404FBC">
      <w:pPr>
        <w:pStyle w:val="a0"/>
        <w:spacing w:before="93"/>
      </w:pPr>
      <w:r>
        <w:rPr>
          <w:noProof/>
        </w:rPr>
        <w:drawing>
          <wp:inline distT="0" distB="0" distL="0" distR="0">
            <wp:extent cx="5274310" cy="3076575"/>
            <wp:effectExtent l="19050" t="0" r="21590" b="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2E5C93" w:rsidRDefault="00404FBC">
      <w:pPr>
        <w:spacing w:line="600" w:lineRule="exact"/>
        <w:jc w:val="center"/>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（图3：支出决算结构图）（饼状图）</w:t>
      </w:r>
    </w:p>
    <w:p w:rsidR="002E5C93" w:rsidRDefault="002E5C93">
      <w:pPr>
        <w:spacing w:line="600" w:lineRule="exact"/>
        <w:ind w:firstLineChars="200" w:firstLine="640"/>
        <w:rPr>
          <w:rFonts w:ascii="仿宋_GB2312" w:eastAsia="仿宋_GB2312"/>
          <w:color w:val="000000" w:themeColor="text1"/>
          <w:sz w:val="32"/>
          <w:szCs w:val="32"/>
        </w:rPr>
      </w:pPr>
    </w:p>
    <w:p w:rsidR="002E5C93" w:rsidRDefault="00404FBC">
      <w:pPr>
        <w:adjustRightInd w:val="0"/>
        <w:snapToGrid w:val="0"/>
        <w:spacing w:line="580" w:lineRule="exact"/>
        <w:ind w:firstLineChars="200" w:firstLine="640"/>
        <w:outlineLvl w:val="1"/>
        <w:rPr>
          <w:rStyle w:val="2Char"/>
          <w:rFonts w:ascii="黑体" w:eastAsia="黑体" w:hAnsi="黑体"/>
          <w:b w:val="0"/>
          <w:color w:val="000000" w:themeColor="text1"/>
        </w:rPr>
      </w:pPr>
      <w:bookmarkStart w:id="26" w:name="_Toc15396606"/>
      <w:bookmarkStart w:id="27" w:name="_Toc15377208"/>
      <w:r>
        <w:rPr>
          <w:rFonts w:ascii="黑体" w:eastAsia="黑体" w:hAnsi="黑体" w:hint="eastAsia"/>
          <w:color w:val="000000" w:themeColor="text1"/>
          <w:sz w:val="32"/>
          <w:szCs w:val="32"/>
        </w:rPr>
        <w:lastRenderedPageBreak/>
        <w:t>四、财</w:t>
      </w:r>
      <w:r>
        <w:rPr>
          <w:rStyle w:val="2Char"/>
          <w:rFonts w:ascii="黑体" w:eastAsia="黑体" w:hAnsi="黑体" w:hint="eastAsia"/>
          <w:b w:val="0"/>
          <w:color w:val="000000" w:themeColor="text1"/>
        </w:rPr>
        <w:t>政拨款收入支出决算总体情况说明</w:t>
      </w:r>
      <w:bookmarkEnd w:id="26"/>
      <w:bookmarkEnd w:id="27"/>
    </w:p>
    <w:p w:rsidR="002E5C93" w:rsidRDefault="00404FBC">
      <w:pPr>
        <w:overflowPunct w:val="0"/>
        <w:adjustRightInd w:val="0"/>
        <w:snapToGrid w:val="0"/>
        <w:spacing w:line="58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2022年财政拨款收、支总计762.19万元。与2021年相比，财政拨款收、支总计各减少222.11万元，下降22.57%。主要变动原因是新冠疫情减免2022年7-12月出租房屋租金，应交税费减少支出。</w:t>
      </w:r>
    </w:p>
    <w:p w:rsidR="002E5C93" w:rsidRDefault="00404FBC">
      <w:pPr>
        <w:pStyle w:val="a0"/>
        <w:spacing w:before="93"/>
      </w:pPr>
      <w:r>
        <w:rPr>
          <w:noProof/>
        </w:rPr>
        <w:drawing>
          <wp:inline distT="0" distB="0" distL="0" distR="0">
            <wp:extent cx="5274310" cy="3076575"/>
            <wp:effectExtent l="19050" t="0" r="2159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E5C93" w:rsidRDefault="00404FBC">
      <w:pPr>
        <w:spacing w:line="600" w:lineRule="exact"/>
        <w:jc w:val="center"/>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（图4：财政拨款收、支决算总计变动情况）（柱状图）</w:t>
      </w:r>
    </w:p>
    <w:p w:rsidR="002E5C93" w:rsidRDefault="00404FBC">
      <w:pPr>
        <w:adjustRightInd w:val="0"/>
        <w:snapToGrid w:val="0"/>
        <w:spacing w:line="580" w:lineRule="exact"/>
        <w:ind w:firstLineChars="200" w:firstLine="640"/>
        <w:outlineLvl w:val="1"/>
        <w:rPr>
          <w:rStyle w:val="2Char"/>
          <w:rFonts w:ascii="黑体" w:eastAsia="黑体" w:hAnsi="黑体"/>
          <w:b w:val="0"/>
          <w:color w:val="000000" w:themeColor="text1"/>
        </w:rPr>
      </w:pPr>
      <w:bookmarkStart w:id="28" w:name="_Toc15396607"/>
      <w:bookmarkStart w:id="29" w:name="_Toc15377209"/>
      <w:r>
        <w:rPr>
          <w:rFonts w:ascii="黑体" w:eastAsia="黑体" w:hAnsi="黑体" w:hint="eastAsia"/>
          <w:color w:val="000000" w:themeColor="text1"/>
          <w:sz w:val="32"/>
          <w:szCs w:val="32"/>
        </w:rPr>
        <w:t>五、</w:t>
      </w:r>
      <w:r>
        <w:rPr>
          <w:rFonts w:ascii="黑体" w:eastAsia="黑体" w:hAnsi="黑体" w:hint="eastAsia"/>
          <w:b/>
          <w:color w:val="000000" w:themeColor="text1"/>
          <w:sz w:val="32"/>
          <w:szCs w:val="32"/>
        </w:rPr>
        <w:t>一</w:t>
      </w:r>
      <w:r>
        <w:rPr>
          <w:rStyle w:val="2Char"/>
          <w:rFonts w:ascii="黑体" w:eastAsia="黑体" w:hAnsi="黑体" w:hint="eastAsia"/>
          <w:b w:val="0"/>
          <w:color w:val="000000" w:themeColor="text1"/>
        </w:rPr>
        <w:t>般公共预算财政拨款支出决算情况说明</w:t>
      </w:r>
      <w:bookmarkEnd w:id="28"/>
      <w:bookmarkEnd w:id="29"/>
    </w:p>
    <w:p w:rsidR="002E5C93" w:rsidRDefault="00404FBC" w:rsidP="00E467C0">
      <w:pPr>
        <w:adjustRightInd w:val="0"/>
        <w:snapToGrid w:val="0"/>
        <w:spacing w:line="580" w:lineRule="exact"/>
        <w:ind w:firstLineChars="200" w:firstLine="643"/>
        <w:outlineLvl w:val="2"/>
        <w:rPr>
          <w:rFonts w:ascii="楷体_GB2312" w:eastAsia="楷体_GB2312" w:hAnsi="仿宋"/>
          <w:b/>
          <w:color w:val="000000" w:themeColor="text1"/>
          <w:sz w:val="32"/>
          <w:szCs w:val="32"/>
        </w:rPr>
      </w:pPr>
      <w:bookmarkStart w:id="30" w:name="_Toc15377210"/>
      <w:r>
        <w:rPr>
          <w:rFonts w:ascii="楷体_GB2312" w:eastAsia="楷体_GB2312" w:hAnsi="仿宋" w:hint="eastAsia"/>
          <w:b/>
          <w:color w:val="000000" w:themeColor="text1"/>
          <w:sz w:val="32"/>
          <w:szCs w:val="32"/>
        </w:rPr>
        <w:t>（一）一般公共预算财政拨款支出决算总体情况</w:t>
      </w:r>
      <w:bookmarkEnd w:id="30"/>
    </w:p>
    <w:p w:rsidR="002E5C93" w:rsidRDefault="00404FBC">
      <w:pPr>
        <w:overflowPunct w:val="0"/>
        <w:adjustRightInd w:val="0"/>
        <w:snapToGrid w:val="0"/>
        <w:spacing w:line="58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2022年一般公共预算财政拨款支出748.45万元，占本年支出总计的</w:t>
      </w:r>
      <w:r>
        <w:rPr>
          <w:rFonts w:ascii="仿宋_GB2312" w:eastAsia="仿宋_GB2312"/>
          <w:color w:val="000000" w:themeColor="text1"/>
          <w:sz w:val="32"/>
          <w:szCs w:val="32"/>
        </w:rPr>
        <w:t>100</w:t>
      </w:r>
      <w:r>
        <w:rPr>
          <w:rFonts w:ascii="仿宋_GB2312" w:eastAsia="仿宋_GB2312" w:hint="eastAsia"/>
          <w:color w:val="000000" w:themeColor="text1"/>
          <w:sz w:val="32"/>
          <w:szCs w:val="32"/>
        </w:rPr>
        <w:t>%。与2021年相比，一般公共预算财政拨款支出减少177.94万元，下降19.21%。主要变动原因是新冠疫情减免2022年7-12月出租房屋租金，应交税费减少支出。</w:t>
      </w:r>
    </w:p>
    <w:p w:rsidR="002E5C93" w:rsidRDefault="00404FBC">
      <w:pPr>
        <w:pStyle w:val="a0"/>
        <w:spacing w:before="93"/>
      </w:pPr>
      <w:r>
        <w:rPr>
          <w:noProof/>
        </w:rPr>
        <w:lastRenderedPageBreak/>
        <w:drawing>
          <wp:inline distT="0" distB="0" distL="0" distR="0">
            <wp:extent cx="5274310" cy="3181350"/>
            <wp:effectExtent l="19050" t="0" r="2159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E5C93" w:rsidRDefault="00404FBC">
      <w:pPr>
        <w:spacing w:line="600" w:lineRule="exact"/>
        <w:jc w:val="center"/>
        <w:rPr>
          <w:rFonts w:ascii="仿宋_GB2312" w:eastAsia="仿宋_GB2312" w:hAnsi="仿宋"/>
          <w:sz w:val="32"/>
          <w:szCs w:val="32"/>
        </w:rPr>
      </w:pPr>
      <w:r>
        <w:rPr>
          <w:rFonts w:ascii="仿宋_GB2312" w:eastAsia="仿宋_GB2312" w:hAnsi="仿宋" w:hint="eastAsia"/>
          <w:sz w:val="32"/>
          <w:szCs w:val="32"/>
        </w:rPr>
        <w:t>（图5：一般公共预算财政拨款支出决算变动情况）（柱状图）</w:t>
      </w:r>
    </w:p>
    <w:p w:rsidR="002E5C93" w:rsidRDefault="00404FBC" w:rsidP="00E467C0">
      <w:pPr>
        <w:adjustRightInd w:val="0"/>
        <w:snapToGrid w:val="0"/>
        <w:spacing w:line="580" w:lineRule="exact"/>
        <w:ind w:firstLineChars="200" w:firstLine="643"/>
        <w:outlineLvl w:val="2"/>
        <w:rPr>
          <w:rFonts w:ascii="楷体_GB2312" w:eastAsia="楷体_GB2312" w:hAnsi="仿宋"/>
          <w:b/>
          <w:color w:val="000000" w:themeColor="text1"/>
          <w:sz w:val="32"/>
          <w:szCs w:val="32"/>
        </w:rPr>
      </w:pPr>
      <w:bookmarkStart w:id="31" w:name="_Toc15377211"/>
      <w:r>
        <w:rPr>
          <w:rFonts w:ascii="楷体_GB2312" w:eastAsia="楷体_GB2312" w:hAnsi="仿宋" w:hint="eastAsia"/>
          <w:b/>
          <w:color w:val="000000" w:themeColor="text1"/>
          <w:sz w:val="32"/>
          <w:szCs w:val="32"/>
        </w:rPr>
        <w:t>（二）一般公共预算财政拨款支出决算结构情况</w:t>
      </w:r>
      <w:bookmarkEnd w:id="31"/>
    </w:p>
    <w:p w:rsidR="002E5C93" w:rsidRDefault="00404FBC">
      <w:pPr>
        <w:adjustRightInd w:val="0"/>
        <w:snapToGrid w:val="0"/>
        <w:spacing w:line="580" w:lineRule="exact"/>
        <w:ind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2022年一般公共预算财政拨款支出748.45万元，主要用于以下方面:社会保障和就业支出（类）支出47.83万元，占6.39%；卫生健康支出（类）14.86万元，占1.99%；资源勘探工业信息等支出（类）支出653.23万元，占87.28%；</w:t>
      </w:r>
      <w:r>
        <w:rPr>
          <w:rFonts w:ascii="仿宋_GB2312" w:eastAsia="仿宋_GB2312" w:hint="eastAsia"/>
          <w:bCs/>
          <w:color w:val="000000" w:themeColor="text1"/>
          <w:sz w:val="32"/>
          <w:szCs w:val="32"/>
        </w:rPr>
        <w:t>住房保障支出（类）支出32.53万元，占4.34%</w:t>
      </w:r>
      <w:r>
        <w:rPr>
          <w:rFonts w:ascii="仿宋_GB2312" w:eastAsia="仿宋_GB2312" w:hint="eastAsia"/>
          <w:color w:val="000000" w:themeColor="text1"/>
          <w:sz w:val="32"/>
          <w:szCs w:val="32"/>
        </w:rPr>
        <w:t>。</w:t>
      </w:r>
    </w:p>
    <w:p w:rsidR="002E5C93" w:rsidRDefault="00404FBC">
      <w:pPr>
        <w:pStyle w:val="a0"/>
        <w:spacing w:before="93"/>
      </w:pPr>
      <w:r>
        <w:rPr>
          <w:noProof/>
        </w:rPr>
        <w:drawing>
          <wp:inline distT="0" distB="0" distL="114300" distR="114300">
            <wp:extent cx="4838700" cy="27527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4838700" cy="2752725"/>
                    </a:xfrm>
                    <a:prstGeom prst="rect">
                      <a:avLst/>
                    </a:prstGeom>
                  </pic:spPr>
                </pic:pic>
              </a:graphicData>
            </a:graphic>
          </wp:inline>
        </w:drawing>
      </w:r>
    </w:p>
    <w:p w:rsidR="002E5C93" w:rsidRDefault="00404FBC">
      <w:pPr>
        <w:spacing w:line="600" w:lineRule="exact"/>
        <w:jc w:val="center"/>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lastRenderedPageBreak/>
        <w:t>（图6：一般公共预算财政拨款支出决算结构）（饼状图）</w:t>
      </w:r>
    </w:p>
    <w:p w:rsidR="002E5C93" w:rsidRDefault="00404FBC" w:rsidP="00E467C0">
      <w:pPr>
        <w:adjustRightInd w:val="0"/>
        <w:snapToGrid w:val="0"/>
        <w:spacing w:line="580" w:lineRule="exact"/>
        <w:ind w:firstLineChars="200" w:firstLine="643"/>
        <w:outlineLvl w:val="2"/>
        <w:rPr>
          <w:rFonts w:ascii="楷体_GB2312" w:eastAsia="楷体_GB2312" w:hAnsi="仿宋"/>
          <w:b/>
          <w:color w:val="000000" w:themeColor="text1"/>
          <w:sz w:val="32"/>
          <w:szCs w:val="32"/>
        </w:rPr>
      </w:pPr>
      <w:bookmarkStart w:id="32" w:name="_Toc15377212"/>
      <w:r>
        <w:rPr>
          <w:rFonts w:ascii="楷体_GB2312" w:eastAsia="楷体_GB2312" w:hAnsi="仿宋" w:hint="eastAsia"/>
          <w:b/>
          <w:color w:val="000000" w:themeColor="text1"/>
          <w:sz w:val="32"/>
          <w:szCs w:val="32"/>
        </w:rPr>
        <w:t>（三）一般公共预算财政拨款支出决算具体情况</w:t>
      </w:r>
      <w:bookmarkEnd w:id="32"/>
    </w:p>
    <w:p w:rsidR="002E5C93" w:rsidRDefault="00404FBC">
      <w:pPr>
        <w:adjustRightInd w:val="0"/>
        <w:snapToGrid w:val="0"/>
        <w:spacing w:line="580" w:lineRule="exact"/>
        <w:ind w:firstLineChars="200" w:firstLine="640"/>
        <w:rPr>
          <w:rStyle w:val="a9"/>
          <w:rFonts w:ascii="仿宋_GB2312" w:eastAsia="仿宋_GB2312"/>
          <w:b w:val="0"/>
          <w:bCs/>
          <w:color w:val="000000" w:themeColor="text1"/>
          <w:sz w:val="32"/>
          <w:szCs w:val="32"/>
        </w:rPr>
      </w:pPr>
      <w:r>
        <w:rPr>
          <w:rStyle w:val="a9"/>
          <w:rFonts w:ascii="仿宋_GB2312" w:eastAsia="仿宋_GB2312" w:hint="eastAsia"/>
          <w:b w:val="0"/>
          <w:bCs/>
          <w:color w:val="000000" w:themeColor="text1"/>
          <w:sz w:val="32"/>
          <w:szCs w:val="32"/>
        </w:rPr>
        <w:t>2022年一般公共预算支出决算数为748.45万元，完成预算98.2%。其中：</w:t>
      </w:r>
    </w:p>
    <w:p w:rsidR="002E5C93" w:rsidRDefault="00404FBC">
      <w:pPr>
        <w:adjustRightInd w:val="0"/>
        <w:snapToGrid w:val="0"/>
        <w:spacing w:line="580" w:lineRule="exact"/>
        <w:ind w:firstLineChars="200" w:firstLine="640"/>
        <w:rPr>
          <w:rStyle w:val="a9"/>
          <w:rFonts w:ascii="仿宋_GB2312" w:eastAsia="仿宋_GB2312"/>
          <w:b w:val="0"/>
          <w:bCs/>
          <w:color w:val="000000" w:themeColor="text1"/>
          <w:sz w:val="32"/>
          <w:szCs w:val="32"/>
        </w:rPr>
      </w:pPr>
      <w:r>
        <w:rPr>
          <w:rStyle w:val="a9"/>
          <w:rFonts w:ascii="仿宋_GB2312" w:eastAsia="仿宋_GB2312"/>
          <w:b w:val="0"/>
          <w:bCs/>
          <w:color w:val="000000" w:themeColor="text1"/>
          <w:sz w:val="32"/>
          <w:szCs w:val="32"/>
        </w:rPr>
        <w:t>1</w:t>
      </w:r>
      <w:r>
        <w:rPr>
          <w:rStyle w:val="a9"/>
          <w:rFonts w:ascii="仿宋_GB2312" w:eastAsia="仿宋_GB2312" w:hint="eastAsia"/>
          <w:b w:val="0"/>
          <w:bCs/>
          <w:color w:val="000000" w:themeColor="text1"/>
          <w:sz w:val="32"/>
          <w:szCs w:val="32"/>
        </w:rPr>
        <w:t>.社会保障和就业（类）人力资源和社会保障管理事务（款）引进人才费用（项）:支出决算为16.6万元，完成预算100%。</w:t>
      </w:r>
    </w:p>
    <w:p w:rsidR="002E5C93" w:rsidRDefault="00404FBC">
      <w:pPr>
        <w:adjustRightInd w:val="0"/>
        <w:snapToGrid w:val="0"/>
        <w:spacing w:line="580" w:lineRule="exact"/>
        <w:ind w:firstLineChars="200" w:firstLine="640"/>
        <w:rPr>
          <w:rStyle w:val="a9"/>
          <w:rFonts w:ascii="仿宋_GB2312" w:eastAsia="仿宋_GB2312"/>
          <w:b w:val="0"/>
          <w:bCs/>
          <w:color w:val="000000" w:themeColor="text1"/>
          <w:sz w:val="32"/>
          <w:szCs w:val="32"/>
        </w:rPr>
      </w:pPr>
      <w:r>
        <w:rPr>
          <w:rStyle w:val="a9"/>
          <w:rFonts w:ascii="仿宋_GB2312" w:eastAsia="仿宋_GB2312"/>
          <w:b w:val="0"/>
          <w:bCs/>
          <w:color w:val="000000" w:themeColor="text1"/>
          <w:sz w:val="32"/>
          <w:szCs w:val="32"/>
        </w:rPr>
        <w:t>2</w:t>
      </w:r>
      <w:r>
        <w:rPr>
          <w:rStyle w:val="a9"/>
          <w:rFonts w:ascii="仿宋_GB2312" w:eastAsia="仿宋_GB2312" w:hint="eastAsia"/>
          <w:b w:val="0"/>
          <w:bCs/>
          <w:color w:val="000000" w:themeColor="text1"/>
          <w:sz w:val="32"/>
          <w:szCs w:val="32"/>
        </w:rPr>
        <w:t>.社会保障和就业（类）行政事业单位养老支出（款）机关事业单位基本养老保险缴费支出（项）:支出决算为26.5万元，完成预算100%。</w:t>
      </w:r>
    </w:p>
    <w:p w:rsidR="002E5C93" w:rsidRDefault="00404FBC">
      <w:pPr>
        <w:pStyle w:val="a0"/>
        <w:adjustRightInd w:val="0"/>
        <w:snapToGrid w:val="0"/>
        <w:spacing w:beforeLines="0" w:line="580" w:lineRule="exact"/>
        <w:ind w:firstLineChars="200" w:firstLine="640"/>
        <w:rPr>
          <w:color w:val="000000" w:themeColor="text1"/>
          <w:sz w:val="32"/>
          <w:szCs w:val="32"/>
        </w:rPr>
      </w:pPr>
      <w:r>
        <w:rPr>
          <w:rStyle w:val="a9"/>
          <w:rFonts w:hint="eastAsia"/>
          <w:b w:val="0"/>
          <w:bCs/>
          <w:color w:val="000000" w:themeColor="text1"/>
          <w:sz w:val="32"/>
          <w:szCs w:val="32"/>
        </w:rPr>
        <w:t>3..社会保障和就业（类）其他社会保障和就业支出（款）其他社会保障和就业支出（项）：支出决算为4.73万元，完成预算100%。</w:t>
      </w:r>
    </w:p>
    <w:p w:rsidR="002E5C93" w:rsidRDefault="00404FBC">
      <w:pPr>
        <w:adjustRightInd w:val="0"/>
        <w:snapToGrid w:val="0"/>
        <w:spacing w:line="580" w:lineRule="exact"/>
        <w:ind w:firstLineChars="200" w:firstLine="640"/>
        <w:rPr>
          <w:rStyle w:val="a9"/>
          <w:rFonts w:eastAsia="仿宋_GB2312"/>
          <w:b w:val="0"/>
          <w:bCs/>
          <w:color w:val="000000" w:themeColor="text1"/>
          <w:sz w:val="32"/>
          <w:szCs w:val="32"/>
        </w:rPr>
      </w:pPr>
      <w:r>
        <w:rPr>
          <w:rStyle w:val="a9"/>
          <w:rFonts w:ascii="仿宋_GB2312" w:eastAsia="仿宋_GB2312" w:hint="eastAsia"/>
          <w:b w:val="0"/>
          <w:bCs/>
          <w:color w:val="000000" w:themeColor="text1"/>
          <w:sz w:val="32"/>
          <w:szCs w:val="32"/>
        </w:rPr>
        <w:t>4.</w:t>
      </w:r>
      <w:r>
        <w:rPr>
          <w:rFonts w:ascii="仿宋_GB2312" w:eastAsia="仿宋_GB2312" w:hint="eastAsia"/>
          <w:bCs/>
          <w:color w:val="000000" w:themeColor="text1"/>
          <w:sz w:val="32"/>
          <w:szCs w:val="32"/>
        </w:rPr>
        <w:t>卫生健康</w:t>
      </w:r>
      <w:r>
        <w:rPr>
          <w:rStyle w:val="a9"/>
          <w:rFonts w:ascii="仿宋_GB2312" w:eastAsia="仿宋_GB2312" w:hint="eastAsia"/>
          <w:b w:val="0"/>
          <w:bCs/>
          <w:color w:val="000000" w:themeColor="text1"/>
          <w:sz w:val="32"/>
          <w:szCs w:val="32"/>
        </w:rPr>
        <w:t>（类）行政事业单位医疗（款）事业单位医疗（项）:支出决算为14.86万元，完成预算100%。</w:t>
      </w:r>
    </w:p>
    <w:p w:rsidR="002E5C93" w:rsidRDefault="00404FBC">
      <w:pPr>
        <w:adjustRightInd w:val="0"/>
        <w:snapToGrid w:val="0"/>
        <w:spacing w:line="580" w:lineRule="exact"/>
        <w:ind w:firstLineChars="200" w:firstLine="640"/>
        <w:rPr>
          <w:rFonts w:ascii="仿宋_GB2312" w:eastAsia="仿宋_GB2312"/>
          <w:bCs/>
          <w:sz w:val="32"/>
          <w:szCs w:val="32"/>
        </w:rPr>
      </w:pPr>
      <w:r>
        <w:rPr>
          <w:rFonts w:ascii="仿宋_GB2312" w:eastAsia="仿宋_GB2312" w:hint="eastAsia"/>
          <w:bCs/>
          <w:color w:val="000000" w:themeColor="text1"/>
          <w:sz w:val="32"/>
          <w:szCs w:val="32"/>
        </w:rPr>
        <w:t>5.资源勘探工业信息等支出（类）国有资产监管（款）其他国有资产监管支出（项）：</w:t>
      </w:r>
      <w:r>
        <w:rPr>
          <w:rStyle w:val="a9"/>
          <w:rFonts w:ascii="仿宋_GB2312" w:eastAsia="仿宋_GB2312" w:hint="eastAsia"/>
          <w:b w:val="0"/>
          <w:bCs/>
          <w:color w:val="000000" w:themeColor="text1"/>
          <w:sz w:val="32"/>
          <w:szCs w:val="32"/>
        </w:rPr>
        <w:t>支出决算为653.23万元，完成预算97.94%，决算数小于预算数的主要原因是</w:t>
      </w:r>
      <w:r>
        <w:rPr>
          <w:rStyle w:val="a9"/>
          <w:rFonts w:ascii="仿宋_GB2312" w:eastAsia="仿宋_GB2312" w:hint="eastAsia"/>
          <w:b w:val="0"/>
          <w:bCs/>
          <w:sz w:val="32"/>
          <w:szCs w:val="32"/>
        </w:rPr>
        <w:t>基本支出中的人员经费</w:t>
      </w:r>
      <w:r>
        <w:rPr>
          <w:rStyle w:val="a9"/>
          <w:rFonts w:ascii="仿宋" w:eastAsia="仿宋" w:hAnsi="仿宋" w:hint="eastAsia"/>
          <w:b w:val="0"/>
          <w:bCs/>
          <w:sz w:val="32"/>
          <w:szCs w:val="32"/>
        </w:rPr>
        <w:t>结转至下年。</w:t>
      </w:r>
    </w:p>
    <w:p w:rsidR="002E5C93" w:rsidRDefault="00404FBC">
      <w:pPr>
        <w:pStyle w:val="a0"/>
        <w:adjustRightInd w:val="0"/>
        <w:snapToGrid w:val="0"/>
        <w:spacing w:beforeLines="0" w:line="580" w:lineRule="exact"/>
        <w:ind w:firstLineChars="200" w:firstLine="640"/>
        <w:rPr>
          <w:color w:val="000000" w:themeColor="text1"/>
          <w:sz w:val="32"/>
          <w:szCs w:val="32"/>
        </w:rPr>
      </w:pPr>
      <w:r>
        <w:rPr>
          <w:rFonts w:hint="eastAsia"/>
          <w:bCs/>
          <w:color w:val="000000" w:themeColor="text1"/>
          <w:sz w:val="32"/>
          <w:szCs w:val="32"/>
        </w:rPr>
        <w:t>6.住房保障支出（类）住房改革支出（款）住房公积金（项）：</w:t>
      </w:r>
      <w:r>
        <w:rPr>
          <w:rStyle w:val="a9"/>
          <w:rFonts w:hint="eastAsia"/>
          <w:b w:val="0"/>
          <w:bCs/>
          <w:color w:val="000000" w:themeColor="text1"/>
          <w:kern w:val="2"/>
          <w:sz w:val="32"/>
          <w:szCs w:val="32"/>
        </w:rPr>
        <w:t>支出决算为32.53万元，完成预算100%。</w:t>
      </w:r>
    </w:p>
    <w:p w:rsidR="002E5C93" w:rsidRDefault="00404FBC">
      <w:pPr>
        <w:tabs>
          <w:tab w:val="right" w:pos="8306"/>
        </w:tabs>
        <w:adjustRightInd w:val="0"/>
        <w:snapToGrid w:val="0"/>
        <w:spacing w:line="580" w:lineRule="exact"/>
        <w:ind w:firstLine="640"/>
        <w:outlineLvl w:val="1"/>
        <w:rPr>
          <w:rStyle w:val="2Char"/>
          <w:color w:val="000000" w:themeColor="text1"/>
        </w:rPr>
      </w:pPr>
      <w:bookmarkStart w:id="33" w:name="_Toc15396608"/>
      <w:bookmarkStart w:id="34" w:name="_Toc15377214"/>
      <w:r>
        <w:rPr>
          <w:rFonts w:ascii="黑体" w:eastAsia="黑体" w:hint="eastAsia"/>
          <w:color w:val="000000" w:themeColor="text1"/>
          <w:sz w:val="32"/>
          <w:szCs w:val="32"/>
        </w:rPr>
        <w:t>六</w:t>
      </w:r>
      <w:r>
        <w:rPr>
          <w:rFonts w:ascii="黑体" w:eastAsia="黑体" w:hint="eastAsia"/>
          <w:b/>
          <w:color w:val="000000" w:themeColor="text1"/>
          <w:sz w:val="32"/>
          <w:szCs w:val="32"/>
        </w:rPr>
        <w:t>、</w:t>
      </w:r>
      <w:r>
        <w:rPr>
          <w:rFonts w:ascii="黑体" w:eastAsia="黑体" w:hAnsi="黑体" w:hint="eastAsia"/>
          <w:b/>
          <w:color w:val="000000" w:themeColor="text1"/>
          <w:sz w:val="32"/>
          <w:szCs w:val="32"/>
        </w:rPr>
        <w:t>一</w:t>
      </w:r>
      <w:r>
        <w:rPr>
          <w:rStyle w:val="2Char"/>
          <w:rFonts w:ascii="黑体" w:eastAsia="黑体" w:hAnsi="黑体" w:hint="eastAsia"/>
          <w:b w:val="0"/>
          <w:color w:val="000000" w:themeColor="text1"/>
        </w:rPr>
        <w:t>般公共预算财政拨款基本支出决算情况说明</w:t>
      </w:r>
      <w:bookmarkEnd w:id="33"/>
      <w:bookmarkEnd w:id="34"/>
      <w:r>
        <w:rPr>
          <w:rStyle w:val="2Char"/>
          <w:rFonts w:ascii="黑体" w:eastAsia="黑体" w:hAnsi="黑体"/>
          <w:b w:val="0"/>
          <w:color w:val="000000" w:themeColor="text1"/>
        </w:rPr>
        <w:tab/>
      </w:r>
    </w:p>
    <w:p w:rsidR="002E5C93" w:rsidRDefault="00404FBC">
      <w:pPr>
        <w:adjustRightInd w:val="0"/>
        <w:snapToGrid w:val="0"/>
        <w:spacing w:line="580" w:lineRule="exact"/>
        <w:ind w:firstLine="645"/>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2022年一般公共预算财政拨款基本支出467.32万元，其中：</w:t>
      </w:r>
    </w:p>
    <w:p w:rsidR="002E5C93" w:rsidRDefault="00404FBC">
      <w:pPr>
        <w:adjustRightInd w:val="0"/>
        <w:snapToGrid w:val="0"/>
        <w:spacing w:line="580" w:lineRule="exact"/>
        <w:ind w:firstLine="645"/>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lastRenderedPageBreak/>
        <w:t>人员经费425.48万元，主要包括：基本工资、津贴补贴、奖金、绩效工资、机关事业单位基本养老保险缴费、</w:t>
      </w:r>
      <w:r>
        <w:rPr>
          <w:rFonts w:ascii="仿宋_GB2312" w:eastAsia="仿宋_GB2312" w:hAnsi="仿宋"/>
          <w:color w:val="000000" w:themeColor="text1"/>
          <w:sz w:val="32"/>
          <w:szCs w:val="32"/>
        </w:rPr>
        <w:t xml:space="preserve"> 职工基本医疗保险缴费、</w:t>
      </w:r>
      <w:r>
        <w:rPr>
          <w:rFonts w:ascii="仿宋_GB2312" w:eastAsia="仿宋_GB2312" w:hAnsi="仿宋" w:hint="eastAsia"/>
          <w:color w:val="000000" w:themeColor="text1"/>
          <w:sz w:val="32"/>
          <w:szCs w:val="32"/>
        </w:rPr>
        <w:t>其他社会保障缴费、住房公积金、生活补助、医疗费补助、奖励金。</w:t>
      </w:r>
    </w:p>
    <w:p w:rsidR="002E5C93" w:rsidRDefault="00404FBC">
      <w:pPr>
        <w:adjustRightInd w:val="0"/>
        <w:snapToGrid w:val="0"/>
        <w:spacing w:line="580" w:lineRule="exact"/>
        <w:ind w:firstLine="645"/>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公用经费41.84万元，主要包括：办公费、水费、电费、邮电费、物业管理费、差旅费、维修（护）费、租赁费、培训费、公务接待费、劳务费、工会经费、福利费、其他交通费、其他商品和服务支出。</w:t>
      </w:r>
    </w:p>
    <w:p w:rsidR="002E5C93" w:rsidRDefault="00404FBC">
      <w:pPr>
        <w:adjustRightInd w:val="0"/>
        <w:snapToGrid w:val="0"/>
        <w:spacing w:line="580" w:lineRule="exact"/>
        <w:ind w:firstLine="641"/>
        <w:outlineLvl w:val="1"/>
        <w:rPr>
          <w:rStyle w:val="2Char"/>
          <w:rFonts w:ascii="黑体" w:eastAsia="黑体" w:hAnsi="黑体"/>
          <w:b w:val="0"/>
          <w:color w:val="000000" w:themeColor="text1"/>
        </w:rPr>
      </w:pPr>
      <w:bookmarkStart w:id="35" w:name="_Toc15377215"/>
      <w:bookmarkStart w:id="36" w:name="_Toc15396609"/>
      <w:r>
        <w:rPr>
          <w:rFonts w:ascii="黑体" w:eastAsia="黑体" w:hint="eastAsia"/>
          <w:color w:val="000000" w:themeColor="text1"/>
          <w:sz w:val="32"/>
          <w:szCs w:val="32"/>
        </w:rPr>
        <w:t>七、</w:t>
      </w:r>
      <w:r>
        <w:rPr>
          <w:rStyle w:val="2Char"/>
          <w:rFonts w:ascii="黑体" w:eastAsia="黑体" w:hAnsi="黑体" w:hint="eastAsia"/>
          <w:b w:val="0"/>
          <w:color w:val="000000" w:themeColor="text1"/>
        </w:rPr>
        <w:t>财政拨款</w:t>
      </w:r>
      <w:r>
        <w:rPr>
          <w:rStyle w:val="2Char"/>
          <w:rFonts w:ascii="黑体" w:eastAsia="黑体" w:hAnsi="黑体" w:hint="eastAsia"/>
          <w:color w:val="000000" w:themeColor="text1"/>
        </w:rPr>
        <w:t>“</w:t>
      </w:r>
      <w:r>
        <w:rPr>
          <w:rStyle w:val="2Char"/>
          <w:rFonts w:ascii="黑体" w:eastAsia="黑体" w:hAnsi="黑体" w:hint="eastAsia"/>
          <w:b w:val="0"/>
          <w:color w:val="000000" w:themeColor="text1"/>
        </w:rPr>
        <w:t>三公”经费支出决算情况说明</w:t>
      </w:r>
      <w:bookmarkEnd w:id="35"/>
      <w:bookmarkEnd w:id="36"/>
    </w:p>
    <w:p w:rsidR="002E5C93" w:rsidRDefault="00404FBC">
      <w:pPr>
        <w:adjustRightInd w:val="0"/>
        <w:snapToGrid w:val="0"/>
        <w:spacing w:line="580" w:lineRule="exact"/>
        <w:ind w:firstLine="641"/>
        <w:outlineLvl w:val="2"/>
        <w:rPr>
          <w:rFonts w:ascii="楷体_GB2312" w:eastAsia="楷体_GB2312" w:hAnsi="仿宋"/>
          <w:b/>
          <w:color w:val="000000" w:themeColor="text1"/>
          <w:sz w:val="32"/>
          <w:szCs w:val="32"/>
        </w:rPr>
      </w:pPr>
      <w:bookmarkStart w:id="37" w:name="_Toc15377216"/>
      <w:r>
        <w:rPr>
          <w:rFonts w:ascii="楷体_GB2312" w:eastAsia="楷体_GB2312" w:hAnsi="仿宋" w:hint="eastAsia"/>
          <w:b/>
          <w:color w:val="000000" w:themeColor="text1"/>
          <w:sz w:val="32"/>
          <w:szCs w:val="32"/>
        </w:rPr>
        <w:t>（一）“三公”经费财政拨款支出决算总体情况说明</w:t>
      </w:r>
      <w:bookmarkEnd w:id="37"/>
    </w:p>
    <w:p w:rsidR="002E5C93" w:rsidRDefault="00404FBC">
      <w:pPr>
        <w:adjustRightInd w:val="0"/>
        <w:snapToGrid w:val="0"/>
        <w:spacing w:line="580" w:lineRule="exact"/>
        <w:ind w:firstLine="641"/>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2022年“三公”经费财政拨款支出决算为0.2万元，完成预算</w:t>
      </w:r>
      <w:r>
        <w:rPr>
          <w:rFonts w:ascii="仿宋_GB2312" w:eastAsia="仿宋_GB2312" w:hAnsi="仿宋"/>
          <w:color w:val="000000" w:themeColor="text1"/>
          <w:sz w:val="32"/>
          <w:szCs w:val="32"/>
        </w:rPr>
        <w:t>100</w:t>
      </w:r>
      <w:r>
        <w:rPr>
          <w:rFonts w:ascii="仿宋_GB2312" w:eastAsia="仿宋_GB2312" w:hAnsi="仿宋" w:hint="eastAsia"/>
          <w:color w:val="000000" w:themeColor="text1"/>
          <w:sz w:val="32"/>
          <w:szCs w:val="32"/>
        </w:rPr>
        <w:t>%，较上年减少0.05万元，下降</w:t>
      </w:r>
      <w:r>
        <w:rPr>
          <w:rFonts w:ascii="仿宋_GB2312" w:eastAsia="仿宋_GB2312" w:hAnsi="仿宋"/>
          <w:color w:val="000000" w:themeColor="text1"/>
          <w:sz w:val="32"/>
          <w:szCs w:val="32"/>
        </w:rPr>
        <w:t>20</w:t>
      </w:r>
      <w:r>
        <w:rPr>
          <w:rFonts w:ascii="仿宋_GB2312" w:eastAsia="仿宋_GB2312" w:hAnsi="仿宋" w:hint="eastAsia"/>
          <w:color w:val="000000" w:themeColor="text1"/>
          <w:sz w:val="32"/>
          <w:szCs w:val="32"/>
        </w:rPr>
        <w:t>%。决算数</w:t>
      </w:r>
      <w:r>
        <w:rPr>
          <w:rFonts w:ascii="仿宋_GB2312" w:eastAsia="仿宋_GB2312" w:hAnsi="仿宋"/>
          <w:color w:val="000000" w:themeColor="text1"/>
          <w:sz w:val="32"/>
          <w:szCs w:val="32"/>
        </w:rPr>
        <w:t>与</w:t>
      </w:r>
      <w:r>
        <w:rPr>
          <w:rFonts w:ascii="仿宋_GB2312" w:eastAsia="仿宋_GB2312" w:hAnsi="仿宋" w:hint="eastAsia"/>
          <w:color w:val="000000" w:themeColor="text1"/>
          <w:sz w:val="32"/>
          <w:szCs w:val="32"/>
        </w:rPr>
        <w:t>预算数</w:t>
      </w:r>
      <w:r>
        <w:rPr>
          <w:rFonts w:ascii="仿宋_GB2312" w:eastAsia="仿宋_GB2312" w:hAnsi="仿宋"/>
          <w:color w:val="000000" w:themeColor="text1"/>
          <w:sz w:val="32"/>
          <w:szCs w:val="32"/>
        </w:rPr>
        <w:t>持平</w:t>
      </w:r>
      <w:r>
        <w:rPr>
          <w:rFonts w:ascii="仿宋_GB2312" w:eastAsia="仿宋_GB2312" w:hAnsi="仿宋" w:hint="eastAsia"/>
          <w:color w:val="000000" w:themeColor="text1"/>
          <w:sz w:val="32"/>
          <w:szCs w:val="32"/>
        </w:rPr>
        <w:t>。</w:t>
      </w:r>
    </w:p>
    <w:p w:rsidR="002E5C93" w:rsidRDefault="00404FBC">
      <w:pPr>
        <w:adjustRightInd w:val="0"/>
        <w:snapToGrid w:val="0"/>
        <w:spacing w:line="580" w:lineRule="exact"/>
        <w:ind w:firstLine="641"/>
        <w:outlineLvl w:val="2"/>
        <w:rPr>
          <w:rFonts w:ascii="楷体_GB2312" w:eastAsia="楷体_GB2312" w:hAnsi="仿宋"/>
          <w:b/>
          <w:color w:val="000000" w:themeColor="text1"/>
          <w:sz w:val="32"/>
          <w:szCs w:val="32"/>
        </w:rPr>
      </w:pPr>
      <w:bookmarkStart w:id="38" w:name="_Toc15377217"/>
      <w:r>
        <w:rPr>
          <w:rFonts w:ascii="楷体_GB2312" w:eastAsia="楷体_GB2312" w:hAnsi="仿宋" w:hint="eastAsia"/>
          <w:b/>
          <w:color w:val="000000" w:themeColor="text1"/>
          <w:sz w:val="32"/>
          <w:szCs w:val="32"/>
        </w:rPr>
        <w:t>（二）“三公”经费财政拨款支出决算具体情况说明</w:t>
      </w:r>
      <w:bookmarkEnd w:id="38"/>
    </w:p>
    <w:p w:rsidR="002E5C93" w:rsidRDefault="00404FBC">
      <w:pPr>
        <w:adjustRightInd w:val="0"/>
        <w:snapToGrid w:val="0"/>
        <w:spacing w:line="580" w:lineRule="exact"/>
        <w:ind w:firstLine="641"/>
        <w:rPr>
          <w:rFonts w:ascii="仿宋_GB2312" w:eastAsia="仿宋_GB2312"/>
          <w:color w:val="000000" w:themeColor="text1"/>
          <w:sz w:val="32"/>
          <w:szCs w:val="32"/>
        </w:rPr>
      </w:pPr>
      <w:r>
        <w:rPr>
          <w:rFonts w:ascii="仿宋_GB2312" w:eastAsia="仿宋_GB2312" w:hint="eastAsia"/>
          <w:color w:val="000000" w:themeColor="text1"/>
          <w:sz w:val="32"/>
          <w:szCs w:val="32"/>
        </w:rPr>
        <w:t>2022年“三公”经费财政拨款支出决算中，因公出国（境）费支出决算0万元，占0%；公务用车购置及运行维护费支出决算0万元，占0%；公务接待费支出决算0.20万元，占100%。具体情况如下：</w:t>
      </w:r>
    </w:p>
    <w:p w:rsidR="002E5C93" w:rsidRDefault="00404FBC">
      <w:pPr>
        <w:pStyle w:val="a0"/>
        <w:spacing w:before="93"/>
      </w:pPr>
      <w:r>
        <w:rPr>
          <w:noProof/>
        </w:rPr>
        <w:lastRenderedPageBreak/>
        <w:drawing>
          <wp:inline distT="0" distB="0" distL="0" distR="0">
            <wp:extent cx="5274310" cy="3076575"/>
            <wp:effectExtent l="19050" t="0" r="2159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E5C93" w:rsidRDefault="00404FBC">
      <w:pPr>
        <w:adjustRightInd w:val="0"/>
        <w:snapToGrid w:val="0"/>
        <w:spacing w:line="560" w:lineRule="exact"/>
        <w:jc w:val="center"/>
        <w:rPr>
          <w:rFonts w:ascii="仿宋_GB2312" w:eastAsia="仿宋_GB2312" w:hAnsi="仿宋"/>
          <w:sz w:val="32"/>
          <w:szCs w:val="32"/>
        </w:rPr>
      </w:pPr>
      <w:r>
        <w:rPr>
          <w:rFonts w:ascii="仿宋_GB2312" w:eastAsia="仿宋_GB2312" w:hAnsi="仿宋" w:hint="eastAsia"/>
          <w:sz w:val="32"/>
          <w:szCs w:val="32"/>
        </w:rPr>
        <w:t>（图7：“三公”经费财政拨款支出结构）（饼状图）</w:t>
      </w:r>
    </w:p>
    <w:p w:rsidR="002E5C93" w:rsidRDefault="00404FBC" w:rsidP="00E467C0">
      <w:pPr>
        <w:adjustRightInd w:val="0"/>
        <w:snapToGrid w:val="0"/>
        <w:spacing w:line="560" w:lineRule="exact"/>
        <w:ind w:firstLineChars="200" w:firstLine="643"/>
        <w:rPr>
          <w:rFonts w:ascii="仿宋_GB2312" w:eastAsia="仿宋_GB2312"/>
          <w:color w:val="000000" w:themeColor="text1"/>
          <w:sz w:val="32"/>
          <w:szCs w:val="32"/>
        </w:rPr>
      </w:pPr>
      <w:bookmarkStart w:id="39" w:name="_Toc15377218"/>
      <w:bookmarkStart w:id="40" w:name="_Toc15396610"/>
      <w:r>
        <w:rPr>
          <w:rFonts w:ascii="仿宋_GB2312" w:eastAsia="仿宋_GB2312" w:hint="eastAsia"/>
          <w:b/>
          <w:color w:val="000000" w:themeColor="text1"/>
          <w:sz w:val="32"/>
          <w:szCs w:val="32"/>
        </w:rPr>
        <w:t>1.因公出国（境）经费支出0万元。</w:t>
      </w:r>
      <w:r>
        <w:rPr>
          <w:rFonts w:ascii="仿宋_GB2312" w:eastAsia="仿宋_GB2312" w:hint="eastAsia"/>
          <w:color w:val="000000" w:themeColor="text1"/>
          <w:sz w:val="32"/>
          <w:szCs w:val="32"/>
        </w:rPr>
        <w:t>年初未安排预算，较2021年度无变化。</w:t>
      </w:r>
    </w:p>
    <w:p w:rsidR="002E5C93" w:rsidRDefault="00404FBC" w:rsidP="00E467C0">
      <w:pPr>
        <w:adjustRightInd w:val="0"/>
        <w:snapToGrid w:val="0"/>
        <w:spacing w:line="560" w:lineRule="exact"/>
        <w:ind w:firstLineChars="200" w:firstLine="643"/>
        <w:rPr>
          <w:rFonts w:ascii="仿宋_GB2312" w:eastAsia="仿宋_GB2312"/>
          <w:color w:val="000000" w:themeColor="text1"/>
          <w:sz w:val="32"/>
          <w:szCs w:val="32"/>
        </w:rPr>
      </w:pPr>
      <w:r>
        <w:rPr>
          <w:rFonts w:ascii="仿宋_GB2312" w:eastAsia="仿宋_GB2312" w:hint="eastAsia"/>
          <w:b/>
          <w:color w:val="000000" w:themeColor="text1"/>
          <w:sz w:val="32"/>
          <w:szCs w:val="32"/>
        </w:rPr>
        <w:t>2.公务用车购置及运行维护费支出0万元。</w:t>
      </w:r>
      <w:r>
        <w:rPr>
          <w:rFonts w:ascii="仿宋_GB2312" w:eastAsia="仿宋_GB2312" w:hint="eastAsia"/>
          <w:color w:val="000000" w:themeColor="text1"/>
          <w:sz w:val="32"/>
          <w:szCs w:val="32"/>
        </w:rPr>
        <w:t>我单位无公务用车保有量。</w:t>
      </w:r>
    </w:p>
    <w:p w:rsidR="002E5C93" w:rsidRDefault="00404FBC">
      <w:pPr>
        <w:adjustRightInd w:val="0"/>
        <w:snapToGrid w:val="0"/>
        <w:spacing w:line="580" w:lineRule="exact"/>
        <w:ind w:firstLine="641"/>
        <w:rPr>
          <w:rFonts w:ascii="仿宋_GB2312" w:eastAsia="仿宋_GB2312" w:hAnsi="仿宋"/>
          <w:color w:val="000000" w:themeColor="text1"/>
          <w:sz w:val="32"/>
          <w:szCs w:val="32"/>
        </w:rPr>
      </w:pPr>
      <w:r>
        <w:rPr>
          <w:rFonts w:ascii="仿宋_GB2312" w:eastAsia="仿宋_GB2312" w:hint="eastAsia"/>
          <w:b/>
          <w:sz w:val="32"/>
          <w:szCs w:val="32"/>
        </w:rPr>
        <w:t>3.公务接待费支出0.2万元，</w:t>
      </w:r>
      <w:r>
        <w:rPr>
          <w:rStyle w:val="a9"/>
          <w:rFonts w:ascii="仿宋_GB2312" w:eastAsia="仿宋_GB2312" w:hint="eastAsia"/>
          <w:bCs/>
          <w:sz w:val="32"/>
          <w:szCs w:val="32"/>
        </w:rPr>
        <w:t>完成预算</w:t>
      </w:r>
      <w:r>
        <w:rPr>
          <w:rStyle w:val="a9"/>
          <w:rFonts w:ascii="仿宋_GB2312" w:eastAsia="仿宋_GB2312"/>
          <w:bCs/>
          <w:sz w:val="32"/>
          <w:szCs w:val="32"/>
        </w:rPr>
        <w:t>100</w:t>
      </w:r>
      <w:r>
        <w:rPr>
          <w:rStyle w:val="a9"/>
          <w:rFonts w:ascii="仿宋_GB2312" w:eastAsia="仿宋_GB2312" w:hint="eastAsia"/>
          <w:bCs/>
          <w:sz w:val="32"/>
          <w:szCs w:val="32"/>
        </w:rPr>
        <w:t>%。</w:t>
      </w:r>
      <w:r>
        <w:rPr>
          <w:rFonts w:ascii="仿宋_GB2312" w:eastAsia="仿宋_GB2312" w:hint="eastAsia"/>
          <w:sz w:val="32"/>
          <w:szCs w:val="32"/>
        </w:rPr>
        <w:t>公务接待费支出决算</w:t>
      </w:r>
      <w:r>
        <w:rPr>
          <w:rFonts w:ascii="仿宋_GB2312" w:eastAsia="仿宋_GB2312"/>
          <w:sz w:val="32"/>
          <w:szCs w:val="32"/>
        </w:rPr>
        <w:t>比2021年减少0.05万元，</w:t>
      </w:r>
      <w:r>
        <w:rPr>
          <w:rFonts w:ascii="仿宋_GB2312" w:eastAsia="仿宋_GB2312" w:hint="eastAsia"/>
          <w:sz w:val="32"/>
          <w:szCs w:val="32"/>
        </w:rPr>
        <w:t>下降</w:t>
      </w:r>
      <w:r>
        <w:rPr>
          <w:rFonts w:ascii="仿宋_GB2312" w:eastAsia="仿宋_GB2312"/>
          <w:sz w:val="32"/>
          <w:szCs w:val="32"/>
        </w:rPr>
        <w:t>20</w:t>
      </w:r>
      <w:r>
        <w:rPr>
          <w:rFonts w:ascii="仿宋_GB2312" w:eastAsia="仿宋_GB2312" w:hint="eastAsia"/>
          <w:sz w:val="32"/>
          <w:szCs w:val="32"/>
        </w:rPr>
        <w:t>%。</w:t>
      </w:r>
      <w:r>
        <w:rPr>
          <w:rFonts w:ascii="仿宋_GB2312" w:eastAsia="仿宋_GB2312" w:hint="eastAsia"/>
          <w:color w:val="000000" w:themeColor="text1"/>
          <w:sz w:val="32"/>
          <w:szCs w:val="32"/>
        </w:rPr>
        <w:t>主要原因是不折不扣贯彻省市压减一般性支出的精神,</w:t>
      </w:r>
      <w:r>
        <w:rPr>
          <w:rFonts w:ascii="仿宋" w:eastAsia="仿宋" w:hAnsi="仿宋" w:hint="eastAsia"/>
          <w:sz w:val="32"/>
          <w:szCs w:val="32"/>
        </w:rPr>
        <w:t>落实政府过紧日子政策</w:t>
      </w:r>
      <w:r>
        <w:rPr>
          <w:rFonts w:ascii="仿宋_GB2312" w:eastAsia="仿宋_GB2312" w:hAnsi="仿宋" w:hint="eastAsia"/>
          <w:color w:val="000000" w:themeColor="text1"/>
          <w:sz w:val="32"/>
          <w:szCs w:val="32"/>
        </w:rPr>
        <w:t>。其中：</w:t>
      </w:r>
    </w:p>
    <w:p w:rsidR="002E5C93" w:rsidRDefault="00404FBC">
      <w:pPr>
        <w:adjustRightInd w:val="0"/>
        <w:snapToGrid w:val="0"/>
        <w:spacing w:line="580" w:lineRule="exact"/>
        <w:ind w:firstLine="641"/>
        <w:rPr>
          <w:rFonts w:ascii="仿宋_GB2312" w:eastAsia="仿宋_GB2312" w:hAnsi="仿宋"/>
          <w:color w:val="000000" w:themeColor="text1"/>
          <w:sz w:val="32"/>
          <w:szCs w:val="32"/>
        </w:rPr>
      </w:pPr>
      <w:r>
        <w:rPr>
          <w:rFonts w:ascii="仿宋_GB2312" w:eastAsia="仿宋_GB2312" w:hint="eastAsia"/>
          <w:b/>
          <w:color w:val="000000" w:themeColor="text1"/>
          <w:sz w:val="32"/>
          <w:szCs w:val="32"/>
        </w:rPr>
        <w:t>国内公务接待支出0.2万元。</w:t>
      </w:r>
      <w:r>
        <w:rPr>
          <w:rFonts w:ascii="仿宋_GB2312" w:eastAsia="仿宋_GB2312" w:hint="eastAsia"/>
          <w:color w:val="000000" w:themeColor="text1"/>
          <w:sz w:val="32"/>
          <w:szCs w:val="32"/>
        </w:rPr>
        <w:t>主要用于执行公务、开展业务活动开支的交通费、住宿费、用餐费等。国内公务接待2批次，15人（不包括陪同人员），共计支出0.2万元，具体内容包括：（1）接待剑阁县普安镇白虎村村委会开展党支部结对共建相关事宜接待费用0.1万元；（2）接待苍溪县城乡建设投资有限公司工作交流学习接待费0.1万元。</w:t>
      </w:r>
    </w:p>
    <w:p w:rsidR="002E5C93" w:rsidRDefault="00404FBC" w:rsidP="00E467C0">
      <w:pPr>
        <w:adjustRightInd w:val="0"/>
        <w:snapToGrid w:val="0"/>
        <w:spacing w:line="560" w:lineRule="exact"/>
        <w:ind w:firstLineChars="200" w:firstLine="643"/>
        <w:rPr>
          <w:rFonts w:ascii="仿宋_GB2312" w:eastAsia="仿宋_GB2312"/>
          <w:color w:val="000000" w:themeColor="text1"/>
          <w:sz w:val="32"/>
          <w:szCs w:val="32"/>
        </w:rPr>
      </w:pPr>
      <w:r>
        <w:rPr>
          <w:rFonts w:ascii="仿宋_GB2312" w:eastAsia="仿宋_GB2312" w:hint="eastAsia"/>
          <w:b/>
          <w:color w:val="000000" w:themeColor="text1"/>
          <w:sz w:val="32"/>
          <w:szCs w:val="32"/>
        </w:rPr>
        <w:lastRenderedPageBreak/>
        <w:t>外事接待支出0万元。</w:t>
      </w:r>
    </w:p>
    <w:p w:rsidR="002E5C93" w:rsidRDefault="00404FBC">
      <w:pPr>
        <w:adjustRightInd w:val="0"/>
        <w:snapToGrid w:val="0"/>
        <w:spacing w:line="560" w:lineRule="exact"/>
        <w:ind w:firstLine="640"/>
        <w:outlineLvl w:val="1"/>
        <w:rPr>
          <w:rStyle w:val="2Char"/>
          <w:rFonts w:ascii="黑体" w:eastAsia="黑体" w:hAnsi="黑体"/>
          <w:color w:val="000000" w:themeColor="text1"/>
        </w:rPr>
      </w:pPr>
      <w:r>
        <w:rPr>
          <w:rFonts w:ascii="黑体" w:eastAsia="黑体" w:hint="eastAsia"/>
          <w:color w:val="000000" w:themeColor="text1"/>
          <w:sz w:val="32"/>
          <w:szCs w:val="32"/>
        </w:rPr>
        <w:t>八、</w:t>
      </w:r>
      <w:r>
        <w:rPr>
          <w:rStyle w:val="2Char"/>
          <w:rFonts w:ascii="黑体" w:eastAsia="黑体" w:hAnsi="黑体" w:hint="eastAsia"/>
          <w:b w:val="0"/>
          <w:color w:val="000000" w:themeColor="text1"/>
        </w:rPr>
        <w:t>政府性基金预算支出决算情况说明</w:t>
      </w:r>
      <w:bookmarkEnd w:id="39"/>
      <w:bookmarkEnd w:id="40"/>
    </w:p>
    <w:p w:rsidR="002E5C93" w:rsidRDefault="00404FBC">
      <w:pPr>
        <w:adjustRightInd w:val="0"/>
        <w:snapToGrid w:val="0"/>
        <w:spacing w:line="560" w:lineRule="exact"/>
        <w:ind w:firstLine="640"/>
        <w:rPr>
          <w:rFonts w:ascii="仿宋_GB2312" w:eastAsia="仿宋_GB2312"/>
          <w:color w:val="000000" w:themeColor="text1"/>
          <w:sz w:val="32"/>
          <w:szCs w:val="32"/>
        </w:rPr>
      </w:pPr>
      <w:r>
        <w:rPr>
          <w:rFonts w:ascii="仿宋_GB2312" w:eastAsia="仿宋_GB2312"/>
          <w:color w:val="000000" w:themeColor="text1"/>
          <w:sz w:val="32"/>
          <w:szCs w:val="32"/>
        </w:rPr>
        <w:t>20</w:t>
      </w:r>
      <w:r>
        <w:rPr>
          <w:rFonts w:ascii="仿宋_GB2312" w:eastAsia="仿宋_GB2312" w:hint="eastAsia"/>
          <w:color w:val="000000" w:themeColor="text1"/>
          <w:sz w:val="32"/>
          <w:szCs w:val="32"/>
        </w:rPr>
        <w:t>22年政府性基金预算财政拨款支出0万元。</w:t>
      </w:r>
    </w:p>
    <w:p w:rsidR="002E5C93" w:rsidRDefault="00404FBC">
      <w:pPr>
        <w:numPr>
          <w:ilvl w:val="0"/>
          <w:numId w:val="2"/>
        </w:numPr>
        <w:adjustRightInd w:val="0"/>
        <w:snapToGrid w:val="0"/>
        <w:spacing w:line="560" w:lineRule="exact"/>
        <w:ind w:firstLine="640"/>
        <w:outlineLvl w:val="1"/>
        <w:rPr>
          <w:rStyle w:val="2Char"/>
          <w:rFonts w:ascii="黑体" w:eastAsia="黑体" w:hAnsi="黑体"/>
          <w:b w:val="0"/>
          <w:color w:val="000000" w:themeColor="text1"/>
        </w:rPr>
      </w:pPr>
      <w:bookmarkStart w:id="41" w:name="_Toc15396611"/>
      <w:bookmarkStart w:id="42" w:name="_Toc15377219"/>
      <w:r>
        <w:rPr>
          <w:rStyle w:val="2Char"/>
          <w:rFonts w:ascii="黑体" w:eastAsia="黑体" w:hAnsi="黑体" w:hint="eastAsia"/>
          <w:b w:val="0"/>
          <w:color w:val="000000" w:themeColor="text1"/>
        </w:rPr>
        <w:t>国有资本经营预算支出决算情况说明</w:t>
      </w:r>
      <w:bookmarkEnd w:id="41"/>
      <w:bookmarkEnd w:id="42"/>
    </w:p>
    <w:p w:rsidR="002E5C93" w:rsidRDefault="00404FBC">
      <w:pPr>
        <w:adjustRightInd w:val="0"/>
        <w:snapToGrid w:val="0"/>
        <w:spacing w:line="560" w:lineRule="exact"/>
        <w:ind w:firstLine="640"/>
        <w:rPr>
          <w:rFonts w:ascii="仿宋_GB2312" w:eastAsia="仿宋_GB2312"/>
          <w:color w:val="000000" w:themeColor="text1"/>
          <w:sz w:val="32"/>
          <w:szCs w:val="32"/>
        </w:rPr>
      </w:pPr>
      <w:r>
        <w:rPr>
          <w:rFonts w:ascii="仿宋_GB2312" w:eastAsia="仿宋_GB2312"/>
          <w:color w:val="000000" w:themeColor="text1"/>
          <w:sz w:val="32"/>
          <w:szCs w:val="32"/>
        </w:rPr>
        <w:t>20</w:t>
      </w:r>
      <w:r>
        <w:rPr>
          <w:rFonts w:ascii="仿宋_GB2312" w:eastAsia="仿宋_GB2312" w:hint="eastAsia"/>
          <w:color w:val="000000" w:themeColor="text1"/>
          <w:sz w:val="32"/>
          <w:szCs w:val="32"/>
        </w:rPr>
        <w:t>22年国有资本经营预算财政拨款支出0万元。</w:t>
      </w:r>
    </w:p>
    <w:p w:rsidR="002E5C93" w:rsidRDefault="00404FBC">
      <w:pPr>
        <w:numPr>
          <w:ilvl w:val="0"/>
          <w:numId w:val="2"/>
        </w:numPr>
        <w:adjustRightInd w:val="0"/>
        <w:snapToGrid w:val="0"/>
        <w:spacing w:line="560" w:lineRule="exact"/>
        <w:ind w:firstLine="640"/>
        <w:outlineLvl w:val="1"/>
        <w:rPr>
          <w:rStyle w:val="2Char"/>
          <w:rFonts w:ascii="黑体" w:eastAsia="黑体" w:hAnsi="黑体"/>
          <w:b w:val="0"/>
          <w:color w:val="000000" w:themeColor="text1"/>
        </w:rPr>
      </w:pPr>
      <w:bookmarkStart w:id="43" w:name="_Toc15396612"/>
      <w:bookmarkStart w:id="44" w:name="_Toc15377221"/>
      <w:r>
        <w:rPr>
          <w:rStyle w:val="2Char"/>
          <w:rFonts w:ascii="黑体" w:eastAsia="黑体" w:hAnsi="黑体" w:hint="eastAsia"/>
          <w:b w:val="0"/>
          <w:color w:val="000000" w:themeColor="text1"/>
        </w:rPr>
        <w:t>其他重要事项的情况说明</w:t>
      </w:r>
      <w:bookmarkEnd w:id="43"/>
      <w:bookmarkEnd w:id="44"/>
    </w:p>
    <w:p w:rsidR="002E5C93" w:rsidRDefault="00404FBC" w:rsidP="00E467C0">
      <w:pPr>
        <w:adjustRightInd w:val="0"/>
        <w:snapToGrid w:val="0"/>
        <w:spacing w:line="560" w:lineRule="exact"/>
        <w:ind w:firstLineChars="200" w:firstLine="643"/>
        <w:outlineLvl w:val="2"/>
        <w:rPr>
          <w:rFonts w:ascii="楷体_GB2312" w:eastAsia="楷体_GB2312" w:hAnsi="仿宋"/>
          <w:color w:val="000000" w:themeColor="text1"/>
          <w:sz w:val="32"/>
          <w:szCs w:val="32"/>
        </w:rPr>
      </w:pPr>
      <w:bookmarkStart w:id="45" w:name="_Toc15377222"/>
      <w:r>
        <w:rPr>
          <w:rFonts w:ascii="楷体_GB2312" w:eastAsia="楷体_GB2312" w:hAnsi="仿宋" w:hint="eastAsia"/>
          <w:b/>
          <w:color w:val="000000" w:themeColor="text1"/>
          <w:sz w:val="32"/>
          <w:szCs w:val="32"/>
        </w:rPr>
        <w:t>（一）机关运行经费支出情况</w:t>
      </w:r>
      <w:bookmarkEnd w:id="45"/>
    </w:p>
    <w:p w:rsidR="002E5C93" w:rsidRDefault="00404FBC">
      <w:pPr>
        <w:adjustRightInd w:val="0"/>
        <w:snapToGrid w:val="0"/>
        <w:spacing w:line="560" w:lineRule="exact"/>
        <w:ind w:firstLineChars="200" w:firstLine="624"/>
        <w:rPr>
          <w:rFonts w:ascii="仿宋_GB2312" w:eastAsia="仿宋_GB2312"/>
          <w:color w:val="000000" w:themeColor="text1"/>
          <w:spacing w:val="-4"/>
          <w:sz w:val="32"/>
          <w:szCs w:val="32"/>
        </w:rPr>
      </w:pPr>
      <w:bookmarkStart w:id="46" w:name="_Toc15377223"/>
      <w:r>
        <w:rPr>
          <w:rFonts w:ascii="仿宋_GB2312" w:eastAsia="仿宋_GB2312" w:hint="eastAsia"/>
          <w:color w:val="000000" w:themeColor="text1"/>
          <w:spacing w:val="-4"/>
          <w:sz w:val="32"/>
          <w:szCs w:val="32"/>
        </w:rPr>
        <w:t>2022年未发生机关运行经费支出，与2021年决算数持平。</w:t>
      </w:r>
    </w:p>
    <w:p w:rsidR="002E5C93" w:rsidRDefault="00404FBC" w:rsidP="00E467C0">
      <w:pPr>
        <w:autoSpaceDE w:val="0"/>
        <w:autoSpaceDN w:val="0"/>
        <w:adjustRightInd w:val="0"/>
        <w:snapToGrid w:val="0"/>
        <w:spacing w:line="560" w:lineRule="exact"/>
        <w:ind w:firstLineChars="200" w:firstLine="643"/>
        <w:jc w:val="left"/>
        <w:outlineLvl w:val="2"/>
        <w:rPr>
          <w:rFonts w:ascii="楷体_GB2312" w:eastAsia="楷体_GB2312" w:hAnsi="仿宋"/>
          <w:b/>
          <w:color w:val="000000" w:themeColor="text1"/>
          <w:sz w:val="32"/>
          <w:szCs w:val="32"/>
        </w:rPr>
      </w:pPr>
      <w:r>
        <w:rPr>
          <w:rFonts w:ascii="楷体_GB2312" w:eastAsia="楷体_GB2312" w:hAnsi="仿宋" w:hint="eastAsia"/>
          <w:b/>
          <w:color w:val="000000" w:themeColor="text1"/>
          <w:sz w:val="32"/>
          <w:szCs w:val="32"/>
        </w:rPr>
        <w:t>（二）政府采购支出情况</w:t>
      </w:r>
      <w:bookmarkEnd w:id="46"/>
    </w:p>
    <w:p w:rsidR="002E5C93" w:rsidRDefault="00404FBC">
      <w:pPr>
        <w:adjustRightInd w:val="0"/>
        <w:snapToGrid w:val="0"/>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2022年，广元市国资国企服务中心政府采购支出总额1.17万元，其中：政府采购货物支出1.17万元。主要用于购置办公黑白A4打印机2台，多功能一体机2台。授予中小企业合同金额1.17万元，占政府采购支出总额的100%，其中：授予小微企业合同金额1.17万元，占政府采购支出总额的100%。</w:t>
      </w:r>
    </w:p>
    <w:p w:rsidR="002E5C93" w:rsidRDefault="00404FBC" w:rsidP="00E467C0">
      <w:pPr>
        <w:autoSpaceDE w:val="0"/>
        <w:autoSpaceDN w:val="0"/>
        <w:adjustRightInd w:val="0"/>
        <w:snapToGrid w:val="0"/>
        <w:spacing w:line="560" w:lineRule="exact"/>
        <w:ind w:firstLineChars="200" w:firstLine="643"/>
        <w:jc w:val="left"/>
        <w:outlineLvl w:val="2"/>
        <w:rPr>
          <w:rFonts w:ascii="楷体_GB2312" w:eastAsia="楷体_GB2312" w:hAnsi="仿宋"/>
          <w:b/>
          <w:color w:val="000000" w:themeColor="text1"/>
          <w:sz w:val="32"/>
          <w:szCs w:val="32"/>
        </w:rPr>
      </w:pPr>
      <w:bookmarkStart w:id="47" w:name="_Toc15377224"/>
      <w:r>
        <w:rPr>
          <w:rFonts w:ascii="楷体_GB2312" w:eastAsia="楷体_GB2312" w:hAnsi="仿宋" w:hint="eastAsia"/>
          <w:b/>
          <w:color w:val="000000" w:themeColor="text1"/>
          <w:sz w:val="32"/>
          <w:szCs w:val="32"/>
        </w:rPr>
        <w:t>（三）国有资产占有使用情况</w:t>
      </w:r>
      <w:bookmarkEnd w:id="47"/>
    </w:p>
    <w:p w:rsidR="002E5C93" w:rsidRDefault="00404FBC">
      <w:pPr>
        <w:autoSpaceDE w:val="0"/>
        <w:autoSpaceDN w:val="0"/>
        <w:adjustRightInd w:val="0"/>
        <w:snapToGrid w:val="0"/>
        <w:spacing w:line="560" w:lineRule="exact"/>
        <w:ind w:firstLineChars="200" w:firstLine="640"/>
        <w:jc w:val="left"/>
        <w:rPr>
          <w:rFonts w:ascii="仿宋_GB2312" w:eastAsia="仿宋_GB2312"/>
          <w:color w:val="000000" w:themeColor="text1"/>
          <w:sz w:val="32"/>
          <w:szCs w:val="32"/>
        </w:rPr>
      </w:pPr>
      <w:r>
        <w:rPr>
          <w:rFonts w:ascii="仿宋_GB2312" w:eastAsia="仿宋_GB2312" w:hint="eastAsia"/>
          <w:color w:val="000000" w:themeColor="text1"/>
          <w:sz w:val="32"/>
          <w:szCs w:val="32"/>
        </w:rPr>
        <w:t>截至2022年12月31日，广元市国资国企服务中心共有车辆0辆。单价100万元以上专用设备0台（套）。</w:t>
      </w:r>
    </w:p>
    <w:p w:rsidR="002E5C93" w:rsidRDefault="00404FBC" w:rsidP="00E467C0">
      <w:pPr>
        <w:autoSpaceDE w:val="0"/>
        <w:autoSpaceDN w:val="0"/>
        <w:adjustRightInd w:val="0"/>
        <w:snapToGrid w:val="0"/>
        <w:spacing w:line="560" w:lineRule="exact"/>
        <w:ind w:firstLineChars="200" w:firstLine="643"/>
        <w:jc w:val="left"/>
        <w:outlineLvl w:val="2"/>
        <w:rPr>
          <w:rFonts w:ascii="楷体_GB2312" w:eastAsia="楷体_GB2312" w:hAnsi="仿宋"/>
          <w:b/>
          <w:color w:val="000000" w:themeColor="text1"/>
          <w:sz w:val="32"/>
          <w:szCs w:val="32"/>
        </w:rPr>
      </w:pPr>
      <w:r>
        <w:rPr>
          <w:rFonts w:ascii="楷体_GB2312" w:eastAsia="楷体_GB2312" w:hAnsi="仿宋" w:hint="eastAsia"/>
          <w:b/>
          <w:color w:val="000000" w:themeColor="text1"/>
          <w:sz w:val="32"/>
          <w:szCs w:val="32"/>
        </w:rPr>
        <w:t>（四）预算绩效管理情况</w:t>
      </w:r>
    </w:p>
    <w:p w:rsidR="002E5C93" w:rsidRDefault="00404FBC">
      <w:pPr>
        <w:adjustRightInd w:val="0"/>
        <w:snapToGrid w:val="0"/>
        <w:spacing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根据预算绩效管理要求，本单位在2022年度预算编制阶段，组织对应交税费、资产运行管理费、资产维护维修费、固定资产购置费、返还新冠疫情减免已交租金、财政代管承租户保证金、还建房维修基金、高层次人才安家补助和工作补助等8个项目开展了预算事前绩效评估，对8个项目编制</w:t>
      </w:r>
      <w:r>
        <w:rPr>
          <w:rFonts w:ascii="仿宋_GB2312" w:eastAsia="仿宋_GB2312" w:hint="eastAsia"/>
          <w:color w:val="000000" w:themeColor="text1"/>
          <w:sz w:val="32"/>
          <w:szCs w:val="32"/>
        </w:rPr>
        <w:lastRenderedPageBreak/>
        <w:t>了绩效目标，预算执行过程中，选取8个项目开展绩效监控，年终执行完毕后，对8个项目开展了绩效自评，2022年部门预算项目绩效目标自评表见附件（第四部分）。</w:t>
      </w:r>
      <w:bookmarkStart w:id="48" w:name="_Toc15396613"/>
      <w:bookmarkStart w:id="49" w:name="_Toc15377225"/>
    </w:p>
    <w:p w:rsidR="002E5C93" w:rsidRDefault="002E5C93">
      <w:pPr>
        <w:adjustRightInd w:val="0"/>
        <w:snapToGrid w:val="0"/>
        <w:spacing w:line="560" w:lineRule="exact"/>
        <w:rPr>
          <w:rFonts w:ascii="黑体" w:eastAsia="黑体" w:hAnsi="黑体"/>
          <w:color w:val="000000" w:themeColor="text1"/>
          <w:sz w:val="44"/>
          <w:szCs w:val="44"/>
        </w:rPr>
      </w:pPr>
    </w:p>
    <w:p w:rsidR="002E5C93" w:rsidRDefault="00404FBC">
      <w:pPr>
        <w:adjustRightInd w:val="0"/>
        <w:snapToGrid w:val="0"/>
        <w:spacing w:line="580" w:lineRule="exact"/>
        <w:jc w:val="center"/>
        <w:rPr>
          <w:rStyle w:val="1Char"/>
          <w:rFonts w:ascii="仿宋_GB2312" w:eastAsia="仿宋_GB2312"/>
          <w:b w:val="0"/>
          <w:bCs w:val="0"/>
          <w:color w:val="000000" w:themeColor="text1"/>
          <w:kern w:val="2"/>
          <w:sz w:val="32"/>
          <w:szCs w:val="32"/>
        </w:rPr>
      </w:pPr>
      <w:r>
        <w:rPr>
          <w:rFonts w:ascii="黑体" w:eastAsia="黑体" w:hAnsi="黑体" w:hint="eastAsia"/>
          <w:color w:val="000000" w:themeColor="text1"/>
          <w:sz w:val="44"/>
          <w:szCs w:val="44"/>
        </w:rPr>
        <w:t>第三部分 名</w:t>
      </w:r>
      <w:r>
        <w:rPr>
          <w:rStyle w:val="1Char"/>
          <w:rFonts w:ascii="黑体" w:eastAsia="黑体" w:hAnsi="黑体" w:hint="eastAsia"/>
          <w:b w:val="0"/>
          <w:color w:val="000000" w:themeColor="text1"/>
        </w:rPr>
        <w:t>词解释</w:t>
      </w:r>
      <w:bookmarkEnd w:id="48"/>
      <w:bookmarkEnd w:id="49"/>
    </w:p>
    <w:p w:rsidR="002E5C93" w:rsidRDefault="002E5C93">
      <w:pPr>
        <w:adjustRightInd w:val="0"/>
        <w:snapToGrid w:val="0"/>
        <w:spacing w:line="556" w:lineRule="exact"/>
        <w:jc w:val="left"/>
        <w:rPr>
          <w:rFonts w:ascii="宋体"/>
          <w:b/>
          <w:sz w:val="44"/>
          <w:szCs w:val="44"/>
        </w:rPr>
      </w:pPr>
    </w:p>
    <w:p w:rsidR="002E5C93" w:rsidRDefault="00404FBC">
      <w:pPr>
        <w:pStyle w:val="Default"/>
        <w:snapToGrid w:val="0"/>
        <w:spacing w:line="556" w:lineRule="exact"/>
        <w:ind w:firstLineChars="200" w:firstLine="640"/>
        <w:rPr>
          <w:rFonts w:ascii="仿宋_GB2312" w:eastAsia="仿宋_GB2312" w:hAnsi="Times New Roman" w:cs="Times New Roman"/>
          <w:color w:val="000000" w:themeColor="text1"/>
          <w:sz w:val="32"/>
          <w:szCs w:val="32"/>
        </w:rPr>
      </w:pPr>
      <w:r>
        <w:rPr>
          <w:rFonts w:ascii="仿宋_GB2312" w:eastAsia="仿宋_GB2312" w:hAnsi="Times New Roman" w:cs="Times New Roman" w:hint="eastAsia"/>
          <w:color w:val="000000" w:themeColor="text1"/>
          <w:sz w:val="32"/>
          <w:szCs w:val="32"/>
        </w:rPr>
        <w:t>1.财政拨款收入：指单位从同级财政部门取得的财政预算资金。</w:t>
      </w:r>
    </w:p>
    <w:p w:rsidR="002E5C93" w:rsidRDefault="00404FBC">
      <w:pPr>
        <w:pStyle w:val="Default"/>
        <w:snapToGrid w:val="0"/>
        <w:spacing w:line="556" w:lineRule="exact"/>
        <w:ind w:firstLineChars="200" w:firstLine="640"/>
        <w:rPr>
          <w:rFonts w:ascii="仿宋_GB2312" w:eastAsia="仿宋_GB2312" w:hAnsi="Times New Roman" w:cs="Times New Roman"/>
          <w:color w:val="000000" w:themeColor="text1"/>
          <w:sz w:val="32"/>
          <w:szCs w:val="32"/>
        </w:rPr>
      </w:pPr>
      <w:r>
        <w:rPr>
          <w:rFonts w:ascii="仿宋_GB2312" w:eastAsia="仿宋_GB2312" w:hAnsi="Times New Roman" w:cs="Times New Roman" w:hint="eastAsia"/>
          <w:color w:val="000000" w:themeColor="text1"/>
          <w:sz w:val="32"/>
          <w:szCs w:val="32"/>
        </w:rPr>
        <w:t>2.其他收入：指单位取得的除上述收入以外的各项收入。主要是利息收入。</w:t>
      </w:r>
    </w:p>
    <w:p w:rsidR="002E5C93" w:rsidRDefault="00404FBC">
      <w:pPr>
        <w:pStyle w:val="Default"/>
        <w:snapToGrid w:val="0"/>
        <w:spacing w:line="556" w:lineRule="exact"/>
        <w:ind w:firstLineChars="200" w:firstLine="640"/>
        <w:rPr>
          <w:rFonts w:ascii="仿宋_GB2312" w:eastAsia="仿宋_GB2312" w:hAnsi="Times New Roman" w:cs="Times New Roman"/>
          <w:color w:val="000000" w:themeColor="text1"/>
          <w:sz w:val="32"/>
          <w:szCs w:val="32"/>
        </w:rPr>
      </w:pPr>
      <w:r>
        <w:rPr>
          <w:rFonts w:ascii="仿宋_GB2312" w:eastAsia="仿宋_GB2312" w:hAnsi="Times New Roman" w:cs="Times New Roman" w:hint="eastAsia"/>
          <w:color w:val="000000" w:themeColor="text1"/>
          <w:sz w:val="32"/>
          <w:szCs w:val="32"/>
        </w:rPr>
        <w:t>3.年初结转和结余：指以前年度尚未完成、结转到本年按有关规定继续使用的资金。</w:t>
      </w:r>
    </w:p>
    <w:p w:rsidR="002E5C93" w:rsidRDefault="00404FBC">
      <w:pPr>
        <w:pStyle w:val="Default"/>
        <w:snapToGrid w:val="0"/>
        <w:spacing w:line="556" w:lineRule="exact"/>
        <w:ind w:firstLineChars="200" w:firstLine="640"/>
        <w:rPr>
          <w:rFonts w:ascii="仿宋_GB2312" w:eastAsia="仿宋_GB2312" w:hAnsi="Times New Roman" w:cs="Times New Roman"/>
          <w:color w:val="000000" w:themeColor="text1"/>
          <w:sz w:val="32"/>
          <w:szCs w:val="32"/>
        </w:rPr>
      </w:pPr>
      <w:r>
        <w:rPr>
          <w:rFonts w:ascii="仿宋_GB2312" w:eastAsia="仿宋_GB2312" w:hAnsi="Times New Roman" w:cs="Times New Roman" w:hint="eastAsia"/>
          <w:color w:val="000000" w:themeColor="text1"/>
          <w:sz w:val="32"/>
          <w:szCs w:val="32"/>
        </w:rPr>
        <w:t>4.年末结转和结余：指单位按有关规定结转到下年或以后年度继续使用的资金。</w:t>
      </w:r>
    </w:p>
    <w:p w:rsidR="002E5C93" w:rsidRDefault="00404FBC">
      <w:pPr>
        <w:adjustRightInd w:val="0"/>
        <w:snapToGrid w:val="0"/>
        <w:spacing w:line="556" w:lineRule="exact"/>
        <w:ind w:firstLineChars="200" w:firstLine="640"/>
        <w:rPr>
          <w:rFonts w:ascii="仿宋_GB2312" w:eastAsia="仿宋_GB2312"/>
          <w:color w:val="000000" w:themeColor="text1"/>
          <w:kern w:val="0"/>
          <w:sz w:val="32"/>
          <w:szCs w:val="32"/>
        </w:rPr>
      </w:pPr>
      <w:r>
        <w:rPr>
          <w:rFonts w:ascii="仿宋_GB2312" w:eastAsia="仿宋_GB2312"/>
          <w:color w:val="000000" w:themeColor="text1"/>
          <w:kern w:val="0"/>
          <w:sz w:val="32"/>
          <w:szCs w:val="32"/>
        </w:rPr>
        <w:t>5</w:t>
      </w:r>
      <w:r>
        <w:rPr>
          <w:rFonts w:ascii="仿宋_GB2312" w:eastAsia="仿宋_GB2312" w:hint="eastAsia"/>
          <w:color w:val="000000" w:themeColor="text1"/>
          <w:kern w:val="0"/>
          <w:sz w:val="32"/>
          <w:szCs w:val="32"/>
        </w:rPr>
        <w:t>.</w:t>
      </w:r>
      <w:r>
        <w:rPr>
          <w:rStyle w:val="a9"/>
          <w:rFonts w:ascii="仿宋_GB2312" w:eastAsia="仿宋_GB2312" w:hint="eastAsia"/>
          <w:b w:val="0"/>
          <w:bCs/>
          <w:color w:val="000000" w:themeColor="text1"/>
          <w:sz w:val="32"/>
          <w:szCs w:val="32"/>
        </w:rPr>
        <w:t>社会保障和就业（类）人力资源和社会保障管理事务（款）引进人才费用（项）:</w:t>
      </w:r>
      <w:r>
        <w:rPr>
          <w:rFonts w:ascii="仿宋_GB2312" w:eastAsia="仿宋_GB2312" w:hint="eastAsia"/>
          <w:color w:val="000000" w:themeColor="text1"/>
          <w:kern w:val="0"/>
          <w:sz w:val="32"/>
          <w:szCs w:val="32"/>
        </w:rPr>
        <w:t xml:space="preserve"> 指机关事业单位引进人才奖励补助的支出。</w:t>
      </w:r>
    </w:p>
    <w:p w:rsidR="002E5C93" w:rsidRDefault="00404FBC">
      <w:pPr>
        <w:pStyle w:val="a8"/>
        <w:autoSpaceDE w:val="0"/>
        <w:autoSpaceDN w:val="0"/>
        <w:adjustRightInd w:val="0"/>
        <w:snapToGrid w:val="0"/>
        <w:spacing w:line="556" w:lineRule="exact"/>
        <w:ind w:firstLineChars="200" w:firstLine="640"/>
        <w:jc w:val="left"/>
        <w:rPr>
          <w:rFonts w:ascii="仿宋_GB2312" w:eastAsia="仿宋_GB2312"/>
          <w:color w:val="000000" w:themeColor="text1"/>
          <w:sz w:val="32"/>
          <w:szCs w:val="32"/>
        </w:rPr>
      </w:pPr>
      <w:r>
        <w:rPr>
          <w:rFonts w:ascii="仿宋_GB2312" w:eastAsia="仿宋_GB2312"/>
          <w:color w:val="000000" w:themeColor="text1"/>
          <w:kern w:val="0"/>
          <w:sz w:val="32"/>
          <w:szCs w:val="32"/>
        </w:rPr>
        <w:t>6</w:t>
      </w:r>
      <w:r>
        <w:rPr>
          <w:rFonts w:ascii="仿宋_GB2312" w:eastAsia="仿宋_GB2312" w:hint="eastAsia"/>
          <w:color w:val="000000" w:themeColor="text1"/>
          <w:kern w:val="0"/>
          <w:sz w:val="32"/>
          <w:szCs w:val="32"/>
        </w:rPr>
        <w:t>.社会保障和就业（类）</w:t>
      </w:r>
      <w:r>
        <w:rPr>
          <w:rFonts w:ascii="仿宋_GB2312" w:eastAsia="仿宋_GB2312"/>
          <w:color w:val="000000" w:themeColor="text1"/>
          <w:kern w:val="0"/>
          <w:sz w:val="32"/>
          <w:szCs w:val="32"/>
        </w:rPr>
        <w:t>行政事业单位养老支出</w:t>
      </w:r>
      <w:r>
        <w:rPr>
          <w:rFonts w:ascii="仿宋_GB2312" w:eastAsia="仿宋_GB2312" w:hint="eastAsia"/>
          <w:color w:val="000000" w:themeColor="text1"/>
          <w:kern w:val="0"/>
          <w:sz w:val="32"/>
          <w:szCs w:val="32"/>
        </w:rPr>
        <w:t>（款）机关事业单位基本养老保险缴费支出（项）：指机关事业单位实施养老保险制度由单位缴纳的基本养老保险费支出。</w:t>
      </w:r>
    </w:p>
    <w:p w:rsidR="002E5C93" w:rsidRDefault="00404FBC">
      <w:pPr>
        <w:adjustRightInd w:val="0"/>
        <w:snapToGrid w:val="0"/>
        <w:spacing w:line="556" w:lineRule="exact"/>
        <w:ind w:firstLineChars="200" w:firstLine="640"/>
        <w:rPr>
          <w:rFonts w:ascii="仿宋_GB2312" w:eastAsia="仿宋_GB2312"/>
          <w:color w:val="000000" w:themeColor="text1"/>
          <w:kern w:val="0"/>
          <w:sz w:val="32"/>
          <w:szCs w:val="32"/>
        </w:rPr>
      </w:pPr>
      <w:r>
        <w:rPr>
          <w:rFonts w:ascii="仿宋_GB2312" w:eastAsia="仿宋_GB2312"/>
          <w:color w:val="000000" w:themeColor="text1"/>
          <w:kern w:val="0"/>
          <w:sz w:val="32"/>
          <w:szCs w:val="32"/>
        </w:rPr>
        <w:t>7</w:t>
      </w:r>
      <w:bookmarkStart w:id="50" w:name="_GoBack"/>
      <w:bookmarkEnd w:id="50"/>
      <w:r>
        <w:rPr>
          <w:rFonts w:ascii="仿宋_GB2312" w:eastAsia="仿宋_GB2312" w:hint="eastAsia"/>
          <w:color w:val="000000" w:themeColor="text1"/>
          <w:kern w:val="0"/>
          <w:sz w:val="32"/>
          <w:szCs w:val="32"/>
        </w:rPr>
        <w:t>.社会保障和就业支出（类）其他社会保障和就业支出（款）其他社会保障和就业支出（项）：指其他用于社会保障和就业方面的支出。</w:t>
      </w:r>
    </w:p>
    <w:p w:rsidR="002E5C93" w:rsidRDefault="00404FBC">
      <w:pPr>
        <w:pStyle w:val="a8"/>
        <w:autoSpaceDE w:val="0"/>
        <w:autoSpaceDN w:val="0"/>
        <w:adjustRightInd w:val="0"/>
        <w:snapToGrid w:val="0"/>
        <w:spacing w:line="556" w:lineRule="exact"/>
        <w:ind w:firstLineChars="200" w:firstLine="640"/>
        <w:jc w:val="left"/>
        <w:rPr>
          <w:rFonts w:ascii="仿宋_GB2312" w:eastAsia="仿宋_GB2312"/>
          <w:color w:val="000000" w:themeColor="text1"/>
          <w:sz w:val="32"/>
          <w:szCs w:val="32"/>
        </w:rPr>
      </w:pPr>
      <w:r>
        <w:rPr>
          <w:rFonts w:ascii="仿宋_GB2312" w:eastAsia="仿宋_GB2312" w:hint="eastAsia"/>
          <w:color w:val="000000" w:themeColor="text1"/>
          <w:kern w:val="0"/>
          <w:sz w:val="32"/>
          <w:szCs w:val="32"/>
        </w:rPr>
        <w:t>8.卫生健康支出（类）行政事业单位医疗（款）事业单位医疗（项）：指财政单位安排的事业单位基本医疗保险缴</w:t>
      </w:r>
      <w:r>
        <w:rPr>
          <w:rFonts w:ascii="仿宋_GB2312" w:eastAsia="仿宋_GB2312" w:hint="eastAsia"/>
          <w:color w:val="000000" w:themeColor="text1"/>
          <w:kern w:val="0"/>
          <w:sz w:val="32"/>
          <w:szCs w:val="32"/>
        </w:rPr>
        <w:lastRenderedPageBreak/>
        <w:t>费经费，未参加医疗保险的事业单位的公费医疗经费，按国家规定享受离休人员待遇的医疗经费。</w:t>
      </w:r>
    </w:p>
    <w:p w:rsidR="002E5C93" w:rsidRDefault="00404FBC">
      <w:pPr>
        <w:adjustRightInd w:val="0"/>
        <w:snapToGrid w:val="0"/>
        <w:spacing w:line="556" w:lineRule="exact"/>
        <w:ind w:firstLineChars="200" w:firstLine="640"/>
        <w:rPr>
          <w:rFonts w:ascii="仿宋_GB2312" w:eastAsia="仿宋_GB2312"/>
          <w:color w:val="000000" w:themeColor="text1"/>
          <w:kern w:val="0"/>
          <w:sz w:val="32"/>
          <w:szCs w:val="32"/>
        </w:rPr>
      </w:pPr>
      <w:r>
        <w:rPr>
          <w:rFonts w:ascii="仿宋_GB2312" w:eastAsia="仿宋_GB2312" w:hint="eastAsia"/>
          <w:color w:val="000000" w:themeColor="text1"/>
          <w:kern w:val="0"/>
          <w:sz w:val="32"/>
          <w:szCs w:val="32"/>
        </w:rPr>
        <w:t>9.资源勘探工业信息等支出（类）国有资产监管（款）其他国有资产监管支出（项）：指项目以外其他用于国有资产监管方面的支出。</w:t>
      </w:r>
    </w:p>
    <w:p w:rsidR="002E5C93" w:rsidRDefault="00404FBC">
      <w:pPr>
        <w:adjustRightInd w:val="0"/>
        <w:snapToGrid w:val="0"/>
        <w:spacing w:line="556" w:lineRule="exact"/>
        <w:ind w:firstLineChars="200" w:firstLine="640"/>
        <w:rPr>
          <w:rFonts w:ascii="仿宋_GB2312" w:eastAsia="仿宋_GB2312"/>
          <w:color w:val="000000" w:themeColor="text1"/>
          <w:kern w:val="0"/>
          <w:sz w:val="32"/>
          <w:szCs w:val="32"/>
        </w:rPr>
      </w:pPr>
      <w:r>
        <w:rPr>
          <w:rFonts w:ascii="仿宋_GB2312" w:eastAsia="仿宋_GB2312" w:hint="eastAsia"/>
          <w:color w:val="000000" w:themeColor="text1"/>
          <w:kern w:val="0"/>
          <w:sz w:val="32"/>
          <w:szCs w:val="32"/>
        </w:rPr>
        <w:t>10.住房保障支出（类）住房改革支出（款）住房公积金（项）：指行政事业单位按人力资源和社会保障部、财政部规定的基本工资和津贴补贴以及规定比例为职工缴纳住房公积金。</w:t>
      </w:r>
    </w:p>
    <w:p w:rsidR="002E5C93" w:rsidRDefault="00404FBC">
      <w:pPr>
        <w:adjustRightInd w:val="0"/>
        <w:snapToGrid w:val="0"/>
        <w:spacing w:line="556"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11.基本支出：指为保障机构正常运转、完成日常工作任务而发生的人员支出和公用支出。</w:t>
      </w:r>
    </w:p>
    <w:p w:rsidR="002E5C93" w:rsidRDefault="00404FBC">
      <w:pPr>
        <w:adjustRightInd w:val="0"/>
        <w:snapToGrid w:val="0"/>
        <w:spacing w:line="556"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12.项目支出：指在基本支出之外为完成特定行政任务和事业发展目标所发生的支出。</w:t>
      </w:r>
    </w:p>
    <w:p w:rsidR="002E5C93" w:rsidRDefault="00404FBC">
      <w:pPr>
        <w:pStyle w:val="a8"/>
        <w:autoSpaceDE w:val="0"/>
        <w:autoSpaceDN w:val="0"/>
        <w:adjustRightInd w:val="0"/>
        <w:snapToGrid w:val="0"/>
        <w:spacing w:line="556" w:lineRule="exact"/>
        <w:ind w:firstLineChars="200" w:firstLine="640"/>
        <w:jc w:val="left"/>
        <w:rPr>
          <w:rFonts w:ascii="仿宋_GB2312" w:eastAsia="仿宋_GB2312"/>
          <w:color w:val="000000" w:themeColor="text1"/>
          <w:kern w:val="0"/>
          <w:sz w:val="32"/>
          <w:szCs w:val="32"/>
        </w:rPr>
        <w:sectPr w:rsidR="002E5C93">
          <w:headerReference w:type="default" r:id="rId15"/>
          <w:footerReference w:type="default" r:id="rId16"/>
          <w:footerReference w:type="first" r:id="rId17"/>
          <w:pgSz w:w="11906" w:h="16838"/>
          <w:pgMar w:top="1440" w:right="1800" w:bottom="1440" w:left="1800" w:header="851" w:footer="992" w:gutter="0"/>
          <w:pgNumType w:start="1"/>
          <w:cols w:space="425"/>
          <w:titlePg/>
          <w:docGrid w:type="lines" w:linePitch="312"/>
        </w:sectPr>
      </w:pPr>
      <w:r>
        <w:rPr>
          <w:rFonts w:ascii="仿宋_GB2312" w:eastAsia="仿宋_GB2312" w:hint="eastAsia"/>
          <w:color w:val="000000" w:themeColor="text1"/>
          <w:kern w:val="0"/>
          <w:sz w:val="32"/>
          <w:szCs w:val="32"/>
        </w:rPr>
        <w:t>13.“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ascii="仿宋_GB2312" w:eastAsia="仿宋_GB2312" w:hint="eastAsia"/>
          <w:color w:val="000000" w:themeColor="text1"/>
          <w:sz w:val="32"/>
          <w:szCs w:val="32"/>
        </w:rPr>
        <w:t>。</w:t>
      </w:r>
    </w:p>
    <w:p w:rsidR="002E5C93" w:rsidRDefault="00404FBC">
      <w:pPr>
        <w:spacing w:line="600" w:lineRule="exact"/>
        <w:jc w:val="center"/>
        <w:outlineLvl w:val="0"/>
        <w:rPr>
          <w:rStyle w:val="1Char"/>
          <w:rFonts w:ascii="黑体" w:eastAsia="黑体" w:hAnsi="黑体"/>
          <w:b w:val="0"/>
        </w:rPr>
      </w:pPr>
      <w:bookmarkStart w:id="51" w:name="_Toc15396614"/>
      <w:bookmarkStart w:id="52" w:name="_Toc15377226"/>
      <w:r>
        <w:rPr>
          <w:rFonts w:ascii="黑体" w:eastAsia="黑体" w:hAnsi="黑体" w:hint="eastAsia"/>
          <w:sz w:val="44"/>
          <w:szCs w:val="44"/>
        </w:rPr>
        <w:lastRenderedPageBreak/>
        <w:t>第</w:t>
      </w:r>
      <w:r>
        <w:rPr>
          <w:rStyle w:val="1Char"/>
          <w:rFonts w:ascii="黑体" w:eastAsia="黑体" w:hAnsi="黑体" w:hint="eastAsia"/>
          <w:b w:val="0"/>
        </w:rPr>
        <w:t>四部分 附件</w:t>
      </w:r>
      <w:bookmarkStart w:id="53" w:name="_Toc15396618"/>
      <w:bookmarkEnd w:id="51"/>
    </w:p>
    <w:p w:rsidR="002E5C93" w:rsidRDefault="002E5C93">
      <w:pPr>
        <w:pStyle w:val="a0"/>
        <w:spacing w:before="93"/>
      </w:pPr>
    </w:p>
    <w:tbl>
      <w:tblPr>
        <w:tblW w:w="18220" w:type="dxa"/>
        <w:tblInd w:w="95" w:type="dxa"/>
        <w:tblLook w:val="04A0"/>
      </w:tblPr>
      <w:tblGrid>
        <w:gridCol w:w="598"/>
        <w:gridCol w:w="1793"/>
        <w:gridCol w:w="1748"/>
        <w:gridCol w:w="2906"/>
        <w:gridCol w:w="488"/>
        <w:gridCol w:w="1439"/>
        <w:gridCol w:w="836"/>
        <w:gridCol w:w="996"/>
        <w:gridCol w:w="576"/>
        <w:gridCol w:w="576"/>
        <w:gridCol w:w="2204"/>
        <w:gridCol w:w="1180"/>
        <w:gridCol w:w="576"/>
        <w:gridCol w:w="576"/>
        <w:gridCol w:w="28"/>
        <w:gridCol w:w="548"/>
        <w:gridCol w:w="576"/>
        <w:gridCol w:w="56"/>
        <w:gridCol w:w="520"/>
      </w:tblGrid>
      <w:tr w:rsidR="002E5C93">
        <w:trPr>
          <w:gridAfter w:val="7"/>
          <w:wAfter w:w="2880" w:type="dxa"/>
          <w:trHeight w:val="904"/>
        </w:trPr>
        <w:tc>
          <w:tcPr>
            <w:tcW w:w="141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黑体" w:eastAsia="黑体" w:hAnsi="黑体" w:cs="宋体"/>
                <w:b/>
                <w:bCs/>
                <w:color w:val="000000"/>
                <w:kern w:val="0"/>
                <w:sz w:val="30"/>
                <w:szCs w:val="30"/>
              </w:rPr>
            </w:pPr>
            <w:r>
              <w:rPr>
                <w:rFonts w:ascii="黑体" w:eastAsia="黑体" w:hAnsi="黑体" w:cs="宋体" w:hint="eastAsia"/>
                <w:b/>
                <w:bCs/>
                <w:color w:val="000000"/>
                <w:kern w:val="0"/>
                <w:sz w:val="30"/>
                <w:szCs w:val="30"/>
              </w:rPr>
              <w:t>部门预算项目支出绩效自评表（2022年度）</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51000021R000000019951-工资性支出</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14"/>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广元市政府国有资产监督管理委员会部门</w:t>
            </w:r>
          </w:p>
        </w:tc>
        <w:tc>
          <w:tcPr>
            <w:tcW w:w="996" w:type="dxa"/>
            <w:tcBorders>
              <w:top w:val="nil"/>
              <w:left w:val="nil"/>
              <w:bottom w:val="nil"/>
              <w:right w:val="nil"/>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r>
              <w:rPr>
                <w:rFonts w:ascii="Courier New" w:hAnsi="Courier New" w:cs="Courier New"/>
                <w:color w:val="000000"/>
                <w:kern w:val="0"/>
                <w:sz w:val="18"/>
                <w:szCs w:val="18"/>
              </w:rPr>
              <w:t xml:space="preserve"> </w:t>
            </w:r>
            <w:r>
              <w:rPr>
                <w:rFonts w:ascii="Courier New" w:hAnsi="Courier New" w:cs="Courier New"/>
                <w:color w:val="000000"/>
                <w:kern w:val="0"/>
                <w:sz w:val="18"/>
                <w:szCs w:val="18"/>
              </w:rPr>
              <w:t>（盖章）</w:t>
            </w:r>
          </w:p>
        </w:tc>
        <w:tc>
          <w:tcPr>
            <w:tcW w:w="3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广元市国资国企服务中心</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1.项目年度目标完成情况</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70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严格执行相关政策，保障工资及时发放、足额发放，预算编制科学合理，减少结余资金</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保障工资及时、足额发放，预算编制科学合理。</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9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2.项目实施内容及过程概述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保障工资按月及时、足额发放。</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60"/>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预算执行情况（10分）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调整后预算数</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8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115.19</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215.23</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215.23</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广财资〔</w:t>
            </w:r>
            <w:r>
              <w:rPr>
                <w:rFonts w:ascii="Courier New" w:hAnsi="Courier New" w:cs="Courier New"/>
                <w:i/>
                <w:iCs/>
                <w:color w:val="000000"/>
                <w:kern w:val="0"/>
                <w:sz w:val="18"/>
                <w:szCs w:val="18"/>
              </w:rPr>
              <w:t>2022</w:t>
            </w:r>
            <w:r>
              <w:rPr>
                <w:rFonts w:ascii="Courier New" w:hAnsi="Courier New" w:cs="Courier New"/>
                <w:i/>
                <w:iCs/>
                <w:color w:val="000000"/>
                <w:kern w:val="0"/>
                <w:sz w:val="18"/>
                <w:szCs w:val="18"/>
              </w:rPr>
              <w:t>〕</w:t>
            </w:r>
            <w:r>
              <w:rPr>
                <w:rFonts w:ascii="Courier New" w:hAnsi="Courier New" w:cs="Courier New"/>
                <w:i/>
                <w:iCs/>
                <w:color w:val="000000"/>
                <w:kern w:val="0"/>
                <w:sz w:val="18"/>
                <w:szCs w:val="18"/>
              </w:rPr>
              <w:t>23.53.56.78.81.88</w:t>
            </w:r>
            <w:r>
              <w:rPr>
                <w:rFonts w:ascii="Courier New" w:hAnsi="Courier New" w:cs="Courier New"/>
                <w:i/>
                <w:iCs/>
                <w:color w:val="000000"/>
                <w:kern w:val="0"/>
                <w:sz w:val="18"/>
                <w:szCs w:val="18"/>
              </w:rPr>
              <w:t>号文件调整及清算人员经费</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3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115.19</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215.23</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215.23</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4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0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7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绩效指标</w:t>
            </w:r>
            <w:r>
              <w:rPr>
                <w:rFonts w:ascii="宋体" w:hAnsi="宋体" w:cs="宋体" w:hint="eastAsia"/>
                <w:color w:val="000000"/>
                <w:kern w:val="0"/>
                <w:sz w:val="18"/>
                <w:szCs w:val="18"/>
              </w:rPr>
              <w:lastRenderedPageBreak/>
              <w:t>（90分）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一级指标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lastRenderedPageBreak/>
              <w:t>性质</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指标值</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科目调整次数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次</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足额保障率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按时发放率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结余率（计算方法为：结余数/预算数）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2.7</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108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0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保障及时发放、足额发放，预算编制科学合理.自评得分100分。</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7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3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753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sidR="00F61B10">
              <w:rPr>
                <w:rFonts w:ascii="Courier New" w:hAnsi="Courier New" w:cs="Courier New"/>
                <w:color w:val="000000"/>
                <w:kern w:val="0"/>
                <w:sz w:val="18"/>
                <w:szCs w:val="18"/>
              </w:rPr>
              <w:t xml:space="preserve"> </w:t>
            </w:r>
          </w:p>
        </w:tc>
        <w:tc>
          <w:tcPr>
            <w:tcW w:w="6627" w:type="dxa"/>
            <w:gridSpan w:val="6"/>
            <w:tcBorders>
              <w:top w:val="single" w:sz="4" w:space="0" w:color="000000"/>
              <w:left w:val="nil"/>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sidR="00F61B10">
              <w:rPr>
                <w:rFonts w:ascii="Courier New" w:hAnsi="Courier New" w:cs="Courier New"/>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93"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4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90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8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439"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83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9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204"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904"/>
        </w:trPr>
        <w:tc>
          <w:tcPr>
            <w:tcW w:w="141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黑体" w:eastAsia="黑体" w:hAnsi="黑体" w:cs="宋体"/>
                <w:b/>
                <w:bCs/>
                <w:color w:val="000000"/>
                <w:kern w:val="0"/>
                <w:sz w:val="30"/>
                <w:szCs w:val="30"/>
              </w:rPr>
            </w:pPr>
            <w:r>
              <w:rPr>
                <w:rFonts w:ascii="黑体" w:eastAsia="黑体" w:hAnsi="黑体" w:cs="宋体" w:hint="eastAsia"/>
                <w:b/>
                <w:bCs/>
                <w:color w:val="000000"/>
                <w:kern w:val="0"/>
                <w:sz w:val="30"/>
                <w:szCs w:val="30"/>
              </w:rPr>
              <w:t>部门预算项目支出绩效自评表（2022年度）</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51000021R000000019956-离退休费支出</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14"/>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广元市政府国有资产监督管理委员会部门</w:t>
            </w:r>
          </w:p>
        </w:tc>
        <w:tc>
          <w:tcPr>
            <w:tcW w:w="996" w:type="dxa"/>
            <w:tcBorders>
              <w:top w:val="nil"/>
              <w:left w:val="nil"/>
              <w:bottom w:val="nil"/>
              <w:right w:val="nil"/>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r>
              <w:rPr>
                <w:rFonts w:ascii="Courier New" w:hAnsi="Courier New" w:cs="Courier New"/>
                <w:color w:val="000000"/>
                <w:kern w:val="0"/>
                <w:sz w:val="18"/>
                <w:szCs w:val="18"/>
              </w:rPr>
              <w:t xml:space="preserve"> </w:t>
            </w:r>
            <w:r>
              <w:rPr>
                <w:rFonts w:ascii="Courier New" w:hAnsi="Courier New" w:cs="Courier New"/>
                <w:color w:val="000000"/>
                <w:kern w:val="0"/>
                <w:sz w:val="18"/>
                <w:szCs w:val="18"/>
              </w:rPr>
              <w:t>（盖章）</w:t>
            </w:r>
          </w:p>
        </w:tc>
        <w:tc>
          <w:tcPr>
            <w:tcW w:w="3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广元市国资国企服务中心</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1.项目年度目标完成情况</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70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严格执行相关政策，保障工资及时发放、足额发放，预算编制科学合理，减少结余资金</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保障及时、足额发放，预算编制科学合理。</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9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2.项目实施内容及过程概述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保障按月及时、足额发放。</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60"/>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预算执行情况（10分）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调整后预算数</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8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28.00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28.00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28.00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3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28.00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28.00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28.00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4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0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7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绩效指标（90分）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足额保障率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科目调整次数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次</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按时发放率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结余率（计算方法为：结余数/预算数）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108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0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保障及时发放、足额发放，预算编制科学合理.自评得分100分。</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7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3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改进措施</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753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sidR="00F61B10">
              <w:rPr>
                <w:rFonts w:ascii="Courier New" w:hAnsi="Courier New" w:cs="Courier New"/>
                <w:color w:val="000000"/>
                <w:kern w:val="0"/>
                <w:sz w:val="18"/>
                <w:szCs w:val="18"/>
              </w:rPr>
              <w:t xml:space="preserve"> </w:t>
            </w:r>
          </w:p>
        </w:tc>
        <w:tc>
          <w:tcPr>
            <w:tcW w:w="6627" w:type="dxa"/>
            <w:gridSpan w:val="6"/>
            <w:tcBorders>
              <w:top w:val="single" w:sz="4" w:space="0" w:color="000000"/>
              <w:left w:val="nil"/>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sidR="00F61B10">
              <w:rPr>
                <w:rFonts w:ascii="Courier New" w:hAnsi="Courier New" w:cs="Courier New"/>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93"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4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90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8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439"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83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9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204"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904"/>
        </w:trPr>
        <w:tc>
          <w:tcPr>
            <w:tcW w:w="141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黑体" w:eastAsia="黑体" w:hAnsi="黑体" w:cs="宋体"/>
                <w:b/>
                <w:bCs/>
                <w:color w:val="000000"/>
                <w:kern w:val="0"/>
                <w:sz w:val="30"/>
                <w:szCs w:val="30"/>
              </w:rPr>
            </w:pPr>
            <w:r>
              <w:rPr>
                <w:rFonts w:ascii="黑体" w:eastAsia="黑体" w:hAnsi="黑体" w:cs="宋体" w:hint="eastAsia"/>
                <w:b/>
                <w:bCs/>
                <w:color w:val="000000"/>
                <w:kern w:val="0"/>
                <w:sz w:val="30"/>
                <w:szCs w:val="30"/>
              </w:rPr>
              <w:t>部门预算项目支出绩效自评表（2022年度）</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51080021T000000050217-固定资产购置费</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14"/>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广元市政府国有资产监督管理委员会部门</w:t>
            </w:r>
          </w:p>
        </w:tc>
        <w:tc>
          <w:tcPr>
            <w:tcW w:w="996" w:type="dxa"/>
            <w:tcBorders>
              <w:top w:val="nil"/>
              <w:left w:val="nil"/>
              <w:bottom w:val="nil"/>
              <w:right w:val="nil"/>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r>
              <w:rPr>
                <w:rFonts w:ascii="Courier New" w:hAnsi="Courier New" w:cs="Courier New"/>
                <w:color w:val="000000"/>
                <w:kern w:val="0"/>
                <w:sz w:val="18"/>
                <w:szCs w:val="18"/>
              </w:rPr>
              <w:t xml:space="preserve"> </w:t>
            </w:r>
            <w:r>
              <w:rPr>
                <w:rFonts w:ascii="Courier New" w:hAnsi="Courier New" w:cs="Courier New"/>
                <w:color w:val="000000"/>
                <w:kern w:val="0"/>
                <w:sz w:val="18"/>
                <w:szCs w:val="18"/>
              </w:rPr>
              <w:t>（盖章）</w:t>
            </w:r>
          </w:p>
        </w:tc>
        <w:tc>
          <w:tcPr>
            <w:tcW w:w="3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广元市国资国企服务中心</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1.项目年度目标完成情况</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70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按照“广元市市级行政事业单位通用办公设备和办公家具配置限额标准”和单位办公需求，2022年申请购买多功能一体机2台，饮水机4台，A4打印机2台。</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 xml:space="preserve">　按照</w:t>
            </w:r>
            <w:r>
              <w:rPr>
                <w:rFonts w:ascii="Courier New" w:hAnsi="Courier New" w:cs="Courier New"/>
                <w:color w:val="000000"/>
                <w:kern w:val="0"/>
                <w:sz w:val="18"/>
                <w:szCs w:val="18"/>
              </w:rPr>
              <w:t>“</w:t>
            </w:r>
            <w:r>
              <w:rPr>
                <w:rFonts w:ascii="Courier New" w:hAnsi="Courier New" w:cs="Courier New"/>
                <w:color w:val="000000"/>
                <w:kern w:val="0"/>
                <w:sz w:val="18"/>
                <w:szCs w:val="18"/>
              </w:rPr>
              <w:t>广元市市级行政事业单位通用办公设备和办公家具配置限额标准</w:t>
            </w:r>
            <w:r>
              <w:rPr>
                <w:rFonts w:ascii="Courier New" w:hAnsi="Courier New" w:cs="Courier New"/>
                <w:color w:val="000000"/>
                <w:kern w:val="0"/>
                <w:sz w:val="18"/>
                <w:szCs w:val="18"/>
              </w:rPr>
              <w:t>”</w:t>
            </w:r>
            <w:r>
              <w:rPr>
                <w:rFonts w:ascii="Courier New" w:hAnsi="Courier New" w:cs="Courier New"/>
                <w:color w:val="000000"/>
                <w:kern w:val="0"/>
                <w:sz w:val="18"/>
                <w:szCs w:val="18"/>
              </w:rPr>
              <w:t>和单位办公需求，</w:t>
            </w:r>
            <w:r>
              <w:rPr>
                <w:rFonts w:ascii="Courier New" w:hAnsi="Courier New" w:cs="Courier New"/>
                <w:color w:val="000000"/>
                <w:kern w:val="0"/>
                <w:sz w:val="18"/>
                <w:szCs w:val="18"/>
              </w:rPr>
              <w:t>2022</w:t>
            </w:r>
            <w:r>
              <w:rPr>
                <w:rFonts w:ascii="Courier New" w:hAnsi="Courier New" w:cs="Courier New"/>
                <w:color w:val="000000"/>
                <w:kern w:val="0"/>
                <w:sz w:val="18"/>
                <w:szCs w:val="18"/>
              </w:rPr>
              <w:t>年</w:t>
            </w:r>
            <w:r>
              <w:rPr>
                <w:rFonts w:ascii="Courier New" w:hAnsi="Courier New" w:cs="Courier New"/>
                <w:color w:val="000000"/>
                <w:kern w:val="0"/>
                <w:sz w:val="18"/>
                <w:szCs w:val="18"/>
              </w:rPr>
              <w:t xml:space="preserve"> </w:t>
            </w:r>
            <w:r>
              <w:rPr>
                <w:rFonts w:ascii="Courier New" w:hAnsi="Courier New" w:cs="Courier New"/>
                <w:color w:val="000000"/>
                <w:kern w:val="0"/>
                <w:sz w:val="18"/>
                <w:szCs w:val="18"/>
              </w:rPr>
              <w:t>购买多功能一体机</w:t>
            </w:r>
            <w:r>
              <w:rPr>
                <w:rFonts w:ascii="Courier New" w:hAnsi="Courier New" w:cs="Courier New"/>
                <w:color w:val="000000"/>
                <w:kern w:val="0"/>
                <w:sz w:val="18"/>
                <w:szCs w:val="18"/>
              </w:rPr>
              <w:t>2</w:t>
            </w:r>
            <w:r>
              <w:rPr>
                <w:rFonts w:ascii="Courier New" w:hAnsi="Courier New" w:cs="Courier New"/>
                <w:color w:val="000000"/>
                <w:kern w:val="0"/>
                <w:sz w:val="18"/>
                <w:szCs w:val="18"/>
              </w:rPr>
              <w:t>台，</w:t>
            </w:r>
            <w:r>
              <w:rPr>
                <w:rFonts w:ascii="Courier New" w:hAnsi="Courier New" w:cs="Courier New"/>
                <w:color w:val="000000"/>
                <w:kern w:val="0"/>
                <w:sz w:val="18"/>
                <w:szCs w:val="18"/>
              </w:rPr>
              <w:t>A4</w:t>
            </w:r>
            <w:r>
              <w:rPr>
                <w:rFonts w:ascii="Courier New" w:hAnsi="Courier New" w:cs="Courier New"/>
                <w:color w:val="000000"/>
                <w:kern w:val="0"/>
                <w:sz w:val="18"/>
                <w:szCs w:val="18"/>
              </w:rPr>
              <w:t>打印机</w:t>
            </w:r>
            <w:r>
              <w:rPr>
                <w:rFonts w:ascii="Courier New" w:hAnsi="Courier New" w:cs="Courier New"/>
                <w:color w:val="000000"/>
                <w:kern w:val="0"/>
                <w:sz w:val="18"/>
                <w:szCs w:val="18"/>
              </w:rPr>
              <w:t>2</w:t>
            </w:r>
            <w:r>
              <w:rPr>
                <w:rFonts w:ascii="Courier New" w:hAnsi="Courier New" w:cs="Courier New"/>
                <w:color w:val="000000"/>
                <w:kern w:val="0"/>
                <w:sz w:val="18"/>
                <w:szCs w:val="18"/>
              </w:rPr>
              <w:t>台。</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9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2.项目实施内容及过程概述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按照“广元市市级行政事业单位通用办公设备和办公家具配置限额标准”和单位办公需求，2022年购买多功能一体机2台，A4打印机2台。该项目资金来源主要为财政资金，筹资渠道符合法律法规定，筹资结构合理，资金来源渠道明确，各渠道资金到位时间及时。采购办公设施设备验收合格。调剂采购目录程序合规。</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60"/>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预算执行情况（10分）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调整后预算数</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8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1.71</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1.20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1.17</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97.50%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3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1.71</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1.20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1.17</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97.50%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4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0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7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绩效指标（90分）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多功能一体机</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台</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2</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A4打印机</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台</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2</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70"/>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饮水机</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台</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采购目录调剂广财资〔2022〕40文件调整。</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合格率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购买时间</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采购设备费用</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1.2</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1.17</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保障机关办公运行良好</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购买完成率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使用时间</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服务对象满意度指标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使用人满意度</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108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0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14742" w:type="dxa"/>
            <w:gridSpan w:val="11"/>
            <w:tcBorders>
              <w:top w:val="single" w:sz="4" w:space="0" w:color="auto"/>
              <w:left w:val="nil"/>
              <w:bottom w:val="single" w:sz="4" w:space="0" w:color="auto"/>
              <w:right w:val="single" w:sz="4" w:space="0" w:color="auto"/>
            </w:tcBorders>
            <w:shd w:val="clear" w:color="auto" w:fill="auto"/>
            <w:vAlign w:val="center"/>
          </w:tcPr>
          <w:p w:rsidR="002E5C93" w:rsidRDefault="00404FBC">
            <w:pPr>
              <w:widowControl/>
              <w:jc w:val="left"/>
              <w:rPr>
                <w:rFonts w:ascii="宋体" w:hAnsi="宋体" w:cs="宋体"/>
                <w:color w:val="000000"/>
                <w:kern w:val="0"/>
                <w:sz w:val="16"/>
                <w:szCs w:val="16"/>
              </w:rPr>
            </w:pPr>
            <w:r>
              <w:rPr>
                <w:rFonts w:ascii="宋体" w:hAnsi="宋体" w:cs="宋体" w:hint="eastAsia"/>
                <w:color w:val="000000"/>
                <w:kern w:val="0"/>
                <w:sz w:val="16"/>
                <w:szCs w:val="16"/>
              </w:rPr>
              <w:t xml:space="preserve">　按照“广元市市级行政事业单位通用办公设备和办公家具配置限额标准”和单位办公需求，2022年购买多功能一体机2台，A4打印机2台。该项目资金来源主要为财政资金，筹资渠道符合法律法规定，筹资结构合理，资金来源渠道明确，各渠道资金到位时间及时。自评得分95分。</w:t>
            </w:r>
          </w:p>
        </w:tc>
      </w:tr>
      <w:tr w:rsidR="002E5C93">
        <w:trPr>
          <w:gridAfter w:val="7"/>
          <w:wAfter w:w="2880" w:type="dxa"/>
          <w:trHeight w:val="57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14742" w:type="dxa"/>
            <w:gridSpan w:val="11"/>
            <w:tcBorders>
              <w:top w:val="single" w:sz="4" w:space="0" w:color="auto"/>
              <w:left w:val="nil"/>
              <w:bottom w:val="single" w:sz="4" w:space="0" w:color="auto"/>
              <w:right w:val="single" w:sz="4" w:space="0" w:color="auto"/>
            </w:tcBorders>
            <w:shd w:val="clear" w:color="auto" w:fill="auto"/>
            <w:vAlign w:val="center"/>
          </w:tcPr>
          <w:p w:rsidR="002E5C93" w:rsidRDefault="00404FBC">
            <w:pPr>
              <w:widowControl/>
              <w:jc w:val="left"/>
              <w:rPr>
                <w:rFonts w:ascii="宋体" w:hAnsi="宋体" w:cs="宋体"/>
                <w:color w:val="000000"/>
                <w:kern w:val="0"/>
                <w:sz w:val="16"/>
                <w:szCs w:val="16"/>
              </w:rPr>
            </w:pPr>
            <w:r>
              <w:rPr>
                <w:rFonts w:ascii="宋体" w:hAnsi="宋体" w:cs="宋体" w:hint="eastAsia"/>
                <w:color w:val="000000"/>
                <w:kern w:val="0"/>
                <w:sz w:val="16"/>
                <w:szCs w:val="16"/>
              </w:rPr>
              <w:t>提升预算绩效管理水平。进行预算编制采购，解决我单位通过公开招考新录人员增加导致的办公设备紧缺问题，保障办公效率和办公质量。预算的精度有待提高。</w:t>
            </w:r>
          </w:p>
        </w:tc>
      </w:tr>
      <w:tr w:rsidR="002E5C93">
        <w:trPr>
          <w:gridAfter w:val="7"/>
          <w:wAfter w:w="2880" w:type="dxa"/>
          <w:trHeight w:val="63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14742" w:type="dxa"/>
            <w:gridSpan w:val="11"/>
            <w:tcBorders>
              <w:top w:val="single" w:sz="4" w:space="0" w:color="auto"/>
              <w:left w:val="nil"/>
              <w:bottom w:val="single" w:sz="4" w:space="0" w:color="auto"/>
              <w:right w:val="single" w:sz="4" w:space="0" w:color="auto"/>
            </w:tcBorders>
            <w:shd w:val="clear" w:color="auto" w:fill="auto"/>
            <w:vAlign w:val="center"/>
          </w:tcPr>
          <w:p w:rsidR="002E5C93" w:rsidRDefault="00404FBC">
            <w:pPr>
              <w:widowControl/>
              <w:jc w:val="left"/>
              <w:rPr>
                <w:rFonts w:ascii="宋体" w:hAnsi="宋体" w:cs="宋体"/>
                <w:color w:val="000000"/>
                <w:kern w:val="0"/>
                <w:sz w:val="16"/>
                <w:szCs w:val="16"/>
              </w:rPr>
            </w:pPr>
            <w:r>
              <w:rPr>
                <w:rFonts w:ascii="宋体" w:hAnsi="宋体" w:cs="宋体" w:hint="eastAsia"/>
                <w:color w:val="000000"/>
                <w:kern w:val="0"/>
                <w:sz w:val="16"/>
                <w:szCs w:val="16"/>
              </w:rPr>
              <w:t>我单位将进一步优化完善实施方案和绩效目标，加强运行监控，节约财政资金并提升资金效益，提升预算绩效管理水平。</w:t>
            </w:r>
          </w:p>
        </w:tc>
      </w:tr>
      <w:tr w:rsidR="002E5C93">
        <w:trPr>
          <w:gridAfter w:val="7"/>
          <w:wAfter w:w="2880" w:type="dxa"/>
          <w:trHeight w:val="285"/>
        </w:trPr>
        <w:tc>
          <w:tcPr>
            <w:tcW w:w="753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kern w:val="0"/>
                <w:sz w:val="18"/>
                <w:szCs w:val="18"/>
              </w:rPr>
            </w:pPr>
            <w:r>
              <w:rPr>
                <w:rFonts w:ascii="Courier New" w:hAnsi="Courier New" w:cs="Courier New"/>
                <w:kern w:val="0"/>
                <w:sz w:val="18"/>
                <w:szCs w:val="18"/>
              </w:rPr>
              <w:t>项目负责人：</w:t>
            </w:r>
            <w:r w:rsidR="00F61B10">
              <w:rPr>
                <w:rFonts w:ascii="Courier New" w:hAnsi="Courier New" w:cs="Courier New"/>
                <w:kern w:val="0"/>
                <w:sz w:val="18"/>
                <w:szCs w:val="18"/>
              </w:rPr>
              <w:t xml:space="preserve"> </w:t>
            </w:r>
          </w:p>
        </w:tc>
        <w:tc>
          <w:tcPr>
            <w:tcW w:w="6627" w:type="dxa"/>
            <w:gridSpan w:val="6"/>
            <w:tcBorders>
              <w:top w:val="single" w:sz="4" w:space="0" w:color="000000"/>
              <w:left w:val="nil"/>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sidR="00F61B10">
              <w:rPr>
                <w:rFonts w:ascii="Courier New" w:hAnsi="Courier New" w:cs="Courier New"/>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93"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4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90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8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439"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83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9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204"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904"/>
        </w:trPr>
        <w:tc>
          <w:tcPr>
            <w:tcW w:w="141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黑体" w:eastAsia="黑体" w:hAnsi="黑体" w:cs="宋体"/>
                <w:b/>
                <w:bCs/>
                <w:color w:val="000000"/>
                <w:kern w:val="0"/>
                <w:sz w:val="30"/>
                <w:szCs w:val="30"/>
              </w:rPr>
            </w:pPr>
            <w:r>
              <w:rPr>
                <w:rFonts w:ascii="黑体" w:eastAsia="黑体" w:hAnsi="黑体" w:cs="宋体" w:hint="eastAsia"/>
                <w:b/>
                <w:bCs/>
                <w:color w:val="000000"/>
                <w:kern w:val="0"/>
                <w:sz w:val="30"/>
                <w:szCs w:val="30"/>
              </w:rPr>
              <w:lastRenderedPageBreak/>
              <w:t>部门预算项目支出绩效自评表（2022年度）</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51080021T000000050223-资产维修维护费</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14"/>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广元市政府国有资产监督管理委员会部门</w:t>
            </w:r>
          </w:p>
        </w:tc>
        <w:tc>
          <w:tcPr>
            <w:tcW w:w="996" w:type="dxa"/>
            <w:tcBorders>
              <w:top w:val="nil"/>
              <w:left w:val="nil"/>
              <w:bottom w:val="nil"/>
              <w:right w:val="nil"/>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r>
              <w:rPr>
                <w:rFonts w:ascii="Courier New" w:hAnsi="Courier New" w:cs="Courier New"/>
                <w:color w:val="000000"/>
                <w:kern w:val="0"/>
                <w:sz w:val="18"/>
                <w:szCs w:val="18"/>
              </w:rPr>
              <w:t xml:space="preserve"> </w:t>
            </w:r>
            <w:r>
              <w:rPr>
                <w:rFonts w:ascii="Courier New" w:hAnsi="Courier New" w:cs="Courier New"/>
                <w:color w:val="000000"/>
                <w:kern w:val="0"/>
                <w:sz w:val="18"/>
                <w:szCs w:val="18"/>
              </w:rPr>
              <w:t>（盖章）</w:t>
            </w:r>
          </w:p>
        </w:tc>
        <w:tc>
          <w:tcPr>
            <w:tcW w:w="3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广元市国资国企服务中心</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1.项目年度目标完成情况</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70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按照《租赁房屋维护维修管理办法》严格界定维修范围和程序，坚持厉行节约原则，规范使用财政维修资金，严格施工管理及验收管理，确保管理范围内国有资产安全运行。</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按照《租赁房屋维护维修管理办法》严格界定维修范围和程序，坚持厉行节约原则，规范使用财政维修资金，严格施工管理及验收管理合格，国有资产安全运行。</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9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2.项目实施内容及过程概述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按照《租赁房屋维护维修管理办法》严格界定维修范围和程序，坚持厉行节约原则，规范使用财政维修资金，严格施工管理及验收管理合格，国有资产安全运行。</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kern w:val="0"/>
                <w:sz w:val="22"/>
                <w:szCs w:val="22"/>
              </w:rPr>
            </w:pPr>
          </w:p>
        </w:tc>
      </w:tr>
      <w:tr w:rsidR="002E5C93">
        <w:trPr>
          <w:gridAfter w:val="7"/>
          <w:wAfter w:w="2880" w:type="dxa"/>
          <w:trHeight w:val="360"/>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预算执行情况（10分）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调整后预算数</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8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14.00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12.39</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12.39</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原市林业局将位于老城望江路凤凰佳苑临街营业房移交市国有资产管理中心统一管理，经市城乡规划委员会会议批准，凤凰佳苑</w:t>
            </w:r>
            <w:r>
              <w:rPr>
                <w:rFonts w:ascii="Courier New" w:hAnsi="Courier New" w:cs="Courier New"/>
                <w:i/>
                <w:iCs/>
                <w:color w:val="000000"/>
                <w:kern w:val="0"/>
                <w:sz w:val="18"/>
                <w:szCs w:val="18"/>
              </w:rPr>
              <w:t>B</w:t>
            </w:r>
            <w:r>
              <w:rPr>
                <w:rFonts w:ascii="Courier New" w:hAnsi="Courier New" w:cs="Courier New"/>
                <w:i/>
                <w:iCs/>
                <w:color w:val="000000"/>
                <w:kern w:val="0"/>
                <w:sz w:val="18"/>
                <w:szCs w:val="18"/>
              </w:rPr>
              <w:t>栋纳入城区旧城改造范围，用于建设</w:t>
            </w:r>
            <w:r>
              <w:rPr>
                <w:rFonts w:ascii="Courier New" w:hAnsi="Courier New" w:cs="Courier New"/>
                <w:i/>
                <w:iCs/>
                <w:color w:val="000000"/>
                <w:kern w:val="0"/>
                <w:sz w:val="18"/>
                <w:szCs w:val="18"/>
              </w:rPr>
              <w:t>“</w:t>
            </w:r>
            <w:r>
              <w:rPr>
                <w:rFonts w:ascii="Courier New" w:hAnsi="Courier New" w:cs="Courier New"/>
                <w:i/>
                <w:iCs/>
                <w:color w:val="000000"/>
                <w:kern w:val="0"/>
                <w:sz w:val="18"/>
                <w:szCs w:val="18"/>
              </w:rPr>
              <w:t>城北壹号</w:t>
            </w:r>
            <w:r>
              <w:rPr>
                <w:rFonts w:ascii="Courier New" w:hAnsi="Courier New" w:cs="Courier New"/>
                <w:i/>
                <w:iCs/>
                <w:color w:val="000000"/>
                <w:kern w:val="0"/>
                <w:sz w:val="18"/>
                <w:szCs w:val="18"/>
              </w:rPr>
              <w:t>”</w:t>
            </w:r>
            <w:r>
              <w:rPr>
                <w:rFonts w:ascii="Courier New" w:hAnsi="Courier New" w:cs="Courier New"/>
                <w:i/>
                <w:iCs/>
                <w:color w:val="000000"/>
                <w:kern w:val="0"/>
                <w:sz w:val="18"/>
                <w:szCs w:val="18"/>
              </w:rPr>
              <w:t>项目的维修基金缴纳，调整资金</w:t>
            </w:r>
            <w:r>
              <w:rPr>
                <w:rFonts w:ascii="Courier New" w:hAnsi="Courier New" w:cs="Courier New"/>
                <w:i/>
                <w:iCs/>
                <w:color w:val="000000"/>
                <w:kern w:val="0"/>
                <w:sz w:val="18"/>
                <w:szCs w:val="18"/>
              </w:rPr>
              <w:t>1.61</w:t>
            </w:r>
            <w:r>
              <w:rPr>
                <w:rFonts w:ascii="Courier New" w:hAnsi="Courier New" w:cs="Courier New"/>
                <w:i/>
                <w:iCs/>
                <w:color w:val="000000"/>
                <w:kern w:val="0"/>
                <w:sz w:val="18"/>
                <w:szCs w:val="18"/>
              </w:rPr>
              <w:t>万元。</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3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14.00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12.39</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12.39</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4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0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7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绩效指标</w:t>
            </w:r>
            <w:r>
              <w:rPr>
                <w:rFonts w:ascii="宋体" w:hAnsi="宋体" w:cs="宋体" w:hint="eastAsia"/>
                <w:color w:val="000000"/>
                <w:kern w:val="0"/>
                <w:sz w:val="18"/>
                <w:szCs w:val="18"/>
              </w:rPr>
              <w:lastRenderedPageBreak/>
              <w:t>（90分）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一级指标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lastRenderedPageBreak/>
              <w:t>性质</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指标值</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承租户房屋及附属设备数量</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470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户</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471</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资产维修验收合格率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房屋及其设备维修时间</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7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单位面积维修成本</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550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元/平方米</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550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维修费用</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14</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12.39</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维修安全事故发生次数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次</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可持续发展指标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维修质保期内租户安全生产率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延迟资产使用年限</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2</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服务对象满意度指标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承租户满意度</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98</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108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0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14742" w:type="dxa"/>
            <w:gridSpan w:val="11"/>
            <w:tcBorders>
              <w:top w:val="single" w:sz="4" w:space="0" w:color="auto"/>
              <w:left w:val="nil"/>
              <w:bottom w:val="single" w:sz="4" w:space="0" w:color="auto"/>
              <w:right w:val="single" w:sz="4" w:space="0" w:color="auto"/>
            </w:tcBorders>
            <w:shd w:val="clear" w:color="auto" w:fill="auto"/>
            <w:vAlign w:val="center"/>
          </w:tcPr>
          <w:p w:rsidR="002E5C93" w:rsidRDefault="00404FBC">
            <w:pPr>
              <w:widowControl/>
              <w:jc w:val="left"/>
              <w:rPr>
                <w:rFonts w:ascii="宋体" w:hAnsi="宋体" w:cs="宋体"/>
                <w:color w:val="000000"/>
                <w:kern w:val="0"/>
                <w:sz w:val="16"/>
                <w:szCs w:val="16"/>
              </w:rPr>
            </w:pPr>
            <w:r>
              <w:rPr>
                <w:rFonts w:ascii="宋体" w:hAnsi="宋体" w:cs="宋体" w:hint="eastAsia"/>
                <w:color w:val="000000"/>
                <w:kern w:val="0"/>
                <w:sz w:val="16"/>
                <w:szCs w:val="16"/>
              </w:rPr>
              <w:t>严格界定维修范围和程序，坚持厉行节约原则，规范使用财政维修资金，严格施工管理及验收管理合格，国有资产安全运行。自评得分100分。</w:t>
            </w:r>
          </w:p>
        </w:tc>
      </w:tr>
      <w:tr w:rsidR="002E5C93">
        <w:trPr>
          <w:gridAfter w:val="7"/>
          <w:wAfter w:w="2880" w:type="dxa"/>
          <w:trHeight w:val="57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14742" w:type="dxa"/>
            <w:gridSpan w:val="11"/>
            <w:tcBorders>
              <w:top w:val="single" w:sz="4" w:space="0" w:color="auto"/>
              <w:left w:val="nil"/>
              <w:bottom w:val="single" w:sz="4" w:space="0" w:color="auto"/>
              <w:right w:val="single" w:sz="4" w:space="0" w:color="auto"/>
            </w:tcBorders>
            <w:shd w:val="clear" w:color="auto" w:fill="auto"/>
            <w:vAlign w:val="center"/>
          </w:tcPr>
          <w:p w:rsidR="002E5C93" w:rsidRDefault="00404FBC">
            <w:pPr>
              <w:widowControl/>
              <w:jc w:val="left"/>
              <w:rPr>
                <w:rFonts w:ascii="宋体" w:hAnsi="宋体" w:cs="宋体"/>
                <w:color w:val="000000"/>
                <w:kern w:val="0"/>
                <w:sz w:val="16"/>
                <w:szCs w:val="16"/>
              </w:rPr>
            </w:pPr>
            <w:r>
              <w:rPr>
                <w:rFonts w:ascii="宋体" w:hAnsi="宋体" w:cs="宋体" w:hint="eastAsia"/>
                <w:color w:val="000000"/>
                <w:kern w:val="0"/>
                <w:sz w:val="16"/>
                <w:szCs w:val="16"/>
              </w:rPr>
              <w:t>一是我中心管理的市级行政事业单位经营性资产分布广，数量多，地域范围大，无应急抢险专用交通工具。二是部分临建房和综合用房因修建年代久远，加之“5•12”地震的影响，经多次维护维修后仍不能完全解决房屋渗漏问题。三是部分经营性资产未纳入老旧小区改造范围，改造过程中涉及这部分资产的水、电、气及基础设施改造费用未纳入财政预算，导致资金真空。</w:t>
            </w:r>
          </w:p>
        </w:tc>
      </w:tr>
      <w:tr w:rsidR="002E5C93">
        <w:trPr>
          <w:gridAfter w:val="7"/>
          <w:wAfter w:w="2880" w:type="dxa"/>
          <w:trHeight w:val="63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14742" w:type="dxa"/>
            <w:gridSpan w:val="11"/>
            <w:tcBorders>
              <w:top w:val="single" w:sz="4" w:space="0" w:color="auto"/>
              <w:left w:val="nil"/>
              <w:bottom w:val="single" w:sz="4" w:space="0" w:color="auto"/>
              <w:right w:val="single" w:sz="4" w:space="0" w:color="auto"/>
            </w:tcBorders>
            <w:shd w:val="clear" w:color="auto" w:fill="auto"/>
            <w:vAlign w:val="center"/>
          </w:tcPr>
          <w:p w:rsidR="002E5C93" w:rsidRDefault="00404FBC">
            <w:pPr>
              <w:widowControl/>
              <w:jc w:val="left"/>
              <w:rPr>
                <w:rFonts w:ascii="宋体" w:hAnsi="宋体" w:cs="宋体"/>
                <w:color w:val="000000"/>
                <w:kern w:val="0"/>
                <w:sz w:val="16"/>
                <w:szCs w:val="16"/>
              </w:rPr>
            </w:pPr>
            <w:r>
              <w:rPr>
                <w:rFonts w:ascii="宋体" w:hAnsi="宋体" w:cs="宋体" w:hint="eastAsia"/>
                <w:color w:val="000000"/>
                <w:kern w:val="0"/>
                <w:sz w:val="16"/>
                <w:szCs w:val="16"/>
              </w:rPr>
              <w:t>安全检查巡查发现问题及时排除安全隐患。</w:t>
            </w:r>
          </w:p>
        </w:tc>
      </w:tr>
      <w:tr w:rsidR="002E5C93">
        <w:trPr>
          <w:gridAfter w:val="7"/>
          <w:wAfter w:w="2880" w:type="dxa"/>
          <w:trHeight w:val="285"/>
        </w:trPr>
        <w:tc>
          <w:tcPr>
            <w:tcW w:w="753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sidR="00F61B10">
              <w:rPr>
                <w:rFonts w:ascii="Courier New" w:hAnsi="Courier New" w:cs="Courier New"/>
                <w:color w:val="000000"/>
                <w:kern w:val="0"/>
                <w:sz w:val="18"/>
                <w:szCs w:val="18"/>
              </w:rPr>
              <w:t xml:space="preserve"> </w:t>
            </w:r>
          </w:p>
        </w:tc>
        <w:tc>
          <w:tcPr>
            <w:tcW w:w="6627" w:type="dxa"/>
            <w:gridSpan w:val="6"/>
            <w:tcBorders>
              <w:top w:val="single" w:sz="4" w:space="0" w:color="000000"/>
              <w:left w:val="nil"/>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sidR="00F61B10">
              <w:rPr>
                <w:rFonts w:ascii="Courier New" w:hAnsi="Courier New" w:cs="Courier New"/>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93"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4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90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8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439"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83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9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204"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904"/>
        </w:trPr>
        <w:tc>
          <w:tcPr>
            <w:tcW w:w="141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黑体" w:eastAsia="黑体" w:hAnsi="黑体" w:cs="宋体"/>
                <w:b/>
                <w:bCs/>
                <w:color w:val="000000"/>
                <w:kern w:val="0"/>
                <w:sz w:val="30"/>
                <w:szCs w:val="30"/>
              </w:rPr>
            </w:pPr>
            <w:r>
              <w:rPr>
                <w:rFonts w:ascii="黑体" w:eastAsia="黑体" w:hAnsi="黑体" w:cs="宋体" w:hint="eastAsia"/>
                <w:b/>
                <w:bCs/>
                <w:color w:val="000000"/>
                <w:kern w:val="0"/>
                <w:sz w:val="30"/>
                <w:szCs w:val="30"/>
              </w:rPr>
              <w:lastRenderedPageBreak/>
              <w:t>部门预算项目支出绩效自评表（2022年度）</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51080021T000000050227-资产运行管理费</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14"/>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广元市政府国有资产监督管理委员会部门</w:t>
            </w:r>
          </w:p>
        </w:tc>
        <w:tc>
          <w:tcPr>
            <w:tcW w:w="996" w:type="dxa"/>
            <w:tcBorders>
              <w:top w:val="nil"/>
              <w:left w:val="nil"/>
              <w:bottom w:val="nil"/>
              <w:right w:val="nil"/>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r>
              <w:rPr>
                <w:rFonts w:ascii="Courier New" w:hAnsi="Courier New" w:cs="Courier New"/>
                <w:color w:val="000000"/>
                <w:kern w:val="0"/>
                <w:sz w:val="18"/>
                <w:szCs w:val="18"/>
              </w:rPr>
              <w:t xml:space="preserve"> </w:t>
            </w:r>
            <w:r>
              <w:rPr>
                <w:rFonts w:ascii="Courier New" w:hAnsi="Courier New" w:cs="Courier New"/>
                <w:color w:val="000000"/>
                <w:kern w:val="0"/>
                <w:sz w:val="18"/>
                <w:szCs w:val="18"/>
              </w:rPr>
              <w:t>（盖章）</w:t>
            </w:r>
          </w:p>
        </w:tc>
        <w:tc>
          <w:tcPr>
            <w:tcW w:w="3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广元市国资国企服务中心</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1.项目年度目标完成情况</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70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强化经营性资产监管，确保中心代管资产的安全、高效、稳定正常租赁运行，促进资产保值增值。</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确保中心代管资产的安全、高效、稳定正常租赁运行，促进资产保值增值。</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1560"/>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2.项目实施内容及过程概述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空置资产、合同到期及承租人退租的资产进行公开竞价招租产生的招租公告费；资产维修维护产生的项目比选公告费；对资产管理进行宣传安全检查租车等产生的支出。每年制作《国有资产管理公示牌》悬挂在承租人经营场地，面向社会公示承租人、资产面积、租金价格、合同期限等信息；每年召开一次合同签订动员会；创建国家卫生城市、文明城市等宣传检查及防四害药品发放；《房屋租赁合同》及资产管理相关档案管理等费用。资产管理法律顾问服务费；对违约租户依法诉讼所产生的诉讼费；新接收资产统一管理遗留问题处理。对新接收资产和处置资产进行评估和审计；资产维修维护的预决算费用；新接收和续签合同租赁市场询价、定价及面积测绘核定等工作。资产信息平台建设管理。信息平台软件模块升级；平台运行维护管理服务费及配件耗材等支出。接收相关部门移交资产处理遗留问题费用等支出。保障国有资产高效安全有序运行工作通讯等经费支出。</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60"/>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预算执行情况（10分）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调整后预算数</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8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25.03</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25.03</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25.03</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3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25.03</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25.03</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25.03</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4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0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7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绩效指标</w:t>
            </w:r>
            <w:r>
              <w:rPr>
                <w:rFonts w:ascii="宋体" w:hAnsi="宋体" w:cs="宋体" w:hint="eastAsia"/>
                <w:color w:val="000000"/>
                <w:kern w:val="0"/>
                <w:sz w:val="18"/>
                <w:szCs w:val="18"/>
              </w:rPr>
              <w:lastRenderedPageBreak/>
              <w:t>（90分）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一级指标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w:t>
            </w:r>
            <w:r>
              <w:rPr>
                <w:rFonts w:ascii="宋体" w:hAnsi="宋体" w:cs="宋体" w:hint="eastAsia"/>
                <w:color w:val="000000"/>
                <w:kern w:val="0"/>
                <w:sz w:val="18"/>
                <w:szCs w:val="18"/>
              </w:rPr>
              <w:lastRenderedPageBreak/>
              <w:t>性质</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指标值</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2022年度合同签订数量</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470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户</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471</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资产安全检查次数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次</w:t>
            </w:r>
          </w:p>
        </w:tc>
        <w:tc>
          <w:tcPr>
            <w:tcW w:w="99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资产管理安全会议开展次数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次</w:t>
            </w:r>
          </w:p>
        </w:tc>
        <w:tc>
          <w:tcPr>
            <w:tcW w:w="99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资产运行管理到位率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资产运行管理完成时间</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资产运行管理成本</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25.03</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25.03</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40"/>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资产收益</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1200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861.59</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因新冠疫情减免7-12月租金，收益减少。</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租户群体上访事件发生次数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次</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租赁合同签订年限</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3</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服务对象满意度指标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承租户满意度</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98</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trHeight w:val="285"/>
        </w:trPr>
        <w:tc>
          <w:tcPr>
            <w:tcW w:w="108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c>
          <w:tcPr>
            <w:tcW w:w="576" w:type="dxa"/>
          </w:tcPr>
          <w:p w:rsidR="002E5C93" w:rsidRDefault="002E5C93">
            <w:pPr>
              <w:widowControl/>
              <w:jc w:val="left"/>
            </w:pPr>
          </w:p>
        </w:tc>
        <w:tc>
          <w:tcPr>
            <w:tcW w:w="576" w:type="dxa"/>
          </w:tcPr>
          <w:p w:rsidR="002E5C93" w:rsidRDefault="002E5C93">
            <w:pPr>
              <w:widowControl/>
              <w:jc w:val="left"/>
            </w:pPr>
          </w:p>
        </w:tc>
        <w:tc>
          <w:tcPr>
            <w:tcW w:w="576" w:type="dxa"/>
            <w:gridSpan w:val="2"/>
          </w:tcPr>
          <w:p w:rsidR="002E5C93" w:rsidRDefault="002E5C93">
            <w:pPr>
              <w:widowControl/>
              <w:jc w:val="left"/>
            </w:pPr>
          </w:p>
        </w:tc>
        <w:tc>
          <w:tcPr>
            <w:tcW w:w="576" w:type="dxa"/>
          </w:tcPr>
          <w:p w:rsidR="002E5C93" w:rsidRDefault="002E5C93">
            <w:pPr>
              <w:widowControl/>
              <w:jc w:val="left"/>
            </w:pPr>
          </w:p>
        </w:tc>
        <w:tc>
          <w:tcPr>
            <w:tcW w:w="576" w:type="dxa"/>
            <w:gridSpan w:val="2"/>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r>
      <w:tr w:rsidR="002E5C93">
        <w:trPr>
          <w:gridAfter w:val="7"/>
          <w:wAfter w:w="2880" w:type="dxa"/>
          <w:trHeight w:val="60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管辖范围内国有资产实现资产收益最大化，通过日常对资产的维护和管理，完善应急处置工作机制、添置设施设备、定期召开安全生产工作会议等方式、强化经营性资产监管，确保中心统一管理的市级行政事业单位经营性资产的安全、高效、稳定正常租赁运行，促进资产保值增值。自评得分100分。</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7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接收资产处理遗留问题。</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3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进一步优化完善实施方案和绩效目标，加强运行监控，节约财政资金并提升资金效益，提升预算绩效管理水平。</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753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sidR="00F61B10">
              <w:rPr>
                <w:rFonts w:ascii="Courier New" w:hAnsi="Courier New" w:cs="Courier New"/>
                <w:color w:val="000000"/>
                <w:kern w:val="0"/>
                <w:sz w:val="18"/>
                <w:szCs w:val="18"/>
              </w:rPr>
              <w:t xml:space="preserve"> </w:t>
            </w:r>
          </w:p>
        </w:tc>
        <w:tc>
          <w:tcPr>
            <w:tcW w:w="6627" w:type="dxa"/>
            <w:gridSpan w:val="6"/>
            <w:tcBorders>
              <w:top w:val="single" w:sz="4" w:space="0" w:color="000000"/>
              <w:left w:val="nil"/>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sidR="00F61B10">
              <w:rPr>
                <w:rFonts w:ascii="Courier New" w:hAnsi="Courier New" w:cs="Courier New"/>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93"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4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90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8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439"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83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9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204"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904"/>
        </w:trPr>
        <w:tc>
          <w:tcPr>
            <w:tcW w:w="141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黑体" w:eastAsia="黑体" w:hAnsi="黑体" w:cs="宋体"/>
                <w:b/>
                <w:bCs/>
                <w:color w:val="000000"/>
                <w:kern w:val="0"/>
                <w:sz w:val="30"/>
                <w:szCs w:val="30"/>
              </w:rPr>
            </w:pPr>
            <w:r>
              <w:rPr>
                <w:rFonts w:ascii="黑体" w:eastAsia="黑体" w:hAnsi="黑体" w:cs="宋体" w:hint="eastAsia"/>
                <w:b/>
                <w:bCs/>
                <w:color w:val="000000"/>
                <w:kern w:val="0"/>
                <w:sz w:val="30"/>
                <w:szCs w:val="30"/>
              </w:rPr>
              <w:lastRenderedPageBreak/>
              <w:t>部门预算项目支出绩效自评表（2022年度）</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51080021Y000000176770-其他公用经费（福利、工会、公车补贴、党建、退休活动）</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14"/>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广元市政府国有资产监督管理委员会部门</w:t>
            </w:r>
          </w:p>
        </w:tc>
        <w:tc>
          <w:tcPr>
            <w:tcW w:w="996" w:type="dxa"/>
            <w:tcBorders>
              <w:top w:val="nil"/>
              <w:left w:val="nil"/>
              <w:bottom w:val="nil"/>
              <w:right w:val="nil"/>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r>
              <w:rPr>
                <w:rFonts w:ascii="Courier New" w:hAnsi="Courier New" w:cs="Courier New"/>
                <w:color w:val="000000"/>
                <w:kern w:val="0"/>
                <w:sz w:val="18"/>
                <w:szCs w:val="18"/>
              </w:rPr>
              <w:t xml:space="preserve"> </w:t>
            </w:r>
            <w:r>
              <w:rPr>
                <w:rFonts w:ascii="Courier New" w:hAnsi="Courier New" w:cs="Courier New"/>
                <w:color w:val="000000"/>
                <w:kern w:val="0"/>
                <w:sz w:val="18"/>
                <w:szCs w:val="18"/>
              </w:rPr>
              <w:t>（盖章）</w:t>
            </w:r>
          </w:p>
        </w:tc>
        <w:tc>
          <w:tcPr>
            <w:tcW w:w="3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广元市国资国企服务中心</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1.项目年度目标完成情况</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70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保障单位日常运转，提高预算编制质量，严格执行预算。</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保障单位日常运转，各项业务正常开展。</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9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2.项目实施内容及过程概述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保障单位日常运转，各项业务正常开展。</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60"/>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预算执行情况（10分）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调整后预算数</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8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10.59</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10.59</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10.59</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3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10.59</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10.59</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10.59</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4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0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7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绩效指标（90分）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科目调整次数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次</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7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预算编制准确率（计算方法为：∣（执行数-预算数）/预算数∣）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74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运转保障率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90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“三公经费”控制率[计算方法为：（三公经费实际支出数/预算安排数]×100%）</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108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0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保障单位日常运转，各项业务正常开展。自评得分100分。</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7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3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753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sidR="00F61B10">
              <w:rPr>
                <w:rFonts w:ascii="Courier New" w:hAnsi="Courier New" w:cs="Courier New"/>
                <w:color w:val="000000"/>
                <w:kern w:val="0"/>
                <w:sz w:val="18"/>
                <w:szCs w:val="18"/>
              </w:rPr>
              <w:t xml:space="preserve"> </w:t>
            </w:r>
          </w:p>
        </w:tc>
        <w:tc>
          <w:tcPr>
            <w:tcW w:w="6627" w:type="dxa"/>
            <w:gridSpan w:val="6"/>
            <w:tcBorders>
              <w:top w:val="single" w:sz="4" w:space="0" w:color="000000"/>
              <w:left w:val="nil"/>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sidR="00F61B10">
              <w:rPr>
                <w:rFonts w:ascii="Courier New" w:hAnsi="Courier New" w:cs="Courier New"/>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93"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4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90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8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439"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83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9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204"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904"/>
        </w:trPr>
        <w:tc>
          <w:tcPr>
            <w:tcW w:w="141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黑体" w:eastAsia="黑体" w:hAnsi="黑体" w:cs="宋体"/>
                <w:b/>
                <w:bCs/>
                <w:color w:val="000000"/>
                <w:kern w:val="0"/>
                <w:sz w:val="30"/>
                <w:szCs w:val="30"/>
              </w:rPr>
            </w:pPr>
            <w:r>
              <w:rPr>
                <w:rFonts w:ascii="黑体" w:eastAsia="黑体" w:hAnsi="黑体" w:cs="宋体" w:hint="eastAsia"/>
                <w:b/>
                <w:bCs/>
                <w:color w:val="000000"/>
                <w:kern w:val="0"/>
                <w:sz w:val="30"/>
                <w:szCs w:val="30"/>
              </w:rPr>
              <w:t>部门预算项目支出绩效自评表（2022年度）</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51080022R000000267546-工资性支出（事业）</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14"/>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广元市政府国有资产监督管理委员会部门</w:t>
            </w:r>
          </w:p>
        </w:tc>
        <w:tc>
          <w:tcPr>
            <w:tcW w:w="996" w:type="dxa"/>
            <w:tcBorders>
              <w:top w:val="nil"/>
              <w:left w:val="nil"/>
              <w:bottom w:val="nil"/>
              <w:right w:val="nil"/>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r>
              <w:rPr>
                <w:rFonts w:ascii="Courier New" w:hAnsi="Courier New" w:cs="Courier New"/>
                <w:color w:val="000000"/>
                <w:kern w:val="0"/>
                <w:sz w:val="18"/>
                <w:szCs w:val="18"/>
              </w:rPr>
              <w:t xml:space="preserve"> </w:t>
            </w:r>
            <w:r>
              <w:rPr>
                <w:rFonts w:ascii="Courier New" w:hAnsi="Courier New" w:cs="Courier New"/>
                <w:color w:val="000000"/>
                <w:kern w:val="0"/>
                <w:sz w:val="18"/>
                <w:szCs w:val="18"/>
              </w:rPr>
              <w:t>（盖章）</w:t>
            </w:r>
          </w:p>
        </w:tc>
        <w:tc>
          <w:tcPr>
            <w:tcW w:w="3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广元市国资国企服务中心</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1.项目年度目标完成情况</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70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严格执行相关政策，保障工资及时发放、足额发放，预算编制科学合理，减少结余资金</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保障工资及时、足额发放，预算编制科学合理</w:t>
            </w:r>
            <w:r>
              <w:rPr>
                <w:rFonts w:ascii="Courier New" w:hAnsi="Courier New" w:cs="Courier New"/>
                <w:color w:val="000000"/>
                <w:kern w:val="0"/>
                <w:sz w:val="18"/>
                <w:szCs w:val="18"/>
              </w:rPr>
              <w:t>.</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9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2.项目实施内容及过程概述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保障工资按月及时、足额发放。</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60"/>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预算执行情况（10分）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调整后预算数</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8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152.81</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152.81</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152.81</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3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152.81</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152.81</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152.81</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4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0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7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绩效指标（90分）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足额保障率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科目调整次数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次</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按时发放率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结余率（计算方法为：结余数/预算数）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108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0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保障工资及时发放、足额发放，预算编制科学合理.自评得分100分。</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7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3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改进措施</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753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sidR="00F61B10">
              <w:rPr>
                <w:rFonts w:ascii="Courier New" w:hAnsi="Courier New" w:cs="Courier New"/>
                <w:color w:val="000000"/>
                <w:kern w:val="0"/>
                <w:sz w:val="18"/>
                <w:szCs w:val="18"/>
              </w:rPr>
              <w:t xml:space="preserve"> </w:t>
            </w:r>
          </w:p>
        </w:tc>
        <w:tc>
          <w:tcPr>
            <w:tcW w:w="6627" w:type="dxa"/>
            <w:gridSpan w:val="6"/>
            <w:tcBorders>
              <w:top w:val="single" w:sz="4" w:space="0" w:color="000000"/>
              <w:left w:val="nil"/>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sidR="00F61B10">
              <w:rPr>
                <w:rFonts w:ascii="Courier New" w:hAnsi="Courier New" w:cs="Courier New"/>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93"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4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90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8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439"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83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9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204"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904"/>
        </w:trPr>
        <w:tc>
          <w:tcPr>
            <w:tcW w:w="141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黑体" w:eastAsia="黑体" w:hAnsi="黑体" w:cs="宋体"/>
                <w:b/>
                <w:bCs/>
                <w:color w:val="000000"/>
                <w:kern w:val="0"/>
                <w:sz w:val="30"/>
                <w:szCs w:val="30"/>
              </w:rPr>
            </w:pPr>
            <w:r>
              <w:rPr>
                <w:rFonts w:ascii="黑体" w:eastAsia="黑体" w:hAnsi="黑体" w:cs="宋体" w:hint="eastAsia"/>
                <w:b/>
                <w:bCs/>
                <w:color w:val="000000"/>
                <w:kern w:val="0"/>
                <w:sz w:val="30"/>
                <w:szCs w:val="30"/>
              </w:rPr>
              <w:t>部门预算项目支出绩效自评表（2022年度）</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51080022T000004920042-财政代管承租户保证金</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14"/>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广元市政府国有资产监督管理委员会部门</w:t>
            </w:r>
          </w:p>
        </w:tc>
        <w:tc>
          <w:tcPr>
            <w:tcW w:w="996" w:type="dxa"/>
            <w:tcBorders>
              <w:top w:val="nil"/>
              <w:left w:val="nil"/>
              <w:bottom w:val="nil"/>
              <w:right w:val="nil"/>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r>
              <w:rPr>
                <w:rFonts w:ascii="Courier New" w:hAnsi="Courier New" w:cs="Courier New"/>
                <w:color w:val="000000"/>
                <w:kern w:val="0"/>
                <w:sz w:val="18"/>
                <w:szCs w:val="18"/>
              </w:rPr>
              <w:t xml:space="preserve"> </w:t>
            </w:r>
            <w:r>
              <w:rPr>
                <w:rFonts w:ascii="Courier New" w:hAnsi="Courier New" w:cs="Courier New"/>
                <w:color w:val="000000"/>
                <w:kern w:val="0"/>
                <w:sz w:val="18"/>
                <w:szCs w:val="18"/>
              </w:rPr>
              <w:t>（盖章）</w:t>
            </w:r>
          </w:p>
        </w:tc>
        <w:tc>
          <w:tcPr>
            <w:tcW w:w="3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广元市国资国企服务中心</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1.项目年度目标完成情况</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70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代管市级行政事业单位国有资产房屋租赁保证金、房屋维修工程质保金。</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1.</w:t>
            </w:r>
            <w:r>
              <w:rPr>
                <w:rFonts w:ascii="Courier New" w:hAnsi="Courier New" w:cs="Courier New"/>
                <w:color w:val="000000"/>
                <w:kern w:val="0"/>
                <w:sz w:val="18"/>
                <w:szCs w:val="18"/>
              </w:rPr>
              <w:t>按照租赁合同约定收取承租户履约保证金。</w:t>
            </w:r>
            <w:r>
              <w:rPr>
                <w:rFonts w:ascii="Courier New" w:hAnsi="Courier New" w:cs="Courier New"/>
                <w:color w:val="000000"/>
                <w:kern w:val="0"/>
                <w:sz w:val="18"/>
                <w:szCs w:val="18"/>
              </w:rPr>
              <w:t>2.</w:t>
            </w:r>
            <w:r>
              <w:rPr>
                <w:rFonts w:ascii="Courier New" w:hAnsi="Courier New" w:cs="Courier New"/>
                <w:color w:val="000000"/>
                <w:kern w:val="0"/>
                <w:sz w:val="18"/>
                <w:szCs w:val="18"/>
              </w:rPr>
              <w:t>根据房屋维修合同约定足额收取工程质保金。</w:t>
            </w:r>
            <w:r>
              <w:rPr>
                <w:rFonts w:ascii="Courier New" w:hAnsi="Courier New" w:cs="Courier New"/>
                <w:color w:val="000000"/>
                <w:kern w:val="0"/>
                <w:sz w:val="18"/>
                <w:szCs w:val="18"/>
              </w:rPr>
              <w:t>3.</w:t>
            </w:r>
            <w:r>
              <w:rPr>
                <w:rFonts w:ascii="Courier New" w:hAnsi="Courier New" w:cs="Courier New"/>
                <w:color w:val="000000"/>
                <w:kern w:val="0"/>
                <w:sz w:val="18"/>
                <w:szCs w:val="18"/>
              </w:rPr>
              <w:t>承租户转让退租，维修工程质保期满，按维修合同约定退维修质保金。</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9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2.项目实施内容及过程概述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按租房合同和维修合同收退保证金，收退保证金严格执行财政代管资金审批程序。</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60"/>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预算执行情况（10分）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调整后预算数</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8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31.06</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31.06%</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2204"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需进一步优化完善实施方案和绩效目标，加强与业务科室沟通合理编制年初预算，加强运行监控，提升预算绩效管理水平。</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3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4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0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31.06</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31.06%</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7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绩效指标（90分）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与承租户签订合同数量</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470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户</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471</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收取保证金到位率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退房承租户退保证金时间</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月</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2</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承租户签订合同收取保证金时间</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天</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租户正常经营运行率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承租户租房安全率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可持续发展指标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租户保证金资金安全率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国有资产房屋及附属设备出租率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92</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服务对象满意度指标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房屋租赁使用方满意度</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98</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108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93</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0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按租房合同和维修合同收退保证金，收退保证金严格执行财政代管资金审批程序。自评得分93分。</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7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需进一步优化完善实施方案和绩效目标，合理编制年初预算，</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3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加强与业务科室沟通合理编制年初预算，加强运行监控，提升预算绩效管理水平。</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753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sidR="00F61B10">
              <w:rPr>
                <w:rFonts w:ascii="Courier New" w:hAnsi="Courier New" w:cs="Courier New"/>
                <w:color w:val="000000"/>
                <w:kern w:val="0"/>
                <w:sz w:val="18"/>
                <w:szCs w:val="18"/>
              </w:rPr>
              <w:t xml:space="preserve"> </w:t>
            </w:r>
          </w:p>
        </w:tc>
        <w:tc>
          <w:tcPr>
            <w:tcW w:w="6627" w:type="dxa"/>
            <w:gridSpan w:val="6"/>
            <w:tcBorders>
              <w:top w:val="single" w:sz="4" w:space="0" w:color="000000"/>
              <w:left w:val="nil"/>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sidR="00F61B10">
              <w:rPr>
                <w:rFonts w:ascii="Courier New" w:hAnsi="Courier New" w:cs="Courier New"/>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93"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4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90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8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439"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83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9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204"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904"/>
        </w:trPr>
        <w:tc>
          <w:tcPr>
            <w:tcW w:w="141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黑体" w:eastAsia="黑体" w:hAnsi="黑体" w:cs="宋体"/>
                <w:b/>
                <w:bCs/>
                <w:color w:val="000000"/>
                <w:kern w:val="0"/>
                <w:sz w:val="30"/>
                <w:szCs w:val="30"/>
              </w:rPr>
            </w:pPr>
            <w:r>
              <w:rPr>
                <w:rFonts w:ascii="黑体" w:eastAsia="黑体" w:hAnsi="黑体" w:cs="宋体" w:hint="eastAsia"/>
                <w:b/>
                <w:bCs/>
                <w:color w:val="000000"/>
                <w:kern w:val="0"/>
                <w:sz w:val="30"/>
                <w:szCs w:val="30"/>
              </w:rPr>
              <w:lastRenderedPageBreak/>
              <w:t>部门预算项目支出绩效自评表（2022年度）</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51080022T000004943267-应交税费</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14"/>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广元市政府国有资产监督管理委员会部门</w:t>
            </w:r>
          </w:p>
        </w:tc>
        <w:tc>
          <w:tcPr>
            <w:tcW w:w="996" w:type="dxa"/>
            <w:tcBorders>
              <w:top w:val="nil"/>
              <w:left w:val="nil"/>
              <w:bottom w:val="nil"/>
              <w:right w:val="nil"/>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r>
              <w:rPr>
                <w:rFonts w:ascii="Courier New" w:hAnsi="Courier New" w:cs="Courier New"/>
                <w:color w:val="000000"/>
                <w:kern w:val="0"/>
                <w:sz w:val="18"/>
                <w:szCs w:val="18"/>
              </w:rPr>
              <w:t xml:space="preserve"> </w:t>
            </w:r>
            <w:r>
              <w:rPr>
                <w:rFonts w:ascii="Courier New" w:hAnsi="Courier New" w:cs="Courier New"/>
                <w:color w:val="000000"/>
                <w:kern w:val="0"/>
                <w:sz w:val="18"/>
                <w:szCs w:val="18"/>
              </w:rPr>
              <w:t>（盖章）</w:t>
            </w:r>
          </w:p>
        </w:tc>
        <w:tc>
          <w:tcPr>
            <w:tcW w:w="3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广元市国资国企服务中心</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1.项目年度目标完成情况</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70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以财政非税收入实缴金额为基数核算税金，力争按月及时足额交纳，坚持做到“精准”入库。</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按照税法要求，以缴入财政非税收入为依据，税费精准入库。因新冠疫情减免</w:t>
            </w:r>
            <w:r>
              <w:rPr>
                <w:rFonts w:ascii="Courier New" w:hAnsi="Courier New" w:cs="Courier New"/>
                <w:color w:val="000000"/>
                <w:kern w:val="0"/>
                <w:sz w:val="18"/>
                <w:szCs w:val="18"/>
              </w:rPr>
              <w:t>7-12</w:t>
            </w:r>
            <w:r>
              <w:rPr>
                <w:rFonts w:ascii="Courier New" w:hAnsi="Courier New" w:cs="Courier New"/>
                <w:color w:val="000000"/>
                <w:kern w:val="0"/>
                <w:sz w:val="18"/>
                <w:szCs w:val="18"/>
              </w:rPr>
              <w:t>月租金，故应交税费减少。</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9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2.项目实施内容及过程概述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以缴入财政非税收入为依据，按时逐月申报缴纳税费精准入库。</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60"/>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预算执行情况（10分）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调整后预算数</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8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279.00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257.61</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131.68</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51.12%</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按照市财政局、市国资委《关于市级行政事业单位和市属国有企业向中小微企业和个体工商户减免房租的通知》因新冠疫情减免</w:t>
            </w:r>
            <w:r>
              <w:rPr>
                <w:rFonts w:ascii="Courier New" w:hAnsi="Courier New" w:cs="Courier New"/>
                <w:i/>
                <w:iCs/>
                <w:color w:val="000000"/>
                <w:kern w:val="0"/>
                <w:sz w:val="18"/>
                <w:szCs w:val="18"/>
              </w:rPr>
              <w:t>7-12</w:t>
            </w:r>
            <w:r>
              <w:rPr>
                <w:rFonts w:ascii="Courier New" w:hAnsi="Courier New" w:cs="Courier New"/>
                <w:i/>
                <w:iCs/>
                <w:color w:val="000000"/>
                <w:kern w:val="0"/>
                <w:sz w:val="18"/>
                <w:szCs w:val="18"/>
              </w:rPr>
              <w:t>月租金，收益减少相关税费减少。广财资〔</w:t>
            </w:r>
            <w:r>
              <w:rPr>
                <w:rFonts w:ascii="Courier New" w:hAnsi="Courier New" w:cs="Courier New"/>
                <w:i/>
                <w:iCs/>
                <w:color w:val="000000"/>
                <w:kern w:val="0"/>
                <w:sz w:val="18"/>
                <w:szCs w:val="18"/>
              </w:rPr>
              <w:t>2022</w:t>
            </w:r>
            <w:r>
              <w:rPr>
                <w:rFonts w:ascii="Courier New" w:hAnsi="Courier New" w:cs="Courier New"/>
                <w:i/>
                <w:iCs/>
                <w:color w:val="000000"/>
                <w:kern w:val="0"/>
                <w:sz w:val="18"/>
                <w:szCs w:val="18"/>
              </w:rPr>
              <w:t>〕</w:t>
            </w:r>
            <w:r>
              <w:rPr>
                <w:rFonts w:ascii="Courier New" w:hAnsi="Courier New" w:cs="Courier New"/>
                <w:i/>
                <w:iCs/>
                <w:color w:val="000000"/>
                <w:kern w:val="0"/>
                <w:sz w:val="18"/>
                <w:szCs w:val="18"/>
              </w:rPr>
              <w:t>82</w:t>
            </w:r>
            <w:r>
              <w:rPr>
                <w:rFonts w:ascii="Courier New" w:hAnsi="Courier New" w:cs="Courier New"/>
                <w:i/>
                <w:iCs/>
                <w:color w:val="000000"/>
                <w:kern w:val="0"/>
                <w:sz w:val="18"/>
                <w:szCs w:val="18"/>
              </w:rPr>
              <w:t>、</w:t>
            </w:r>
            <w:r>
              <w:rPr>
                <w:rFonts w:ascii="Courier New" w:hAnsi="Courier New" w:cs="Courier New"/>
                <w:i/>
                <w:iCs/>
                <w:color w:val="000000"/>
                <w:kern w:val="0"/>
                <w:sz w:val="18"/>
                <w:szCs w:val="18"/>
              </w:rPr>
              <w:t>96</w:t>
            </w:r>
            <w:r>
              <w:rPr>
                <w:rFonts w:ascii="Courier New" w:hAnsi="Courier New" w:cs="Courier New"/>
                <w:i/>
                <w:iCs/>
                <w:color w:val="000000"/>
                <w:kern w:val="0"/>
                <w:sz w:val="18"/>
                <w:szCs w:val="18"/>
              </w:rPr>
              <w:t>文件调整。</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3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279.00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257.61</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131.68</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51.12%</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4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0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7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绩效指标（90</w:t>
            </w:r>
            <w:r>
              <w:rPr>
                <w:rFonts w:ascii="宋体" w:hAnsi="宋体" w:cs="宋体" w:hint="eastAsia"/>
                <w:color w:val="000000"/>
                <w:kern w:val="0"/>
                <w:sz w:val="18"/>
                <w:szCs w:val="18"/>
              </w:rPr>
              <w:lastRenderedPageBreak/>
              <w:t>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一级指标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w:t>
            </w:r>
            <w:r>
              <w:rPr>
                <w:rFonts w:ascii="宋体" w:hAnsi="宋体" w:cs="宋体" w:hint="eastAsia"/>
                <w:color w:val="000000"/>
                <w:kern w:val="0"/>
                <w:sz w:val="18"/>
                <w:szCs w:val="18"/>
              </w:rPr>
              <w:lastRenderedPageBreak/>
              <w:t>质</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指标值</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年缴纳税金次数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12</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次</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12</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合同签订数量</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470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户</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471</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交纳税金到位率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税金交纳完成时间</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25"/>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缴纳税金</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279</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202.93</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因新冠疫情减免7-12月租金，收益减少相关税费减少。</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10"/>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资产收益</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1200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万元</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861.59</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因新冠疫情减免7-12月租金，收益减少相关税费减少。</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承租户上访投诉次数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次</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服务对象满意度指标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管理部门满意度</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98</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108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0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按照税法要求，以缴入财政非税收入为依据，按时申报，税费精准入库。按照市财政局、市国资委《关于市级行政事业单位和市属国有企业向中小微企业和个体工商户减免房租的通知》因新冠疫情减免7-12月租金，故应交税费减少。自评得分100分。</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7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3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753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sidR="00F61B10">
              <w:rPr>
                <w:rFonts w:ascii="Courier New" w:hAnsi="Courier New" w:cs="Courier New"/>
                <w:color w:val="000000"/>
                <w:kern w:val="0"/>
                <w:sz w:val="18"/>
                <w:szCs w:val="18"/>
              </w:rPr>
              <w:t xml:space="preserve"> </w:t>
            </w:r>
          </w:p>
        </w:tc>
        <w:tc>
          <w:tcPr>
            <w:tcW w:w="6627" w:type="dxa"/>
            <w:gridSpan w:val="6"/>
            <w:tcBorders>
              <w:top w:val="single" w:sz="4" w:space="0" w:color="000000"/>
              <w:left w:val="nil"/>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sidR="00F61B10">
              <w:rPr>
                <w:rFonts w:ascii="Courier New" w:hAnsi="Courier New" w:cs="Courier New"/>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93"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4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90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8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439"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83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9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204"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904"/>
        </w:trPr>
        <w:tc>
          <w:tcPr>
            <w:tcW w:w="141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黑体" w:eastAsia="黑体" w:hAnsi="黑体" w:cs="宋体"/>
                <w:b/>
                <w:bCs/>
                <w:color w:val="000000"/>
                <w:kern w:val="0"/>
                <w:sz w:val="30"/>
                <w:szCs w:val="30"/>
              </w:rPr>
            </w:pPr>
            <w:r>
              <w:rPr>
                <w:rFonts w:ascii="黑体" w:eastAsia="黑体" w:hAnsi="黑体" w:cs="宋体" w:hint="eastAsia"/>
                <w:b/>
                <w:bCs/>
                <w:color w:val="000000"/>
                <w:kern w:val="0"/>
                <w:sz w:val="30"/>
                <w:szCs w:val="30"/>
              </w:rPr>
              <w:t>部门预算项目支出绩效自评表（2022年度）</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51080022T000006946905-还建房屋维修基金</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14"/>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lastRenderedPageBreak/>
              <w:t>主管部门</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广元市政府国有资产监督管理委员会部门</w:t>
            </w:r>
          </w:p>
        </w:tc>
        <w:tc>
          <w:tcPr>
            <w:tcW w:w="996" w:type="dxa"/>
            <w:tcBorders>
              <w:top w:val="nil"/>
              <w:left w:val="nil"/>
              <w:bottom w:val="nil"/>
              <w:right w:val="nil"/>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r>
              <w:rPr>
                <w:rFonts w:ascii="Courier New" w:hAnsi="Courier New" w:cs="Courier New"/>
                <w:color w:val="000000"/>
                <w:kern w:val="0"/>
                <w:sz w:val="18"/>
                <w:szCs w:val="18"/>
              </w:rPr>
              <w:t xml:space="preserve"> </w:t>
            </w:r>
            <w:r>
              <w:rPr>
                <w:rFonts w:ascii="Courier New" w:hAnsi="Courier New" w:cs="Courier New"/>
                <w:color w:val="000000"/>
                <w:kern w:val="0"/>
                <w:sz w:val="18"/>
                <w:szCs w:val="18"/>
              </w:rPr>
              <w:t>（盖章）</w:t>
            </w:r>
          </w:p>
        </w:tc>
        <w:tc>
          <w:tcPr>
            <w:tcW w:w="3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广元市国资国企服务中心</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1.项目年度目标完成情况</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70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原市林业局将位于老城望江路凤凰佳苑临街营业房移交市国有资产管理中心统一管理，经市城乡规划委员会会议批准，凤凰佳苑B栋纳入城区旧城改造范围，用于建设“城北壹号”项目，其中“城北壹号”一楼还建营业房，需缴纳房屋维修基金及相关税费（拆迁还建房屋免交税费），办理房屋权属证书，为确保国有资产安全。</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原市林业局将位于老城望江路凤凰佳苑临街营业房移交市国有资产管理中心统一管理，经市城乡规划委员会会议批准，凤凰佳苑</w:t>
            </w:r>
            <w:r>
              <w:rPr>
                <w:rFonts w:ascii="Courier New" w:hAnsi="Courier New" w:cs="Courier New"/>
                <w:color w:val="000000"/>
                <w:kern w:val="0"/>
                <w:sz w:val="18"/>
                <w:szCs w:val="18"/>
              </w:rPr>
              <w:t>B</w:t>
            </w:r>
            <w:r>
              <w:rPr>
                <w:rFonts w:ascii="Courier New" w:hAnsi="Courier New" w:cs="Courier New"/>
                <w:color w:val="000000"/>
                <w:kern w:val="0"/>
                <w:sz w:val="18"/>
                <w:szCs w:val="18"/>
              </w:rPr>
              <w:t>栋纳入城区旧城改造范围，用于建设</w:t>
            </w:r>
            <w:r>
              <w:rPr>
                <w:rFonts w:ascii="Courier New" w:hAnsi="Courier New" w:cs="Courier New"/>
                <w:color w:val="000000"/>
                <w:kern w:val="0"/>
                <w:sz w:val="18"/>
                <w:szCs w:val="18"/>
              </w:rPr>
              <w:t>“</w:t>
            </w:r>
            <w:r>
              <w:rPr>
                <w:rFonts w:ascii="Courier New" w:hAnsi="Courier New" w:cs="Courier New"/>
                <w:color w:val="000000"/>
                <w:kern w:val="0"/>
                <w:sz w:val="18"/>
                <w:szCs w:val="18"/>
              </w:rPr>
              <w:t>城北壹号</w:t>
            </w:r>
            <w:r>
              <w:rPr>
                <w:rFonts w:ascii="Courier New" w:hAnsi="Courier New" w:cs="Courier New"/>
                <w:color w:val="000000"/>
                <w:kern w:val="0"/>
                <w:sz w:val="18"/>
                <w:szCs w:val="18"/>
              </w:rPr>
              <w:t>”</w:t>
            </w:r>
            <w:r>
              <w:rPr>
                <w:rFonts w:ascii="Courier New" w:hAnsi="Courier New" w:cs="Courier New"/>
                <w:color w:val="000000"/>
                <w:kern w:val="0"/>
                <w:sz w:val="18"/>
                <w:szCs w:val="18"/>
              </w:rPr>
              <w:t>项目，其中</w:t>
            </w:r>
            <w:r>
              <w:rPr>
                <w:rFonts w:ascii="Courier New" w:hAnsi="Courier New" w:cs="Courier New"/>
                <w:color w:val="000000"/>
                <w:kern w:val="0"/>
                <w:sz w:val="18"/>
                <w:szCs w:val="18"/>
              </w:rPr>
              <w:t>“</w:t>
            </w:r>
            <w:r>
              <w:rPr>
                <w:rFonts w:ascii="Courier New" w:hAnsi="Courier New" w:cs="Courier New"/>
                <w:color w:val="000000"/>
                <w:kern w:val="0"/>
                <w:sz w:val="18"/>
                <w:szCs w:val="18"/>
              </w:rPr>
              <w:t>城北壹号</w:t>
            </w:r>
            <w:r>
              <w:rPr>
                <w:rFonts w:ascii="Courier New" w:hAnsi="Courier New" w:cs="Courier New"/>
                <w:color w:val="000000"/>
                <w:kern w:val="0"/>
                <w:sz w:val="18"/>
                <w:szCs w:val="18"/>
              </w:rPr>
              <w:t>”</w:t>
            </w:r>
            <w:r>
              <w:rPr>
                <w:rFonts w:ascii="Courier New" w:hAnsi="Courier New" w:cs="Courier New"/>
                <w:color w:val="000000"/>
                <w:kern w:val="0"/>
                <w:sz w:val="18"/>
                <w:szCs w:val="18"/>
              </w:rPr>
              <w:t>一楼还建营业房，已缴纳房屋维修基金及相关税费（拆迁还建房屋免交税费），已办理房屋权属证书。</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9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2.项目实施内容及过程概述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“城北壹号”一楼还建营业房，缴纳房屋维修基金及相关税费（拆迁还建房屋免交税费），已办理房屋权属证书。</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60"/>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预算执行情况（10分）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调整后预算数</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8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1.61</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1.61</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3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1.61</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1.61</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4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0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7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绩效指标（90分）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需缴维修基金建筑物面积</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201.72</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平方米</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201.72</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7</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7</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缴纳维修基金建筑物处数</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处</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7</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7</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290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缴纳维修基金到位率</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7</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7</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290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办理房屋权属证书成功率</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95</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7</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7</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90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缴纳维修基金时间</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3</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月</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7</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7</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90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办理房屋权属证书时间</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年</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7</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7</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290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单位面积专项维修资金归集标准</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80</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元/平方米</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80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290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缴纳维修基金成本</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right"/>
              <w:rPr>
                <w:rFonts w:ascii="宋体" w:hAnsi="宋体" w:cs="宋体"/>
                <w:color w:val="000000"/>
                <w:kern w:val="0"/>
                <w:sz w:val="18"/>
                <w:szCs w:val="18"/>
              </w:rPr>
            </w:pPr>
            <w:r>
              <w:rPr>
                <w:rFonts w:ascii="宋体" w:hAnsi="宋体" w:cs="宋体" w:hint="eastAsia"/>
                <w:color w:val="000000"/>
                <w:kern w:val="0"/>
                <w:sz w:val="18"/>
                <w:szCs w:val="18"/>
              </w:rPr>
              <w:t>16137.6</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元</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16137.6</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290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“城北壹号”营业房年租金</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6.05</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万元</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6.05</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14</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14</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290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“城北壹号”营业房产安全承租率</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290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“城北壹号”营业房资产安全率</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服务对象满意度指标</w:t>
            </w:r>
          </w:p>
        </w:tc>
        <w:tc>
          <w:tcPr>
            <w:tcW w:w="290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维修基金收集部门满意率</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95</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服务对象满意度指标</w:t>
            </w:r>
          </w:p>
        </w:tc>
        <w:tc>
          <w:tcPr>
            <w:tcW w:w="290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“城北壹号”营业房租户满意率</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95</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108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right"/>
              <w:rPr>
                <w:rFonts w:ascii="宋体" w:hAnsi="宋体" w:cs="宋体"/>
                <w:color w:val="000000"/>
                <w:kern w:val="0"/>
                <w:sz w:val="18"/>
                <w:szCs w:val="18"/>
              </w:rPr>
            </w:pPr>
            <w:r>
              <w:rPr>
                <w:rFonts w:ascii="宋体" w:hAnsi="宋体" w:cs="宋体" w:hint="eastAsia"/>
                <w:color w:val="000000"/>
                <w:kern w:val="0"/>
                <w:sz w:val="18"/>
                <w:szCs w:val="18"/>
              </w:rPr>
              <w:t>100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0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原市林业局将位于老城望江路凤凰佳苑临街营业房移交市国有资产管理中心统一管理，经市城乡规划委员会会议批准，凤凰佳苑B栋纳入城区旧城改造范围，用于建设“城北壹号”项目，其中“城北壹号”一楼还建营业房，已缴纳房屋维修基金及相关税费（拆迁还建房屋免交税费），已办理房屋权属证书。自评得分100分。</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7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3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753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lastRenderedPageBreak/>
              <w:t>项目负责人：</w:t>
            </w:r>
            <w:r w:rsidR="00F61B10">
              <w:rPr>
                <w:rFonts w:ascii="Courier New" w:hAnsi="Courier New" w:cs="Courier New"/>
                <w:color w:val="000000"/>
                <w:kern w:val="0"/>
                <w:sz w:val="18"/>
                <w:szCs w:val="18"/>
              </w:rPr>
              <w:t xml:space="preserve"> </w:t>
            </w:r>
          </w:p>
        </w:tc>
        <w:tc>
          <w:tcPr>
            <w:tcW w:w="6627" w:type="dxa"/>
            <w:gridSpan w:val="6"/>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93"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4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90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8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439"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83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9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204"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904"/>
        </w:trPr>
        <w:tc>
          <w:tcPr>
            <w:tcW w:w="141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黑体" w:eastAsia="黑体" w:hAnsi="黑体" w:cs="宋体"/>
                <w:b/>
                <w:bCs/>
                <w:color w:val="000000"/>
                <w:kern w:val="0"/>
                <w:sz w:val="30"/>
                <w:szCs w:val="30"/>
              </w:rPr>
            </w:pPr>
            <w:r>
              <w:rPr>
                <w:rFonts w:ascii="黑体" w:eastAsia="黑体" w:hAnsi="黑体" w:cs="宋体" w:hint="eastAsia"/>
                <w:b/>
                <w:bCs/>
                <w:color w:val="000000"/>
                <w:kern w:val="0"/>
                <w:sz w:val="30"/>
                <w:szCs w:val="30"/>
              </w:rPr>
              <w:t>部门预算项目支出绩效自评表（2022年度）</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51080022Y000000267568-定额公用经费（事业）</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14"/>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广元市政府国有资产监督管理委员会部门</w:t>
            </w:r>
          </w:p>
        </w:tc>
        <w:tc>
          <w:tcPr>
            <w:tcW w:w="996" w:type="dxa"/>
            <w:tcBorders>
              <w:top w:val="nil"/>
              <w:left w:val="nil"/>
              <w:bottom w:val="nil"/>
              <w:right w:val="nil"/>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r>
              <w:rPr>
                <w:rFonts w:ascii="Courier New" w:hAnsi="Courier New" w:cs="Courier New"/>
                <w:color w:val="000000"/>
                <w:kern w:val="0"/>
                <w:sz w:val="18"/>
                <w:szCs w:val="18"/>
              </w:rPr>
              <w:t xml:space="preserve"> </w:t>
            </w:r>
            <w:r>
              <w:rPr>
                <w:rFonts w:ascii="Courier New" w:hAnsi="Courier New" w:cs="Courier New"/>
                <w:color w:val="000000"/>
                <w:kern w:val="0"/>
                <w:sz w:val="18"/>
                <w:szCs w:val="18"/>
              </w:rPr>
              <w:t>（盖章）</w:t>
            </w:r>
          </w:p>
        </w:tc>
        <w:tc>
          <w:tcPr>
            <w:tcW w:w="3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广元市国资国企服务中心</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1.项目年度目标完成情况</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70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保障单位日常运转，提高预算编制质量，严格执行预算</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保障单位日常运转，各项业务正常开展。</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9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2.项目实施内容及过程概述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保障单位日常运转，各项业务正常开展。</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60"/>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预算执行情况（10分）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调整后预算数</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8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36.00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35.95</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35.94</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99.99%</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3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36.00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35.95</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35.94</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99.99%</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4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0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7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绩效指标（90分）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科目调整次数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次</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7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预算编制准确率（计算方法为：∣（执行数-预算数）/预算数∣）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74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运转保障率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90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4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“三公经费”控制率[计算方法为：（三公经费实际支出数/预算安排数]×100%）</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108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0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保障单位日常运转，各项业务正常开展。自评得分100分。</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7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3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753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sidR="00F61B10">
              <w:rPr>
                <w:rFonts w:ascii="Courier New" w:hAnsi="Courier New" w:cs="Courier New"/>
                <w:color w:val="000000"/>
                <w:kern w:val="0"/>
                <w:sz w:val="18"/>
                <w:szCs w:val="18"/>
              </w:rPr>
              <w:t xml:space="preserve"> </w:t>
            </w:r>
          </w:p>
        </w:tc>
        <w:tc>
          <w:tcPr>
            <w:tcW w:w="6627" w:type="dxa"/>
            <w:gridSpan w:val="6"/>
            <w:tcBorders>
              <w:top w:val="single" w:sz="4" w:space="0" w:color="000000"/>
              <w:left w:val="nil"/>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sidR="00F61B10">
              <w:rPr>
                <w:rFonts w:ascii="Courier New" w:hAnsi="Courier New" w:cs="Courier New"/>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93"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4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90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8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439"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83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9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204"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904"/>
        </w:trPr>
        <w:tc>
          <w:tcPr>
            <w:tcW w:w="141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黑体" w:eastAsia="黑体" w:hAnsi="黑体" w:cs="宋体"/>
                <w:b/>
                <w:bCs/>
                <w:color w:val="000000"/>
                <w:kern w:val="0"/>
                <w:sz w:val="30"/>
                <w:szCs w:val="30"/>
              </w:rPr>
            </w:pPr>
            <w:r>
              <w:rPr>
                <w:rFonts w:ascii="黑体" w:eastAsia="黑体" w:hAnsi="黑体" w:cs="宋体" w:hint="eastAsia"/>
                <w:b/>
                <w:bCs/>
                <w:color w:val="000000"/>
                <w:kern w:val="0"/>
                <w:sz w:val="30"/>
                <w:szCs w:val="30"/>
              </w:rPr>
              <w:t>部门预算项目支出绩效自评表（2022年度）</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51080023R000007612345-规范后市级基础绩效奖及生活补助</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14"/>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广元市政府国有资产监督管理委员会部门</w:t>
            </w:r>
          </w:p>
        </w:tc>
        <w:tc>
          <w:tcPr>
            <w:tcW w:w="996" w:type="dxa"/>
            <w:tcBorders>
              <w:top w:val="nil"/>
              <w:left w:val="nil"/>
              <w:bottom w:val="nil"/>
              <w:right w:val="nil"/>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r>
              <w:rPr>
                <w:rFonts w:ascii="Courier New" w:hAnsi="Courier New" w:cs="Courier New"/>
                <w:color w:val="000000"/>
                <w:kern w:val="0"/>
                <w:sz w:val="18"/>
                <w:szCs w:val="18"/>
              </w:rPr>
              <w:t xml:space="preserve"> </w:t>
            </w:r>
            <w:r>
              <w:rPr>
                <w:rFonts w:ascii="Courier New" w:hAnsi="Courier New" w:cs="Courier New"/>
                <w:color w:val="000000"/>
                <w:kern w:val="0"/>
                <w:sz w:val="18"/>
                <w:szCs w:val="18"/>
              </w:rPr>
              <w:t>（盖章）</w:t>
            </w:r>
          </w:p>
        </w:tc>
        <w:tc>
          <w:tcPr>
            <w:tcW w:w="3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广元市国资国企服务中心</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1.项目年度目标完成情况</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70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保障按月及时、足额发放。</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保障按月及时、足额发放。</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9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2.项目实施内容及过程概述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保障按月及时、足额发放。</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60"/>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预算执行情况（10分）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调整后预算数</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8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37.47</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37.47</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3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37.47</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37.47</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4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0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7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绩效指标（90分）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4"/>
          <w:wAfter w:w="170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val="restart"/>
            <w:tcBorders>
              <w:top w:val="nil"/>
              <w:left w:val="nil"/>
              <w:right w:val="single" w:sz="4" w:space="0" w:color="000000"/>
            </w:tcBorders>
            <w:shd w:val="clear" w:color="auto" w:fill="auto"/>
            <w:vAlign w:val="center"/>
          </w:tcPr>
          <w:p w:rsidR="002E5C93" w:rsidRDefault="00404FBC">
            <w:pPr>
              <w:widowControl/>
              <w:ind w:firstLineChars="250" w:firstLine="450"/>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vMerge w:val="restart"/>
            <w:tcBorders>
              <w:top w:val="nil"/>
              <w:left w:val="nil"/>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足额保障率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2E5C93">
            <w:pPr>
              <w:widowControl/>
              <w:jc w:val="center"/>
              <w:rPr>
                <w:rFonts w:ascii="宋体" w:hAnsi="宋体" w:cs="宋体"/>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center"/>
              <w:rPr>
                <w:rFonts w:ascii="微软雅黑" w:eastAsia="微软雅黑" w:hAnsi="微软雅黑" w:cs="宋体"/>
                <w:i/>
                <w:iCs/>
                <w:color w:val="000000"/>
                <w:kern w:val="0"/>
                <w:sz w:val="16"/>
                <w:szCs w:val="16"/>
              </w:rPr>
            </w:pPr>
          </w:p>
        </w:tc>
        <w:tc>
          <w:tcPr>
            <w:tcW w:w="1180" w:type="dxa"/>
            <w:gridSpan w:val="3"/>
            <w:vAlign w:val="center"/>
          </w:tcPr>
          <w:p w:rsidR="002E5C93" w:rsidRDefault="002E5C93">
            <w:pPr>
              <w:widowControl/>
              <w:jc w:val="left"/>
              <w:rPr>
                <w:rFonts w:ascii="宋体" w:hAnsi="宋体" w:cs="宋体"/>
                <w:color w:val="000000"/>
                <w:kern w:val="0"/>
                <w:sz w:val="22"/>
                <w:szCs w:val="22"/>
              </w:rPr>
            </w:pPr>
          </w:p>
        </w:tc>
      </w:tr>
      <w:tr w:rsidR="002E5C93">
        <w:trPr>
          <w:gridAfter w:val="1"/>
          <w:wAfter w:w="52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left w:val="nil"/>
              <w:right w:val="single" w:sz="4" w:space="0" w:color="000000"/>
            </w:tcBorders>
            <w:shd w:val="clear" w:color="auto" w:fill="auto"/>
            <w:vAlign w:val="center"/>
          </w:tcPr>
          <w:p w:rsidR="002E5C93" w:rsidRDefault="002E5C93">
            <w:pPr>
              <w:widowControl/>
              <w:jc w:val="left"/>
              <w:rPr>
                <w:rFonts w:ascii="宋体" w:hAnsi="宋体" w:cs="宋体"/>
                <w:color w:val="000000"/>
                <w:kern w:val="0"/>
                <w:sz w:val="18"/>
                <w:szCs w:val="18"/>
              </w:rPr>
            </w:pPr>
          </w:p>
        </w:tc>
        <w:tc>
          <w:tcPr>
            <w:tcW w:w="1748" w:type="dxa"/>
            <w:vMerge/>
            <w:tcBorders>
              <w:left w:val="nil"/>
              <w:bottom w:val="single" w:sz="4" w:space="0" w:color="000000"/>
              <w:right w:val="single" w:sz="4" w:space="0" w:color="000000"/>
            </w:tcBorders>
            <w:shd w:val="clear" w:color="auto" w:fill="auto"/>
            <w:vAlign w:val="center"/>
          </w:tcPr>
          <w:p w:rsidR="002E5C93" w:rsidRDefault="002E5C93">
            <w:pPr>
              <w:widowControl/>
              <w:jc w:val="left"/>
              <w:rPr>
                <w:rFonts w:ascii="宋体" w:hAnsi="宋体" w:cs="宋体"/>
                <w:color w:val="000000"/>
                <w:kern w:val="0"/>
                <w:sz w:val="18"/>
                <w:szCs w:val="18"/>
              </w:rPr>
            </w:pP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科目调整次数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次</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2E5C93">
            <w:pPr>
              <w:widowControl/>
              <w:jc w:val="center"/>
              <w:rPr>
                <w:rFonts w:ascii="宋体" w:hAnsi="宋体" w:cs="宋体"/>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center"/>
              <w:rPr>
                <w:rFonts w:ascii="宋体" w:hAnsi="宋体" w:cs="宋体"/>
                <w:color w:val="000000"/>
                <w:kern w:val="0"/>
                <w:sz w:val="18"/>
                <w:szCs w:val="18"/>
              </w:rPr>
            </w:pPr>
          </w:p>
        </w:tc>
        <w:tc>
          <w:tcPr>
            <w:tcW w:w="1180" w:type="dxa"/>
            <w:gridSpan w:val="3"/>
            <w:vAlign w:val="center"/>
          </w:tcPr>
          <w:p w:rsidR="002E5C93" w:rsidRDefault="002E5C93">
            <w:pPr>
              <w:widowControl/>
              <w:jc w:val="center"/>
              <w:rPr>
                <w:rFonts w:ascii="微软雅黑" w:eastAsia="微软雅黑" w:hAnsi="微软雅黑" w:cs="宋体"/>
                <w:i/>
                <w:iCs/>
                <w:color w:val="000000"/>
                <w:kern w:val="0"/>
                <w:sz w:val="16"/>
                <w:szCs w:val="16"/>
              </w:rPr>
            </w:pPr>
          </w:p>
        </w:tc>
        <w:tc>
          <w:tcPr>
            <w:tcW w:w="1180" w:type="dxa"/>
            <w:gridSpan w:val="3"/>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left w:val="nil"/>
              <w:bottom w:val="single" w:sz="4" w:space="0" w:color="000000"/>
              <w:right w:val="single" w:sz="4" w:space="0" w:color="000000"/>
            </w:tcBorders>
            <w:shd w:val="clear" w:color="auto" w:fill="auto"/>
            <w:vAlign w:val="center"/>
          </w:tcPr>
          <w:p w:rsidR="002E5C93" w:rsidRDefault="002E5C93">
            <w:pPr>
              <w:widowControl/>
              <w:jc w:val="center"/>
              <w:rPr>
                <w:rFonts w:ascii="宋体" w:hAnsi="宋体" w:cs="宋体"/>
                <w:color w:val="000000"/>
                <w:kern w:val="0"/>
                <w:sz w:val="18"/>
                <w:szCs w:val="18"/>
              </w:rPr>
            </w:pP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按时发放率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2E5C93">
            <w:pPr>
              <w:widowControl/>
              <w:jc w:val="center"/>
              <w:rPr>
                <w:rFonts w:ascii="微软雅黑" w:eastAsia="微软雅黑" w:hAnsi="微软雅黑" w:cs="宋体"/>
                <w:i/>
                <w:iCs/>
                <w:color w:val="000000"/>
                <w:kern w:val="0"/>
                <w:sz w:val="16"/>
                <w:szCs w:val="16"/>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效益指标　</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经济效益指标　</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结余率（计算方法为：结余数/预算数）</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22.5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108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0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保障及时发放、足额发放，预算编制科学合理.自评得分100分。</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7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3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改进措施</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753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sidR="00F61B10">
              <w:rPr>
                <w:rFonts w:ascii="Courier New" w:hAnsi="Courier New" w:cs="Courier New"/>
                <w:color w:val="000000"/>
                <w:kern w:val="0"/>
                <w:sz w:val="18"/>
                <w:szCs w:val="18"/>
              </w:rPr>
              <w:t xml:space="preserve"> </w:t>
            </w:r>
          </w:p>
        </w:tc>
        <w:tc>
          <w:tcPr>
            <w:tcW w:w="6627" w:type="dxa"/>
            <w:gridSpan w:val="6"/>
            <w:tcBorders>
              <w:top w:val="single" w:sz="4" w:space="0" w:color="000000"/>
              <w:left w:val="nil"/>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sidR="00F61B10">
              <w:rPr>
                <w:rFonts w:ascii="Courier New" w:hAnsi="Courier New" w:cs="Courier New"/>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93"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4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90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8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439"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83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9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204"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904"/>
        </w:trPr>
        <w:tc>
          <w:tcPr>
            <w:tcW w:w="141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黑体" w:eastAsia="黑体" w:hAnsi="黑体" w:cs="宋体"/>
                <w:b/>
                <w:bCs/>
                <w:color w:val="000000"/>
                <w:kern w:val="0"/>
                <w:sz w:val="30"/>
                <w:szCs w:val="30"/>
              </w:rPr>
            </w:pPr>
            <w:r>
              <w:rPr>
                <w:rFonts w:ascii="黑体" w:eastAsia="黑体" w:hAnsi="黑体" w:cs="宋体" w:hint="eastAsia"/>
                <w:b/>
                <w:bCs/>
                <w:color w:val="000000"/>
                <w:kern w:val="0"/>
                <w:sz w:val="30"/>
                <w:szCs w:val="30"/>
              </w:rPr>
              <w:t>部门预算项目支出绩效自评表（2022年度）</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51080023T000008579963-返还新冠疫情减免已交租金</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14"/>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广元市政府国有资产监督管理委员会部门</w:t>
            </w:r>
          </w:p>
        </w:tc>
        <w:tc>
          <w:tcPr>
            <w:tcW w:w="996" w:type="dxa"/>
            <w:tcBorders>
              <w:top w:val="nil"/>
              <w:left w:val="nil"/>
              <w:bottom w:val="nil"/>
              <w:right w:val="nil"/>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r>
              <w:rPr>
                <w:rFonts w:ascii="Courier New" w:hAnsi="Courier New" w:cs="Courier New"/>
                <w:color w:val="000000"/>
                <w:kern w:val="0"/>
                <w:sz w:val="18"/>
                <w:szCs w:val="18"/>
              </w:rPr>
              <w:t xml:space="preserve"> </w:t>
            </w:r>
            <w:r>
              <w:rPr>
                <w:rFonts w:ascii="Courier New" w:hAnsi="Courier New" w:cs="Courier New"/>
                <w:color w:val="000000"/>
                <w:kern w:val="0"/>
                <w:sz w:val="18"/>
                <w:szCs w:val="18"/>
              </w:rPr>
              <w:t>（盖章）</w:t>
            </w:r>
          </w:p>
        </w:tc>
        <w:tc>
          <w:tcPr>
            <w:tcW w:w="3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广元市国资国企服务中心</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1.项目年度目标完成情况</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70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按照市财政局、市国资委《关于市级行政事业单位和市属国有企业向中小微企业和个体工商户减免房租的通知》，我单位及时减免7-12月租金，返还部分租金全额直缴财政应减免租金213851元</w:t>
            </w:r>
            <w:r>
              <w:rPr>
                <w:rFonts w:ascii="宋体" w:hAnsi="宋体" w:cs="宋体" w:hint="eastAsia"/>
                <w:color w:val="000000"/>
                <w:kern w:val="0"/>
                <w:sz w:val="18"/>
                <w:szCs w:val="18"/>
              </w:rPr>
              <w:br/>
              <w:t>。</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按照市财政局、市国资委《关于市级行政事业单位和市属国有企业向中小微企业和个体工商户减免房租的通知》，我单位及时减免</w:t>
            </w:r>
            <w:r>
              <w:rPr>
                <w:rFonts w:ascii="Courier New" w:hAnsi="Courier New" w:cs="Courier New"/>
                <w:color w:val="000000"/>
                <w:kern w:val="0"/>
                <w:sz w:val="18"/>
                <w:szCs w:val="18"/>
              </w:rPr>
              <w:t>7-12</w:t>
            </w:r>
            <w:r>
              <w:rPr>
                <w:rFonts w:ascii="Courier New" w:hAnsi="Courier New" w:cs="Courier New"/>
                <w:color w:val="000000"/>
                <w:kern w:val="0"/>
                <w:sz w:val="18"/>
                <w:szCs w:val="18"/>
              </w:rPr>
              <w:t>月租金，已返还部分租金全额直缴财政应减免租金</w:t>
            </w:r>
            <w:r>
              <w:rPr>
                <w:rFonts w:ascii="Courier New" w:hAnsi="Courier New" w:cs="Courier New"/>
                <w:color w:val="000000"/>
                <w:kern w:val="0"/>
                <w:sz w:val="18"/>
                <w:szCs w:val="18"/>
              </w:rPr>
              <w:t>213851</w:t>
            </w:r>
            <w:r>
              <w:rPr>
                <w:rFonts w:ascii="Courier New" w:hAnsi="Courier New" w:cs="Courier New"/>
                <w:color w:val="000000"/>
                <w:kern w:val="0"/>
                <w:sz w:val="18"/>
                <w:szCs w:val="18"/>
              </w:rPr>
              <w:t>元。</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9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2.项目实施内容及过程概述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按照市财政局、市国资委《关于市级行政事业单位和市属国有企业向中小微企业和个体工商户减免房租的通知》，我单位及时减免7-12月租金633.3万元，已返还部分租金全额直缴财政应减免租金213851元。</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60"/>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预算执行情况（10分）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调整后预算数</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8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21.39</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21.39</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3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21.39</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21.39</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4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0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7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绩效指标（90分）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应返还全额直缴财政租户</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17</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户</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7-12月减免租金户数</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442</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户</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442</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应返还全额直缴财政租户类别</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2</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类</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290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应返还全额直缴财政租户资金到位率</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应返还全额直缴财政租户资金返还率</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90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应减免租金月数</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6</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月</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90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应返还全额直缴财政租户资金时间</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月</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290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7-12月减免租金金额</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right"/>
              <w:rPr>
                <w:rFonts w:ascii="宋体" w:hAnsi="宋体" w:cs="宋体"/>
                <w:color w:val="000000"/>
                <w:kern w:val="0"/>
                <w:sz w:val="18"/>
                <w:szCs w:val="18"/>
              </w:rPr>
            </w:pPr>
            <w:r>
              <w:rPr>
                <w:rFonts w:ascii="宋体" w:hAnsi="宋体" w:cs="宋体" w:hint="eastAsia"/>
                <w:color w:val="000000"/>
                <w:kern w:val="0"/>
                <w:sz w:val="18"/>
                <w:szCs w:val="18"/>
              </w:rPr>
              <w:t>633.3</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万元</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633.3</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290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租户群体上访率</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0</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290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租户持续经营率</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98</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98</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服务对象满意度指标</w:t>
            </w:r>
          </w:p>
        </w:tc>
        <w:tc>
          <w:tcPr>
            <w:tcW w:w="290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应返还租金租户满意度</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38"/>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经济成本指标</w:t>
            </w:r>
          </w:p>
        </w:tc>
        <w:tc>
          <w:tcPr>
            <w:tcW w:w="290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返还租金额度</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213851</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元</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213851</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108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0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评价结论</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执行政策，惠利于民，落实到位。按照市财政局、市国资委《关于市级行政事业单位和市属国有企业向中小微企业和个体工商户减免房租的通知》，我单位及时减免7-12月租金633.29万元，已返还部分租金全额直缴财政应减免租金213851元。根据广财资〔2022〕17号和广财资〔2022〕77号文件精神，2022年共减免租金633.3万元。自评得分100分。</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7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3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753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sidR="00F61B10">
              <w:rPr>
                <w:rFonts w:ascii="Courier New" w:hAnsi="Courier New" w:cs="Courier New"/>
                <w:color w:val="000000"/>
                <w:kern w:val="0"/>
                <w:sz w:val="18"/>
                <w:szCs w:val="18"/>
              </w:rPr>
              <w:t xml:space="preserve"> </w:t>
            </w:r>
          </w:p>
        </w:tc>
        <w:tc>
          <w:tcPr>
            <w:tcW w:w="6627" w:type="dxa"/>
            <w:gridSpan w:val="6"/>
            <w:tcBorders>
              <w:top w:val="single" w:sz="4" w:space="0" w:color="000000"/>
              <w:left w:val="nil"/>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sidR="00F61B10">
              <w:rPr>
                <w:rFonts w:ascii="Courier New" w:hAnsi="Courier New" w:cs="Courier New"/>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93"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4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90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8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439"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83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9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204"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904"/>
        </w:trPr>
        <w:tc>
          <w:tcPr>
            <w:tcW w:w="1416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黑体" w:eastAsia="黑体" w:hAnsi="黑体" w:cs="宋体"/>
                <w:b/>
                <w:bCs/>
                <w:color w:val="000000"/>
                <w:kern w:val="0"/>
                <w:sz w:val="30"/>
                <w:szCs w:val="30"/>
              </w:rPr>
            </w:pPr>
            <w:r>
              <w:rPr>
                <w:rFonts w:ascii="黑体" w:eastAsia="黑体" w:hAnsi="黑体" w:cs="宋体" w:hint="eastAsia"/>
                <w:b/>
                <w:bCs/>
                <w:color w:val="000000"/>
                <w:kern w:val="0"/>
                <w:sz w:val="30"/>
                <w:szCs w:val="30"/>
              </w:rPr>
              <w:t>部门预算项目支出绩效自评表（2022年度）</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项目名称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51080023T000008618947-高层次人才安家补助和工作补助</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14"/>
        </w:trPr>
        <w:tc>
          <w:tcPr>
            <w:tcW w:w="23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主管部门</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广元市政府国有资产监督管理委员会部门</w:t>
            </w:r>
          </w:p>
        </w:tc>
        <w:tc>
          <w:tcPr>
            <w:tcW w:w="996" w:type="dxa"/>
            <w:tcBorders>
              <w:top w:val="nil"/>
              <w:left w:val="nil"/>
              <w:bottom w:val="nil"/>
              <w:right w:val="nil"/>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实施单位</w:t>
            </w:r>
            <w:r>
              <w:rPr>
                <w:rFonts w:ascii="Courier New" w:hAnsi="Courier New" w:cs="Courier New"/>
                <w:color w:val="000000"/>
                <w:kern w:val="0"/>
                <w:sz w:val="18"/>
                <w:szCs w:val="18"/>
              </w:rPr>
              <w:t xml:space="preserve"> </w:t>
            </w:r>
            <w:r>
              <w:rPr>
                <w:rFonts w:ascii="Courier New" w:hAnsi="Courier New" w:cs="Courier New"/>
                <w:color w:val="000000"/>
                <w:kern w:val="0"/>
                <w:sz w:val="18"/>
                <w:szCs w:val="18"/>
              </w:rPr>
              <w:t>（盖章）</w:t>
            </w:r>
          </w:p>
        </w:tc>
        <w:tc>
          <w:tcPr>
            <w:tcW w:w="33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广元市国资国企服务中心</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项目基本情况</w:t>
            </w:r>
          </w:p>
        </w:tc>
        <w:tc>
          <w:tcPr>
            <w:tcW w:w="1793"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1.项目年度目标完成情况</w:t>
            </w: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项目年度目标</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Courier New" w:hAnsi="Courier New" w:cs="Courier New"/>
                <w:color w:val="000000"/>
                <w:kern w:val="0"/>
                <w:sz w:val="18"/>
                <w:szCs w:val="18"/>
              </w:rPr>
            </w:pPr>
            <w:r>
              <w:rPr>
                <w:rFonts w:ascii="Courier New" w:hAnsi="Courier New" w:cs="Courier New"/>
                <w:color w:val="000000"/>
                <w:kern w:val="0"/>
                <w:sz w:val="18"/>
                <w:szCs w:val="18"/>
              </w:rPr>
              <w:t>年度目标完成情况</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70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7417" w:type="dxa"/>
            <w:gridSpan w:val="5"/>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引进人才安家费补助及7-12月工作补助16.6万元。</w:t>
            </w:r>
          </w:p>
        </w:tc>
        <w:tc>
          <w:tcPr>
            <w:tcW w:w="4352" w:type="dxa"/>
            <w:gridSpan w:val="4"/>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引进人才安家费补助及</w:t>
            </w:r>
            <w:r>
              <w:rPr>
                <w:rFonts w:ascii="Courier New" w:hAnsi="Courier New" w:cs="Courier New"/>
                <w:color w:val="000000"/>
                <w:kern w:val="0"/>
                <w:sz w:val="18"/>
                <w:szCs w:val="18"/>
              </w:rPr>
              <w:t>7-12</w:t>
            </w:r>
            <w:r>
              <w:rPr>
                <w:rFonts w:ascii="Courier New" w:hAnsi="Courier New" w:cs="Courier New"/>
                <w:color w:val="000000"/>
                <w:kern w:val="0"/>
                <w:sz w:val="18"/>
                <w:szCs w:val="18"/>
              </w:rPr>
              <w:t>月工作补助</w:t>
            </w:r>
            <w:r>
              <w:rPr>
                <w:rFonts w:ascii="Courier New" w:hAnsi="Courier New" w:cs="Courier New"/>
                <w:color w:val="000000"/>
                <w:kern w:val="0"/>
                <w:sz w:val="18"/>
                <w:szCs w:val="18"/>
              </w:rPr>
              <w:t>16.6</w:t>
            </w:r>
            <w:r>
              <w:rPr>
                <w:rFonts w:ascii="Courier New" w:hAnsi="Courier New" w:cs="Courier New"/>
                <w:color w:val="000000"/>
                <w:kern w:val="0"/>
                <w:sz w:val="18"/>
                <w:szCs w:val="18"/>
              </w:rPr>
              <w:t>万元，按时发放到个人。</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9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2.项目实施内容及过程概述</w:t>
            </w:r>
          </w:p>
        </w:tc>
        <w:tc>
          <w:tcPr>
            <w:tcW w:w="11769" w:type="dxa"/>
            <w:gridSpan w:val="9"/>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引进人才安家费补助及7-12月工作补助16.6万元，按时发放到个人。</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60"/>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预算执行情况（10分）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年度预算数（万元）</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年初预算</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调整后预算数</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预算执行数</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预算执行率</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原因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8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总额</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16.60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16.60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left"/>
              <w:rPr>
                <w:rFonts w:ascii="Courier New" w:hAnsi="Courier New" w:cs="Courier New"/>
                <w:i/>
                <w:iCs/>
                <w:color w:val="000000"/>
                <w:kern w:val="0"/>
                <w:sz w:val="18"/>
                <w:szCs w:val="18"/>
              </w:rPr>
            </w:pPr>
            <w:r>
              <w:rPr>
                <w:rFonts w:ascii="Courier New" w:hAnsi="Courier New" w:cs="Courier New"/>
                <w:i/>
                <w:iCs/>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3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其中：财政资金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16.60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16.60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47"/>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财政专户管理资金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02"/>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0.00%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379"/>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其他资金</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2763" w:type="dxa"/>
            <w:gridSpan w:val="3"/>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 xml:space="preserve">　</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204"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Courier New" w:hAnsi="Courier New" w:cs="Courier New"/>
                <w:i/>
                <w:iCs/>
                <w:color w:val="000000"/>
                <w:kern w:val="0"/>
                <w:sz w:val="18"/>
                <w:szCs w:val="18"/>
              </w:rPr>
            </w:pP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val="restart"/>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绩效指标（90分）</w:t>
            </w:r>
          </w:p>
        </w:tc>
        <w:tc>
          <w:tcPr>
            <w:tcW w:w="1793"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74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290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488"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指标性质</w:t>
            </w:r>
          </w:p>
        </w:tc>
        <w:tc>
          <w:tcPr>
            <w:tcW w:w="1439"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指标值</w:t>
            </w:r>
          </w:p>
        </w:tc>
        <w:tc>
          <w:tcPr>
            <w:tcW w:w="83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度量单位</w:t>
            </w:r>
          </w:p>
        </w:tc>
        <w:tc>
          <w:tcPr>
            <w:tcW w:w="99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完成值</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权重</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未完成原因分析</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90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引进人员数量</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3</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人</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290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补助发放及时率</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290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引进人员工作持续性</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定性</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长期</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9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长期</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290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引进人员满意度</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98</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996" w:type="dxa"/>
            <w:tcBorders>
              <w:top w:val="nil"/>
              <w:left w:val="nil"/>
              <w:bottom w:val="single" w:sz="4" w:space="0" w:color="auto"/>
              <w:right w:val="single" w:sz="4" w:space="0" w:color="auto"/>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454"/>
        </w:trPr>
        <w:tc>
          <w:tcPr>
            <w:tcW w:w="598" w:type="dxa"/>
            <w:vMerge/>
            <w:tcBorders>
              <w:top w:val="nil"/>
              <w:left w:val="single" w:sz="4" w:space="0" w:color="000000"/>
              <w:bottom w:val="single" w:sz="4" w:space="0" w:color="000000"/>
              <w:right w:val="single" w:sz="4" w:space="0" w:color="000000"/>
            </w:tcBorders>
            <w:vAlign w:val="center"/>
          </w:tcPr>
          <w:p w:rsidR="002E5C93" w:rsidRDefault="002E5C93">
            <w:pPr>
              <w:widowControl/>
              <w:jc w:val="left"/>
              <w:rPr>
                <w:rFonts w:ascii="宋体" w:hAnsi="宋体" w:cs="宋体"/>
                <w:color w:val="000000"/>
                <w:kern w:val="0"/>
                <w:sz w:val="18"/>
                <w:szCs w:val="18"/>
              </w:rPr>
            </w:pPr>
          </w:p>
        </w:tc>
        <w:tc>
          <w:tcPr>
            <w:tcW w:w="1793"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74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经济成本指标</w:t>
            </w:r>
          </w:p>
        </w:tc>
        <w:tc>
          <w:tcPr>
            <w:tcW w:w="290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安家补助成本及工作补助费用</w:t>
            </w:r>
          </w:p>
        </w:tc>
        <w:tc>
          <w:tcPr>
            <w:tcW w:w="488"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w:t>
            </w:r>
          </w:p>
        </w:tc>
        <w:tc>
          <w:tcPr>
            <w:tcW w:w="1439"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16.6</w:t>
            </w:r>
          </w:p>
        </w:tc>
        <w:tc>
          <w:tcPr>
            <w:tcW w:w="83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万元</w:t>
            </w:r>
          </w:p>
        </w:tc>
        <w:tc>
          <w:tcPr>
            <w:tcW w:w="99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16.6</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576" w:type="dxa"/>
            <w:tcBorders>
              <w:top w:val="nil"/>
              <w:left w:val="nil"/>
              <w:bottom w:val="single" w:sz="4" w:space="0" w:color="auto"/>
              <w:right w:val="single" w:sz="4" w:space="0" w:color="auto"/>
            </w:tcBorders>
            <w:shd w:val="clear" w:color="auto" w:fill="auto"/>
            <w:noWrap/>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10804"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6"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2204" w:type="dxa"/>
            <w:tcBorders>
              <w:top w:val="nil"/>
              <w:left w:val="nil"/>
              <w:bottom w:val="single" w:sz="4" w:space="0" w:color="000000"/>
              <w:right w:val="single" w:sz="4" w:space="0" w:color="000000"/>
            </w:tcBorders>
            <w:shd w:val="clear" w:color="auto" w:fill="auto"/>
            <w:vAlign w:val="center"/>
          </w:tcPr>
          <w:p w:rsidR="002E5C93" w:rsidRDefault="00404FBC">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0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评价结论</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引进人才安家费补助及7-12月工作补助16.6万元，根据(广人社函〔2022〕435号、广人社函〔2022〕453号、广人社函〔2022〕477号)文件，已按时按要求按时发放到位。自评得分100分。</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57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存在问题</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634"/>
        </w:trPr>
        <w:tc>
          <w:tcPr>
            <w:tcW w:w="598" w:type="dxa"/>
            <w:tcBorders>
              <w:top w:val="nil"/>
              <w:left w:val="single" w:sz="4" w:space="0" w:color="000000"/>
              <w:bottom w:val="single" w:sz="4" w:space="0" w:color="000000"/>
              <w:right w:val="single" w:sz="4" w:space="0" w:color="000000"/>
            </w:tcBorders>
            <w:shd w:val="clear" w:color="auto" w:fill="auto"/>
            <w:vAlign w:val="center"/>
          </w:tcPr>
          <w:p w:rsidR="002E5C93" w:rsidRDefault="00404FBC">
            <w:pPr>
              <w:widowControl/>
              <w:jc w:val="center"/>
              <w:rPr>
                <w:rFonts w:ascii="宋体" w:hAnsi="宋体" w:cs="宋体"/>
                <w:color w:val="000000"/>
                <w:kern w:val="0"/>
                <w:sz w:val="18"/>
                <w:szCs w:val="18"/>
              </w:rPr>
            </w:pPr>
            <w:r>
              <w:rPr>
                <w:rFonts w:ascii="宋体" w:hAnsi="宋体" w:cs="宋体" w:hint="eastAsia"/>
                <w:color w:val="000000"/>
                <w:kern w:val="0"/>
                <w:sz w:val="18"/>
                <w:szCs w:val="18"/>
              </w:rPr>
              <w:t>改进措施</w:t>
            </w:r>
          </w:p>
        </w:tc>
        <w:tc>
          <w:tcPr>
            <w:tcW w:w="13562" w:type="dxa"/>
            <w:gridSpan w:val="10"/>
            <w:tcBorders>
              <w:top w:val="single" w:sz="4" w:space="0" w:color="000000"/>
              <w:left w:val="nil"/>
              <w:bottom w:val="single" w:sz="4" w:space="0" w:color="000000"/>
              <w:right w:val="single" w:sz="4" w:space="0" w:color="000000"/>
            </w:tcBorders>
            <w:shd w:val="clear" w:color="auto" w:fill="auto"/>
            <w:vAlign w:val="center"/>
          </w:tcPr>
          <w:p w:rsidR="002E5C93" w:rsidRDefault="00404FBC">
            <w:pPr>
              <w:widowControl/>
              <w:jc w:val="left"/>
              <w:rPr>
                <w:rFonts w:ascii="微软雅黑" w:eastAsia="微软雅黑" w:hAnsi="微软雅黑" w:cs="宋体"/>
                <w:i/>
                <w:iCs/>
                <w:color w:val="000000"/>
                <w:kern w:val="0"/>
                <w:sz w:val="16"/>
                <w:szCs w:val="16"/>
              </w:rPr>
            </w:pPr>
            <w:r>
              <w:rPr>
                <w:rFonts w:ascii="微软雅黑" w:eastAsia="微软雅黑" w:hAnsi="微软雅黑" w:cs="宋体" w:hint="eastAsia"/>
                <w:i/>
                <w:iCs/>
                <w:color w:val="000000"/>
                <w:kern w:val="0"/>
                <w:sz w:val="16"/>
                <w:szCs w:val="16"/>
              </w:rPr>
              <w:t>无</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753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项目负责人：</w:t>
            </w:r>
            <w:r w:rsidR="00F61B10">
              <w:rPr>
                <w:rFonts w:ascii="Courier New" w:hAnsi="Courier New" w:cs="Courier New"/>
                <w:color w:val="000000"/>
                <w:kern w:val="0"/>
                <w:sz w:val="18"/>
                <w:szCs w:val="18"/>
              </w:rPr>
              <w:t xml:space="preserve"> </w:t>
            </w:r>
          </w:p>
        </w:tc>
        <w:tc>
          <w:tcPr>
            <w:tcW w:w="6627" w:type="dxa"/>
            <w:gridSpan w:val="6"/>
            <w:tcBorders>
              <w:top w:val="single" w:sz="4" w:space="0" w:color="000000"/>
              <w:left w:val="nil"/>
              <w:bottom w:val="single" w:sz="4" w:space="0" w:color="000000"/>
              <w:right w:val="single" w:sz="4" w:space="0" w:color="000000"/>
            </w:tcBorders>
            <w:shd w:val="clear" w:color="auto" w:fill="auto"/>
            <w:vAlign w:val="center"/>
          </w:tcPr>
          <w:p w:rsidR="002E5C93" w:rsidRDefault="00404FBC" w:rsidP="00F61B10">
            <w:pPr>
              <w:widowControl/>
              <w:jc w:val="left"/>
              <w:rPr>
                <w:rFonts w:ascii="Courier New" w:hAnsi="Courier New" w:cs="Courier New"/>
                <w:color w:val="000000"/>
                <w:kern w:val="0"/>
                <w:sz w:val="18"/>
                <w:szCs w:val="18"/>
              </w:rPr>
            </w:pPr>
            <w:r>
              <w:rPr>
                <w:rFonts w:ascii="Courier New" w:hAnsi="Courier New" w:cs="Courier New"/>
                <w:color w:val="000000"/>
                <w:kern w:val="0"/>
                <w:sz w:val="18"/>
                <w:szCs w:val="18"/>
              </w:rPr>
              <w:t>财务负责人：</w:t>
            </w:r>
            <w:r w:rsidR="00F61B10">
              <w:rPr>
                <w:rFonts w:ascii="Courier New" w:hAnsi="Courier New" w:cs="Courier New"/>
                <w:color w:val="000000"/>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r w:rsidR="002E5C93">
        <w:trPr>
          <w:gridAfter w:val="7"/>
          <w:wAfter w:w="2880" w:type="dxa"/>
          <w:trHeight w:val="285"/>
        </w:trPr>
        <w:tc>
          <w:tcPr>
            <w:tcW w:w="59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93"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74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90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488"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439"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83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99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576"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2204" w:type="dxa"/>
            <w:tcBorders>
              <w:top w:val="nil"/>
              <w:left w:val="nil"/>
              <w:bottom w:val="nil"/>
              <w:right w:val="nil"/>
            </w:tcBorders>
            <w:shd w:val="clear" w:color="auto" w:fill="auto"/>
            <w:vAlign w:val="center"/>
          </w:tcPr>
          <w:p w:rsidR="002E5C93" w:rsidRDefault="00404FBC">
            <w:pPr>
              <w:widowControl/>
              <w:jc w:val="left"/>
              <w:rPr>
                <w:rFonts w:ascii="宋体" w:hAnsi="宋体" w:cs="宋体"/>
                <w:kern w:val="0"/>
                <w:sz w:val="18"/>
                <w:szCs w:val="18"/>
              </w:rPr>
            </w:pPr>
            <w:r>
              <w:rPr>
                <w:rFonts w:ascii="宋体" w:hAnsi="宋体" w:cs="宋体" w:hint="eastAsia"/>
                <w:kern w:val="0"/>
                <w:sz w:val="18"/>
                <w:szCs w:val="18"/>
              </w:rPr>
              <w:t xml:space="preserve">　</w:t>
            </w:r>
          </w:p>
        </w:tc>
        <w:tc>
          <w:tcPr>
            <w:tcW w:w="1180" w:type="dxa"/>
            <w:tcBorders>
              <w:top w:val="nil"/>
              <w:left w:val="nil"/>
              <w:bottom w:val="nil"/>
              <w:right w:val="nil"/>
            </w:tcBorders>
            <w:shd w:val="clear" w:color="auto" w:fill="auto"/>
            <w:noWrap/>
            <w:vAlign w:val="center"/>
          </w:tcPr>
          <w:p w:rsidR="002E5C93" w:rsidRDefault="002E5C93">
            <w:pPr>
              <w:widowControl/>
              <w:jc w:val="left"/>
              <w:rPr>
                <w:rFonts w:ascii="宋体" w:hAnsi="宋体" w:cs="宋体"/>
                <w:color w:val="000000"/>
                <w:kern w:val="0"/>
                <w:sz w:val="22"/>
                <w:szCs w:val="22"/>
              </w:rPr>
            </w:pPr>
          </w:p>
        </w:tc>
      </w:tr>
    </w:tbl>
    <w:p w:rsidR="002E5C93" w:rsidRDefault="002E5C93">
      <w:pPr>
        <w:pStyle w:val="a0"/>
        <w:spacing w:before="93"/>
        <w:sectPr w:rsidR="002E5C93">
          <w:pgSz w:w="16838" w:h="11906" w:orient="landscape"/>
          <w:pgMar w:top="1797" w:right="1440" w:bottom="1797" w:left="1440" w:header="851" w:footer="992" w:gutter="0"/>
          <w:cols w:space="425"/>
          <w:titlePg/>
          <w:docGrid w:type="linesAndChars" w:linePitch="312"/>
        </w:sectPr>
      </w:pPr>
    </w:p>
    <w:p w:rsidR="002E5C93" w:rsidRDefault="00404FBC">
      <w:pPr>
        <w:spacing w:line="600" w:lineRule="exact"/>
        <w:jc w:val="center"/>
        <w:outlineLvl w:val="0"/>
        <w:rPr>
          <w:rStyle w:val="1Char"/>
          <w:rFonts w:ascii="黑体" w:eastAsia="黑体" w:hAnsi="黑体"/>
          <w:b w:val="0"/>
        </w:rPr>
      </w:pPr>
      <w:r>
        <w:rPr>
          <w:rFonts w:ascii="黑体" w:eastAsia="黑体" w:hAnsi="黑体" w:hint="eastAsia"/>
          <w:sz w:val="44"/>
          <w:szCs w:val="44"/>
        </w:rPr>
        <w:lastRenderedPageBreak/>
        <w:t>第</w:t>
      </w:r>
      <w:r>
        <w:rPr>
          <w:rStyle w:val="1Char"/>
          <w:rFonts w:ascii="黑体" w:eastAsia="黑体" w:hAnsi="黑体" w:hint="eastAsia"/>
          <w:b w:val="0"/>
        </w:rPr>
        <w:t>五部分 附表</w:t>
      </w:r>
      <w:bookmarkStart w:id="54" w:name="_Toc15396619"/>
      <w:bookmarkEnd w:id="52"/>
      <w:bookmarkEnd w:id="53"/>
    </w:p>
    <w:p w:rsidR="002E5C93" w:rsidRDefault="002E5C93">
      <w:pPr>
        <w:spacing w:line="600" w:lineRule="exact"/>
        <w:outlineLvl w:val="0"/>
        <w:rPr>
          <w:rStyle w:val="1Char"/>
          <w:rFonts w:ascii="黑体" w:eastAsia="黑体" w:hAnsi="黑体"/>
          <w:b w:val="0"/>
        </w:rPr>
      </w:pPr>
    </w:p>
    <w:p w:rsidR="002E5C93" w:rsidRDefault="00404FBC">
      <w:pPr>
        <w:adjustRightInd w:val="0"/>
        <w:snapToGrid w:val="0"/>
        <w:spacing w:line="600" w:lineRule="exact"/>
        <w:outlineLvl w:val="0"/>
        <w:rPr>
          <w:rFonts w:ascii="楷体_GB2312" w:eastAsia="楷体_GB2312" w:hAnsi="仿宋"/>
          <w:sz w:val="32"/>
          <w:szCs w:val="32"/>
        </w:rPr>
      </w:pPr>
      <w:r>
        <w:rPr>
          <w:rFonts w:ascii="楷体_GB2312" w:eastAsia="楷体_GB2312" w:hAnsi="仿宋" w:hint="eastAsia"/>
          <w:sz w:val="32"/>
          <w:szCs w:val="32"/>
        </w:rPr>
        <w:t>一、收</w:t>
      </w:r>
      <w:r>
        <w:rPr>
          <w:rStyle w:val="2Char"/>
          <w:rFonts w:ascii="楷体_GB2312" w:eastAsia="楷体_GB2312" w:hAnsi="仿宋" w:hint="eastAsia"/>
          <w:b w:val="0"/>
        </w:rPr>
        <w:t>入支出决算总表</w:t>
      </w:r>
      <w:bookmarkEnd w:id="54"/>
    </w:p>
    <w:p w:rsidR="002E5C93" w:rsidRDefault="00404FBC">
      <w:pPr>
        <w:pStyle w:val="2"/>
        <w:keepNext w:val="0"/>
        <w:keepLines w:val="0"/>
        <w:adjustRightInd w:val="0"/>
        <w:snapToGrid w:val="0"/>
        <w:spacing w:before="0" w:after="0" w:line="600" w:lineRule="exact"/>
        <w:rPr>
          <w:rFonts w:ascii="楷体_GB2312" w:eastAsia="楷体_GB2312" w:hAnsi="仿宋"/>
        </w:rPr>
      </w:pPr>
      <w:bookmarkStart w:id="55" w:name="_Toc15396620"/>
      <w:r>
        <w:rPr>
          <w:rFonts w:ascii="楷体_GB2312" w:eastAsia="楷体_GB2312" w:hAnsi="仿宋" w:hint="eastAsia"/>
          <w:b w:val="0"/>
        </w:rPr>
        <w:t>二、收</w:t>
      </w:r>
      <w:r>
        <w:rPr>
          <w:rStyle w:val="2Char"/>
          <w:rFonts w:ascii="楷体_GB2312" w:eastAsia="楷体_GB2312" w:hAnsi="仿宋" w:hint="eastAsia"/>
        </w:rPr>
        <w:t>入决算表</w:t>
      </w:r>
      <w:bookmarkEnd w:id="55"/>
    </w:p>
    <w:p w:rsidR="002E5C93" w:rsidRDefault="00404FBC">
      <w:pPr>
        <w:pStyle w:val="2"/>
        <w:keepNext w:val="0"/>
        <w:keepLines w:val="0"/>
        <w:adjustRightInd w:val="0"/>
        <w:snapToGrid w:val="0"/>
        <w:spacing w:before="0" w:after="0" w:line="600" w:lineRule="exact"/>
        <w:rPr>
          <w:rFonts w:ascii="楷体_GB2312" w:eastAsia="楷体_GB2312" w:hAnsi="仿宋"/>
        </w:rPr>
      </w:pPr>
      <w:bookmarkStart w:id="56" w:name="_Toc15396621"/>
      <w:r>
        <w:rPr>
          <w:rStyle w:val="2Char"/>
          <w:rFonts w:ascii="楷体_GB2312" w:eastAsia="楷体_GB2312" w:hAnsi="仿宋" w:hint="eastAsia"/>
        </w:rPr>
        <w:t>三、</w:t>
      </w:r>
      <w:r>
        <w:rPr>
          <w:rFonts w:ascii="楷体_GB2312" w:eastAsia="楷体_GB2312" w:hAnsi="仿宋" w:hint="eastAsia"/>
          <w:b w:val="0"/>
        </w:rPr>
        <w:t>支</w:t>
      </w:r>
      <w:r>
        <w:rPr>
          <w:rStyle w:val="2Char"/>
          <w:rFonts w:ascii="楷体_GB2312" w:eastAsia="楷体_GB2312" w:hAnsi="仿宋" w:hint="eastAsia"/>
        </w:rPr>
        <w:t>出决算表</w:t>
      </w:r>
      <w:bookmarkEnd w:id="56"/>
    </w:p>
    <w:p w:rsidR="002E5C93" w:rsidRDefault="00404FBC">
      <w:pPr>
        <w:pStyle w:val="2"/>
        <w:keepNext w:val="0"/>
        <w:keepLines w:val="0"/>
        <w:adjustRightInd w:val="0"/>
        <w:snapToGrid w:val="0"/>
        <w:spacing w:before="0" w:after="0" w:line="600" w:lineRule="exact"/>
        <w:rPr>
          <w:rFonts w:ascii="楷体_GB2312" w:eastAsia="楷体_GB2312" w:hAnsi="仿宋"/>
          <w:b w:val="0"/>
        </w:rPr>
      </w:pPr>
      <w:bookmarkStart w:id="57" w:name="_Toc15396622"/>
      <w:r>
        <w:rPr>
          <w:rStyle w:val="2Char"/>
          <w:rFonts w:ascii="楷体_GB2312" w:eastAsia="楷体_GB2312" w:hAnsi="仿宋" w:hint="eastAsia"/>
        </w:rPr>
        <w:t>四、</w:t>
      </w:r>
      <w:r>
        <w:rPr>
          <w:rFonts w:ascii="楷体_GB2312" w:eastAsia="楷体_GB2312" w:hAnsi="仿宋" w:hint="eastAsia"/>
          <w:b w:val="0"/>
        </w:rPr>
        <w:t>财</w:t>
      </w:r>
      <w:r>
        <w:rPr>
          <w:rStyle w:val="2Char"/>
          <w:rFonts w:ascii="楷体_GB2312" w:eastAsia="楷体_GB2312" w:hAnsi="仿宋" w:hint="eastAsia"/>
        </w:rPr>
        <w:t>政拨款收入支出决算总表</w:t>
      </w:r>
      <w:bookmarkEnd w:id="57"/>
    </w:p>
    <w:p w:rsidR="002E5C93" w:rsidRDefault="00404FBC">
      <w:pPr>
        <w:pStyle w:val="2"/>
        <w:keepNext w:val="0"/>
        <w:keepLines w:val="0"/>
        <w:adjustRightInd w:val="0"/>
        <w:snapToGrid w:val="0"/>
        <w:spacing w:before="0" w:after="0" w:line="600" w:lineRule="exact"/>
        <w:rPr>
          <w:rStyle w:val="2Char"/>
          <w:rFonts w:ascii="楷体_GB2312" w:eastAsia="楷体_GB2312" w:hAnsi="仿宋"/>
        </w:rPr>
      </w:pPr>
      <w:bookmarkStart w:id="58" w:name="_Toc15396623"/>
      <w:r>
        <w:rPr>
          <w:rStyle w:val="2Char"/>
          <w:rFonts w:ascii="楷体_GB2312" w:eastAsia="楷体_GB2312" w:hAnsi="仿宋" w:hint="eastAsia"/>
        </w:rPr>
        <w:t>五、</w:t>
      </w:r>
      <w:r>
        <w:rPr>
          <w:rFonts w:ascii="楷体_GB2312" w:eastAsia="楷体_GB2312" w:hAnsi="仿宋" w:hint="eastAsia"/>
          <w:b w:val="0"/>
        </w:rPr>
        <w:t>财</w:t>
      </w:r>
      <w:r>
        <w:rPr>
          <w:rStyle w:val="2Char"/>
          <w:rFonts w:ascii="楷体_GB2312" w:eastAsia="楷体_GB2312" w:hAnsi="仿宋" w:hint="eastAsia"/>
        </w:rPr>
        <w:t>政拨款支出决算明细表</w:t>
      </w:r>
      <w:bookmarkStart w:id="59" w:name="_Toc15396624"/>
      <w:bookmarkEnd w:id="58"/>
    </w:p>
    <w:p w:rsidR="002E5C93" w:rsidRDefault="00404FBC">
      <w:pPr>
        <w:pStyle w:val="2"/>
        <w:keepNext w:val="0"/>
        <w:keepLines w:val="0"/>
        <w:adjustRightInd w:val="0"/>
        <w:snapToGrid w:val="0"/>
        <w:spacing w:before="0" w:after="0" w:line="600" w:lineRule="exact"/>
        <w:rPr>
          <w:rFonts w:ascii="楷体_GB2312" w:eastAsia="楷体_GB2312" w:hAnsi="仿宋"/>
        </w:rPr>
      </w:pPr>
      <w:r>
        <w:rPr>
          <w:rStyle w:val="2Char"/>
          <w:rFonts w:ascii="楷体_GB2312" w:eastAsia="楷体_GB2312" w:hAnsi="仿宋" w:hint="eastAsia"/>
        </w:rPr>
        <w:t>六、</w:t>
      </w:r>
      <w:r>
        <w:rPr>
          <w:rFonts w:ascii="楷体_GB2312" w:eastAsia="楷体_GB2312" w:hAnsi="仿宋" w:hint="eastAsia"/>
          <w:b w:val="0"/>
        </w:rPr>
        <w:t>一</w:t>
      </w:r>
      <w:r>
        <w:rPr>
          <w:rStyle w:val="2Char"/>
          <w:rFonts w:ascii="楷体_GB2312" w:eastAsia="楷体_GB2312" w:hAnsi="仿宋" w:hint="eastAsia"/>
        </w:rPr>
        <w:t>般公共预算财政拨款支出决算表</w:t>
      </w:r>
      <w:bookmarkEnd w:id="59"/>
    </w:p>
    <w:p w:rsidR="002E5C93" w:rsidRDefault="00404FBC">
      <w:pPr>
        <w:pStyle w:val="2"/>
        <w:keepNext w:val="0"/>
        <w:keepLines w:val="0"/>
        <w:adjustRightInd w:val="0"/>
        <w:snapToGrid w:val="0"/>
        <w:spacing w:before="0" w:after="0" w:line="600" w:lineRule="exact"/>
        <w:rPr>
          <w:rFonts w:ascii="楷体_GB2312" w:eastAsia="楷体_GB2312" w:hAnsi="仿宋"/>
        </w:rPr>
      </w:pPr>
      <w:bookmarkStart w:id="60" w:name="_Toc15396625"/>
      <w:r>
        <w:rPr>
          <w:rStyle w:val="2Char"/>
          <w:rFonts w:ascii="楷体_GB2312" w:eastAsia="楷体_GB2312" w:hAnsi="仿宋" w:hint="eastAsia"/>
        </w:rPr>
        <w:t>七、</w:t>
      </w:r>
      <w:r>
        <w:rPr>
          <w:rFonts w:ascii="楷体_GB2312" w:eastAsia="楷体_GB2312" w:hAnsi="仿宋" w:hint="eastAsia"/>
          <w:b w:val="0"/>
        </w:rPr>
        <w:t>一</w:t>
      </w:r>
      <w:r>
        <w:rPr>
          <w:rStyle w:val="2Char"/>
          <w:rFonts w:ascii="楷体_GB2312" w:eastAsia="楷体_GB2312" w:hAnsi="仿宋" w:hint="eastAsia"/>
        </w:rPr>
        <w:t>般公共预算财政拨款支出决算明细表</w:t>
      </w:r>
      <w:bookmarkEnd w:id="60"/>
    </w:p>
    <w:p w:rsidR="002E5C93" w:rsidRDefault="00404FBC">
      <w:pPr>
        <w:pStyle w:val="2"/>
        <w:keepNext w:val="0"/>
        <w:keepLines w:val="0"/>
        <w:adjustRightInd w:val="0"/>
        <w:snapToGrid w:val="0"/>
        <w:spacing w:before="0" w:after="0" w:line="600" w:lineRule="exact"/>
        <w:rPr>
          <w:rFonts w:ascii="楷体_GB2312" w:eastAsia="楷体_GB2312" w:hAnsi="仿宋"/>
        </w:rPr>
      </w:pPr>
      <w:bookmarkStart w:id="61" w:name="_Toc15396626"/>
      <w:r>
        <w:rPr>
          <w:rStyle w:val="2Char"/>
          <w:rFonts w:ascii="楷体_GB2312" w:eastAsia="楷体_GB2312" w:hAnsi="仿宋" w:hint="eastAsia"/>
        </w:rPr>
        <w:t>八、</w:t>
      </w:r>
      <w:r>
        <w:rPr>
          <w:rFonts w:ascii="楷体_GB2312" w:eastAsia="楷体_GB2312" w:hAnsi="仿宋" w:hint="eastAsia"/>
          <w:b w:val="0"/>
        </w:rPr>
        <w:t>一</w:t>
      </w:r>
      <w:r>
        <w:rPr>
          <w:rStyle w:val="2Char"/>
          <w:rFonts w:ascii="楷体_GB2312" w:eastAsia="楷体_GB2312" w:hAnsi="仿宋" w:hint="eastAsia"/>
        </w:rPr>
        <w:t>般公共预算财政拨款基本支出决算表</w:t>
      </w:r>
      <w:bookmarkEnd w:id="61"/>
    </w:p>
    <w:p w:rsidR="002E5C93" w:rsidRDefault="00404FBC">
      <w:pPr>
        <w:pStyle w:val="2"/>
        <w:keepNext w:val="0"/>
        <w:keepLines w:val="0"/>
        <w:adjustRightInd w:val="0"/>
        <w:snapToGrid w:val="0"/>
        <w:spacing w:before="0" w:after="0" w:line="600" w:lineRule="exact"/>
        <w:rPr>
          <w:rFonts w:ascii="楷体_GB2312" w:eastAsia="楷体_GB2312" w:hAnsi="仿宋"/>
        </w:rPr>
      </w:pPr>
      <w:bookmarkStart w:id="62" w:name="_Toc15396627"/>
      <w:r>
        <w:rPr>
          <w:rStyle w:val="2Char"/>
          <w:rFonts w:ascii="楷体_GB2312" w:eastAsia="楷体_GB2312" w:hAnsi="仿宋" w:hint="eastAsia"/>
        </w:rPr>
        <w:t>九、</w:t>
      </w:r>
      <w:r>
        <w:rPr>
          <w:rFonts w:ascii="楷体_GB2312" w:eastAsia="楷体_GB2312" w:hAnsi="仿宋" w:hint="eastAsia"/>
          <w:b w:val="0"/>
        </w:rPr>
        <w:t>一</w:t>
      </w:r>
      <w:r>
        <w:rPr>
          <w:rStyle w:val="2Char"/>
          <w:rFonts w:ascii="楷体_GB2312" w:eastAsia="楷体_GB2312" w:hAnsi="仿宋" w:hint="eastAsia"/>
        </w:rPr>
        <w:t>般公共预算财政拨款项目支出决算表</w:t>
      </w:r>
      <w:bookmarkEnd w:id="62"/>
    </w:p>
    <w:p w:rsidR="002E5C93" w:rsidRDefault="00404FBC">
      <w:pPr>
        <w:pStyle w:val="2"/>
        <w:keepNext w:val="0"/>
        <w:keepLines w:val="0"/>
        <w:adjustRightInd w:val="0"/>
        <w:snapToGrid w:val="0"/>
        <w:spacing w:before="0" w:after="0" w:line="600" w:lineRule="exact"/>
        <w:rPr>
          <w:rFonts w:ascii="楷体_GB2312" w:eastAsia="楷体_GB2312" w:hAnsi="仿宋"/>
        </w:rPr>
      </w:pPr>
      <w:bookmarkStart w:id="63" w:name="_Toc15396628"/>
      <w:r>
        <w:rPr>
          <w:rStyle w:val="2Char"/>
          <w:rFonts w:ascii="楷体_GB2312" w:eastAsia="楷体_GB2312" w:hAnsi="仿宋" w:hint="eastAsia"/>
        </w:rPr>
        <w:t>十、</w:t>
      </w:r>
      <w:bookmarkEnd w:id="63"/>
      <w:r>
        <w:rPr>
          <w:rFonts w:ascii="楷体_GB2312" w:eastAsia="楷体_GB2312" w:hAnsi="仿宋" w:hint="eastAsia"/>
          <w:b w:val="0"/>
        </w:rPr>
        <w:t>政</w:t>
      </w:r>
      <w:r>
        <w:rPr>
          <w:rStyle w:val="2Char"/>
          <w:rFonts w:ascii="楷体_GB2312" w:eastAsia="楷体_GB2312" w:hAnsi="仿宋" w:hint="eastAsia"/>
        </w:rPr>
        <w:t>府性基金预算财政拨款收入支出决算表</w:t>
      </w:r>
    </w:p>
    <w:p w:rsidR="002E5C93" w:rsidRDefault="00404FBC">
      <w:pPr>
        <w:pStyle w:val="2"/>
        <w:keepNext w:val="0"/>
        <w:keepLines w:val="0"/>
        <w:adjustRightInd w:val="0"/>
        <w:snapToGrid w:val="0"/>
        <w:spacing w:before="0" w:after="0" w:line="600" w:lineRule="exact"/>
        <w:rPr>
          <w:rFonts w:ascii="楷体_GB2312" w:eastAsia="楷体_GB2312" w:hAnsi="仿宋"/>
        </w:rPr>
      </w:pPr>
      <w:bookmarkStart w:id="64" w:name="_Toc15396629"/>
      <w:r>
        <w:rPr>
          <w:rStyle w:val="2Char"/>
          <w:rFonts w:ascii="楷体_GB2312" w:eastAsia="楷体_GB2312" w:hAnsi="仿宋" w:hint="eastAsia"/>
        </w:rPr>
        <w:t>十一、</w:t>
      </w:r>
      <w:bookmarkEnd w:id="64"/>
      <w:r>
        <w:rPr>
          <w:rFonts w:ascii="楷体_GB2312" w:eastAsia="楷体_GB2312" w:hAnsi="仿宋" w:hint="eastAsia"/>
          <w:b w:val="0"/>
        </w:rPr>
        <w:t>国</w:t>
      </w:r>
      <w:r>
        <w:rPr>
          <w:rStyle w:val="2Char"/>
          <w:rFonts w:ascii="楷体_GB2312" w:eastAsia="楷体_GB2312" w:hAnsi="仿宋" w:hint="eastAsia"/>
        </w:rPr>
        <w:t>有资本经营预算财政拨款收入支出决算表</w:t>
      </w:r>
    </w:p>
    <w:p w:rsidR="002E5C93" w:rsidRDefault="00404FBC">
      <w:pPr>
        <w:pStyle w:val="2"/>
        <w:keepNext w:val="0"/>
        <w:keepLines w:val="0"/>
        <w:adjustRightInd w:val="0"/>
        <w:snapToGrid w:val="0"/>
        <w:spacing w:before="0" w:after="0" w:line="600" w:lineRule="exact"/>
        <w:rPr>
          <w:rFonts w:ascii="楷体_GB2312" w:eastAsia="楷体_GB2312" w:hAnsi="仿宋"/>
        </w:rPr>
      </w:pPr>
      <w:bookmarkStart w:id="65" w:name="_Toc15396630"/>
      <w:r>
        <w:rPr>
          <w:rStyle w:val="2Char"/>
          <w:rFonts w:ascii="楷体_GB2312" w:eastAsia="楷体_GB2312" w:hAnsi="仿宋" w:hint="eastAsia"/>
        </w:rPr>
        <w:t>十二、</w:t>
      </w:r>
      <w:bookmarkEnd w:id="65"/>
      <w:r>
        <w:rPr>
          <w:rStyle w:val="2Char"/>
          <w:rFonts w:ascii="楷体_GB2312" w:eastAsia="楷体_GB2312" w:hAnsi="仿宋" w:hint="eastAsia"/>
        </w:rPr>
        <w:t>国有资本经营预算财政拨款支出决算表</w:t>
      </w:r>
    </w:p>
    <w:p w:rsidR="002E5C93" w:rsidRDefault="00404FBC">
      <w:pPr>
        <w:pStyle w:val="2"/>
        <w:keepNext w:val="0"/>
        <w:keepLines w:val="0"/>
        <w:adjustRightInd w:val="0"/>
        <w:snapToGrid w:val="0"/>
        <w:spacing w:before="0" w:after="0" w:line="600" w:lineRule="exact"/>
        <w:rPr>
          <w:rFonts w:ascii="楷体_GB2312" w:eastAsia="楷体_GB2312"/>
        </w:rPr>
      </w:pPr>
      <w:bookmarkStart w:id="66" w:name="_Toc15396631"/>
      <w:r>
        <w:rPr>
          <w:rStyle w:val="2Char"/>
          <w:rFonts w:ascii="楷体_GB2312" w:eastAsia="楷体_GB2312" w:hAnsi="仿宋" w:hint="eastAsia"/>
        </w:rPr>
        <w:t>十三、</w:t>
      </w:r>
      <w:bookmarkEnd w:id="66"/>
      <w:r>
        <w:rPr>
          <w:rStyle w:val="2Char"/>
          <w:rFonts w:ascii="楷体_GB2312" w:eastAsia="楷体_GB2312" w:hAnsi="仿宋" w:hint="eastAsia"/>
        </w:rPr>
        <w:t>财政拨款“三公”经费支出决算表</w:t>
      </w:r>
    </w:p>
    <w:sectPr w:rsidR="002E5C93" w:rsidSect="002E5C93">
      <w:pgSz w:w="11906" w:h="16838"/>
      <w:pgMar w:top="1440" w:right="1797" w:bottom="1440" w:left="1797"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272" w:rsidRDefault="00323272" w:rsidP="002E5C93">
      <w:r>
        <w:separator/>
      </w:r>
    </w:p>
  </w:endnote>
  <w:endnote w:type="continuationSeparator" w:id="1">
    <w:p w:rsidR="00323272" w:rsidRDefault="00323272" w:rsidP="002E5C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w:panose1 w:val="02010609030101010101"/>
    <w:charset w:val="86"/>
    <w:family w:val="modern"/>
    <w:pitch w:val="fixed"/>
    <w:sig w:usb0="00000001" w:usb1="080E0000" w:usb2="00000010" w:usb3="00000000" w:csb0="00040000" w:csb1="00000000"/>
  </w:font>
  <w:font w:name="仿宋">
    <w:altName w:val="Arial"/>
    <w:panose1 w:val="02010609060101010101"/>
    <w:charset w:val="86"/>
    <w:family w:val="modern"/>
    <w:pitch w:val="fixed"/>
    <w:sig w:usb0="800002BF" w:usb1="38CF7CFA" w:usb2="00000016" w:usb3="00000000" w:csb0="00040001" w:csb1="00000000"/>
  </w:font>
  <w:font w:name="??">
    <w:altName w:val="Times New Roman"/>
    <w:charset w:val="00"/>
    <w:family w:val="roma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微软雅黑">
    <w:altName w:val="汉仪旗黑KW 55S"/>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汉仪楷体KW"/>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
    </w:sdtPr>
    <w:sdtContent>
      <w:p w:rsidR="002E5C93" w:rsidRDefault="00B76873">
        <w:pPr>
          <w:pStyle w:val="a6"/>
          <w:jc w:val="center"/>
        </w:pPr>
        <w:r w:rsidRPr="00B76873">
          <w:fldChar w:fldCharType="begin"/>
        </w:r>
        <w:r w:rsidR="00404FBC">
          <w:instrText>PAGE   \* MERGEFORMAT</w:instrText>
        </w:r>
        <w:r w:rsidRPr="00B76873">
          <w:fldChar w:fldCharType="separate"/>
        </w:r>
        <w:r w:rsidR="00F61B10" w:rsidRPr="00F61B10">
          <w:rPr>
            <w:noProof/>
            <w:lang w:val="zh-CN"/>
          </w:rPr>
          <w:t>2</w:t>
        </w:r>
        <w:r>
          <w:rPr>
            <w:lang w:val="zh-CN"/>
          </w:rPr>
          <w:fldChar w:fldCharType="end"/>
        </w:r>
      </w:p>
    </w:sdtContent>
  </w:sdt>
  <w:p w:rsidR="002E5C93" w:rsidRDefault="002E5C9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479455"/>
      <w:docPartObj>
        <w:docPartGallery w:val="AutoText"/>
      </w:docPartObj>
    </w:sdtPr>
    <w:sdtContent>
      <w:p w:rsidR="002E5C93" w:rsidRDefault="00B76873">
        <w:pPr>
          <w:pStyle w:val="a6"/>
          <w:jc w:val="center"/>
        </w:pPr>
        <w:r w:rsidRPr="00B76873">
          <w:fldChar w:fldCharType="begin"/>
        </w:r>
        <w:r w:rsidR="00404FBC">
          <w:instrText xml:space="preserve"> PAGE   \* MERGEFORMAT </w:instrText>
        </w:r>
        <w:r w:rsidRPr="00B76873">
          <w:fldChar w:fldCharType="separate"/>
        </w:r>
        <w:r w:rsidR="00F61B10" w:rsidRPr="00F61B10">
          <w:rPr>
            <w:noProof/>
            <w:lang w:val="zh-CN"/>
          </w:rPr>
          <w:t>1</w:t>
        </w:r>
        <w:r>
          <w:rPr>
            <w:lang w:val="zh-CN"/>
          </w:rPr>
          <w:fldChar w:fldCharType="end"/>
        </w:r>
      </w:p>
    </w:sdtContent>
  </w:sdt>
  <w:p w:rsidR="002E5C93" w:rsidRDefault="002E5C9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272" w:rsidRDefault="00323272" w:rsidP="002E5C93">
      <w:r>
        <w:separator/>
      </w:r>
    </w:p>
  </w:footnote>
  <w:footnote w:type="continuationSeparator" w:id="1">
    <w:p w:rsidR="00323272" w:rsidRDefault="00323272" w:rsidP="002E5C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5C93" w:rsidRDefault="002E5C93">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83899AD"/>
    <w:multiLevelType w:val="singleLevel"/>
    <w:tmpl w:val="A83899AD"/>
    <w:lvl w:ilvl="0">
      <w:start w:val="1"/>
      <w:numFmt w:val="chineseCounting"/>
      <w:suff w:val="nothing"/>
      <w:lvlText w:val="%1、"/>
      <w:lvlJc w:val="left"/>
      <w:rPr>
        <w:rFonts w:hint="eastAsia"/>
      </w:rPr>
    </w:lvl>
  </w:abstractNum>
  <w:abstractNum w:abstractNumId="1">
    <w:nsid w:val="CF652CEC"/>
    <w:multiLevelType w:val="singleLevel"/>
    <w:tmpl w:val="CF652CEC"/>
    <w:lvl w:ilvl="0">
      <w:start w:val="9"/>
      <w:numFmt w:val="chineseCounting"/>
      <w:suff w:val="nothing"/>
      <w:lvlText w:val="%1、"/>
      <w:lvlJc w:val="left"/>
      <w:rPr>
        <w:rFonts w:hint="eastAsia"/>
      </w:rPr>
    </w:lvl>
  </w:abstractNum>
  <w:abstractNum w:abstractNumId="2">
    <w:nsid w:val="0F113767"/>
    <w:multiLevelType w:val="singleLevel"/>
    <w:tmpl w:val="0F113767"/>
    <w:lvl w:ilvl="0">
      <w:start w:val="1"/>
      <w:numFmt w:val="chineseCounting"/>
      <w:suff w:val="nothing"/>
      <w:lvlText w:val="%1、"/>
      <w:lvlJc w:val="left"/>
      <w:rPr>
        <w:rFonts w:hint="eastAsia"/>
      </w:rPr>
    </w:lvl>
  </w:abstractNum>
  <w:abstractNum w:abstractNumId="3">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nsid w:val="1D0E6BDE"/>
    <w:multiLevelType w:val="singleLevel"/>
    <w:tmpl w:val="1D0E6BDE"/>
    <w:lvl w:ilvl="0">
      <w:start w:val="1"/>
      <w:numFmt w:val="chineseCounting"/>
      <w:suff w:val="nothing"/>
      <w:lvlText w:val="%1、"/>
      <w:lvlJc w:val="left"/>
      <w:rPr>
        <w:rFonts w:hint="eastAsia"/>
      </w:rPr>
    </w:lvl>
  </w:abstractNum>
  <w:abstractNum w:abstractNumId="5">
    <w:nsid w:val="2D84656A"/>
    <w:multiLevelType w:val="singleLevel"/>
    <w:tmpl w:val="2D84656A"/>
    <w:lvl w:ilvl="0">
      <w:start w:val="1"/>
      <w:numFmt w:val="chineseCounting"/>
      <w:suff w:val="nothing"/>
      <w:lvlText w:val="%1、"/>
      <w:lvlJc w:val="left"/>
      <w:rPr>
        <w:rFonts w:hint="eastAsia"/>
      </w:rPr>
    </w:lvl>
  </w:abstractNum>
  <w:abstractNum w:abstractNumId="6">
    <w:nsid w:val="6B1D74AA"/>
    <w:multiLevelType w:val="singleLevel"/>
    <w:tmpl w:val="6B1D74AA"/>
    <w:lvl w:ilvl="0">
      <w:start w:val="1"/>
      <w:numFmt w:val="chineseCounting"/>
      <w:suff w:val="nothing"/>
      <w:lvlText w:val="%1、"/>
      <w:lvlJc w:val="left"/>
      <w:rPr>
        <w:rFonts w:hint="eastAsia"/>
      </w:rPr>
    </w:lvl>
  </w:abstractNum>
  <w:num w:numId="1">
    <w:abstractNumId w:val="3"/>
  </w:num>
  <w:num w:numId="2">
    <w:abstractNumId w:val="1"/>
  </w:num>
  <w:num w:numId="3">
    <w:abstractNumId w:val="0"/>
  </w:num>
  <w:num w:numId="4">
    <w:abstractNumId w:val="5"/>
  </w:num>
  <w:num w:numId="5">
    <w:abstractNumId w:val="4"/>
  </w:num>
  <w:num w:numId="6">
    <w:abstractNumId w:val="2"/>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361C"/>
    <w:rsid w:val="96D10CC5"/>
    <w:rsid w:val="9E3A10E2"/>
    <w:rsid w:val="B5DB188A"/>
    <w:rsid w:val="DDD2BC01"/>
    <w:rsid w:val="F2E1F9D4"/>
    <w:rsid w:val="F7880819"/>
    <w:rsid w:val="F99F5BA0"/>
    <w:rsid w:val="00001D44"/>
    <w:rsid w:val="00010CC6"/>
    <w:rsid w:val="00020553"/>
    <w:rsid w:val="000222C6"/>
    <w:rsid w:val="00025228"/>
    <w:rsid w:val="0002549F"/>
    <w:rsid w:val="00033DC1"/>
    <w:rsid w:val="000468DB"/>
    <w:rsid w:val="000610A9"/>
    <w:rsid w:val="0006487A"/>
    <w:rsid w:val="00065F8F"/>
    <w:rsid w:val="00070A43"/>
    <w:rsid w:val="000768F2"/>
    <w:rsid w:val="000916E5"/>
    <w:rsid w:val="0009184B"/>
    <w:rsid w:val="00094236"/>
    <w:rsid w:val="0009593C"/>
    <w:rsid w:val="00097322"/>
    <w:rsid w:val="000A6A92"/>
    <w:rsid w:val="000B047F"/>
    <w:rsid w:val="000B5923"/>
    <w:rsid w:val="000B5A48"/>
    <w:rsid w:val="000B6FF3"/>
    <w:rsid w:val="000C3467"/>
    <w:rsid w:val="000C3CA6"/>
    <w:rsid w:val="000D1267"/>
    <w:rsid w:val="000D1D50"/>
    <w:rsid w:val="000D34E4"/>
    <w:rsid w:val="000D5782"/>
    <w:rsid w:val="000D6109"/>
    <w:rsid w:val="000D702B"/>
    <w:rsid w:val="000D7525"/>
    <w:rsid w:val="000E6613"/>
    <w:rsid w:val="000E7119"/>
    <w:rsid w:val="0011453A"/>
    <w:rsid w:val="00114E9B"/>
    <w:rsid w:val="00135155"/>
    <w:rsid w:val="00142216"/>
    <w:rsid w:val="001436B3"/>
    <w:rsid w:val="00144D6A"/>
    <w:rsid w:val="0014729F"/>
    <w:rsid w:val="0014760F"/>
    <w:rsid w:val="00152222"/>
    <w:rsid w:val="00153CE4"/>
    <w:rsid w:val="00155D8A"/>
    <w:rsid w:val="00157BAB"/>
    <w:rsid w:val="001654D1"/>
    <w:rsid w:val="00174518"/>
    <w:rsid w:val="0018106D"/>
    <w:rsid w:val="001877A7"/>
    <w:rsid w:val="00191536"/>
    <w:rsid w:val="001945DA"/>
    <w:rsid w:val="00196687"/>
    <w:rsid w:val="001C0962"/>
    <w:rsid w:val="001C2E25"/>
    <w:rsid w:val="001D7531"/>
    <w:rsid w:val="001E4A47"/>
    <w:rsid w:val="001E737D"/>
    <w:rsid w:val="001F0592"/>
    <w:rsid w:val="001F187C"/>
    <w:rsid w:val="001F74F3"/>
    <w:rsid w:val="001F7506"/>
    <w:rsid w:val="002006CD"/>
    <w:rsid w:val="00202B36"/>
    <w:rsid w:val="00204B7A"/>
    <w:rsid w:val="00204CDE"/>
    <w:rsid w:val="0021101A"/>
    <w:rsid w:val="002164A9"/>
    <w:rsid w:val="00220536"/>
    <w:rsid w:val="00225ECF"/>
    <w:rsid w:val="00226970"/>
    <w:rsid w:val="002341C8"/>
    <w:rsid w:val="00235629"/>
    <w:rsid w:val="00242B8D"/>
    <w:rsid w:val="00250B74"/>
    <w:rsid w:val="002548D2"/>
    <w:rsid w:val="00260C38"/>
    <w:rsid w:val="002616C0"/>
    <w:rsid w:val="002641BA"/>
    <w:rsid w:val="00265372"/>
    <w:rsid w:val="002662AA"/>
    <w:rsid w:val="0027295F"/>
    <w:rsid w:val="00280496"/>
    <w:rsid w:val="002827D0"/>
    <w:rsid w:val="00294DC9"/>
    <w:rsid w:val="00295495"/>
    <w:rsid w:val="002977FF"/>
    <w:rsid w:val="002A1666"/>
    <w:rsid w:val="002A31DE"/>
    <w:rsid w:val="002B2613"/>
    <w:rsid w:val="002B56F6"/>
    <w:rsid w:val="002D6D05"/>
    <w:rsid w:val="002E1AFC"/>
    <w:rsid w:val="002E5C93"/>
    <w:rsid w:val="002F1818"/>
    <w:rsid w:val="002F567B"/>
    <w:rsid w:val="003012E3"/>
    <w:rsid w:val="003216A9"/>
    <w:rsid w:val="00323272"/>
    <w:rsid w:val="0033244E"/>
    <w:rsid w:val="00335A74"/>
    <w:rsid w:val="0034260C"/>
    <w:rsid w:val="0035016A"/>
    <w:rsid w:val="003655EF"/>
    <w:rsid w:val="0036561B"/>
    <w:rsid w:val="00367861"/>
    <w:rsid w:val="0037013F"/>
    <w:rsid w:val="00380C92"/>
    <w:rsid w:val="003A2181"/>
    <w:rsid w:val="003A2877"/>
    <w:rsid w:val="003A484F"/>
    <w:rsid w:val="003A4883"/>
    <w:rsid w:val="003B0BE0"/>
    <w:rsid w:val="003B0C1B"/>
    <w:rsid w:val="003B3E68"/>
    <w:rsid w:val="003B4A3D"/>
    <w:rsid w:val="003B5F1A"/>
    <w:rsid w:val="003B688C"/>
    <w:rsid w:val="003C0291"/>
    <w:rsid w:val="003C39AE"/>
    <w:rsid w:val="003C4B9D"/>
    <w:rsid w:val="003C4CA6"/>
    <w:rsid w:val="003C7B60"/>
    <w:rsid w:val="003D0C0F"/>
    <w:rsid w:val="003D1FB2"/>
    <w:rsid w:val="003D66DA"/>
    <w:rsid w:val="003E1310"/>
    <w:rsid w:val="003E6AA6"/>
    <w:rsid w:val="003E6F55"/>
    <w:rsid w:val="003F47CE"/>
    <w:rsid w:val="003F50D0"/>
    <w:rsid w:val="00401283"/>
    <w:rsid w:val="00404FBC"/>
    <w:rsid w:val="00406254"/>
    <w:rsid w:val="004223DE"/>
    <w:rsid w:val="004268EF"/>
    <w:rsid w:val="00434407"/>
    <w:rsid w:val="00434489"/>
    <w:rsid w:val="00437085"/>
    <w:rsid w:val="00443880"/>
    <w:rsid w:val="004464F4"/>
    <w:rsid w:val="0046586D"/>
    <w:rsid w:val="00465A47"/>
    <w:rsid w:val="00467EA8"/>
    <w:rsid w:val="00471401"/>
    <w:rsid w:val="00473F31"/>
    <w:rsid w:val="00481AFC"/>
    <w:rsid w:val="0048263A"/>
    <w:rsid w:val="0048799A"/>
    <w:rsid w:val="00487E5D"/>
    <w:rsid w:val="00490FC7"/>
    <w:rsid w:val="004A711F"/>
    <w:rsid w:val="004B199D"/>
    <w:rsid w:val="004B4690"/>
    <w:rsid w:val="004B4B6C"/>
    <w:rsid w:val="004D4DCC"/>
    <w:rsid w:val="004E0A2D"/>
    <w:rsid w:val="004E206B"/>
    <w:rsid w:val="004E4FB0"/>
    <w:rsid w:val="004E662F"/>
    <w:rsid w:val="004E6DF7"/>
    <w:rsid w:val="004E76AA"/>
    <w:rsid w:val="004F0FBD"/>
    <w:rsid w:val="004F1568"/>
    <w:rsid w:val="00505A47"/>
    <w:rsid w:val="00505EA3"/>
    <w:rsid w:val="00512FDA"/>
    <w:rsid w:val="00520DA0"/>
    <w:rsid w:val="00525808"/>
    <w:rsid w:val="0055194A"/>
    <w:rsid w:val="00564F14"/>
    <w:rsid w:val="005664BB"/>
    <w:rsid w:val="00566FFA"/>
    <w:rsid w:val="00570EA0"/>
    <w:rsid w:val="0057481D"/>
    <w:rsid w:val="00580871"/>
    <w:rsid w:val="0058363D"/>
    <w:rsid w:val="005839DE"/>
    <w:rsid w:val="00583F90"/>
    <w:rsid w:val="0058486E"/>
    <w:rsid w:val="00585B33"/>
    <w:rsid w:val="0059014D"/>
    <w:rsid w:val="005B215F"/>
    <w:rsid w:val="005B4ECA"/>
    <w:rsid w:val="005B5C64"/>
    <w:rsid w:val="005B619D"/>
    <w:rsid w:val="005C086D"/>
    <w:rsid w:val="005C5337"/>
    <w:rsid w:val="005C6BD0"/>
    <w:rsid w:val="005D1C8B"/>
    <w:rsid w:val="005D1CEB"/>
    <w:rsid w:val="005D468D"/>
    <w:rsid w:val="005D5CED"/>
    <w:rsid w:val="005E1E3F"/>
    <w:rsid w:val="005E3107"/>
    <w:rsid w:val="005F03FA"/>
    <w:rsid w:val="005F1A4C"/>
    <w:rsid w:val="006028D0"/>
    <w:rsid w:val="00605688"/>
    <w:rsid w:val="006070AF"/>
    <w:rsid w:val="00607E6C"/>
    <w:rsid w:val="006101B1"/>
    <w:rsid w:val="00610A96"/>
    <w:rsid w:val="00614E44"/>
    <w:rsid w:val="00622073"/>
    <w:rsid w:val="0062270A"/>
    <w:rsid w:val="00622830"/>
    <w:rsid w:val="006234D4"/>
    <w:rsid w:val="00623DA0"/>
    <w:rsid w:val="006259A7"/>
    <w:rsid w:val="00630AEF"/>
    <w:rsid w:val="006325F8"/>
    <w:rsid w:val="00633463"/>
    <w:rsid w:val="00634C9A"/>
    <w:rsid w:val="006440E4"/>
    <w:rsid w:val="00644FAD"/>
    <w:rsid w:val="00645ABF"/>
    <w:rsid w:val="006515D5"/>
    <w:rsid w:val="0065197A"/>
    <w:rsid w:val="00662A83"/>
    <w:rsid w:val="0066343B"/>
    <w:rsid w:val="00664777"/>
    <w:rsid w:val="00673A7D"/>
    <w:rsid w:val="006748A4"/>
    <w:rsid w:val="00681A31"/>
    <w:rsid w:val="00683E73"/>
    <w:rsid w:val="0069257C"/>
    <w:rsid w:val="006A3141"/>
    <w:rsid w:val="006A5E34"/>
    <w:rsid w:val="006B2422"/>
    <w:rsid w:val="006B2B9A"/>
    <w:rsid w:val="006C1937"/>
    <w:rsid w:val="006E1BFD"/>
    <w:rsid w:val="006F020C"/>
    <w:rsid w:val="006F7F25"/>
    <w:rsid w:val="0070317E"/>
    <w:rsid w:val="007127B7"/>
    <w:rsid w:val="0071798E"/>
    <w:rsid w:val="00722994"/>
    <w:rsid w:val="0072705C"/>
    <w:rsid w:val="007416B6"/>
    <w:rsid w:val="00742E5A"/>
    <w:rsid w:val="00743F42"/>
    <w:rsid w:val="00746F48"/>
    <w:rsid w:val="0075404D"/>
    <w:rsid w:val="0076182A"/>
    <w:rsid w:val="00761FAD"/>
    <w:rsid w:val="00767B7E"/>
    <w:rsid w:val="007757CE"/>
    <w:rsid w:val="007770C3"/>
    <w:rsid w:val="00784D24"/>
    <w:rsid w:val="00785FBA"/>
    <w:rsid w:val="007869A6"/>
    <w:rsid w:val="00786E4A"/>
    <w:rsid w:val="007875EB"/>
    <w:rsid w:val="0079426B"/>
    <w:rsid w:val="007B40FC"/>
    <w:rsid w:val="007C72C9"/>
    <w:rsid w:val="007D073C"/>
    <w:rsid w:val="007D1682"/>
    <w:rsid w:val="007D312A"/>
    <w:rsid w:val="007D3F19"/>
    <w:rsid w:val="007E23B0"/>
    <w:rsid w:val="007E23E5"/>
    <w:rsid w:val="007F1991"/>
    <w:rsid w:val="007F2C2F"/>
    <w:rsid w:val="007F55FC"/>
    <w:rsid w:val="007F5665"/>
    <w:rsid w:val="00800112"/>
    <w:rsid w:val="0080599A"/>
    <w:rsid w:val="0080677A"/>
    <w:rsid w:val="00813348"/>
    <w:rsid w:val="008249F0"/>
    <w:rsid w:val="008253BB"/>
    <w:rsid w:val="008350B9"/>
    <w:rsid w:val="0083706E"/>
    <w:rsid w:val="00840784"/>
    <w:rsid w:val="008408F6"/>
    <w:rsid w:val="008423A5"/>
    <w:rsid w:val="00850625"/>
    <w:rsid w:val="00853718"/>
    <w:rsid w:val="00854DCA"/>
    <w:rsid w:val="00855221"/>
    <w:rsid w:val="00855E73"/>
    <w:rsid w:val="00860645"/>
    <w:rsid w:val="00862D47"/>
    <w:rsid w:val="00871F71"/>
    <w:rsid w:val="00872FD8"/>
    <w:rsid w:val="00885AF4"/>
    <w:rsid w:val="00891063"/>
    <w:rsid w:val="00891376"/>
    <w:rsid w:val="008939CD"/>
    <w:rsid w:val="008969F0"/>
    <w:rsid w:val="008A14BD"/>
    <w:rsid w:val="008A22D7"/>
    <w:rsid w:val="008B768C"/>
    <w:rsid w:val="008B7839"/>
    <w:rsid w:val="008C2FFF"/>
    <w:rsid w:val="008C4DB1"/>
    <w:rsid w:val="008C4EAF"/>
    <w:rsid w:val="008C5176"/>
    <w:rsid w:val="008C7FD0"/>
    <w:rsid w:val="008E1DE7"/>
    <w:rsid w:val="008E3636"/>
    <w:rsid w:val="008E62C7"/>
    <w:rsid w:val="008E707C"/>
    <w:rsid w:val="008E7AB7"/>
    <w:rsid w:val="008F40D4"/>
    <w:rsid w:val="00900B08"/>
    <w:rsid w:val="00902155"/>
    <w:rsid w:val="00902FA3"/>
    <w:rsid w:val="0091126C"/>
    <w:rsid w:val="00920F9C"/>
    <w:rsid w:val="00923564"/>
    <w:rsid w:val="0092392E"/>
    <w:rsid w:val="009315F9"/>
    <w:rsid w:val="00931E0A"/>
    <w:rsid w:val="00933499"/>
    <w:rsid w:val="00935C98"/>
    <w:rsid w:val="00946945"/>
    <w:rsid w:val="00951248"/>
    <w:rsid w:val="0095152F"/>
    <w:rsid w:val="00954C49"/>
    <w:rsid w:val="00955E37"/>
    <w:rsid w:val="0096327B"/>
    <w:rsid w:val="0097099F"/>
    <w:rsid w:val="00971997"/>
    <w:rsid w:val="00971FFC"/>
    <w:rsid w:val="0098651C"/>
    <w:rsid w:val="0098660A"/>
    <w:rsid w:val="009931C3"/>
    <w:rsid w:val="009A0D6C"/>
    <w:rsid w:val="009A7B36"/>
    <w:rsid w:val="009B2C43"/>
    <w:rsid w:val="009B32DF"/>
    <w:rsid w:val="009B4EAE"/>
    <w:rsid w:val="009B7573"/>
    <w:rsid w:val="009C22F4"/>
    <w:rsid w:val="009C2A4B"/>
    <w:rsid w:val="009C2E98"/>
    <w:rsid w:val="009D3447"/>
    <w:rsid w:val="009D4711"/>
    <w:rsid w:val="009F1185"/>
    <w:rsid w:val="009F18CD"/>
    <w:rsid w:val="009F2A13"/>
    <w:rsid w:val="009F7527"/>
    <w:rsid w:val="00A0403A"/>
    <w:rsid w:val="00A04EB0"/>
    <w:rsid w:val="00A13CC1"/>
    <w:rsid w:val="00A16847"/>
    <w:rsid w:val="00A237D8"/>
    <w:rsid w:val="00A268C4"/>
    <w:rsid w:val="00A307CD"/>
    <w:rsid w:val="00A331C8"/>
    <w:rsid w:val="00A40A00"/>
    <w:rsid w:val="00A4142F"/>
    <w:rsid w:val="00A422EB"/>
    <w:rsid w:val="00A45BB7"/>
    <w:rsid w:val="00A46951"/>
    <w:rsid w:val="00A56DF2"/>
    <w:rsid w:val="00A56E6E"/>
    <w:rsid w:val="00A67AB5"/>
    <w:rsid w:val="00A71DDC"/>
    <w:rsid w:val="00A733B2"/>
    <w:rsid w:val="00A741C2"/>
    <w:rsid w:val="00A7691D"/>
    <w:rsid w:val="00A771FB"/>
    <w:rsid w:val="00A86A4E"/>
    <w:rsid w:val="00A87E50"/>
    <w:rsid w:val="00A91760"/>
    <w:rsid w:val="00A93B00"/>
    <w:rsid w:val="00A93C21"/>
    <w:rsid w:val="00AB325A"/>
    <w:rsid w:val="00AB64C9"/>
    <w:rsid w:val="00AC3C6A"/>
    <w:rsid w:val="00AC5795"/>
    <w:rsid w:val="00AD5620"/>
    <w:rsid w:val="00AD5E50"/>
    <w:rsid w:val="00AD656B"/>
    <w:rsid w:val="00AD7C1B"/>
    <w:rsid w:val="00AE16BA"/>
    <w:rsid w:val="00AE1EBE"/>
    <w:rsid w:val="00AE5712"/>
    <w:rsid w:val="00AF6695"/>
    <w:rsid w:val="00AF6EB1"/>
    <w:rsid w:val="00B0088C"/>
    <w:rsid w:val="00B03C9D"/>
    <w:rsid w:val="00B060AE"/>
    <w:rsid w:val="00B06ECC"/>
    <w:rsid w:val="00B10517"/>
    <w:rsid w:val="00B14E76"/>
    <w:rsid w:val="00B1510D"/>
    <w:rsid w:val="00B161B8"/>
    <w:rsid w:val="00B2048C"/>
    <w:rsid w:val="00B310B9"/>
    <w:rsid w:val="00B34D6F"/>
    <w:rsid w:val="00B35F3F"/>
    <w:rsid w:val="00B36CBB"/>
    <w:rsid w:val="00B425E0"/>
    <w:rsid w:val="00B440AA"/>
    <w:rsid w:val="00B44B70"/>
    <w:rsid w:val="00B53C56"/>
    <w:rsid w:val="00B57DAF"/>
    <w:rsid w:val="00B76873"/>
    <w:rsid w:val="00B77EA6"/>
    <w:rsid w:val="00B81598"/>
    <w:rsid w:val="00B839FC"/>
    <w:rsid w:val="00B841F1"/>
    <w:rsid w:val="00B944D6"/>
    <w:rsid w:val="00BA1DF0"/>
    <w:rsid w:val="00BB4159"/>
    <w:rsid w:val="00BB4DF0"/>
    <w:rsid w:val="00BC0F33"/>
    <w:rsid w:val="00BC289F"/>
    <w:rsid w:val="00BC2D50"/>
    <w:rsid w:val="00BC5361"/>
    <w:rsid w:val="00BC5460"/>
    <w:rsid w:val="00BC6B50"/>
    <w:rsid w:val="00BD0E25"/>
    <w:rsid w:val="00BD45CE"/>
    <w:rsid w:val="00BD5EB8"/>
    <w:rsid w:val="00BF24E7"/>
    <w:rsid w:val="00BF5BD6"/>
    <w:rsid w:val="00C03E31"/>
    <w:rsid w:val="00C07298"/>
    <w:rsid w:val="00C3013A"/>
    <w:rsid w:val="00C33E72"/>
    <w:rsid w:val="00C354B2"/>
    <w:rsid w:val="00C35554"/>
    <w:rsid w:val="00C42709"/>
    <w:rsid w:val="00C533CC"/>
    <w:rsid w:val="00C5751C"/>
    <w:rsid w:val="00C61BFC"/>
    <w:rsid w:val="00C62B85"/>
    <w:rsid w:val="00C641C3"/>
    <w:rsid w:val="00C65438"/>
    <w:rsid w:val="00C80B39"/>
    <w:rsid w:val="00C847A6"/>
    <w:rsid w:val="00C865A0"/>
    <w:rsid w:val="00C87FD8"/>
    <w:rsid w:val="00C91381"/>
    <w:rsid w:val="00C91CBB"/>
    <w:rsid w:val="00C94036"/>
    <w:rsid w:val="00C95A58"/>
    <w:rsid w:val="00C968F1"/>
    <w:rsid w:val="00C969A6"/>
    <w:rsid w:val="00CB153F"/>
    <w:rsid w:val="00CB2069"/>
    <w:rsid w:val="00CB212A"/>
    <w:rsid w:val="00CB4E70"/>
    <w:rsid w:val="00CC09B6"/>
    <w:rsid w:val="00CC666F"/>
    <w:rsid w:val="00CD1E12"/>
    <w:rsid w:val="00CD1E3F"/>
    <w:rsid w:val="00CD57DD"/>
    <w:rsid w:val="00CE44F6"/>
    <w:rsid w:val="00CE49DA"/>
    <w:rsid w:val="00CE7B61"/>
    <w:rsid w:val="00D00095"/>
    <w:rsid w:val="00D01EA9"/>
    <w:rsid w:val="00D1123F"/>
    <w:rsid w:val="00D114F0"/>
    <w:rsid w:val="00D20620"/>
    <w:rsid w:val="00D22678"/>
    <w:rsid w:val="00D254F7"/>
    <w:rsid w:val="00D26091"/>
    <w:rsid w:val="00D2685C"/>
    <w:rsid w:val="00D34E7C"/>
    <w:rsid w:val="00D35489"/>
    <w:rsid w:val="00D36AFE"/>
    <w:rsid w:val="00D37281"/>
    <w:rsid w:val="00D51276"/>
    <w:rsid w:val="00D62FE3"/>
    <w:rsid w:val="00D7035F"/>
    <w:rsid w:val="00D80EAB"/>
    <w:rsid w:val="00D85192"/>
    <w:rsid w:val="00D9648F"/>
    <w:rsid w:val="00DA2B2F"/>
    <w:rsid w:val="00DA5D06"/>
    <w:rsid w:val="00DA634F"/>
    <w:rsid w:val="00DA65AC"/>
    <w:rsid w:val="00DB1913"/>
    <w:rsid w:val="00DB658D"/>
    <w:rsid w:val="00DC410D"/>
    <w:rsid w:val="00DC5A81"/>
    <w:rsid w:val="00DC68CA"/>
    <w:rsid w:val="00DC7CBA"/>
    <w:rsid w:val="00DD73B7"/>
    <w:rsid w:val="00DF28BC"/>
    <w:rsid w:val="00DF34B9"/>
    <w:rsid w:val="00E01053"/>
    <w:rsid w:val="00E07ACF"/>
    <w:rsid w:val="00E17AD4"/>
    <w:rsid w:val="00E20B6A"/>
    <w:rsid w:val="00E331A1"/>
    <w:rsid w:val="00E33202"/>
    <w:rsid w:val="00E336A9"/>
    <w:rsid w:val="00E467C0"/>
    <w:rsid w:val="00E472B1"/>
    <w:rsid w:val="00E47AFF"/>
    <w:rsid w:val="00E50624"/>
    <w:rsid w:val="00E568DF"/>
    <w:rsid w:val="00E63286"/>
    <w:rsid w:val="00E64269"/>
    <w:rsid w:val="00E66F97"/>
    <w:rsid w:val="00E77839"/>
    <w:rsid w:val="00E82267"/>
    <w:rsid w:val="00E853CE"/>
    <w:rsid w:val="00E867B6"/>
    <w:rsid w:val="00E93373"/>
    <w:rsid w:val="00E95623"/>
    <w:rsid w:val="00E97597"/>
    <w:rsid w:val="00EA010F"/>
    <w:rsid w:val="00EA78A1"/>
    <w:rsid w:val="00EC1CCB"/>
    <w:rsid w:val="00EC32ED"/>
    <w:rsid w:val="00EC770F"/>
    <w:rsid w:val="00ED1B63"/>
    <w:rsid w:val="00ED3C1F"/>
    <w:rsid w:val="00ED4085"/>
    <w:rsid w:val="00ED420E"/>
    <w:rsid w:val="00ED6FBE"/>
    <w:rsid w:val="00EE2F57"/>
    <w:rsid w:val="00EF42B3"/>
    <w:rsid w:val="00EF46EE"/>
    <w:rsid w:val="00EF4C34"/>
    <w:rsid w:val="00EF77C6"/>
    <w:rsid w:val="00F05438"/>
    <w:rsid w:val="00F07F28"/>
    <w:rsid w:val="00F1361C"/>
    <w:rsid w:val="00F156F0"/>
    <w:rsid w:val="00F160C7"/>
    <w:rsid w:val="00F2023B"/>
    <w:rsid w:val="00F2408F"/>
    <w:rsid w:val="00F240E9"/>
    <w:rsid w:val="00F2700B"/>
    <w:rsid w:val="00F36D8F"/>
    <w:rsid w:val="00F417B1"/>
    <w:rsid w:val="00F4263B"/>
    <w:rsid w:val="00F44E78"/>
    <w:rsid w:val="00F45853"/>
    <w:rsid w:val="00F602DF"/>
    <w:rsid w:val="00F61B10"/>
    <w:rsid w:val="00F73AAC"/>
    <w:rsid w:val="00F754A1"/>
    <w:rsid w:val="00F81FD9"/>
    <w:rsid w:val="00F841AA"/>
    <w:rsid w:val="00F84A94"/>
    <w:rsid w:val="00F87E96"/>
    <w:rsid w:val="00F92567"/>
    <w:rsid w:val="00F93C4A"/>
    <w:rsid w:val="00F96052"/>
    <w:rsid w:val="00FA23E8"/>
    <w:rsid w:val="00FC0C7E"/>
    <w:rsid w:val="00FD3CC1"/>
    <w:rsid w:val="00FD4FF1"/>
    <w:rsid w:val="00FD52B0"/>
    <w:rsid w:val="00FF1E02"/>
    <w:rsid w:val="00FF30B4"/>
    <w:rsid w:val="053A62B5"/>
    <w:rsid w:val="0A2032A3"/>
    <w:rsid w:val="0B8A37D8"/>
    <w:rsid w:val="10C055FF"/>
    <w:rsid w:val="118107EC"/>
    <w:rsid w:val="11DD6519"/>
    <w:rsid w:val="16BB723D"/>
    <w:rsid w:val="18015F3F"/>
    <w:rsid w:val="1BE8440E"/>
    <w:rsid w:val="1D155CEE"/>
    <w:rsid w:val="20F57F95"/>
    <w:rsid w:val="240371BF"/>
    <w:rsid w:val="25711CC6"/>
    <w:rsid w:val="25C741E6"/>
    <w:rsid w:val="27842671"/>
    <w:rsid w:val="29FD04D3"/>
    <w:rsid w:val="2ABE7A3E"/>
    <w:rsid w:val="2CA234A8"/>
    <w:rsid w:val="2EFA178C"/>
    <w:rsid w:val="30B46D73"/>
    <w:rsid w:val="319F7F4E"/>
    <w:rsid w:val="383D272C"/>
    <w:rsid w:val="39AE70AB"/>
    <w:rsid w:val="3C0C0783"/>
    <w:rsid w:val="3F9F3A96"/>
    <w:rsid w:val="41085755"/>
    <w:rsid w:val="48BF60AB"/>
    <w:rsid w:val="493C27E9"/>
    <w:rsid w:val="496F39ED"/>
    <w:rsid w:val="49FF41D3"/>
    <w:rsid w:val="4BE068DB"/>
    <w:rsid w:val="4BF6002B"/>
    <w:rsid w:val="4ECE2238"/>
    <w:rsid w:val="51DB4B86"/>
    <w:rsid w:val="55333C3E"/>
    <w:rsid w:val="57BE6852"/>
    <w:rsid w:val="5C7FE965"/>
    <w:rsid w:val="64CA39A1"/>
    <w:rsid w:val="69630ADE"/>
    <w:rsid w:val="6C4A05C8"/>
    <w:rsid w:val="6D3B1A89"/>
    <w:rsid w:val="71BF4EC2"/>
    <w:rsid w:val="72734D90"/>
    <w:rsid w:val="7412278C"/>
    <w:rsid w:val="7904082E"/>
    <w:rsid w:val="79E7B28D"/>
    <w:rsid w:val="7B6D96C0"/>
    <w:rsid w:val="7D9FBAE7"/>
    <w:rsid w:val="7EAB0776"/>
    <w:rsid w:val="7F9F20EE"/>
    <w:rsid w:val="7FFAE403"/>
    <w:rsid w:val="7FFE39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nhideWhenUsed="0" w:qFormat="1"/>
    <w:lsdException w:name="Subtitle" w:semiHidden="0" w:uiPriority="11" w:unhideWhenUsed="0" w:qFormat="1"/>
    <w:lsdException w:name="Salutation" w:semiHidden="0" w:uiPriority="0" w:unhideWhenUsed="0" w:qFormat="1"/>
    <w:lsdException w:name="Hyperlink" w:semiHidden="0" w:qFormat="1"/>
    <w:lsdException w:name="Strong" w:semiHidden="0"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2E5C93"/>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2E5C93"/>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E5C9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2E5C9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rsid w:val="002E5C93"/>
    <w:pPr>
      <w:spacing w:beforeLines="30"/>
    </w:pPr>
    <w:rPr>
      <w:rFonts w:ascii="仿宋_GB2312" w:eastAsia="仿宋_GB2312"/>
      <w:kern w:val="0"/>
      <w:sz w:val="30"/>
    </w:rPr>
  </w:style>
  <w:style w:type="paragraph" w:styleId="a4">
    <w:name w:val="Salutation"/>
    <w:basedOn w:val="a"/>
    <w:next w:val="a"/>
    <w:link w:val="Char0"/>
    <w:qFormat/>
    <w:rsid w:val="002E5C93"/>
    <w:pPr>
      <w:ind w:firstLineChars="200" w:firstLine="200"/>
    </w:pPr>
    <w:rPr>
      <w:sz w:val="32"/>
    </w:rPr>
  </w:style>
  <w:style w:type="paragraph" w:styleId="30">
    <w:name w:val="toc 3"/>
    <w:basedOn w:val="a"/>
    <w:next w:val="a"/>
    <w:uiPriority w:val="39"/>
    <w:unhideWhenUsed/>
    <w:qFormat/>
    <w:rsid w:val="002E5C93"/>
    <w:pPr>
      <w:tabs>
        <w:tab w:val="right" w:leader="dot" w:pos="8296"/>
      </w:tabs>
      <w:ind w:leftChars="400" w:left="840"/>
    </w:pPr>
  </w:style>
  <w:style w:type="paragraph" w:styleId="a5">
    <w:name w:val="Balloon Text"/>
    <w:basedOn w:val="a"/>
    <w:link w:val="Char1"/>
    <w:uiPriority w:val="99"/>
    <w:semiHidden/>
    <w:unhideWhenUsed/>
    <w:qFormat/>
    <w:rsid w:val="002E5C93"/>
    <w:rPr>
      <w:sz w:val="18"/>
      <w:szCs w:val="18"/>
    </w:rPr>
  </w:style>
  <w:style w:type="paragraph" w:styleId="a6">
    <w:name w:val="footer"/>
    <w:basedOn w:val="a"/>
    <w:link w:val="Char2"/>
    <w:uiPriority w:val="99"/>
    <w:qFormat/>
    <w:rsid w:val="002E5C93"/>
    <w:pPr>
      <w:tabs>
        <w:tab w:val="center" w:pos="4153"/>
        <w:tab w:val="right" w:pos="8306"/>
      </w:tabs>
      <w:snapToGrid w:val="0"/>
      <w:jc w:val="left"/>
    </w:pPr>
    <w:rPr>
      <w:rFonts w:ascii="Calibri" w:hAnsi="Calibri"/>
      <w:kern w:val="0"/>
      <w:sz w:val="18"/>
      <w:szCs w:val="18"/>
    </w:rPr>
  </w:style>
  <w:style w:type="paragraph" w:styleId="a7">
    <w:name w:val="header"/>
    <w:basedOn w:val="a"/>
    <w:link w:val="Char3"/>
    <w:uiPriority w:val="99"/>
    <w:semiHidden/>
    <w:qFormat/>
    <w:rsid w:val="002E5C93"/>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rsid w:val="002E5C93"/>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2E5C93"/>
    <w:pPr>
      <w:tabs>
        <w:tab w:val="right" w:leader="dot" w:pos="8296"/>
      </w:tabs>
      <w:ind w:leftChars="200" w:left="420"/>
    </w:pPr>
  </w:style>
  <w:style w:type="paragraph" w:styleId="a8">
    <w:name w:val="Normal (Web)"/>
    <w:basedOn w:val="a"/>
    <w:uiPriority w:val="99"/>
    <w:unhideWhenUsed/>
    <w:qFormat/>
    <w:rsid w:val="002E5C93"/>
    <w:rPr>
      <w:sz w:val="24"/>
    </w:rPr>
  </w:style>
  <w:style w:type="character" w:styleId="a9">
    <w:name w:val="Strong"/>
    <w:basedOn w:val="a1"/>
    <w:uiPriority w:val="99"/>
    <w:qFormat/>
    <w:rsid w:val="002E5C93"/>
    <w:rPr>
      <w:b/>
    </w:rPr>
  </w:style>
  <w:style w:type="character" w:styleId="aa">
    <w:name w:val="FollowedHyperlink"/>
    <w:basedOn w:val="a1"/>
    <w:uiPriority w:val="99"/>
    <w:semiHidden/>
    <w:unhideWhenUsed/>
    <w:rsid w:val="002E5C93"/>
    <w:rPr>
      <w:color w:val="800080"/>
      <w:u w:val="single"/>
    </w:rPr>
  </w:style>
  <w:style w:type="character" w:styleId="ab">
    <w:name w:val="Hyperlink"/>
    <w:basedOn w:val="a1"/>
    <w:uiPriority w:val="99"/>
    <w:unhideWhenUsed/>
    <w:qFormat/>
    <w:rsid w:val="002E5C93"/>
    <w:rPr>
      <w:color w:val="0000FF" w:themeColor="hyperlink"/>
      <w:u w:val="single"/>
    </w:rPr>
  </w:style>
  <w:style w:type="character" w:customStyle="1" w:styleId="HeaderChar">
    <w:name w:val="Header Char"/>
    <w:basedOn w:val="a1"/>
    <w:uiPriority w:val="99"/>
    <w:semiHidden/>
    <w:qFormat/>
    <w:rsid w:val="002E5C93"/>
    <w:rPr>
      <w:rFonts w:ascii="Times New Roman" w:hAnsi="Times New Roman"/>
      <w:sz w:val="18"/>
      <w:szCs w:val="18"/>
    </w:rPr>
  </w:style>
  <w:style w:type="character" w:customStyle="1" w:styleId="Char3">
    <w:name w:val="页眉 Char"/>
    <w:link w:val="a7"/>
    <w:uiPriority w:val="99"/>
    <w:semiHidden/>
    <w:qFormat/>
    <w:locked/>
    <w:rsid w:val="002E5C93"/>
    <w:rPr>
      <w:sz w:val="18"/>
    </w:rPr>
  </w:style>
  <w:style w:type="character" w:customStyle="1" w:styleId="FooterChar">
    <w:name w:val="Footer Char"/>
    <w:basedOn w:val="a1"/>
    <w:uiPriority w:val="99"/>
    <w:semiHidden/>
    <w:qFormat/>
    <w:rsid w:val="002E5C93"/>
    <w:rPr>
      <w:rFonts w:ascii="Times New Roman" w:hAnsi="Times New Roman"/>
      <w:sz w:val="18"/>
      <w:szCs w:val="18"/>
    </w:rPr>
  </w:style>
  <w:style w:type="character" w:customStyle="1" w:styleId="Char2">
    <w:name w:val="页脚 Char"/>
    <w:link w:val="a6"/>
    <w:uiPriority w:val="99"/>
    <w:qFormat/>
    <w:locked/>
    <w:rsid w:val="002E5C93"/>
    <w:rPr>
      <w:sz w:val="18"/>
    </w:rPr>
  </w:style>
  <w:style w:type="character" w:customStyle="1" w:styleId="BodyTextChar">
    <w:name w:val="Body Text Char"/>
    <w:basedOn w:val="a1"/>
    <w:uiPriority w:val="99"/>
    <w:semiHidden/>
    <w:qFormat/>
    <w:rsid w:val="002E5C93"/>
    <w:rPr>
      <w:rFonts w:ascii="Times New Roman" w:hAnsi="Times New Roman"/>
      <w:szCs w:val="24"/>
    </w:rPr>
  </w:style>
  <w:style w:type="character" w:customStyle="1" w:styleId="Char">
    <w:name w:val="正文文本 Char"/>
    <w:link w:val="a0"/>
    <w:uiPriority w:val="99"/>
    <w:qFormat/>
    <w:locked/>
    <w:rsid w:val="002E5C93"/>
    <w:rPr>
      <w:rFonts w:ascii="仿宋_GB2312" w:eastAsia="仿宋_GB2312" w:hAnsi="Times New Roman"/>
      <w:sz w:val="24"/>
    </w:rPr>
  </w:style>
  <w:style w:type="paragraph" w:customStyle="1" w:styleId="Default">
    <w:name w:val="Default"/>
    <w:uiPriority w:val="99"/>
    <w:qFormat/>
    <w:rsid w:val="002E5C93"/>
    <w:pPr>
      <w:widowControl w:val="0"/>
      <w:autoSpaceDE w:val="0"/>
      <w:autoSpaceDN w:val="0"/>
      <w:adjustRightInd w:val="0"/>
    </w:pPr>
    <w:rPr>
      <w:rFonts w:ascii="仿宋" w:eastAsia="仿宋" w:hAnsi="Calibri" w:cs="仿宋"/>
      <w:color w:val="000000"/>
      <w:sz w:val="24"/>
      <w:szCs w:val="24"/>
    </w:rPr>
  </w:style>
  <w:style w:type="paragraph" w:styleId="ac">
    <w:name w:val="List Paragraph"/>
    <w:basedOn w:val="a"/>
    <w:uiPriority w:val="99"/>
    <w:qFormat/>
    <w:rsid w:val="002E5C93"/>
    <w:pPr>
      <w:ind w:firstLineChars="200" w:firstLine="420"/>
    </w:pPr>
  </w:style>
  <w:style w:type="character" w:customStyle="1" w:styleId="1Char">
    <w:name w:val="标题 1 Char"/>
    <w:basedOn w:val="a1"/>
    <w:link w:val="1"/>
    <w:uiPriority w:val="9"/>
    <w:qFormat/>
    <w:rsid w:val="002E5C93"/>
    <w:rPr>
      <w:rFonts w:ascii="Times New Roman" w:hAnsi="Times New Roman"/>
      <w:b/>
      <w:bCs/>
      <w:kern w:val="44"/>
      <w:sz w:val="44"/>
      <w:szCs w:val="44"/>
    </w:rPr>
  </w:style>
  <w:style w:type="character" w:customStyle="1" w:styleId="2Char">
    <w:name w:val="标题 2 Char"/>
    <w:basedOn w:val="a1"/>
    <w:link w:val="2"/>
    <w:uiPriority w:val="9"/>
    <w:qFormat/>
    <w:rsid w:val="002E5C93"/>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rsid w:val="002E5C9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1">
    <w:name w:val="批注框文本 Char"/>
    <w:basedOn w:val="a1"/>
    <w:link w:val="a5"/>
    <w:uiPriority w:val="99"/>
    <w:semiHidden/>
    <w:qFormat/>
    <w:rsid w:val="002E5C93"/>
    <w:rPr>
      <w:rFonts w:ascii="Times New Roman" w:hAnsi="Times New Roman"/>
      <w:kern w:val="2"/>
      <w:sz w:val="18"/>
      <w:szCs w:val="18"/>
    </w:rPr>
  </w:style>
  <w:style w:type="character" w:customStyle="1" w:styleId="3Char">
    <w:name w:val="标题 3 Char"/>
    <w:basedOn w:val="a1"/>
    <w:link w:val="3"/>
    <w:uiPriority w:val="9"/>
    <w:qFormat/>
    <w:rsid w:val="002E5C93"/>
    <w:rPr>
      <w:rFonts w:ascii="Times New Roman" w:hAnsi="Times New Roman"/>
      <w:b/>
      <w:bCs/>
      <w:kern w:val="2"/>
      <w:sz w:val="32"/>
      <w:szCs w:val="32"/>
    </w:rPr>
  </w:style>
  <w:style w:type="paragraph" w:customStyle="1" w:styleId="TOC2">
    <w:name w:val="TOC 标题2"/>
    <w:basedOn w:val="1"/>
    <w:next w:val="a"/>
    <w:uiPriority w:val="39"/>
    <w:unhideWhenUsed/>
    <w:qFormat/>
    <w:rsid w:val="002E5C93"/>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10">
    <w:name w:val="正文文本 Char1"/>
    <w:basedOn w:val="a1"/>
    <w:qFormat/>
    <w:rsid w:val="002E5C93"/>
    <w:rPr>
      <w:rFonts w:ascii="仿宋_GB2312" w:eastAsia="仿宋_GB2312" w:cs="仿宋_GB2312" w:hint="eastAsia"/>
      <w:sz w:val="24"/>
    </w:rPr>
  </w:style>
  <w:style w:type="character" w:customStyle="1" w:styleId="Char0">
    <w:name w:val="称呼 Char"/>
    <w:basedOn w:val="a1"/>
    <w:link w:val="a4"/>
    <w:rsid w:val="002E5C93"/>
    <w:rPr>
      <w:rFonts w:ascii="Times New Roman" w:eastAsia="宋体" w:hAnsi="Times New Roman" w:cs="Times New Roman"/>
      <w:kern w:val="2"/>
      <w:sz w:val="32"/>
      <w:szCs w:val="24"/>
    </w:rPr>
  </w:style>
  <w:style w:type="paragraph" w:customStyle="1" w:styleId="ad">
    <w:name w:val="四号正文"/>
    <w:basedOn w:val="a"/>
    <w:link w:val="Char4"/>
    <w:qFormat/>
    <w:rsid w:val="002E5C93"/>
    <w:pPr>
      <w:spacing w:line="360" w:lineRule="auto"/>
      <w:ind w:firstLineChars="200" w:firstLine="200"/>
    </w:pPr>
    <w:rPr>
      <w:rFonts w:ascii="??" w:eastAsia="仿宋" w:hAnsi="??" w:cstheme="minorBidi"/>
      <w:color w:val="000000"/>
      <w:sz w:val="28"/>
      <w:szCs w:val="21"/>
    </w:rPr>
  </w:style>
  <w:style w:type="character" w:customStyle="1" w:styleId="Char4">
    <w:name w:val="四号正文 Char"/>
    <w:link w:val="ad"/>
    <w:qFormat/>
    <w:rsid w:val="002E5C93"/>
    <w:rPr>
      <w:rFonts w:ascii="??" w:eastAsia="仿宋" w:hAnsi="??"/>
      <w:color w:val="000000"/>
      <w:kern w:val="2"/>
      <w:sz w:val="28"/>
      <w:szCs w:val="21"/>
    </w:rPr>
  </w:style>
  <w:style w:type="paragraph" w:customStyle="1" w:styleId="font5">
    <w:name w:val="font5"/>
    <w:basedOn w:val="a"/>
    <w:rsid w:val="002E5C93"/>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2E5C93"/>
    <w:pPr>
      <w:widowControl/>
      <w:spacing w:before="100" w:beforeAutospacing="1" w:after="100" w:afterAutospacing="1"/>
      <w:jc w:val="left"/>
    </w:pPr>
    <w:rPr>
      <w:rFonts w:ascii="宋体" w:hAnsi="宋体" w:cs="宋体"/>
      <w:kern w:val="0"/>
      <w:sz w:val="18"/>
      <w:szCs w:val="18"/>
    </w:rPr>
  </w:style>
  <w:style w:type="paragraph" w:customStyle="1" w:styleId="font7">
    <w:name w:val="font7"/>
    <w:basedOn w:val="a"/>
    <w:rsid w:val="002E5C93"/>
    <w:pPr>
      <w:widowControl/>
      <w:spacing w:before="100" w:beforeAutospacing="1" w:after="100" w:afterAutospacing="1"/>
      <w:jc w:val="left"/>
    </w:pPr>
    <w:rPr>
      <w:rFonts w:ascii="宋体" w:hAnsi="宋体" w:cs="宋体"/>
      <w:kern w:val="0"/>
      <w:sz w:val="18"/>
      <w:szCs w:val="18"/>
    </w:rPr>
  </w:style>
  <w:style w:type="paragraph" w:customStyle="1" w:styleId="xl63">
    <w:name w:val="xl63"/>
    <w:basedOn w:val="a"/>
    <w:rsid w:val="002E5C9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64">
    <w:name w:val="xl64"/>
    <w:basedOn w:val="a"/>
    <w:rsid w:val="002E5C93"/>
    <w:pPr>
      <w:widowControl/>
      <w:spacing w:before="100" w:beforeAutospacing="1" w:after="100" w:afterAutospacing="1"/>
      <w:jc w:val="left"/>
    </w:pPr>
    <w:rPr>
      <w:rFonts w:ascii="Courier New" w:hAnsi="Courier New" w:cs="Courier New"/>
      <w:color w:val="000000"/>
      <w:kern w:val="0"/>
      <w:sz w:val="18"/>
      <w:szCs w:val="18"/>
    </w:rPr>
  </w:style>
  <w:style w:type="paragraph" w:customStyle="1" w:styleId="xl65">
    <w:name w:val="xl65"/>
    <w:basedOn w:val="a"/>
    <w:rsid w:val="002E5C9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66">
    <w:name w:val="xl66"/>
    <w:basedOn w:val="a"/>
    <w:rsid w:val="002E5C9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67">
    <w:name w:val="xl67"/>
    <w:basedOn w:val="a"/>
    <w:rsid w:val="002E5C9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68">
    <w:name w:val="xl68"/>
    <w:basedOn w:val="a"/>
    <w:rsid w:val="002E5C9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微软雅黑" w:eastAsia="微软雅黑" w:hAnsi="微软雅黑" w:cs="宋体"/>
      <w:i/>
      <w:iCs/>
      <w:color w:val="000000"/>
      <w:kern w:val="0"/>
      <w:sz w:val="16"/>
      <w:szCs w:val="16"/>
    </w:rPr>
  </w:style>
  <w:style w:type="paragraph" w:customStyle="1" w:styleId="xl69">
    <w:name w:val="xl69"/>
    <w:basedOn w:val="a"/>
    <w:rsid w:val="002E5C93"/>
    <w:pPr>
      <w:widowControl/>
      <w:spacing w:before="100" w:beforeAutospacing="1" w:after="100" w:afterAutospacing="1"/>
      <w:jc w:val="left"/>
    </w:pPr>
    <w:rPr>
      <w:rFonts w:ascii="宋体" w:hAnsi="宋体" w:cs="宋体"/>
      <w:kern w:val="0"/>
      <w:sz w:val="18"/>
      <w:szCs w:val="18"/>
    </w:rPr>
  </w:style>
  <w:style w:type="paragraph" w:customStyle="1" w:styleId="xl70">
    <w:name w:val="xl70"/>
    <w:basedOn w:val="a"/>
    <w:rsid w:val="002E5C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71">
    <w:name w:val="xl71"/>
    <w:basedOn w:val="a"/>
    <w:rsid w:val="002E5C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72">
    <w:name w:val="xl72"/>
    <w:basedOn w:val="a"/>
    <w:rsid w:val="002E5C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73">
    <w:name w:val="xl73"/>
    <w:basedOn w:val="a"/>
    <w:rsid w:val="002E5C9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74">
    <w:name w:val="xl74"/>
    <w:basedOn w:val="a"/>
    <w:rsid w:val="002E5C9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黑体" w:eastAsia="黑体" w:hAnsi="黑体" w:cs="宋体"/>
      <w:b/>
      <w:bCs/>
      <w:color w:val="000000"/>
      <w:kern w:val="0"/>
      <w:sz w:val="30"/>
      <w:szCs w:val="30"/>
    </w:rPr>
  </w:style>
  <w:style w:type="paragraph" w:customStyle="1" w:styleId="xl75">
    <w:name w:val="xl75"/>
    <w:basedOn w:val="a"/>
    <w:rsid w:val="002E5C9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ourier New" w:hAnsi="Courier New" w:cs="Courier New"/>
      <w:color w:val="000000"/>
      <w:kern w:val="0"/>
      <w:sz w:val="18"/>
      <w:szCs w:val="18"/>
    </w:rPr>
  </w:style>
  <w:style w:type="paragraph" w:customStyle="1" w:styleId="xl76">
    <w:name w:val="xl76"/>
    <w:basedOn w:val="a"/>
    <w:rsid w:val="002E5C9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ourier New" w:hAnsi="Courier New" w:cs="Courier New"/>
      <w:color w:val="000000"/>
      <w:kern w:val="0"/>
      <w:sz w:val="18"/>
      <w:szCs w:val="18"/>
    </w:rPr>
  </w:style>
  <w:style w:type="paragraph" w:customStyle="1" w:styleId="xl77">
    <w:name w:val="xl77"/>
    <w:basedOn w:val="a"/>
    <w:rsid w:val="002E5C9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i/>
      <w:iCs/>
      <w:color w:val="000000"/>
      <w:kern w:val="0"/>
      <w:sz w:val="16"/>
      <w:szCs w:val="16"/>
    </w:rPr>
  </w:style>
  <w:style w:type="paragraph" w:customStyle="1" w:styleId="xl78">
    <w:name w:val="xl78"/>
    <w:basedOn w:val="a"/>
    <w:rsid w:val="002E5C9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ourier New" w:hAnsi="Courier New" w:cs="Courier New"/>
      <w:i/>
      <w:iCs/>
      <w:color w:val="000000"/>
      <w:kern w:val="0"/>
      <w:sz w:val="18"/>
      <w:szCs w:val="18"/>
    </w:rPr>
  </w:style>
  <w:style w:type="paragraph" w:customStyle="1" w:styleId="xl79">
    <w:name w:val="xl79"/>
    <w:basedOn w:val="a"/>
    <w:rsid w:val="002E5C93"/>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Courier New" w:hAnsi="Courier New" w:cs="Courier New"/>
      <w:color w:val="FF0000"/>
      <w:kern w:val="0"/>
      <w:sz w:val="18"/>
      <w:szCs w:val="18"/>
    </w:rPr>
  </w:style>
  <w:style w:type="paragraph" w:customStyle="1" w:styleId="xl80">
    <w:name w:val="xl80"/>
    <w:basedOn w:val="a"/>
    <w:rsid w:val="002E5C9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6"/>
      <w:szCs w:val="16"/>
    </w:rPr>
  </w:style>
  <w:style w:type="paragraph" w:customStyle="1" w:styleId="xl81">
    <w:name w:val="xl81"/>
    <w:basedOn w:val="a"/>
    <w:rsid w:val="002E5C93"/>
    <w:pPr>
      <w:widowControl/>
      <w:pBdr>
        <w:top w:val="single" w:sz="4" w:space="0" w:color="000000"/>
        <w:left w:val="single" w:sz="4" w:space="0" w:color="000000"/>
        <w:bottom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82">
    <w:name w:val="xl82"/>
    <w:basedOn w:val="a"/>
    <w:rsid w:val="002E5C93"/>
    <w:pPr>
      <w:widowControl/>
      <w:pBdr>
        <w:top w:val="single" w:sz="4" w:space="0" w:color="000000"/>
        <w:bottom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83">
    <w:name w:val="xl83"/>
    <w:basedOn w:val="a"/>
    <w:rsid w:val="002E5C93"/>
    <w:pPr>
      <w:widowControl/>
      <w:pBdr>
        <w:top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84">
    <w:name w:val="xl84"/>
    <w:basedOn w:val="a"/>
    <w:rsid w:val="002E5C93"/>
    <w:pPr>
      <w:widowControl/>
      <w:pBdr>
        <w:top w:val="single" w:sz="4" w:space="0" w:color="000000"/>
        <w:left w:val="single" w:sz="4" w:space="0" w:color="000000"/>
        <w:bottom w:val="single" w:sz="4" w:space="0" w:color="000000"/>
      </w:pBdr>
      <w:spacing w:before="100" w:beforeAutospacing="1" w:after="100" w:afterAutospacing="1"/>
      <w:jc w:val="left"/>
    </w:pPr>
    <w:rPr>
      <w:rFonts w:ascii="Courier New" w:hAnsi="Courier New" w:cs="Courier New"/>
      <w:color w:val="000000"/>
      <w:kern w:val="0"/>
      <w:sz w:val="18"/>
      <w:szCs w:val="18"/>
    </w:rPr>
  </w:style>
  <w:style w:type="paragraph" w:customStyle="1" w:styleId="xl85">
    <w:name w:val="xl85"/>
    <w:basedOn w:val="a"/>
    <w:rsid w:val="002E5C93"/>
    <w:pPr>
      <w:widowControl/>
      <w:pBdr>
        <w:top w:val="single" w:sz="4" w:space="0" w:color="000000"/>
        <w:bottom w:val="single" w:sz="4" w:space="0" w:color="000000"/>
      </w:pBdr>
      <w:spacing w:before="100" w:beforeAutospacing="1" w:after="100" w:afterAutospacing="1"/>
      <w:jc w:val="left"/>
    </w:pPr>
    <w:rPr>
      <w:rFonts w:ascii="Courier New" w:hAnsi="Courier New" w:cs="Courier New"/>
      <w:color w:val="000000"/>
      <w:kern w:val="0"/>
      <w:sz w:val="18"/>
      <w:szCs w:val="18"/>
    </w:rPr>
  </w:style>
  <w:style w:type="paragraph" w:customStyle="1" w:styleId="xl86">
    <w:name w:val="xl86"/>
    <w:basedOn w:val="a"/>
    <w:rsid w:val="002E5C93"/>
    <w:pPr>
      <w:widowControl/>
      <w:pBdr>
        <w:top w:val="single" w:sz="4" w:space="0" w:color="000000"/>
        <w:bottom w:val="single" w:sz="4" w:space="0" w:color="000000"/>
        <w:right w:val="single" w:sz="4" w:space="0" w:color="000000"/>
      </w:pBdr>
      <w:spacing w:before="100" w:beforeAutospacing="1" w:after="100" w:afterAutospacing="1"/>
      <w:jc w:val="left"/>
    </w:pPr>
    <w:rPr>
      <w:rFonts w:ascii="Courier New" w:hAnsi="Courier New" w:cs="Courier New"/>
      <w:color w:val="000000"/>
      <w:kern w:val="0"/>
      <w:sz w:val="18"/>
      <w:szCs w:val="18"/>
    </w:rPr>
  </w:style>
  <w:style w:type="paragraph" w:customStyle="1" w:styleId="xl87">
    <w:name w:val="xl87"/>
    <w:basedOn w:val="a"/>
    <w:rsid w:val="002E5C93"/>
    <w:pPr>
      <w:widowControl/>
      <w:pBdr>
        <w:top w:val="single" w:sz="4" w:space="0" w:color="000000"/>
        <w:left w:val="single" w:sz="4" w:space="0" w:color="000000"/>
        <w:bottom w:val="single" w:sz="4" w:space="0" w:color="000000"/>
      </w:pBdr>
      <w:spacing w:before="100" w:beforeAutospacing="1" w:after="100" w:afterAutospacing="1"/>
      <w:jc w:val="left"/>
    </w:pPr>
    <w:rPr>
      <w:rFonts w:ascii="宋体" w:hAnsi="宋体" w:cs="宋体"/>
      <w:color w:val="FF0000"/>
      <w:kern w:val="0"/>
      <w:sz w:val="18"/>
      <w:szCs w:val="18"/>
    </w:rPr>
  </w:style>
  <w:style w:type="paragraph" w:customStyle="1" w:styleId="xl88">
    <w:name w:val="xl88"/>
    <w:basedOn w:val="a"/>
    <w:rsid w:val="002E5C93"/>
    <w:pPr>
      <w:widowControl/>
      <w:pBdr>
        <w:top w:val="single" w:sz="4" w:space="0" w:color="000000"/>
        <w:left w:val="single" w:sz="4" w:space="0" w:color="000000"/>
        <w:bottom w:val="single" w:sz="4" w:space="0" w:color="000000"/>
      </w:pBdr>
      <w:spacing w:before="100" w:beforeAutospacing="1" w:after="100" w:afterAutospacing="1"/>
      <w:jc w:val="left"/>
    </w:pPr>
    <w:rPr>
      <w:rFonts w:ascii="微软雅黑" w:eastAsia="微软雅黑" w:hAnsi="微软雅黑" w:cs="宋体"/>
      <w:i/>
      <w:iCs/>
      <w:color w:val="000000"/>
      <w:kern w:val="0"/>
      <w:sz w:val="16"/>
      <w:szCs w:val="16"/>
    </w:rPr>
  </w:style>
  <w:style w:type="paragraph" w:customStyle="1" w:styleId="xl89">
    <w:name w:val="xl89"/>
    <w:basedOn w:val="a"/>
    <w:rsid w:val="002E5C93"/>
    <w:pPr>
      <w:widowControl/>
      <w:pBdr>
        <w:top w:val="single" w:sz="4" w:space="0" w:color="000000"/>
        <w:bottom w:val="single" w:sz="4" w:space="0" w:color="000000"/>
      </w:pBdr>
      <w:spacing w:before="100" w:beforeAutospacing="1" w:after="100" w:afterAutospacing="1"/>
      <w:jc w:val="left"/>
    </w:pPr>
    <w:rPr>
      <w:rFonts w:ascii="微软雅黑" w:eastAsia="微软雅黑" w:hAnsi="微软雅黑" w:cs="宋体"/>
      <w:i/>
      <w:iCs/>
      <w:color w:val="000000"/>
      <w:kern w:val="0"/>
      <w:sz w:val="16"/>
      <w:szCs w:val="16"/>
    </w:rPr>
  </w:style>
  <w:style w:type="paragraph" w:customStyle="1" w:styleId="xl90">
    <w:name w:val="xl90"/>
    <w:basedOn w:val="a"/>
    <w:rsid w:val="002E5C93"/>
    <w:pPr>
      <w:widowControl/>
      <w:pBdr>
        <w:top w:val="single" w:sz="4" w:space="0" w:color="000000"/>
        <w:bottom w:val="single" w:sz="4" w:space="0" w:color="000000"/>
        <w:right w:val="single" w:sz="4" w:space="0" w:color="000000"/>
      </w:pBdr>
      <w:spacing w:before="100" w:beforeAutospacing="1" w:after="100" w:afterAutospacing="1"/>
      <w:jc w:val="left"/>
    </w:pPr>
    <w:rPr>
      <w:rFonts w:ascii="微软雅黑" w:eastAsia="微软雅黑" w:hAnsi="微软雅黑" w:cs="宋体"/>
      <w:i/>
      <w:iCs/>
      <w:color w:val="000000"/>
      <w:kern w:val="0"/>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___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___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收支决算总计变动情况图</a:t>
            </a:r>
            <a:endParaRPr lang="en-US" altLang="zh-CN"/>
          </a:p>
        </c:rich>
      </c:tx>
    </c:title>
    <c:plotArea>
      <c:layout/>
      <c:barChart>
        <c:barDir val="col"/>
        <c:grouping val="stacked"/>
        <c:ser>
          <c:idx val="0"/>
          <c:order val="0"/>
          <c:tx>
            <c:strRef>
              <c:f>Sheet1!$B$1</c:f>
              <c:strCache>
                <c:ptCount val="1"/>
                <c:pt idx="0">
                  <c:v>系列 1</c:v>
                </c:pt>
              </c:strCache>
            </c:strRef>
          </c:tx>
          <c:dLbls>
            <c:dLbl>
              <c:idx val="0"/>
              <c:layout>
                <c:manualLayout>
                  <c:x val="2.4078979051288204E-3"/>
                  <c:y val="-0.2518059855521162"/>
                </c:manualLayout>
              </c:layout>
              <c:tx>
                <c:rich>
                  <a:bodyPr/>
                  <a:lstStyle/>
                  <a:p>
                    <a:r>
                      <a:rPr lang="en-US" altLang="en-US"/>
                      <a:t>762.2</a:t>
                    </a:r>
                    <a:r>
                      <a:rPr lang="zh-CN" altLang="en-US"/>
                      <a:t>万元</a:t>
                    </a:r>
                    <a:endParaRPr lang="en-US" altLang="en-US"/>
                  </a:p>
                </c:rich>
              </c:tx>
              <c:dLblPos val="ctr"/>
              <c:showVal val="1"/>
              <c:extLst>
                <c:ext xmlns:c15="http://schemas.microsoft.com/office/drawing/2012/chart" uri="{CE6537A1-D6FC-4f65-9D91-7224C49458BB}">
                  <c15:layout/>
                </c:ext>
              </c:extLst>
            </c:dLbl>
            <c:dLbl>
              <c:idx val="1"/>
              <c:layout>
                <c:manualLayout>
                  <c:x val="-4.8157958102575602E-3"/>
                  <c:y val="-0.31785345717234637"/>
                </c:manualLayout>
              </c:layout>
              <c:tx>
                <c:rich>
                  <a:bodyPr/>
                  <a:lstStyle/>
                  <a:p>
                    <a:r>
                      <a:rPr lang="en-US" altLang="en-US"/>
                      <a:t>984.81</a:t>
                    </a:r>
                    <a:r>
                      <a:rPr lang="zh-CN" altLang="en-US"/>
                      <a:t>万元</a:t>
                    </a:r>
                    <a:endParaRPr lang="en-US" altLang="en-US"/>
                  </a:p>
                </c:rich>
              </c:tx>
              <c:dLblPos val="ctr"/>
              <c:showVal val="1"/>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Val val="1"/>
            <c:extLst>
              <c:ext xmlns:c15="http://schemas.microsoft.com/office/drawing/2012/chart" uri="{CE6537A1-D6FC-4f65-9D91-7224C49458BB}">
                <c15:layout/>
                <c15:showLeaderLines val="0"/>
                <c15:leaderLines/>
              </c:ext>
            </c:extLst>
          </c:dLbls>
          <c:cat>
            <c:strRef>
              <c:f>Sheet1!$A$2:$A$3</c:f>
              <c:strCache>
                <c:ptCount val="2"/>
                <c:pt idx="0">
                  <c:v>2022年收支决算总计</c:v>
                </c:pt>
                <c:pt idx="1">
                  <c:v>2021年收支决算总计</c:v>
                </c:pt>
              </c:strCache>
            </c:strRef>
          </c:cat>
          <c:val>
            <c:numRef>
              <c:f>Sheet1!$B$2:$B$3</c:f>
              <c:numCache>
                <c:formatCode>General</c:formatCode>
                <c:ptCount val="2"/>
                <c:pt idx="0">
                  <c:v>762.2</c:v>
                </c:pt>
                <c:pt idx="1">
                  <c:v>984.81</c:v>
                </c:pt>
              </c:numCache>
            </c:numRef>
          </c:val>
        </c:ser>
        <c:dLbls>
          <c:showVal val="1"/>
        </c:dLbls>
        <c:overlap val="100"/>
        <c:axId val="70453888"/>
        <c:axId val="70476160"/>
      </c:barChart>
      <c:catAx>
        <c:axId val="70453888"/>
        <c:scaling>
          <c:orientation val="minMax"/>
        </c:scaling>
        <c:axPos val="b"/>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70476160"/>
        <c:crosses val="autoZero"/>
        <c:auto val="1"/>
        <c:lblAlgn val="ctr"/>
        <c:lblOffset val="100"/>
      </c:catAx>
      <c:valAx>
        <c:axId val="70476160"/>
        <c:scaling>
          <c:orientation val="minMax"/>
        </c:scaling>
        <c:axPos val="l"/>
        <c:majorGridlines/>
        <c:numFmt formatCode="General" sourceLinked="1"/>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70453888"/>
        <c:crosses val="autoZero"/>
        <c:crossBetween val="between"/>
      </c:valAx>
    </c:plotArea>
    <c:plotVisOnly val="1"/>
    <c:dispBlanksAs val="gap"/>
  </c:chart>
  <c:txPr>
    <a:bodyPr/>
    <a:lstStyle/>
    <a:p>
      <a:pPr>
        <a:defRPr lang="zh-CN"/>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收入决算结构图</a:t>
            </a:r>
          </a:p>
        </c:rich>
      </c:tx>
    </c:title>
    <c:plotArea>
      <c:layout/>
      <c:pieChart>
        <c:varyColors val="1"/>
        <c:ser>
          <c:idx val="0"/>
          <c:order val="0"/>
          <c:tx>
            <c:strRef>
              <c:f>Sheet1!$B$1</c:f>
              <c:strCache>
                <c:ptCount val="1"/>
                <c:pt idx="0">
                  <c:v>收入总计</c:v>
                </c:pt>
              </c:strCache>
            </c:strRef>
          </c:tx>
          <c:dLbls>
            <c:dLbl>
              <c:idx val="1"/>
              <c:tx>
                <c:rich>
                  <a:bodyPr/>
                  <a:lstStyle/>
                  <a:p>
                    <a:r>
                      <a:rPr lang="en-US" altLang="en-US"/>
                      <a:t>0.01</a:t>
                    </a:r>
                    <a:r>
                      <a:rPr lang="en-US" altLang="zh-CN"/>
                      <a:t>%</a:t>
                    </a:r>
                    <a:endParaRPr lang="en-US" altLang="en-US"/>
                  </a:p>
                </c:rich>
              </c:tx>
              <c:dLblPos val="bestFit"/>
              <c:showVal val="1"/>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Sheet1!$A$2:$A$3</c:f>
              <c:strCache>
                <c:ptCount val="2"/>
                <c:pt idx="0">
                  <c:v>一般公共预算收入</c:v>
                </c:pt>
                <c:pt idx="1">
                  <c:v>其他收入</c:v>
                </c:pt>
              </c:strCache>
            </c:strRef>
          </c:cat>
          <c:val>
            <c:numRef>
              <c:f>Sheet1!$B$2:$B$3</c:f>
              <c:numCache>
                <c:formatCode>0.00%</c:formatCode>
                <c:ptCount val="2"/>
                <c:pt idx="0">
                  <c:v>0.99990000000000001</c:v>
                </c:pt>
                <c:pt idx="1">
                  <c:v>1.0000000000000009E-4</c:v>
                </c:pt>
              </c:numCache>
            </c:numRef>
          </c:val>
        </c:ser>
        <c:dLbls>
          <c:showVal val="1"/>
        </c:dLbls>
        <c:firstSliceAng val="0"/>
      </c:pieChart>
    </c:plotArea>
    <c:legend>
      <c:legendPos val="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chart>
  <c:txPr>
    <a:bodyPr/>
    <a:lstStyle/>
    <a:p>
      <a:pPr>
        <a:defRPr lang="zh-CN"/>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支出决算结构图</a:t>
            </a:r>
          </a:p>
        </c:rich>
      </c:tx>
      <c:layout>
        <c:manualLayout>
          <c:xMode val="edge"/>
          <c:yMode val="edge"/>
          <c:x val="0.40575487599326238"/>
          <c:y val="3.7151702786378145E-2"/>
        </c:manualLayout>
      </c:layout>
    </c:title>
    <c:plotArea>
      <c:layout/>
      <c:pieChart>
        <c:varyColors val="1"/>
        <c:ser>
          <c:idx val="0"/>
          <c:order val="0"/>
          <c:tx>
            <c:strRef>
              <c:f>Sheet1!$B$1</c:f>
              <c:strCache>
                <c:ptCount val="1"/>
                <c:pt idx="0">
                  <c:v>支出总计</c:v>
                </c:pt>
              </c:strCache>
            </c:strRef>
          </c:tx>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Val val="1"/>
            <c:showLeaderLines val="1"/>
            <c:extLst>
              <c:ext xmlns:c15="http://schemas.microsoft.com/office/drawing/2012/chart" uri="{CE6537A1-D6FC-4f65-9D91-7224C49458BB}">
                <c15:layout/>
                <c15:showLeaderLines val="1"/>
                <c15:leaderLines/>
              </c:ext>
            </c:extLst>
          </c:dLbls>
          <c:cat>
            <c:strRef>
              <c:f>Sheet1!$A$2:$A$3</c:f>
              <c:strCache>
                <c:ptCount val="2"/>
                <c:pt idx="0">
                  <c:v>基本支出</c:v>
                </c:pt>
                <c:pt idx="1">
                  <c:v>项目支出</c:v>
                </c:pt>
              </c:strCache>
            </c:strRef>
          </c:cat>
          <c:val>
            <c:numRef>
              <c:f>Sheet1!$B$2:$B$3</c:f>
              <c:numCache>
                <c:formatCode>0.00%</c:formatCode>
                <c:ptCount val="2"/>
                <c:pt idx="0">
                  <c:v>0.6244000000000014</c:v>
                </c:pt>
                <c:pt idx="1">
                  <c:v>0.37560000000000021</c:v>
                </c:pt>
              </c:numCache>
            </c:numRef>
          </c:val>
        </c:ser>
        <c:dLbls>
          <c:showVal val="1"/>
        </c:dLbls>
        <c:firstSliceAng val="0"/>
      </c:pieChart>
    </c:plotArea>
    <c:legend>
      <c:legendPos val="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chart>
  <c:txPr>
    <a:bodyPr/>
    <a:lstStyle/>
    <a:p>
      <a:pPr>
        <a:defRPr lang="zh-CN"/>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财政拨款收支决算总计变动情况图</a:t>
            </a:r>
          </a:p>
        </c:rich>
      </c:tx>
    </c:title>
    <c:plotArea>
      <c:layout>
        <c:manualLayout>
          <c:layoutTarget val="inner"/>
          <c:xMode val="edge"/>
          <c:yMode val="edge"/>
          <c:x val="0.12173326937552108"/>
          <c:y val="0.20021679952544821"/>
          <c:w val="0.87585883271935772"/>
          <c:h val="0.68306152133460096"/>
        </c:manualLayout>
      </c:layout>
      <c:barChart>
        <c:barDir val="col"/>
        <c:grouping val="stacked"/>
        <c:ser>
          <c:idx val="0"/>
          <c:order val="0"/>
          <c:tx>
            <c:strRef>
              <c:f>Sheet1!$B$1</c:f>
              <c:strCache>
                <c:ptCount val="1"/>
                <c:pt idx="0">
                  <c:v>2022年财政拨款收支总计</c:v>
                </c:pt>
              </c:strCache>
            </c:strRef>
          </c:tx>
          <c:dLbls>
            <c:dLbl>
              <c:idx val="0"/>
              <c:layout>
                <c:manualLayout>
                  <c:x val="-1.2039489525644095E-2"/>
                  <c:y val="-0.26006191950464735"/>
                </c:manualLayout>
              </c:layout>
              <c:tx>
                <c:rich>
                  <a:bodyPr/>
                  <a:lstStyle/>
                  <a:p>
                    <a:r>
                      <a:rPr lang="en-US" altLang="en-US"/>
                      <a:t>762.19</a:t>
                    </a:r>
                    <a:r>
                      <a:rPr lang="zh-CN" altLang="en-US"/>
                      <a:t>万元</a:t>
                    </a:r>
                    <a:endParaRPr lang="en-US" altLang="en-US"/>
                  </a:p>
                </c:rich>
              </c:tx>
              <c:dLblPos val="ctr"/>
              <c:showVal val="1"/>
              <c:extLst>
                <c:ext xmlns:c15="http://schemas.microsoft.com/office/drawing/2012/chart" uri="{CE6537A1-D6FC-4f65-9D91-7224C49458BB}">
                  <c15:layout/>
                </c:ext>
              </c:extLst>
            </c:dLbl>
            <c:dLbl>
              <c:idx val="1"/>
              <c:layout>
                <c:manualLayout>
                  <c:x val="-2.4078979051289314E-3"/>
                  <c:y val="-0.32610939112487652"/>
                </c:manualLayout>
              </c:layout>
              <c:tx>
                <c:rich>
                  <a:bodyPr/>
                  <a:lstStyle/>
                  <a:p>
                    <a:r>
                      <a:rPr lang="en-US" altLang="en-US"/>
                      <a:t>984.3</a:t>
                    </a:r>
                    <a:r>
                      <a:rPr lang="zh-CN" altLang="en-US"/>
                      <a:t>万元</a:t>
                    </a:r>
                    <a:endParaRPr lang="en-US" altLang="en-US"/>
                  </a:p>
                </c:rich>
              </c:tx>
              <c:dLblPos val="ctr"/>
              <c:showVal val="1"/>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Val val="1"/>
            <c:extLst>
              <c:ext xmlns:c15="http://schemas.microsoft.com/office/drawing/2012/chart" uri="{CE6537A1-D6FC-4f65-9D91-7224C49458BB}">
                <c15:layout/>
                <c15:showLeaderLines val="0"/>
                <c15:leaderLines/>
              </c:ext>
            </c:extLst>
          </c:dLbls>
          <c:cat>
            <c:strRef>
              <c:f>Sheet1!$A$2:$A$3</c:f>
              <c:strCache>
                <c:ptCount val="2"/>
                <c:pt idx="0">
                  <c:v>2022年财政拨款收支决算总计</c:v>
                </c:pt>
                <c:pt idx="1">
                  <c:v>2021年财政拨款收支决算总计</c:v>
                </c:pt>
              </c:strCache>
            </c:strRef>
          </c:cat>
          <c:val>
            <c:numRef>
              <c:f>Sheet1!$B$2:$B$3</c:f>
              <c:numCache>
                <c:formatCode>General</c:formatCode>
                <c:ptCount val="2"/>
                <c:pt idx="0">
                  <c:v>762.19</c:v>
                </c:pt>
                <c:pt idx="1">
                  <c:v>984.3</c:v>
                </c:pt>
              </c:numCache>
            </c:numRef>
          </c:val>
        </c:ser>
        <c:dLbls>
          <c:showVal val="1"/>
        </c:dLbls>
        <c:overlap val="100"/>
        <c:axId val="218643456"/>
        <c:axId val="70710016"/>
      </c:barChart>
      <c:catAx>
        <c:axId val="218643456"/>
        <c:scaling>
          <c:orientation val="minMax"/>
        </c:scaling>
        <c:axPos val="b"/>
        <c:numFmt formatCode="General" sourceLinked="1"/>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70710016"/>
        <c:crosses val="autoZero"/>
        <c:auto val="1"/>
        <c:lblAlgn val="ctr"/>
        <c:lblOffset val="100"/>
      </c:catAx>
      <c:valAx>
        <c:axId val="70710016"/>
        <c:scaling>
          <c:orientation val="minMax"/>
        </c:scaling>
        <c:axPos val="l"/>
        <c:majorGridlines/>
        <c:numFmt formatCode="General" sourceLinked="1"/>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18643456"/>
        <c:crosses val="autoZero"/>
        <c:crossBetween val="between"/>
      </c:valAx>
    </c:plotArea>
    <c:plotVisOnly val="1"/>
    <c:dispBlanksAs val="gap"/>
  </c:chart>
  <c:txPr>
    <a:bodyPr/>
    <a:lstStyle/>
    <a:p>
      <a:pPr>
        <a:defRPr lang="zh-CN"/>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一般公共预算财政拨款支出决算变动情况</a:t>
            </a:r>
            <a:endParaRPr lang="en-US" altLang="zh-CN"/>
          </a:p>
        </c:rich>
      </c:tx>
    </c:title>
    <c:plotArea>
      <c:layout/>
      <c:barChart>
        <c:barDir val="col"/>
        <c:grouping val="stacked"/>
        <c:ser>
          <c:idx val="0"/>
          <c:order val="0"/>
          <c:tx>
            <c:strRef>
              <c:f>Sheet1!$B$1</c:f>
              <c:strCache>
                <c:ptCount val="1"/>
                <c:pt idx="0">
                  <c:v>系列 1</c:v>
                </c:pt>
              </c:strCache>
            </c:strRef>
          </c:tx>
          <c:dLbls>
            <c:dLbl>
              <c:idx val="0"/>
              <c:layout>
                <c:manualLayout>
                  <c:x val="-7.2236937153865493E-3"/>
                  <c:y val="-0.29721362229102199"/>
                </c:manualLayout>
              </c:layout>
              <c:tx>
                <c:rich>
                  <a:bodyPr/>
                  <a:lstStyle/>
                  <a:p>
                    <a:r>
                      <a:rPr lang="en-US" altLang="en-US"/>
                      <a:t>748.45</a:t>
                    </a:r>
                    <a:r>
                      <a:rPr lang="zh-CN" altLang="en-US"/>
                      <a:t>万元</a:t>
                    </a:r>
                    <a:endParaRPr lang="en-US" altLang="en-US"/>
                  </a:p>
                </c:rich>
              </c:tx>
              <c:dLblPos val="ctr"/>
              <c:showVal val="1"/>
              <c:extLst>
                <c:ext xmlns:c15="http://schemas.microsoft.com/office/drawing/2012/chart" uri="{CE6537A1-D6FC-4f65-9D91-7224C49458BB}">
                  <c15:layout/>
                </c:ext>
              </c:extLst>
            </c:dLbl>
            <c:dLbl>
              <c:idx val="1"/>
              <c:layout>
                <c:manualLayout>
                  <c:x val="8.8288569937633507E-17"/>
                  <c:y val="-0.34674922600618768"/>
                </c:manualLayout>
              </c:layout>
              <c:tx>
                <c:rich>
                  <a:bodyPr/>
                  <a:lstStyle/>
                  <a:p>
                    <a:r>
                      <a:rPr lang="en-US" altLang="en-US"/>
                      <a:t>926.39</a:t>
                    </a:r>
                    <a:r>
                      <a:rPr lang="zh-CN" altLang="en-US"/>
                      <a:t>万元</a:t>
                    </a:r>
                    <a:endParaRPr lang="en-US" altLang="en-US"/>
                  </a:p>
                </c:rich>
              </c:tx>
              <c:dLblPos val="ctr"/>
              <c:showVal val="1"/>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ctr"/>
            <c:showVal val="1"/>
            <c:extLst>
              <c:ext xmlns:c15="http://schemas.microsoft.com/office/drawing/2012/chart" uri="{CE6537A1-D6FC-4f65-9D91-7224C49458BB}">
                <c15:layout/>
                <c15:showLeaderLines val="0"/>
                <c15:leaderLines/>
              </c:ext>
            </c:extLst>
          </c:dLbls>
          <c:cat>
            <c:strRef>
              <c:f>Sheet1!$A$2:$A$3</c:f>
              <c:strCache>
                <c:ptCount val="2"/>
                <c:pt idx="0">
                  <c:v>2022年一般公共预算财政拨款支出合计</c:v>
                </c:pt>
                <c:pt idx="1">
                  <c:v>2021年一般公共预算财政拨款支出合计</c:v>
                </c:pt>
              </c:strCache>
            </c:strRef>
          </c:cat>
          <c:val>
            <c:numRef>
              <c:f>Sheet1!$B$2:$B$3</c:f>
              <c:numCache>
                <c:formatCode>General</c:formatCode>
                <c:ptCount val="2"/>
                <c:pt idx="0">
                  <c:v>748.44999999999857</c:v>
                </c:pt>
                <c:pt idx="1">
                  <c:v>926.39</c:v>
                </c:pt>
              </c:numCache>
            </c:numRef>
          </c:val>
        </c:ser>
        <c:dLbls>
          <c:showVal val="1"/>
        </c:dLbls>
        <c:overlap val="100"/>
        <c:axId val="135094656"/>
        <c:axId val="135096192"/>
      </c:barChart>
      <c:catAx>
        <c:axId val="135094656"/>
        <c:scaling>
          <c:orientation val="minMax"/>
        </c:scaling>
        <c:axPos val="b"/>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5096192"/>
        <c:crosses val="autoZero"/>
        <c:auto val="1"/>
        <c:lblAlgn val="ctr"/>
        <c:lblOffset val="100"/>
      </c:catAx>
      <c:valAx>
        <c:axId val="135096192"/>
        <c:scaling>
          <c:orientation val="minMax"/>
        </c:scaling>
        <c:axPos val="l"/>
        <c:majorGridlines/>
        <c:numFmt formatCode="General" sourceLinked="1"/>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135094656"/>
        <c:crosses val="autoZero"/>
        <c:crossBetween val="between"/>
      </c:valAx>
    </c:plotArea>
    <c:plotVisOnly val="1"/>
    <c:dispBlanksAs val="gap"/>
  </c:chart>
  <c:txPr>
    <a:bodyPr/>
    <a:lstStyle/>
    <a:p>
      <a:pPr>
        <a:defRPr lang="zh-CN"/>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plotArea>
      <c:layout/>
      <c:pieChart>
        <c:varyColors val="1"/>
        <c:ser>
          <c:idx val="0"/>
          <c:order val="0"/>
          <c:tx>
            <c:strRef>
              <c:f>Sheet1!$B$1</c:f>
              <c:strCache>
                <c:ptCount val="1"/>
                <c:pt idx="0">
                  <c:v>“三公”经费财政拨款支出</c:v>
                </c:pt>
              </c:strCache>
            </c:strRef>
          </c:tx>
          <c:cat>
            <c:strRef>
              <c:f>Sheet1!$A$2:$A$4</c:f>
              <c:strCache>
                <c:ptCount val="3"/>
                <c:pt idx="0">
                  <c:v>因公出国（境）费</c:v>
                </c:pt>
                <c:pt idx="1">
                  <c:v>公务用车购置及运行维护费</c:v>
                </c:pt>
                <c:pt idx="2">
                  <c:v>公务接待费</c:v>
                </c:pt>
              </c:strCache>
            </c:strRef>
          </c:cat>
          <c:val>
            <c:numRef>
              <c:f>Sheet1!$B$2:$B$4</c:f>
              <c:numCache>
                <c:formatCode>General</c:formatCode>
                <c:ptCount val="3"/>
                <c:pt idx="0">
                  <c:v>0</c:v>
                </c:pt>
                <c:pt idx="1">
                  <c:v>0</c:v>
                </c:pt>
                <c:pt idx="2">
                  <c:v>100</c:v>
                </c:pt>
              </c:numCache>
            </c:numRef>
          </c:val>
        </c:ser>
        <c:firstSliceAng val="0"/>
      </c:pieChart>
    </c:plotArea>
    <c:legend>
      <c:legendPos val="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zero"/>
  </c:chart>
  <c:txPr>
    <a:bodyPr/>
    <a:lstStyle/>
    <a:p>
      <a:pPr>
        <a:defRPr lang="zh-CN"/>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886FE7-AC63-4DA1-B8CE-823C1095F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40</Pages>
  <Words>3119</Words>
  <Characters>17782</Characters>
  <Application>Microsoft Office Word</Application>
  <DocSecurity>0</DocSecurity>
  <Lines>148</Lines>
  <Paragraphs>41</Paragraphs>
  <ScaleCrop>false</ScaleCrop>
  <Company>四川省财政厅</Company>
  <LinksUpToDate>false</LinksUpToDate>
  <CharactersWithSpaces>20860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HP</cp:lastModifiedBy>
  <cp:revision>4</cp:revision>
  <cp:lastPrinted>2023-07-31T10:35:00Z</cp:lastPrinted>
  <dcterms:created xsi:type="dcterms:W3CDTF">2020-08-05T09:49:00Z</dcterms:created>
  <dcterms:modified xsi:type="dcterms:W3CDTF">2023-10-17T01:12:00Z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6B70361D626A4593B4A9C4A901EC4F63</vt:lpwstr>
  </property>
</Properties>
</file>